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3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6.xml" ContentType="application/vnd.openxmlformats-officedocument.drawingml.chart+xml"/>
  <Override PartName="/word/drawings/drawing4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drawings/drawing5.xml" ContentType="application/vnd.openxmlformats-officedocument.drawingml.chartshapes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drawings/drawing6.xml" ContentType="application/vnd.openxmlformats-officedocument.drawingml.chartshapes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drawings/drawing7.xml" ContentType="application/vnd.openxmlformats-officedocument.drawingml.chartshapes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drawings/drawing8.xml" ContentType="application/vnd.openxmlformats-officedocument.drawingml.chartshapes+xml"/>
  <Override PartName="/word/charts/chart44.xml" ContentType="application/vnd.openxmlformats-officedocument.drawingml.chart+xml"/>
  <Override PartName="/word/drawings/drawing9.xml" ContentType="application/vnd.openxmlformats-officedocument.drawingml.chartshapes+xml"/>
  <Override PartName="/word/charts/chart45.xml" ContentType="application/vnd.openxmlformats-officedocument.drawingml.chart+xml"/>
  <Override PartName="/word/drawings/drawing10.xml" ContentType="application/vnd.openxmlformats-officedocument.drawingml.chartshapes+xml"/>
  <Override PartName="/word/charts/chart4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drawings/drawing11.xml" ContentType="application/vnd.openxmlformats-officedocument.drawingml.chartshapes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drawings/drawing12.xml" ContentType="application/vnd.openxmlformats-officedocument.drawingml.chartshapes+xml"/>
  <Override PartName="/word/charts/chart57.xml" ContentType="application/vnd.openxmlformats-officedocument.drawingml.chart+xml"/>
  <Override PartName="/word/drawings/drawing13.xml" ContentType="application/vnd.openxmlformats-officedocument.drawingml.chartshapes+xml"/>
  <Override PartName="/word/charts/chart58.xml" ContentType="application/vnd.openxmlformats-officedocument.drawingml.chart+xml"/>
  <Override PartName="/word/drawings/drawing1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C851A" w14:textId="5213A4CB" w:rsidR="00C86924" w:rsidRPr="00456552" w:rsidRDefault="00C86924" w:rsidP="00C86924">
      <w:pPr>
        <w:spacing w:after="120" w:line="288" w:lineRule="auto"/>
        <w:jc w:val="both"/>
        <w:rPr>
          <w:rFonts w:ascii="Arial" w:hAnsi="Arial" w:cs="Arial"/>
          <w:b/>
          <w:color w:val="009BB4"/>
          <w:sz w:val="32"/>
          <w:szCs w:val="32"/>
        </w:rPr>
      </w:pPr>
      <w:bookmarkStart w:id="0" w:name="_GoBack"/>
      <w:bookmarkEnd w:id="0"/>
      <w:r w:rsidRPr="00456552">
        <w:rPr>
          <w:rFonts w:ascii="Arial" w:hAnsi="Arial" w:cs="Arial"/>
          <w:b/>
          <w:color w:val="009BB4"/>
          <w:sz w:val="32"/>
          <w:szCs w:val="32"/>
        </w:rPr>
        <w:t>Shrnutí základních údaj</w:t>
      </w:r>
      <w:r w:rsidR="001A67C4">
        <w:rPr>
          <w:rFonts w:ascii="Arial" w:hAnsi="Arial" w:cs="Arial"/>
          <w:b/>
          <w:color w:val="009BB4"/>
          <w:sz w:val="32"/>
          <w:szCs w:val="32"/>
        </w:rPr>
        <w:t>ů o výzkumu a vývoji za rok 2021</w:t>
      </w:r>
    </w:p>
    <w:p w14:paraId="1D4C8390" w14:textId="768C9245" w:rsidR="00FA4998" w:rsidRDefault="001A67C4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Výdaje na výzkum a vývoj (VaV</w:t>
      </w:r>
      <w:r w:rsidR="00A85564">
        <w:rPr>
          <w:rFonts w:ascii="Arial" w:hAnsi="Arial" w:cs="Arial"/>
          <w:sz w:val="20"/>
          <w:szCs w:val="20"/>
        </w:rPr>
        <w:t>) dosáhly v roce 2021 rekordní</w:t>
      </w:r>
      <w:r>
        <w:rPr>
          <w:rFonts w:ascii="Arial" w:hAnsi="Arial" w:cs="Arial"/>
          <w:sz w:val="20"/>
          <w:szCs w:val="20"/>
        </w:rPr>
        <w:t xml:space="preserve"> hodnot</w:t>
      </w:r>
      <w:r w:rsidR="00A85564">
        <w:rPr>
          <w:rFonts w:ascii="Arial" w:hAnsi="Arial" w:cs="Arial"/>
          <w:sz w:val="20"/>
          <w:szCs w:val="20"/>
        </w:rPr>
        <w:t>y</w:t>
      </w:r>
      <w:r w:rsidR="003B6843">
        <w:rPr>
          <w:rFonts w:ascii="Arial" w:hAnsi="Arial" w:cs="Arial"/>
          <w:sz w:val="20"/>
          <w:szCs w:val="20"/>
        </w:rPr>
        <w:t>, v</w:t>
      </w:r>
      <w:r>
        <w:rPr>
          <w:rFonts w:ascii="Arial" w:hAnsi="Arial" w:cs="Arial"/>
          <w:sz w:val="20"/>
          <w:szCs w:val="20"/>
        </w:rPr>
        <w:t>e srovnání s rokem 2020 došlo k</w:t>
      </w:r>
      <w:r w:rsidR="003B6843">
        <w:rPr>
          <w:rFonts w:ascii="Arial" w:hAnsi="Arial" w:cs="Arial"/>
          <w:sz w:val="20"/>
          <w:szCs w:val="20"/>
        </w:rPr>
        <w:t xml:space="preserve"> jejich</w:t>
      </w:r>
      <w:r w:rsidR="003318AC">
        <w:rPr>
          <w:rFonts w:ascii="Arial" w:hAnsi="Arial" w:cs="Arial"/>
          <w:sz w:val="20"/>
          <w:szCs w:val="20"/>
        </w:rPr>
        <w:t> téměř osmi</w:t>
      </w:r>
      <w:r>
        <w:rPr>
          <w:rFonts w:ascii="Arial" w:hAnsi="Arial" w:cs="Arial"/>
          <w:sz w:val="20"/>
          <w:szCs w:val="20"/>
        </w:rPr>
        <w:t xml:space="preserve">procentnímu </w:t>
      </w:r>
      <w:r w:rsidR="00A85564">
        <w:rPr>
          <w:rFonts w:ascii="Arial" w:hAnsi="Arial" w:cs="Arial"/>
          <w:sz w:val="20"/>
          <w:szCs w:val="20"/>
        </w:rPr>
        <w:t xml:space="preserve">meziročnímu </w:t>
      </w:r>
      <w:r>
        <w:rPr>
          <w:rFonts w:ascii="Arial" w:hAnsi="Arial" w:cs="Arial"/>
          <w:sz w:val="20"/>
          <w:szCs w:val="20"/>
        </w:rPr>
        <w:t xml:space="preserve">nárůstu. Celkem se </w:t>
      </w:r>
      <w:r w:rsidR="008B5309">
        <w:rPr>
          <w:rFonts w:ascii="Arial" w:hAnsi="Arial" w:cs="Arial"/>
          <w:sz w:val="20"/>
          <w:szCs w:val="20"/>
        </w:rPr>
        <w:t xml:space="preserve">v roce 2021 </w:t>
      </w:r>
      <w:r>
        <w:rPr>
          <w:rFonts w:ascii="Arial" w:hAnsi="Arial" w:cs="Arial"/>
          <w:sz w:val="20"/>
          <w:szCs w:val="20"/>
        </w:rPr>
        <w:t xml:space="preserve">na území České republiky vynaložilo na VaV 121,6 mld. Kč. Od roku 2010 </w:t>
      </w:r>
      <w:r w:rsidR="006176C0">
        <w:rPr>
          <w:rFonts w:ascii="Arial" w:hAnsi="Arial" w:cs="Arial"/>
          <w:sz w:val="20"/>
          <w:szCs w:val="20"/>
        </w:rPr>
        <w:t>se na tuto činnost v </w:t>
      </w:r>
      <w:r w:rsidR="00A85564">
        <w:rPr>
          <w:rFonts w:ascii="Arial" w:hAnsi="Arial" w:cs="Arial"/>
          <w:sz w:val="20"/>
          <w:szCs w:val="20"/>
        </w:rPr>
        <w:t>našem státě vynaložil více než jeden</w:t>
      </w:r>
      <w:r w:rsidR="006176C0">
        <w:rPr>
          <w:rFonts w:ascii="Arial" w:hAnsi="Arial" w:cs="Arial"/>
          <w:sz w:val="20"/>
          <w:szCs w:val="20"/>
        </w:rPr>
        <w:t xml:space="preserve"> bilion korun. Rekordní byl v roce 2021 i podíl výdajů na VaV na HDP. Česko se v tomto ukazateli několik let pohybovalo nad úrovní 1,9 %, v roce 2021 bylo poprvé dosaženo hranice 2 %.</w:t>
      </w:r>
      <w:r w:rsidR="003318AC">
        <w:rPr>
          <w:rFonts w:ascii="Arial" w:hAnsi="Arial" w:cs="Arial"/>
          <w:sz w:val="20"/>
          <w:szCs w:val="20"/>
        </w:rPr>
        <w:t xml:space="preserve"> H</w:t>
      </w:r>
      <w:r w:rsidR="00831178">
        <w:rPr>
          <w:rFonts w:ascii="Arial" w:hAnsi="Arial" w:cs="Arial"/>
          <w:sz w:val="20"/>
          <w:szCs w:val="20"/>
        </w:rPr>
        <w:t>rubý domácí produkt</w:t>
      </w:r>
      <w:r w:rsidR="003318AC">
        <w:rPr>
          <w:rFonts w:ascii="Arial" w:hAnsi="Arial" w:cs="Arial"/>
          <w:sz w:val="20"/>
          <w:szCs w:val="20"/>
        </w:rPr>
        <w:t xml:space="preserve"> Česka sice meziročně vzrostl o 7 %, ale výdaje na VaV </w:t>
      </w:r>
      <w:r w:rsidR="00831178">
        <w:rPr>
          <w:rFonts w:ascii="Arial" w:hAnsi="Arial" w:cs="Arial"/>
          <w:sz w:val="20"/>
          <w:szCs w:val="20"/>
        </w:rPr>
        <w:t>rostly ještě vyšším tempem.</w:t>
      </w:r>
    </w:p>
    <w:p w14:paraId="2AD266B2" w14:textId="24B491B9" w:rsidR="00691B0E" w:rsidRPr="00691B0E" w:rsidRDefault="00691B0E" w:rsidP="00691B0E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53397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1</w:t>
      </w:r>
      <w:r w:rsidRPr="0025339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Výzkum a vývoj v Česku – základní ukazatele</w:t>
      </w:r>
    </w:p>
    <w:p w14:paraId="3EC225AF" w14:textId="77777777" w:rsidR="00691B0E" w:rsidRDefault="00272F53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301B9A30" wp14:editId="7DD232B2">
            <wp:extent cx="6096000" cy="323977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D3C4ABB" w14:textId="77777777" w:rsidR="00691B0E" w:rsidRPr="0019141D" w:rsidRDefault="00691B0E" w:rsidP="00691B0E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C67BA8">
        <w:rPr>
          <w:noProof/>
          <w:lang w:eastAsia="cs-CZ"/>
        </w:rPr>
        <w:t xml:space="preserve"> </w:t>
      </w:r>
      <w:r w:rsidRPr="00253397">
        <w:rPr>
          <w:noProof/>
          <w:lang w:eastAsia="cs-CZ"/>
        </w:rPr>
        <w:t xml:space="preserve">  </w:t>
      </w:r>
      <w:r w:rsidRPr="00C67BA8">
        <w:rPr>
          <w:noProof/>
          <w:lang w:eastAsia="cs-CZ"/>
        </w:rPr>
        <w:t xml:space="preserve"> </w:t>
      </w:r>
      <w:r w:rsidRPr="0019141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38382D59" w14:textId="1CE0F225" w:rsidR="00691B0E" w:rsidRDefault="00A85564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Výzkumnou nebo vývojovou</w:t>
      </w:r>
      <w:r w:rsidR="00831178">
        <w:rPr>
          <w:rFonts w:ascii="Arial" w:hAnsi="Arial" w:cs="Arial"/>
          <w:sz w:val="20"/>
          <w:szCs w:val="20"/>
        </w:rPr>
        <w:t xml:space="preserve"> činnost provádělo v roce 2021 v Česku více než 3 100 subjektů. Téměř 90 % z těchto subjektů </w:t>
      </w:r>
      <w:r w:rsidR="008B5309">
        <w:rPr>
          <w:rFonts w:ascii="Arial" w:hAnsi="Arial" w:cs="Arial"/>
          <w:sz w:val="20"/>
          <w:szCs w:val="20"/>
        </w:rPr>
        <w:t xml:space="preserve">tvoří </w:t>
      </w:r>
      <w:r w:rsidR="00831178">
        <w:rPr>
          <w:rFonts w:ascii="Arial" w:hAnsi="Arial" w:cs="Arial"/>
          <w:sz w:val="20"/>
          <w:szCs w:val="20"/>
        </w:rPr>
        <w:t xml:space="preserve">podniky, v roce 2021 jich bylo 2 802. Dlouhodobě okolo 170 subjektů nacházíme ve vládním sektoru, z toho 75 subjektů </w:t>
      </w:r>
      <w:r w:rsidR="008B5309">
        <w:rPr>
          <w:rFonts w:ascii="Arial" w:hAnsi="Arial" w:cs="Arial"/>
          <w:sz w:val="20"/>
          <w:szCs w:val="20"/>
        </w:rPr>
        <w:t xml:space="preserve">byly </w:t>
      </w:r>
      <w:r w:rsidR="00831178">
        <w:rPr>
          <w:rFonts w:ascii="Arial" w:hAnsi="Arial" w:cs="Arial"/>
          <w:sz w:val="20"/>
          <w:szCs w:val="20"/>
        </w:rPr>
        <w:t xml:space="preserve">v roce 2021 veřejné výzkumné instituce.  Ve vysokoškolském sektoru evidujeme přes 60 subjektů, především se jedná o 28 veřejných a státních vysokých škol s téměř dvěma sty výzkumnými pracovišti. </w:t>
      </w:r>
      <w:r w:rsidR="0013773B">
        <w:rPr>
          <w:rFonts w:ascii="Arial" w:hAnsi="Arial" w:cs="Arial"/>
          <w:sz w:val="20"/>
          <w:szCs w:val="20"/>
        </w:rPr>
        <w:t>V p</w:t>
      </w:r>
      <w:r>
        <w:rPr>
          <w:rFonts w:ascii="Arial" w:hAnsi="Arial" w:cs="Arial"/>
          <w:sz w:val="20"/>
          <w:szCs w:val="20"/>
        </w:rPr>
        <w:t>řípadě soukromých vysokých škol</w:t>
      </w:r>
      <w:r w:rsidR="0013773B">
        <w:rPr>
          <w:rFonts w:ascii="Arial" w:hAnsi="Arial" w:cs="Arial"/>
          <w:sz w:val="20"/>
          <w:szCs w:val="20"/>
        </w:rPr>
        <w:t xml:space="preserve"> jsme v roce 2021 zaznamenali provádění VaV činnosti u 24 z nich. </w:t>
      </w:r>
      <w:r w:rsidR="007E48AC">
        <w:rPr>
          <w:rFonts w:ascii="Arial" w:hAnsi="Arial" w:cs="Arial"/>
          <w:sz w:val="20"/>
          <w:szCs w:val="20"/>
        </w:rPr>
        <w:t>V souladu s mezinárodními standardy statistiky VaV vyčleňujeme samosta</w:t>
      </w:r>
      <w:r>
        <w:rPr>
          <w:rFonts w:ascii="Arial" w:hAnsi="Arial" w:cs="Arial"/>
          <w:sz w:val="20"/>
          <w:szCs w:val="20"/>
        </w:rPr>
        <w:t>tně jako čtvrtý sektor neziskových institucí</w:t>
      </w:r>
      <w:r w:rsidR="007E48AC">
        <w:rPr>
          <w:rFonts w:ascii="Arial" w:hAnsi="Arial" w:cs="Arial"/>
          <w:sz w:val="20"/>
          <w:szCs w:val="20"/>
        </w:rPr>
        <w:t xml:space="preserve">, kterých </w:t>
      </w:r>
      <w:r w:rsidR="00CF03D3">
        <w:rPr>
          <w:rFonts w:ascii="Arial" w:hAnsi="Arial" w:cs="Arial"/>
          <w:sz w:val="20"/>
          <w:szCs w:val="20"/>
        </w:rPr>
        <w:t>v posledním sledovaném roce</w:t>
      </w:r>
      <w:r w:rsidR="007E48AC">
        <w:rPr>
          <w:rFonts w:ascii="Arial" w:hAnsi="Arial" w:cs="Arial"/>
          <w:sz w:val="20"/>
          <w:szCs w:val="20"/>
        </w:rPr>
        <w:t xml:space="preserve"> provádělo VaV činnost 99.</w:t>
      </w:r>
    </w:p>
    <w:p w14:paraId="37A4044A" w14:textId="41675036" w:rsidR="00831178" w:rsidRDefault="007E48AC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Nejvíce </w:t>
      </w:r>
      <w:r w:rsidR="00192FC8">
        <w:rPr>
          <w:rFonts w:ascii="Arial" w:hAnsi="Arial" w:cs="Arial"/>
          <w:sz w:val="20"/>
          <w:szCs w:val="20"/>
        </w:rPr>
        <w:t xml:space="preserve">prostředků na VaV vynakládají podniky. Do roku 2015 tvořily </w:t>
      </w:r>
      <w:r w:rsidR="00CF6A82">
        <w:rPr>
          <w:rFonts w:ascii="Arial" w:hAnsi="Arial" w:cs="Arial"/>
          <w:sz w:val="20"/>
          <w:szCs w:val="20"/>
        </w:rPr>
        <w:t xml:space="preserve">podnikové zdroje </w:t>
      </w:r>
      <w:r w:rsidR="00192FC8">
        <w:rPr>
          <w:rFonts w:ascii="Arial" w:hAnsi="Arial" w:cs="Arial"/>
          <w:sz w:val="20"/>
          <w:szCs w:val="20"/>
        </w:rPr>
        <w:t>přibližně polovinu celkových výdajů na VaV v Česku. V posledních letech však zaujímají okolo 60 % celkových výdajů na VaV, čímž jsme se přiblížili k podílu obvyklému ve většině států západní Evropy. Průměr EU byl v roce 2019 65% a ve třech státech (Belgie, Německo, Rakousko) dokonce podíl tohoto ukazatele překračoval 70 %.</w:t>
      </w:r>
      <w:r w:rsidR="00CF6A82">
        <w:rPr>
          <w:rFonts w:ascii="Arial" w:hAnsi="Arial" w:cs="Arial"/>
          <w:sz w:val="20"/>
          <w:szCs w:val="20"/>
        </w:rPr>
        <w:t xml:space="preserve"> Podnikové zdroje jsou tvořeny především podnikovými investicemi do vlastní VaV činnosti. Ze 72,8 mld. Kč celkových</w:t>
      </w:r>
      <w:r w:rsidR="00A85564">
        <w:rPr>
          <w:rFonts w:ascii="Arial" w:hAnsi="Arial" w:cs="Arial"/>
          <w:sz w:val="20"/>
          <w:szCs w:val="20"/>
        </w:rPr>
        <w:t xml:space="preserve"> podnikových zdrojů se jich </w:t>
      </w:r>
      <w:r w:rsidR="00CF6A82">
        <w:rPr>
          <w:rFonts w:ascii="Arial" w:hAnsi="Arial" w:cs="Arial"/>
          <w:sz w:val="20"/>
          <w:szCs w:val="20"/>
        </w:rPr>
        <w:t xml:space="preserve">95 % spotřebovalo v podnikatelském sektoru. </w:t>
      </w:r>
    </w:p>
    <w:p w14:paraId="1614A876" w14:textId="7582D790" w:rsidR="00D0408E" w:rsidRDefault="00CF6A82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Přibližně 40 % prostředků vynaložených v Česku na VaV je financováno z veřejných zdrojů. V roce 2021 tyto prostředky činily celkem 47,8 mld. Kč. Většinu </w:t>
      </w:r>
      <w:r w:rsidR="00A85564">
        <w:rPr>
          <w:rFonts w:ascii="Arial" w:hAnsi="Arial" w:cs="Arial"/>
          <w:sz w:val="20"/>
          <w:szCs w:val="20"/>
        </w:rPr>
        <w:t xml:space="preserve">z této částky </w:t>
      </w:r>
      <w:r>
        <w:rPr>
          <w:rFonts w:ascii="Arial" w:hAnsi="Arial" w:cs="Arial"/>
          <w:sz w:val="20"/>
          <w:szCs w:val="20"/>
        </w:rPr>
        <w:t xml:space="preserve">tvořily veřejné domácí zdroje. Český stát v roce 2021 vynaložil na VaV celkem 39,4 mld. Kč, o 2 % (0,8 mld. Kč) více než v předchozím roce. </w:t>
      </w:r>
      <w:r w:rsidR="00F60B32">
        <w:rPr>
          <w:rFonts w:ascii="Arial" w:hAnsi="Arial" w:cs="Arial"/>
          <w:sz w:val="20"/>
          <w:szCs w:val="20"/>
        </w:rPr>
        <w:t>Veřejné domácí zdroje jsou směřovány zvláště na podporu výzkumu ve veřejném sektoru. Účelová podpora výzkumu prováděného podniky se v posledních čtyřech letech po</w:t>
      </w:r>
      <w:r w:rsidR="005E04B4">
        <w:rPr>
          <w:rFonts w:ascii="Arial" w:hAnsi="Arial" w:cs="Arial"/>
          <w:sz w:val="20"/>
          <w:szCs w:val="20"/>
        </w:rPr>
        <w:t xml:space="preserve">hybuje </w:t>
      </w:r>
      <w:r w:rsidR="00A85564">
        <w:rPr>
          <w:rFonts w:ascii="Arial" w:hAnsi="Arial" w:cs="Arial"/>
          <w:sz w:val="20"/>
          <w:szCs w:val="20"/>
        </w:rPr>
        <w:t>okolo 4,5 mld. Kč ročně, tzn.</w:t>
      </w:r>
      <w:r w:rsidR="005E04B4">
        <w:rPr>
          <w:rFonts w:ascii="Arial" w:hAnsi="Arial" w:cs="Arial"/>
          <w:sz w:val="20"/>
          <w:szCs w:val="20"/>
        </w:rPr>
        <w:t xml:space="preserve"> 12 % prostředků, které český stát vynakládá na VaV</w:t>
      </w:r>
      <w:r w:rsidR="00A85564">
        <w:rPr>
          <w:rFonts w:ascii="Arial" w:hAnsi="Arial" w:cs="Arial"/>
          <w:sz w:val="20"/>
          <w:szCs w:val="20"/>
        </w:rPr>
        <w:t>,</w:t>
      </w:r>
      <w:r w:rsidR="005E04B4">
        <w:rPr>
          <w:rFonts w:ascii="Arial" w:hAnsi="Arial" w:cs="Arial"/>
          <w:sz w:val="20"/>
          <w:szCs w:val="20"/>
        </w:rPr>
        <w:t xml:space="preserve"> směřuje na podporu podnikového výzkumu. Tento údaj odpovídá průměru EU. Pro srovnání 9 % veřejných domácích zdrojů putuje na podporu podniků v Německu, v Rakousku je to 10</w:t>
      </w:r>
      <w:r w:rsidR="00CE32E1">
        <w:rPr>
          <w:rFonts w:ascii="Arial" w:hAnsi="Arial" w:cs="Arial"/>
          <w:sz w:val="20"/>
          <w:szCs w:val="20"/>
        </w:rPr>
        <w:t> </w:t>
      </w:r>
      <w:r w:rsidR="005E04B4">
        <w:rPr>
          <w:rFonts w:ascii="Arial" w:hAnsi="Arial" w:cs="Arial"/>
          <w:sz w:val="20"/>
          <w:szCs w:val="20"/>
        </w:rPr>
        <w:t xml:space="preserve">%. Vyšší podíl vykazuje např. Nizozemsko (15 %) a Polsko (22 %). </w:t>
      </w:r>
      <w:r w:rsidR="008F39DB">
        <w:rPr>
          <w:rFonts w:ascii="Arial" w:hAnsi="Arial" w:cs="Arial"/>
          <w:sz w:val="20"/>
          <w:szCs w:val="20"/>
        </w:rPr>
        <w:t xml:space="preserve">V tomto ukazateli se mezi státy EU </w:t>
      </w:r>
      <w:r w:rsidR="008F39DB">
        <w:rPr>
          <w:rFonts w:ascii="Arial" w:hAnsi="Arial" w:cs="Arial"/>
          <w:sz w:val="20"/>
          <w:szCs w:val="20"/>
        </w:rPr>
        <w:lastRenderedPageBreak/>
        <w:t>vyskytují velké rozdíly. Výše veřejné podpory podnikového</w:t>
      </w:r>
      <w:r w:rsidR="00D0408E">
        <w:rPr>
          <w:rFonts w:ascii="Arial" w:hAnsi="Arial" w:cs="Arial"/>
          <w:sz w:val="20"/>
          <w:szCs w:val="20"/>
        </w:rPr>
        <w:t xml:space="preserve"> výzkumu se liší stát od státu bez ohledu na jejich geografické rozmístění a nelze tak jednoduše paušalizovat, že státy z určitého regionu podporují podnikový výzkum více ve srovnání s jinými státy.</w:t>
      </w:r>
    </w:p>
    <w:p w14:paraId="48B33708" w14:textId="7DE6EB8C" w:rsidR="00166242" w:rsidRPr="00253397" w:rsidRDefault="00166242" w:rsidP="00166242">
      <w:pPr>
        <w:spacing w:after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53397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2</w:t>
      </w:r>
      <w:r w:rsidRPr="00253397">
        <w:rPr>
          <w:rFonts w:ascii="Arial" w:hAnsi="Arial" w:cs="Arial"/>
          <w:b/>
          <w:sz w:val="20"/>
          <w:szCs w:val="20"/>
        </w:rPr>
        <w:t>. P</w:t>
      </w:r>
      <w:r>
        <w:rPr>
          <w:rFonts w:ascii="Arial" w:hAnsi="Arial" w:cs="Arial"/>
          <w:b/>
          <w:sz w:val="20"/>
          <w:szCs w:val="20"/>
        </w:rPr>
        <w:t xml:space="preserve">očet pracovišť, ve kterých se </w:t>
      </w:r>
      <w:r w:rsidRPr="00253397">
        <w:rPr>
          <w:rFonts w:ascii="Arial" w:hAnsi="Arial" w:cs="Arial"/>
          <w:b/>
          <w:sz w:val="20"/>
          <w:szCs w:val="20"/>
        </w:rPr>
        <w:t xml:space="preserve">v Česku </w:t>
      </w:r>
      <w:r>
        <w:rPr>
          <w:rFonts w:ascii="Arial" w:hAnsi="Arial" w:cs="Arial"/>
          <w:b/>
          <w:sz w:val="20"/>
          <w:szCs w:val="20"/>
        </w:rPr>
        <w:t>prováděl v</w:t>
      </w:r>
      <w:r w:rsidRPr="00253397">
        <w:rPr>
          <w:rFonts w:ascii="Arial" w:hAnsi="Arial" w:cs="Arial"/>
          <w:b/>
          <w:sz w:val="20"/>
          <w:szCs w:val="20"/>
        </w:rPr>
        <w:t xml:space="preserve"> roce 202</w:t>
      </w:r>
      <w:r>
        <w:rPr>
          <w:rFonts w:ascii="Arial" w:hAnsi="Arial" w:cs="Arial"/>
          <w:b/>
          <w:sz w:val="20"/>
          <w:szCs w:val="20"/>
        </w:rPr>
        <w:t>1 výzkum a vývoj</w:t>
      </w:r>
    </w:p>
    <w:p w14:paraId="1E52FD42" w14:textId="77777777" w:rsidR="00166242" w:rsidRPr="004D4D98" w:rsidRDefault="00166242" w:rsidP="00166242">
      <w:pPr>
        <w:tabs>
          <w:tab w:val="left" w:pos="0"/>
          <w:tab w:val="left" w:pos="3686"/>
          <w:tab w:val="left" w:pos="6804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4D4D98">
        <w:rPr>
          <w:rFonts w:ascii="Arial" w:hAnsi="Arial" w:cs="Arial"/>
          <w:b/>
          <w:i/>
          <w:sz w:val="18"/>
          <w:szCs w:val="20"/>
        </w:rPr>
        <w:t xml:space="preserve">a) podle počtu pracovníků </w:t>
      </w:r>
      <w:r>
        <w:rPr>
          <w:rFonts w:ascii="Arial" w:hAnsi="Arial" w:cs="Arial"/>
          <w:b/>
          <w:i/>
          <w:sz w:val="18"/>
          <w:szCs w:val="20"/>
        </w:rPr>
        <w:t xml:space="preserve">ve </w:t>
      </w:r>
      <w:r w:rsidRPr="004D4D98">
        <w:rPr>
          <w:rFonts w:ascii="Arial" w:hAnsi="Arial" w:cs="Arial"/>
          <w:b/>
          <w:i/>
          <w:sz w:val="18"/>
          <w:szCs w:val="20"/>
        </w:rPr>
        <w:t xml:space="preserve">VaV (FTE) </w:t>
      </w:r>
      <w:r w:rsidRPr="004D4D98">
        <w:rPr>
          <w:rFonts w:ascii="Arial" w:hAnsi="Arial" w:cs="Arial"/>
          <w:b/>
          <w:i/>
          <w:sz w:val="18"/>
          <w:szCs w:val="20"/>
        </w:rPr>
        <w:tab/>
        <w:t xml:space="preserve">b) podle výdajů na VaV (mil. Kč) </w:t>
      </w:r>
      <w:r w:rsidRPr="004D4D98">
        <w:rPr>
          <w:rFonts w:ascii="Arial" w:hAnsi="Arial" w:cs="Arial"/>
          <w:b/>
          <w:i/>
          <w:sz w:val="18"/>
          <w:szCs w:val="20"/>
        </w:rPr>
        <w:tab/>
        <w:t>c) podle sektorů provádění</w:t>
      </w:r>
    </w:p>
    <w:p w14:paraId="25BCBC26" w14:textId="6E41A864" w:rsidR="00166242" w:rsidRDefault="00166242" w:rsidP="00166242">
      <w:pPr>
        <w:spacing w:after="120" w:line="288" w:lineRule="auto"/>
        <w:jc w:val="right"/>
        <w:rPr>
          <w:rFonts w:ascii="Arial" w:hAnsi="Arial" w:cs="Arial"/>
          <w:sz w:val="20"/>
          <w:szCs w:val="20"/>
        </w:rPr>
      </w:pPr>
      <w:r w:rsidRPr="00166242">
        <w:rPr>
          <w:noProof/>
          <w:color w:val="92D050"/>
          <w:lang w:eastAsia="cs-CZ"/>
        </w:rPr>
        <w:drawing>
          <wp:inline distT="0" distB="0" distL="0" distR="0" wp14:anchorId="24E5EAD9" wp14:editId="6B3B7F57">
            <wp:extent cx="1980000" cy="1980000"/>
            <wp:effectExtent l="0" t="0" r="1270" b="127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166242">
        <w:rPr>
          <w:noProof/>
          <w:lang w:eastAsia="cs-CZ"/>
        </w:rPr>
        <w:t xml:space="preserve"> </w:t>
      </w:r>
      <w:r w:rsidRPr="00166242">
        <w:rPr>
          <w:noProof/>
          <w:color w:val="FFC000"/>
          <w:lang w:eastAsia="cs-CZ"/>
        </w:rPr>
        <w:drawing>
          <wp:inline distT="0" distB="0" distL="0" distR="0" wp14:anchorId="103091AD" wp14:editId="5F8208B2">
            <wp:extent cx="1980000" cy="1980000"/>
            <wp:effectExtent l="0" t="0" r="1270" b="127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166242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696136F" wp14:editId="423E3E49">
            <wp:extent cx="1980000" cy="1980000"/>
            <wp:effectExtent l="0" t="0" r="127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66242">
        <w:rPr>
          <w:rFonts w:ascii="Arial" w:hAnsi="Arial" w:cs="Arial"/>
          <w:i/>
          <w:sz w:val="18"/>
          <w:szCs w:val="20"/>
        </w:rPr>
        <w:t xml:space="preserve"> </w:t>
      </w:r>
      <w:r w:rsidRPr="0019141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23ED11D6" w14:textId="5D213814" w:rsidR="00CF6A82" w:rsidRDefault="00D0408E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Menší část </w:t>
      </w:r>
      <w:r w:rsidR="00A85564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veřejné podpory připadá na veřejné zahraniční zdroje, které v Česku v roce 2021 činily 8, 4 mld. Kč (21 % celkových veřejných zdrojů). Veřejné zahraniční zdroje tvoří </w:t>
      </w:r>
      <w:r w:rsidR="002F4FAA">
        <w:rPr>
          <w:rFonts w:ascii="Arial" w:hAnsi="Arial" w:cs="Arial"/>
          <w:sz w:val="20"/>
          <w:szCs w:val="20"/>
        </w:rPr>
        <w:t>především prostředky EU (strukt</w:t>
      </w:r>
      <w:r>
        <w:rPr>
          <w:rFonts w:ascii="Arial" w:hAnsi="Arial" w:cs="Arial"/>
          <w:sz w:val="20"/>
          <w:szCs w:val="20"/>
        </w:rPr>
        <w:t>u</w:t>
      </w:r>
      <w:r w:rsidR="002F4FA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ální fondy, rámcové programy). V Česku se nejvíce prostředků EU čerpalo mezi lety 2012-2015 (celkem 51,3</w:t>
      </w:r>
      <w:r w:rsidR="00CE32E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mld.</w:t>
      </w:r>
      <w:r w:rsidR="00CE32E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Kč), v rekordních letech 2014 a 2015 dokonce více než 13 mld. Kč ročně. V aktuálním programovém období </w:t>
      </w:r>
      <w:r w:rsidR="002F4FAA">
        <w:rPr>
          <w:rFonts w:ascii="Arial" w:hAnsi="Arial" w:cs="Arial"/>
          <w:sz w:val="20"/>
          <w:szCs w:val="20"/>
        </w:rPr>
        <w:t>se evropské dotace čerpají v nižší míře než v období předchozím, po pozvolném nástupu v letech 2016 a 2017 došlo k ustálení na přibližném ročním čerpání okolo 8 mld. Kč. Veřejné zahraniční zdroje byly v Česku v roce 2021 relativně rovnoměrně rozdělené do tří sektorů, na vysokoškolský připadalo 45 %, na podnikatelský 30 % a na vládní 24 % prostředků.</w:t>
      </w:r>
      <w:r w:rsidR="00AF398A">
        <w:rPr>
          <w:rFonts w:ascii="Arial" w:hAnsi="Arial" w:cs="Arial"/>
          <w:sz w:val="20"/>
          <w:szCs w:val="20"/>
        </w:rPr>
        <w:t xml:space="preserve"> V Česku tvoří zdroje z EU okolo 7 % celkových výdajů na VaV, což je vysoko nad evropským průměrem, který byl v </w:t>
      </w:r>
      <w:r w:rsidR="00AF398A" w:rsidRPr="009B37F7">
        <w:rPr>
          <w:rFonts w:ascii="Arial" w:hAnsi="Arial" w:cs="Arial"/>
          <w:sz w:val="20"/>
          <w:szCs w:val="20"/>
        </w:rPr>
        <w:t>roce 2019 2,5 %. Dlouhodobě nejvyšší</w:t>
      </w:r>
      <w:r w:rsidR="00AF398A">
        <w:rPr>
          <w:rFonts w:ascii="Arial" w:hAnsi="Arial" w:cs="Arial"/>
          <w:sz w:val="20"/>
          <w:szCs w:val="20"/>
        </w:rPr>
        <w:t xml:space="preserve"> </w:t>
      </w:r>
      <w:r w:rsidR="00A85564">
        <w:rPr>
          <w:rFonts w:ascii="Arial" w:hAnsi="Arial" w:cs="Arial"/>
          <w:sz w:val="20"/>
          <w:szCs w:val="20"/>
        </w:rPr>
        <w:t>podíl</w:t>
      </w:r>
      <w:r w:rsidR="00AF398A">
        <w:rPr>
          <w:rFonts w:ascii="Arial" w:hAnsi="Arial" w:cs="Arial"/>
          <w:sz w:val="20"/>
          <w:szCs w:val="20"/>
        </w:rPr>
        <w:t xml:space="preserve"> v tomto ukazateli </w:t>
      </w:r>
      <w:r w:rsidR="00B506A7">
        <w:rPr>
          <w:rFonts w:ascii="Arial" w:hAnsi="Arial" w:cs="Arial"/>
          <w:sz w:val="20"/>
          <w:szCs w:val="20"/>
        </w:rPr>
        <w:t xml:space="preserve">vykazují pobaltské státy Litva a Lotyšsko, kde </w:t>
      </w:r>
      <w:r w:rsidR="00A85564">
        <w:rPr>
          <w:rFonts w:ascii="Arial" w:hAnsi="Arial" w:cs="Arial"/>
          <w:sz w:val="20"/>
          <w:szCs w:val="20"/>
        </w:rPr>
        <w:t xml:space="preserve">více </w:t>
      </w:r>
      <w:r w:rsidR="00B506A7">
        <w:rPr>
          <w:rFonts w:ascii="Arial" w:hAnsi="Arial" w:cs="Arial"/>
          <w:sz w:val="20"/>
          <w:szCs w:val="20"/>
        </w:rPr>
        <w:t xml:space="preserve">než 20 % výdajů vynaložených na VaV připadá na zdroje z EU. Pro srovnání v Německu je to méně než 2 %. V absolutním vyjádření ale nejvíce evropských dotací na VaV čerpá Německo, v roce 2019 to bylo 1,7 mld. Eur. V Litvě to bylo ve stejném roce 117 mil. Eur, v Lotyšsku 63 mil. Eur a v Česku </w:t>
      </w:r>
      <w:r w:rsidR="00542ED9">
        <w:rPr>
          <w:rFonts w:ascii="Arial" w:hAnsi="Arial" w:cs="Arial"/>
          <w:sz w:val="20"/>
          <w:szCs w:val="20"/>
        </w:rPr>
        <w:t>rovných 300 mil. Eur.</w:t>
      </w:r>
    </w:p>
    <w:p w14:paraId="447217D5" w14:textId="77777777" w:rsidR="00563EAB" w:rsidRPr="00C67BA8" w:rsidRDefault="00563EAB" w:rsidP="00563E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67BA8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3</w:t>
      </w:r>
      <w:r w:rsidRPr="00C67BA8">
        <w:rPr>
          <w:rFonts w:ascii="Arial" w:hAnsi="Arial" w:cs="Arial"/>
          <w:b/>
          <w:sz w:val="20"/>
          <w:szCs w:val="20"/>
        </w:rPr>
        <w:t xml:space="preserve">. Výdaje na výzkum a vývoj v Česku podle hlavních zdrojů financování </w:t>
      </w:r>
    </w:p>
    <w:p w14:paraId="0B19CAA0" w14:textId="77777777" w:rsidR="00563EAB" w:rsidRDefault="00563EAB" w:rsidP="00563EAB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>
        <w:rPr>
          <w:noProof/>
          <w:lang w:eastAsia="cs-CZ"/>
        </w:rPr>
        <w:drawing>
          <wp:inline distT="0" distB="0" distL="0" distR="0" wp14:anchorId="16A5AA74" wp14:editId="56FE39E8">
            <wp:extent cx="6120130" cy="2700000"/>
            <wp:effectExtent l="0" t="0" r="0" b="571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63EAB">
        <w:rPr>
          <w:rFonts w:ascii="Arial" w:hAnsi="Arial" w:cs="Arial"/>
          <w:i/>
          <w:sz w:val="18"/>
          <w:szCs w:val="20"/>
        </w:rPr>
        <w:t xml:space="preserve"> </w:t>
      </w:r>
      <w:r w:rsidRPr="0019141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29A9E9F9" w14:textId="38576065" w:rsidR="000C21EC" w:rsidRDefault="00A42408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výdajových položek na VaV zaujímají nejv</w:t>
      </w:r>
      <w:r w:rsidR="00A85564">
        <w:rPr>
          <w:rFonts w:ascii="Arial" w:hAnsi="Arial" w:cs="Arial"/>
          <w:sz w:val="20"/>
          <w:szCs w:val="20"/>
        </w:rPr>
        <w:t>ětší podíl mzdy. V roce 2016 v Č</w:t>
      </w:r>
      <w:r>
        <w:rPr>
          <w:rFonts w:ascii="Arial" w:hAnsi="Arial" w:cs="Arial"/>
          <w:sz w:val="20"/>
          <w:szCs w:val="20"/>
        </w:rPr>
        <w:t>esku poprvé přesáhly polovinu výdajů na VaV a jejich podíl rostl i nadále. V roce 2021 se na mzdy ve VaV vynaložilo 69,5 mld. Kč, c</w:t>
      </w:r>
      <w:r w:rsidR="00FC525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ž tvořilo </w:t>
      </w:r>
      <w:r>
        <w:rPr>
          <w:rFonts w:ascii="Arial" w:hAnsi="Arial" w:cs="Arial"/>
          <w:sz w:val="20"/>
          <w:szCs w:val="20"/>
        </w:rPr>
        <w:lastRenderedPageBreak/>
        <w:t xml:space="preserve">57 % celkových výdajů na VaV. </w:t>
      </w:r>
      <w:r w:rsidR="000C21EC">
        <w:rPr>
          <w:rFonts w:ascii="Arial" w:hAnsi="Arial" w:cs="Arial"/>
          <w:sz w:val="20"/>
          <w:szCs w:val="20"/>
        </w:rPr>
        <w:t>Oproti tomu investiční výdaje na VaV u nás dlouhodobě stagnují, poslední čtyři roky se jejich výše pohybuje okolo 11 mld. Kč ročně, v roce 2021 to znamenalo 9% podíl na celkových výdajích na VaV. Rekordních investic do VaV bylo dosaženo v letech 2012–2015 v souvislosti s výstavbou nových výzkumných center financovaných ze strukturálních fondů EU. Ve zmíněných letech tvořily investiční výdaje na VaV 20 % celkových výdajů na VaV. Průměr EU v podílu investičních výdajů na VaV v roce 2019 byl 9 %. Podíl v Německu odpovídal průměru EU (9 %). Přesto investi</w:t>
      </w:r>
      <w:r w:rsidR="00F8647D">
        <w:rPr>
          <w:rFonts w:ascii="Arial" w:hAnsi="Arial" w:cs="Arial"/>
          <w:sz w:val="20"/>
          <w:szCs w:val="20"/>
        </w:rPr>
        <w:t>ční výdaje na VaV v Německu byly</w:t>
      </w:r>
      <w:r w:rsidR="000C21EC">
        <w:rPr>
          <w:rFonts w:ascii="Arial" w:hAnsi="Arial" w:cs="Arial"/>
          <w:sz w:val="20"/>
          <w:szCs w:val="20"/>
        </w:rPr>
        <w:t xml:space="preserve"> více než dvakrát vyšší oproti celkový výdajů</w:t>
      </w:r>
      <w:r w:rsidR="00F8647D">
        <w:rPr>
          <w:rFonts w:ascii="Arial" w:hAnsi="Arial" w:cs="Arial"/>
          <w:sz w:val="20"/>
          <w:szCs w:val="20"/>
        </w:rPr>
        <w:t>m na VaV v Česku. V žádném státě</w:t>
      </w:r>
      <w:r w:rsidR="000C21EC">
        <w:rPr>
          <w:rFonts w:ascii="Arial" w:hAnsi="Arial" w:cs="Arial"/>
          <w:sz w:val="20"/>
          <w:szCs w:val="20"/>
        </w:rPr>
        <w:t xml:space="preserve"> EU nepřekročil</w:t>
      </w:r>
      <w:r w:rsidR="00FB604A">
        <w:rPr>
          <w:rFonts w:ascii="Arial" w:hAnsi="Arial" w:cs="Arial"/>
          <w:sz w:val="20"/>
          <w:szCs w:val="20"/>
        </w:rPr>
        <w:t xml:space="preserve"> v roce 2019</w:t>
      </w:r>
      <w:r w:rsidR="000C21EC">
        <w:rPr>
          <w:rFonts w:ascii="Arial" w:hAnsi="Arial" w:cs="Arial"/>
          <w:sz w:val="20"/>
          <w:szCs w:val="20"/>
        </w:rPr>
        <w:t xml:space="preserve"> podíl </w:t>
      </w:r>
      <w:r w:rsidR="00FB604A">
        <w:rPr>
          <w:rFonts w:ascii="Arial" w:hAnsi="Arial" w:cs="Arial"/>
          <w:sz w:val="20"/>
          <w:szCs w:val="20"/>
        </w:rPr>
        <w:t xml:space="preserve">investičních </w:t>
      </w:r>
      <w:r w:rsidR="000C21EC">
        <w:rPr>
          <w:rFonts w:ascii="Arial" w:hAnsi="Arial" w:cs="Arial"/>
          <w:sz w:val="20"/>
          <w:szCs w:val="20"/>
        </w:rPr>
        <w:t>výdajů na Va</w:t>
      </w:r>
      <w:r w:rsidR="00FB604A">
        <w:rPr>
          <w:rFonts w:ascii="Arial" w:hAnsi="Arial" w:cs="Arial"/>
          <w:sz w:val="20"/>
          <w:szCs w:val="20"/>
        </w:rPr>
        <w:t>V 20 %.</w:t>
      </w:r>
    </w:p>
    <w:p w14:paraId="51D1E9F2" w14:textId="77777777" w:rsidR="00563EAB" w:rsidRPr="00C67BA8" w:rsidRDefault="00563EAB" w:rsidP="00563EAB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67BA8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4</w:t>
      </w:r>
      <w:r w:rsidRPr="00C67BA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V</w:t>
      </w:r>
      <w:r w:rsidRPr="00C67BA8">
        <w:rPr>
          <w:rFonts w:ascii="Arial" w:hAnsi="Arial" w:cs="Arial"/>
          <w:b/>
          <w:sz w:val="20"/>
          <w:szCs w:val="20"/>
        </w:rPr>
        <w:t xml:space="preserve">ýzkum a vývoj v Česku </w:t>
      </w:r>
      <w:r>
        <w:rPr>
          <w:rFonts w:ascii="Arial" w:hAnsi="Arial" w:cs="Arial"/>
          <w:b/>
          <w:sz w:val="20"/>
          <w:szCs w:val="20"/>
        </w:rPr>
        <w:t xml:space="preserve">financovaný z veřejných domácích zdrojů </w:t>
      </w:r>
      <w:r w:rsidRPr="00C67BA8">
        <w:rPr>
          <w:rFonts w:ascii="Arial" w:hAnsi="Arial" w:cs="Arial"/>
          <w:b/>
          <w:sz w:val="20"/>
          <w:szCs w:val="20"/>
        </w:rPr>
        <w:t xml:space="preserve">podle </w:t>
      </w:r>
      <w:r>
        <w:rPr>
          <w:rFonts w:ascii="Arial" w:hAnsi="Arial" w:cs="Arial"/>
          <w:b/>
          <w:sz w:val="20"/>
          <w:szCs w:val="20"/>
        </w:rPr>
        <w:t>sektorů (</w:t>
      </w:r>
      <w:r w:rsidRPr="00C67BA8">
        <w:rPr>
          <w:rFonts w:ascii="Arial" w:hAnsi="Arial" w:cs="Arial"/>
          <w:b/>
          <w:sz w:val="20"/>
          <w:szCs w:val="20"/>
        </w:rPr>
        <w:t>mld. Kč</w:t>
      </w:r>
      <w:r>
        <w:rPr>
          <w:rFonts w:ascii="Arial" w:hAnsi="Arial" w:cs="Arial"/>
          <w:b/>
          <w:sz w:val="20"/>
          <w:szCs w:val="20"/>
        </w:rPr>
        <w:t>; %)</w:t>
      </w:r>
    </w:p>
    <w:p w14:paraId="740EC893" w14:textId="540041DE" w:rsidR="00563EAB" w:rsidRDefault="00563EAB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02CD5627" wp14:editId="741B9B6B">
            <wp:extent cx="4248000" cy="2700000"/>
            <wp:effectExtent l="0" t="0" r="635" b="571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63EAB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3314452" wp14:editId="69911ED0">
            <wp:extent cx="1819275" cy="2699385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B8E10F" w14:textId="7688D0D4" w:rsidR="00563EAB" w:rsidRDefault="00563EAB" w:rsidP="00563EAB">
      <w:pPr>
        <w:spacing w:after="120" w:line="288" w:lineRule="auto"/>
        <w:jc w:val="right"/>
        <w:rPr>
          <w:rFonts w:ascii="Arial" w:hAnsi="Arial" w:cs="Arial"/>
          <w:sz w:val="20"/>
          <w:szCs w:val="20"/>
        </w:rPr>
      </w:pPr>
      <w:r w:rsidRPr="0019141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001971DE" w14:textId="293CACAB" w:rsidR="00FB604A" w:rsidRDefault="00A3100A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roce 2021 činily celkové výdaje na VaV v Evropské Unii 328 mld. Eur. Výdaje na VaV celé EU jsou srovnatelné s Čínou, ale jsou přibližně poloviční oproti Spojeným státům. Třetina výdajů na VaV v EU připadá na Německo, v roce 2021 to bylo 113 mld. Eur. Přibližně poloviční částka (55 mld. Eur) byla vynaložena ve druhé Francie. S velkým odstupem je na třetím místě Itálie (27 mld. Eur). </w:t>
      </w:r>
      <w:r w:rsidR="00235F98">
        <w:rPr>
          <w:rFonts w:ascii="Arial" w:hAnsi="Arial" w:cs="Arial"/>
          <w:sz w:val="20"/>
          <w:szCs w:val="20"/>
        </w:rPr>
        <w:t>V Česku se v přepočtu na Eura vynaložilo na VaV 4,8 mld. Eur (1,4 % EU). V tomto absolutním vyjádření připadá na Česko třinácté místo z evropské sedmadvacítky. U našich sousedů byly výdaje následovné: Rakousko 13 mld. Eur, Polsko 8,3 mld. Eur a Slovensko 0,9 mld. Eur.</w:t>
      </w:r>
    </w:p>
    <w:p w14:paraId="5450B52C" w14:textId="77777777" w:rsidR="00563EAB" w:rsidRPr="00E66D3A" w:rsidRDefault="00563EAB" w:rsidP="00563EAB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5</w:t>
      </w:r>
      <w:r w:rsidRPr="00E66D3A">
        <w:rPr>
          <w:rFonts w:ascii="Arial" w:hAnsi="Arial" w:cs="Arial"/>
          <w:b/>
          <w:sz w:val="20"/>
          <w:szCs w:val="20"/>
        </w:rPr>
        <w:t xml:space="preserve">. Výdaje na </w:t>
      </w:r>
      <w:r>
        <w:rPr>
          <w:rFonts w:ascii="Arial" w:hAnsi="Arial" w:cs="Arial"/>
          <w:b/>
          <w:sz w:val="20"/>
          <w:szCs w:val="20"/>
        </w:rPr>
        <w:t>VaV</w:t>
      </w:r>
      <w:r w:rsidRPr="00E66D3A">
        <w:rPr>
          <w:rFonts w:ascii="Arial" w:hAnsi="Arial" w:cs="Arial"/>
          <w:b/>
          <w:sz w:val="20"/>
          <w:szCs w:val="20"/>
        </w:rPr>
        <w:t xml:space="preserve"> v Česku podle </w:t>
      </w:r>
      <w:r>
        <w:rPr>
          <w:rFonts w:ascii="Arial" w:hAnsi="Arial" w:cs="Arial"/>
          <w:b/>
          <w:sz w:val="20"/>
          <w:szCs w:val="20"/>
        </w:rPr>
        <w:t>druhu výdajů, zdrojů financování a sektorů provádění</w:t>
      </w:r>
      <w:r w:rsidRPr="00E66D3A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%</w:t>
      </w:r>
      <w:r w:rsidRPr="00E66D3A">
        <w:rPr>
          <w:rFonts w:ascii="Arial" w:hAnsi="Arial" w:cs="Arial"/>
          <w:b/>
          <w:sz w:val="20"/>
          <w:szCs w:val="20"/>
        </w:rPr>
        <w:t>)</w:t>
      </w:r>
    </w:p>
    <w:p w14:paraId="3743390B" w14:textId="77777777" w:rsidR="00563EAB" w:rsidRPr="00C67BA8" w:rsidRDefault="00563EAB" w:rsidP="00563EAB">
      <w:pPr>
        <w:tabs>
          <w:tab w:val="left" w:pos="284"/>
          <w:tab w:val="left" w:pos="3402"/>
          <w:tab w:val="left" w:pos="6521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druhu výdajů </w:t>
      </w:r>
      <w:r w:rsidRPr="00C67BA8">
        <w:rPr>
          <w:rFonts w:ascii="Arial" w:hAnsi="Arial" w:cs="Arial"/>
          <w:b/>
          <w:i/>
          <w:sz w:val="18"/>
          <w:szCs w:val="20"/>
        </w:rPr>
        <w:tab/>
        <w:t xml:space="preserve">b) podle zdrojů financování </w:t>
      </w:r>
      <w:r w:rsidRPr="00C67BA8">
        <w:rPr>
          <w:rFonts w:ascii="Arial" w:hAnsi="Arial" w:cs="Arial"/>
          <w:b/>
          <w:i/>
          <w:sz w:val="18"/>
          <w:szCs w:val="20"/>
        </w:rPr>
        <w:tab/>
        <w:t>c) podle sektorů provádění</w:t>
      </w:r>
    </w:p>
    <w:p w14:paraId="15092219" w14:textId="6B28491A" w:rsidR="00563EAB" w:rsidRDefault="00563EAB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9BA6647" wp14:editId="7F57F92F">
            <wp:extent cx="1944000" cy="216000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44836" w:rsidRPr="00444836">
        <w:rPr>
          <w:noProof/>
          <w:lang w:eastAsia="cs-CZ"/>
        </w:rPr>
        <w:t xml:space="preserve"> </w:t>
      </w:r>
      <w:r w:rsidR="00444836">
        <w:rPr>
          <w:noProof/>
          <w:lang w:eastAsia="cs-CZ"/>
        </w:rPr>
        <w:drawing>
          <wp:inline distT="0" distB="0" distL="0" distR="0" wp14:anchorId="78653FA2" wp14:editId="6CFF884B">
            <wp:extent cx="1980000" cy="2160000"/>
            <wp:effectExtent l="0" t="0" r="127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444836" w:rsidRPr="00444836">
        <w:rPr>
          <w:noProof/>
          <w:lang w:eastAsia="cs-CZ"/>
        </w:rPr>
        <w:t xml:space="preserve"> </w:t>
      </w:r>
      <w:r w:rsidR="00444836">
        <w:rPr>
          <w:noProof/>
          <w:lang w:eastAsia="cs-CZ"/>
        </w:rPr>
        <w:drawing>
          <wp:inline distT="0" distB="0" distL="0" distR="0" wp14:anchorId="7DD295CE" wp14:editId="221C87C7">
            <wp:extent cx="1980000" cy="2160000"/>
            <wp:effectExtent l="0" t="0" r="127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976EF67" w14:textId="77777777" w:rsidR="00444836" w:rsidRDefault="00444836" w:rsidP="00444836">
      <w:pPr>
        <w:spacing w:after="120" w:line="288" w:lineRule="auto"/>
        <w:jc w:val="right"/>
        <w:rPr>
          <w:rFonts w:ascii="Arial" w:hAnsi="Arial" w:cs="Arial"/>
          <w:sz w:val="20"/>
          <w:szCs w:val="20"/>
        </w:rPr>
      </w:pPr>
      <w:r w:rsidRPr="0019141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7AB46D4C" w14:textId="5E714901" w:rsidR="00BA4AA3" w:rsidRDefault="00235F98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Již jsme zmínili, že Česko v roce 2021 dosáhlo hranice 2 % výdajů na VaV na HDP. Přesto Česko v tomto ukazateli zaostává</w:t>
      </w:r>
      <w:r w:rsidR="000C21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průměrem EU, který byl 2,26 %. </w:t>
      </w:r>
      <w:r w:rsidR="00AC03AD">
        <w:rPr>
          <w:rFonts w:ascii="Arial" w:hAnsi="Arial" w:cs="Arial"/>
          <w:sz w:val="20"/>
          <w:szCs w:val="20"/>
        </w:rPr>
        <w:t xml:space="preserve">Česko se v pomyslném žebříčku států EU umístilo na desátém místě, </w:t>
      </w:r>
      <w:r w:rsidR="00BA4AA3">
        <w:rPr>
          <w:rFonts w:ascii="Arial" w:hAnsi="Arial" w:cs="Arial"/>
          <w:sz w:val="20"/>
          <w:szCs w:val="20"/>
        </w:rPr>
        <w:t>o jedno místo za Slovinskem (2,</w:t>
      </w:r>
      <w:r w:rsidR="00AC03AD">
        <w:rPr>
          <w:rFonts w:ascii="Arial" w:hAnsi="Arial" w:cs="Arial"/>
          <w:sz w:val="20"/>
          <w:szCs w:val="20"/>
        </w:rPr>
        <w:t xml:space="preserve">14 % HDP). Ve čtyřech státech EU se vynaložila na VaV dokonce více než 3 % HDP, a to ve Švédsku (3,36 %), Belgii (3,22 %), Rakousku (3,19 %) a Německu (3,13 %). V sousedním Polsku to bylo 1,44 % a na Slovensku 0,93 %. Slovensko patří mezi šest států EU, kde se v roce 2021 vynaložilo na VaV méně než 1 % HDP. </w:t>
      </w:r>
      <w:r w:rsidR="00BA4AA3">
        <w:rPr>
          <w:rFonts w:ascii="Arial" w:hAnsi="Arial" w:cs="Arial"/>
          <w:sz w:val="20"/>
          <w:szCs w:val="20"/>
        </w:rPr>
        <w:t>Světovým lídrem je Izrael, kde se na VaV vynakládá více než 5 % HDP (5,44 % v roce 2020), za nímž následuje Jižní Korea (4,81 % v roce 2020).</w:t>
      </w:r>
    </w:p>
    <w:p w14:paraId="61E6BC01" w14:textId="3B0AA13A" w:rsidR="00444836" w:rsidRDefault="00444836" w:rsidP="00444836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Výzkum a vývoj v Česku se v největší míře provádí ve třech krajích, a to v Praze, v Jihomoravském a Středočeském kraji. Dohromady tyto tři kraje měly v roce 2021 49% podíl pracovišť, 66% podíl pracovníků a dokonce 69% podíl výdajů na VaV na našem území. Jednoznačným lídrem je dlouhodobě Praha, v níž se nachází nejvíce vysokých škol, ústavů Akademie věd i podniků provádějících VaV činnost. V roce 2021 se v Praze na VaV vynaložilo 47,4 mld. Kč. S velkým odstupem následoval Jihomoravský kraj, kde se výzkum výrazně koncentruje do krajského sídla Brna. V Jihomoravském kraji se na VaV v roce 2021 vynaložilo celkem 21,4 mld. Kč, z toho 93 % připadalo na okres Brno-město. V třetím kraji v pořadí, Středočeském, bylo v roce 2021 vynaloženo na VaV 15,7 mld. Kč. Ve Středočeském kraji má výrazné zastoupení podnikový výzkum. Z jednotlivých okresů připadal největší podíl na výdajích na VaV Středočeského kraje na Mladou Boleslav (47</w:t>
      </w:r>
      <w:r w:rsidR="00943C2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%), za níž následovaly okresy Praha-východ (20 %) a Praha-západ (17 %). </w:t>
      </w:r>
    </w:p>
    <w:p w14:paraId="15382307" w14:textId="1FDC1A5A" w:rsidR="00444836" w:rsidRDefault="00444836" w:rsidP="00444836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67BA8">
        <w:rPr>
          <w:rFonts w:ascii="Arial" w:hAnsi="Arial" w:cs="Arial"/>
          <w:b/>
          <w:sz w:val="20"/>
          <w:szCs w:val="20"/>
        </w:rPr>
        <w:t>Kartogram</w:t>
      </w:r>
      <w:r>
        <w:rPr>
          <w:rFonts w:ascii="Arial" w:hAnsi="Arial" w:cs="Arial"/>
          <w:b/>
          <w:sz w:val="20"/>
          <w:szCs w:val="20"/>
        </w:rPr>
        <w:t xml:space="preserve"> 1. Výdaje na výzkum a vývoj podle krajů v roce 2021 (mil. Kč; % HDP)</w:t>
      </w:r>
    </w:p>
    <w:p w14:paraId="59EBA192" w14:textId="09980C77" w:rsidR="00444836" w:rsidRDefault="00444836" w:rsidP="00444836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14F31">
        <w:rPr>
          <w:noProof/>
          <w:lang w:eastAsia="cs-CZ"/>
        </w:rPr>
        <w:drawing>
          <wp:inline distT="0" distB="0" distL="0" distR="0" wp14:anchorId="6DBDCAD5" wp14:editId="251B3D2D">
            <wp:extent cx="5759955" cy="3586480"/>
            <wp:effectExtent l="0" t="0" r="0" b="0"/>
            <wp:docPr id="13" name="Obrázek 13" descr="C:\Users\stampach16510\VTR\web stranky\2021\kartogramy\mapy_podklady\Marek_2022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mpach16510\VTR\web stranky\2021\kartogramy\mapy_podklady\Marek_2022\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9"/>
                    <a:stretch/>
                  </pic:blipFill>
                  <pic:spPr bwMode="auto">
                    <a:xfrm>
                      <a:off x="0" y="0"/>
                      <a:ext cx="5760720" cy="358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22F26B" w14:textId="65EFCDFE" w:rsidR="00444836" w:rsidRPr="00C67BA8" w:rsidRDefault="00444836" w:rsidP="00444836">
      <w:pPr>
        <w:spacing w:after="120"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19141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0AE16BCE" w14:textId="21D7FD32" w:rsidR="00F03185" w:rsidRDefault="00F8647D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u</w:t>
      </w:r>
      <w:r w:rsidR="004737FA">
        <w:rPr>
          <w:rFonts w:ascii="Arial" w:hAnsi="Arial" w:cs="Arial"/>
          <w:sz w:val="20"/>
          <w:szCs w:val="20"/>
        </w:rPr>
        <w:t>kazateli podílu výdajů na VaV na krajském HDP opět vyčnívají tři výše zmiňované regiony, které jako jediné z Česka překonávají hranici 2 %. Ve vedoucím Jihomoravské kraji se dokonce jako jediném regionu Česka vynakládají na VaV více než 3 % tamního HDP, v roce 2021 to bylo 3,18 %. Na druhé příčce byla Praha s 2,83</w:t>
      </w:r>
      <w:r w:rsidR="00793608">
        <w:rPr>
          <w:rFonts w:ascii="Arial" w:hAnsi="Arial" w:cs="Arial"/>
          <w:sz w:val="20"/>
          <w:szCs w:val="20"/>
        </w:rPr>
        <w:t> </w:t>
      </w:r>
      <w:r w:rsidR="004737FA">
        <w:rPr>
          <w:rFonts w:ascii="Arial" w:hAnsi="Arial" w:cs="Arial"/>
          <w:sz w:val="20"/>
          <w:szCs w:val="20"/>
        </w:rPr>
        <w:t xml:space="preserve">% a na třetím Středočeský kraj s 2,28 %. </w:t>
      </w:r>
      <w:r w:rsidR="00EA66BC">
        <w:rPr>
          <w:rFonts w:ascii="Arial" w:hAnsi="Arial" w:cs="Arial"/>
          <w:sz w:val="20"/>
          <w:szCs w:val="20"/>
        </w:rPr>
        <w:t>Více než 1,5 % HDP se vydalo na VaV v Plzeňském, Libereckém, Olomouckém a Pardubickém kraji. Naopak ve čtyřech krajích byl tento podíl nižší</w:t>
      </w:r>
      <w:r>
        <w:rPr>
          <w:rFonts w:ascii="Arial" w:hAnsi="Arial" w:cs="Arial"/>
          <w:sz w:val="20"/>
          <w:szCs w:val="20"/>
        </w:rPr>
        <w:t xml:space="preserve"> než</w:t>
      </w:r>
      <w:r w:rsidR="00EA66BC">
        <w:rPr>
          <w:rFonts w:ascii="Arial" w:hAnsi="Arial" w:cs="Arial"/>
          <w:sz w:val="20"/>
          <w:szCs w:val="20"/>
        </w:rPr>
        <w:t xml:space="preserve"> 1 %, a to v Královéhradeckém kraji, Kraji Vysočina, Ústeckém kraji a Karlovarském kraji.</w:t>
      </w:r>
    </w:p>
    <w:p w14:paraId="7E051970" w14:textId="0E676852" w:rsidR="00EA66BC" w:rsidRDefault="00EA66BC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roce 2021 pracovalo v Česku ve výzkumu</w:t>
      </w:r>
      <w:r w:rsidR="00FF2E67">
        <w:rPr>
          <w:rFonts w:ascii="Arial" w:hAnsi="Arial" w:cs="Arial"/>
          <w:sz w:val="20"/>
          <w:szCs w:val="20"/>
        </w:rPr>
        <w:t xml:space="preserve"> a vývoji</w:t>
      </w:r>
      <w:r>
        <w:rPr>
          <w:rFonts w:ascii="Arial" w:hAnsi="Arial" w:cs="Arial"/>
          <w:sz w:val="20"/>
          <w:szCs w:val="20"/>
        </w:rPr>
        <w:t xml:space="preserve"> 121,6 tis. osob.  </w:t>
      </w:r>
      <w:r w:rsidR="00FF2E67">
        <w:rPr>
          <w:rFonts w:ascii="Arial" w:hAnsi="Arial" w:cs="Arial"/>
          <w:sz w:val="20"/>
          <w:szCs w:val="20"/>
        </w:rPr>
        <w:t xml:space="preserve">V ukazateli osob přepočtených na plný roční úvazek ve VaV to bylo 84, 7 tis. osob (FTE). V Česku tak ve VaV pracuje srovnatelný počet osob jako v sousedním Rakousku, kde to v roce </w:t>
      </w:r>
      <w:r w:rsidR="00432E78">
        <w:rPr>
          <w:rFonts w:ascii="Arial" w:hAnsi="Arial" w:cs="Arial"/>
          <w:sz w:val="20"/>
          <w:szCs w:val="20"/>
        </w:rPr>
        <w:t xml:space="preserve">2021 bylo celkem 87 tis. přepočtených osob (FTE). V celé Evropské </w:t>
      </w:r>
      <w:r w:rsidR="00432E78">
        <w:rPr>
          <w:rFonts w:ascii="Arial" w:hAnsi="Arial" w:cs="Arial"/>
          <w:sz w:val="20"/>
          <w:szCs w:val="20"/>
        </w:rPr>
        <w:lastRenderedPageBreak/>
        <w:t>Unii pracovalo ve VaV více než 3,1 mil. osob (FTE). Téměř čtvrtina z těchto pracovníků (750 tis. osob) byla zaměstnána v Německu. S odstupem na druhém místě za Německem následovala Francie, kde se v roce 2021 přehoupl počet pracovníků ve VaV přes půl milionu osob. V sousedním Polsku pracuje ve VaV přibližně dvojnásobek osob oproti Česku (185 tis. osob v roce 2021), zatímco na Slovensku je to</w:t>
      </w:r>
      <w:r w:rsidR="00F8647D">
        <w:rPr>
          <w:rFonts w:ascii="Arial" w:hAnsi="Arial" w:cs="Arial"/>
          <w:sz w:val="20"/>
          <w:szCs w:val="20"/>
        </w:rPr>
        <w:t xml:space="preserve"> skoro</w:t>
      </w:r>
      <w:r w:rsidR="00432E78">
        <w:rPr>
          <w:rFonts w:ascii="Arial" w:hAnsi="Arial" w:cs="Arial"/>
          <w:sz w:val="20"/>
          <w:szCs w:val="20"/>
        </w:rPr>
        <w:t xml:space="preserve"> čtyřikrát méně (22 tis. osob).</w:t>
      </w:r>
    </w:p>
    <w:p w14:paraId="3E441E4A" w14:textId="1F4B566C" w:rsidR="00444836" w:rsidRDefault="00444836" w:rsidP="00444836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6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Podíl celkových výdajů na VaV (GERD) v zemích EU 27 na HDP</w:t>
      </w:r>
      <w:r w:rsidR="00827195">
        <w:rPr>
          <w:rFonts w:ascii="Arial" w:hAnsi="Arial" w:cs="Arial"/>
          <w:b/>
          <w:sz w:val="20"/>
          <w:szCs w:val="20"/>
        </w:rPr>
        <w:t xml:space="preserve"> v roce 2021</w:t>
      </w:r>
      <w:r>
        <w:rPr>
          <w:rFonts w:ascii="Arial" w:hAnsi="Arial" w:cs="Arial"/>
          <w:b/>
          <w:sz w:val="20"/>
          <w:szCs w:val="20"/>
        </w:rPr>
        <w:t xml:space="preserve"> (%)</w:t>
      </w:r>
    </w:p>
    <w:p w14:paraId="3BDD36B8" w14:textId="30890BCF" w:rsidR="00827195" w:rsidRPr="00C47270" w:rsidRDefault="00827195" w:rsidP="00827195">
      <w:pPr>
        <w:spacing w:after="120" w:line="288" w:lineRule="auto"/>
        <w:jc w:val="right"/>
        <w:rPr>
          <w:rFonts w:ascii="Arial" w:hAnsi="Arial" w:cs="Arial"/>
          <w:sz w:val="18"/>
          <w:szCs w:val="20"/>
        </w:rPr>
      </w:pPr>
      <w:r>
        <w:rPr>
          <w:noProof/>
          <w:lang w:eastAsia="cs-CZ"/>
        </w:rPr>
        <w:drawing>
          <wp:inline distT="0" distB="0" distL="0" distR="0" wp14:anchorId="3733CADC" wp14:editId="1A77356F">
            <wp:extent cx="6083935" cy="3095625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827195">
        <w:rPr>
          <w:rFonts w:ascii="Arial" w:hAnsi="Arial" w:cs="Arial"/>
          <w:sz w:val="18"/>
          <w:szCs w:val="20"/>
        </w:rPr>
        <w:t xml:space="preserve"> </w:t>
      </w:r>
      <w:r w:rsidRPr="00827195">
        <w:rPr>
          <w:rFonts w:ascii="Arial" w:hAnsi="Arial" w:cs="Arial"/>
          <w:i/>
          <w:sz w:val="18"/>
          <w:szCs w:val="20"/>
        </w:rPr>
        <w:t>Zdroj: Eurostat</w:t>
      </w:r>
    </w:p>
    <w:p w14:paraId="21AEE573" w14:textId="1496CB4F" w:rsidR="00E4325B" w:rsidRDefault="00C64647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Česko má dlouhodobě nízké zastoupení žen ve VaV ve srovnání s ostatními státy EU. Česko s 29% podílem žen patří mezi 5 států EU, kde je podíl žen ve VaV nižší než 30 %. </w:t>
      </w:r>
      <w:r w:rsidR="00060E77">
        <w:rPr>
          <w:rFonts w:ascii="Arial" w:hAnsi="Arial" w:cs="Arial"/>
          <w:sz w:val="20"/>
          <w:szCs w:val="20"/>
        </w:rPr>
        <w:t xml:space="preserve">Do této skupiny států patří </w:t>
      </w:r>
      <w:r w:rsidR="00F8647D">
        <w:rPr>
          <w:rFonts w:ascii="Arial" w:hAnsi="Arial" w:cs="Arial"/>
          <w:sz w:val="20"/>
          <w:szCs w:val="20"/>
        </w:rPr>
        <w:t xml:space="preserve">také </w:t>
      </w:r>
      <w:r w:rsidR="00060E77">
        <w:rPr>
          <w:rFonts w:ascii="Arial" w:hAnsi="Arial" w:cs="Arial"/>
          <w:sz w:val="20"/>
          <w:szCs w:val="20"/>
        </w:rPr>
        <w:t>naši sousedé z Německa a Rakouska. V devíti státech EU je zastoupení žen me</w:t>
      </w:r>
      <w:r w:rsidR="00F8647D">
        <w:rPr>
          <w:rFonts w:ascii="Arial" w:hAnsi="Arial" w:cs="Arial"/>
          <w:sz w:val="20"/>
          <w:szCs w:val="20"/>
        </w:rPr>
        <w:t>zi pracovníky ve VaV vyšší než 4</w:t>
      </w:r>
      <w:r w:rsidR="00060E77">
        <w:rPr>
          <w:rFonts w:ascii="Arial" w:hAnsi="Arial" w:cs="Arial"/>
          <w:sz w:val="20"/>
          <w:szCs w:val="20"/>
        </w:rPr>
        <w:t xml:space="preserve">0 %, v případě Lotyšska dokonce více než 50 %. </w:t>
      </w:r>
      <w:r w:rsidR="00F8647D">
        <w:rPr>
          <w:rFonts w:ascii="Arial" w:hAnsi="Arial" w:cs="Arial"/>
          <w:sz w:val="20"/>
          <w:szCs w:val="20"/>
        </w:rPr>
        <w:t>V ukazateli</w:t>
      </w:r>
      <w:r w:rsidR="006268B9">
        <w:rPr>
          <w:rFonts w:ascii="Arial" w:hAnsi="Arial" w:cs="Arial"/>
          <w:sz w:val="20"/>
          <w:szCs w:val="20"/>
        </w:rPr>
        <w:t xml:space="preserve"> podílu pracovníků VaV (FTE) na celkové populaci se Česko řadí mezi nadprůměrné státy EU. Průměr EU v roce 2021 činil 7 osob ve VaV (FTE) na 1</w:t>
      </w:r>
      <w:r w:rsidR="00F8647D">
        <w:rPr>
          <w:rFonts w:ascii="Arial" w:hAnsi="Arial" w:cs="Arial"/>
          <w:sz w:val="20"/>
          <w:szCs w:val="20"/>
        </w:rPr>
        <w:t xml:space="preserve"> </w:t>
      </w:r>
      <w:r w:rsidR="006268B9">
        <w:rPr>
          <w:rFonts w:ascii="Arial" w:hAnsi="Arial" w:cs="Arial"/>
          <w:sz w:val="20"/>
          <w:szCs w:val="20"/>
        </w:rPr>
        <w:t>000 obyvatel.</w:t>
      </w:r>
      <w:r w:rsidR="006A28C1">
        <w:rPr>
          <w:rFonts w:ascii="Arial" w:hAnsi="Arial" w:cs="Arial"/>
          <w:sz w:val="20"/>
          <w:szCs w:val="20"/>
        </w:rPr>
        <w:t xml:space="preserve"> V Česku pracovalo ve VaV 8,1 osob na</w:t>
      </w:r>
      <w:r w:rsidR="00F8647D">
        <w:rPr>
          <w:rFonts w:ascii="Arial" w:hAnsi="Arial" w:cs="Arial"/>
          <w:sz w:val="20"/>
          <w:szCs w:val="20"/>
        </w:rPr>
        <w:t xml:space="preserve"> 1 000</w:t>
      </w:r>
      <w:r w:rsidR="006A28C1">
        <w:rPr>
          <w:rFonts w:ascii="Arial" w:hAnsi="Arial" w:cs="Arial"/>
          <w:sz w:val="20"/>
          <w:szCs w:val="20"/>
        </w:rPr>
        <w:t xml:space="preserve"> obyvatel, což znamená desáté místo v EU. Čtyři státy v tomto ukazateli překonávají hranici 10 pracovníků ve VaV na 1</w:t>
      </w:r>
      <w:r w:rsidR="00F8647D">
        <w:rPr>
          <w:rFonts w:ascii="Arial" w:hAnsi="Arial" w:cs="Arial"/>
          <w:sz w:val="20"/>
          <w:szCs w:val="20"/>
        </w:rPr>
        <w:t xml:space="preserve"> </w:t>
      </w:r>
      <w:r w:rsidR="006A28C1">
        <w:rPr>
          <w:rFonts w:ascii="Arial" w:hAnsi="Arial" w:cs="Arial"/>
          <w:sz w:val="20"/>
          <w:szCs w:val="20"/>
        </w:rPr>
        <w:t>000 obyvatel. Ve Švédsku je to jako jediném státu EU dokonce více než 11 pracovníků ve VaV na 1</w:t>
      </w:r>
      <w:r w:rsidR="00F8647D">
        <w:rPr>
          <w:rFonts w:ascii="Arial" w:hAnsi="Arial" w:cs="Arial"/>
          <w:sz w:val="20"/>
          <w:szCs w:val="20"/>
        </w:rPr>
        <w:t xml:space="preserve"> </w:t>
      </w:r>
      <w:r w:rsidR="006A28C1">
        <w:rPr>
          <w:rFonts w:ascii="Arial" w:hAnsi="Arial" w:cs="Arial"/>
          <w:sz w:val="20"/>
          <w:szCs w:val="20"/>
        </w:rPr>
        <w:t>000 obyvatel.</w:t>
      </w:r>
    </w:p>
    <w:p w14:paraId="6006287B" w14:textId="77777777" w:rsidR="00827195" w:rsidRPr="00E66D3A" w:rsidRDefault="00827195" w:rsidP="00827195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7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 w:rsidRPr="00786824">
        <w:rPr>
          <w:rFonts w:ascii="Arial" w:hAnsi="Arial" w:cs="Arial"/>
          <w:b/>
          <w:sz w:val="20"/>
          <w:szCs w:val="20"/>
        </w:rPr>
        <w:t>Prac</w:t>
      </w:r>
      <w:r>
        <w:rPr>
          <w:rFonts w:ascii="Arial" w:hAnsi="Arial" w:cs="Arial"/>
          <w:b/>
          <w:sz w:val="20"/>
          <w:szCs w:val="20"/>
        </w:rPr>
        <w:t xml:space="preserve">ovníci </w:t>
      </w:r>
      <w:r w:rsidRPr="00786824">
        <w:rPr>
          <w:rFonts w:ascii="Arial" w:hAnsi="Arial" w:cs="Arial"/>
          <w:b/>
          <w:sz w:val="20"/>
          <w:szCs w:val="20"/>
        </w:rPr>
        <w:t>ve VaV v Česku (FTE</w:t>
      </w:r>
      <w:r>
        <w:rPr>
          <w:rFonts w:ascii="Arial" w:hAnsi="Arial" w:cs="Arial"/>
          <w:b/>
          <w:sz w:val="20"/>
          <w:szCs w:val="20"/>
        </w:rPr>
        <w:t>)*</w:t>
      </w:r>
      <w:r w:rsidRPr="00786824">
        <w:rPr>
          <w:rFonts w:ascii="Arial" w:hAnsi="Arial" w:cs="Arial"/>
          <w:b/>
          <w:sz w:val="20"/>
          <w:szCs w:val="20"/>
        </w:rPr>
        <w:t xml:space="preserve"> podle pohlaví, sektorů provádění a vědních oblastí (%)</w:t>
      </w:r>
    </w:p>
    <w:p w14:paraId="674BEF8A" w14:textId="77777777" w:rsidR="00827195" w:rsidRPr="00C67BA8" w:rsidRDefault="00827195" w:rsidP="00827195">
      <w:pPr>
        <w:tabs>
          <w:tab w:val="left" w:pos="284"/>
          <w:tab w:val="left" w:pos="3119"/>
          <w:tab w:val="left" w:pos="6237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</w:t>
      </w:r>
      <w:r>
        <w:rPr>
          <w:rFonts w:ascii="Arial" w:hAnsi="Arial" w:cs="Arial"/>
          <w:b/>
          <w:i/>
          <w:sz w:val="18"/>
          <w:szCs w:val="20"/>
        </w:rPr>
        <w:t>pohlaví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  <w:t xml:space="preserve">b) podle </w:t>
      </w:r>
      <w:r>
        <w:rPr>
          <w:rFonts w:ascii="Arial" w:hAnsi="Arial" w:cs="Arial"/>
          <w:b/>
          <w:i/>
          <w:sz w:val="18"/>
          <w:szCs w:val="20"/>
        </w:rPr>
        <w:t>sektorů provádění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  <w:t xml:space="preserve">c) podle </w:t>
      </w:r>
      <w:r>
        <w:rPr>
          <w:rFonts w:ascii="Arial" w:hAnsi="Arial" w:cs="Arial"/>
          <w:b/>
          <w:i/>
          <w:sz w:val="18"/>
          <w:szCs w:val="20"/>
        </w:rPr>
        <w:t>vědních oblastí</w:t>
      </w:r>
    </w:p>
    <w:p w14:paraId="780257A2" w14:textId="11076C9C" w:rsidR="00827195" w:rsidRDefault="00827195" w:rsidP="001A67C4">
      <w:pPr>
        <w:spacing w:after="120" w:line="288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8BD5EBE" wp14:editId="3B91B1BD">
            <wp:extent cx="1764000" cy="2340000"/>
            <wp:effectExtent l="0" t="0" r="8255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827195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2155BE7" wp14:editId="5F5C6E55">
            <wp:extent cx="1980000" cy="2340000"/>
            <wp:effectExtent l="0" t="0" r="127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827195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2EE35CA" wp14:editId="7801A870">
            <wp:extent cx="2174875" cy="2340000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4DE4AE7" w14:textId="4704B3EC" w:rsidR="00827195" w:rsidRPr="00827195" w:rsidRDefault="00827195" w:rsidP="00827195">
      <w:pPr>
        <w:spacing w:after="120"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19141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2AA8219A" w14:textId="048BCF91" w:rsidR="003218DA" w:rsidRPr="00456552" w:rsidRDefault="003218DA" w:rsidP="005B7472">
      <w:pPr>
        <w:pageBreakBefore/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lastRenderedPageBreak/>
        <w:t>Výzkum a vývoj v podnikatelském sektoru</w:t>
      </w:r>
    </w:p>
    <w:p w14:paraId="09D21A32" w14:textId="2490FF0B" w:rsidR="00246BC9" w:rsidRDefault="00603C8C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podnicích bylo v roce 2021 na VaV vynaloženo celkem 76,6 mld. Kč. </w:t>
      </w:r>
      <w:r w:rsidR="00BB12CA">
        <w:rPr>
          <w:rFonts w:ascii="Arial" w:hAnsi="Arial" w:cs="Arial"/>
          <w:sz w:val="20"/>
          <w:szCs w:val="20"/>
        </w:rPr>
        <w:t>Oproti předchozímu roku došlo k výraznému 11%</w:t>
      </w:r>
      <w:r w:rsidR="00F8647D">
        <w:rPr>
          <w:rFonts w:ascii="Arial" w:hAnsi="Arial" w:cs="Arial"/>
          <w:sz w:val="20"/>
          <w:szCs w:val="20"/>
        </w:rPr>
        <w:t xml:space="preserve"> meziročnímu</w:t>
      </w:r>
      <w:r w:rsidR="00BB12CA">
        <w:rPr>
          <w:rFonts w:ascii="Arial" w:hAnsi="Arial" w:cs="Arial"/>
          <w:sz w:val="20"/>
          <w:szCs w:val="20"/>
        </w:rPr>
        <w:t xml:space="preserve"> nárůstu. </w:t>
      </w:r>
      <w:r w:rsidR="00E4325B">
        <w:rPr>
          <w:rFonts w:ascii="Arial" w:hAnsi="Arial" w:cs="Arial"/>
          <w:sz w:val="20"/>
          <w:szCs w:val="20"/>
        </w:rPr>
        <w:t xml:space="preserve">Obdobně jako ve většině států EU, i v Česku </w:t>
      </w:r>
      <w:r w:rsidR="00BB12CA">
        <w:rPr>
          <w:rFonts w:ascii="Arial" w:hAnsi="Arial" w:cs="Arial"/>
          <w:sz w:val="20"/>
          <w:szCs w:val="20"/>
        </w:rPr>
        <w:t>jsou podniky</w:t>
      </w:r>
      <w:r w:rsidR="00E4325B">
        <w:rPr>
          <w:rFonts w:ascii="Arial" w:hAnsi="Arial" w:cs="Arial"/>
          <w:sz w:val="20"/>
          <w:szCs w:val="20"/>
        </w:rPr>
        <w:t xml:space="preserve"> nejdůležitějším sektorem provádění VaV. </w:t>
      </w:r>
      <w:r w:rsidR="00CD6079">
        <w:rPr>
          <w:rFonts w:ascii="Arial" w:hAnsi="Arial" w:cs="Arial"/>
          <w:sz w:val="20"/>
          <w:szCs w:val="20"/>
        </w:rPr>
        <w:t>Význam podnikového výzkumu u nás při</w:t>
      </w:r>
      <w:r w:rsidR="00F8647D">
        <w:rPr>
          <w:rFonts w:ascii="Arial" w:hAnsi="Arial" w:cs="Arial"/>
          <w:sz w:val="20"/>
          <w:szCs w:val="20"/>
        </w:rPr>
        <w:t>tom stále narůstá. Podíl podnikatelsk</w:t>
      </w:r>
      <w:r w:rsidR="00CD6079">
        <w:rPr>
          <w:rFonts w:ascii="Arial" w:hAnsi="Arial" w:cs="Arial"/>
          <w:sz w:val="20"/>
          <w:szCs w:val="20"/>
        </w:rPr>
        <w:t xml:space="preserve">ého sektoru na celkových výdajích na VaV byl </w:t>
      </w:r>
      <w:r>
        <w:rPr>
          <w:rFonts w:ascii="Arial" w:hAnsi="Arial" w:cs="Arial"/>
          <w:sz w:val="20"/>
          <w:szCs w:val="20"/>
        </w:rPr>
        <w:t xml:space="preserve">v roce 2021 </w:t>
      </w:r>
      <w:r w:rsidR="00CD6079">
        <w:rPr>
          <w:rFonts w:ascii="Arial" w:hAnsi="Arial" w:cs="Arial"/>
          <w:sz w:val="20"/>
          <w:szCs w:val="20"/>
        </w:rPr>
        <w:t>již 63 %.</w:t>
      </w:r>
      <w:r>
        <w:rPr>
          <w:rFonts w:ascii="Arial" w:hAnsi="Arial" w:cs="Arial"/>
          <w:sz w:val="20"/>
          <w:szCs w:val="20"/>
        </w:rPr>
        <w:t xml:space="preserve"> Česko je i přes zmíněný nárůst významu podnikového výzkumu stále pod průměrem EU. Na celkových výdajích na VaV EU zaujímají podniky 66% podíl. Ve čtyřech státech EU je podíl podniků vyšší než 70 %. V sousedním Německu byl podíl podniků 67 % a v Rakousku dokonce 70 %. Shodný podíl podnikatelského sektoru (63 %) jako v Česku, byl v roce 2021 v Polsku.</w:t>
      </w:r>
      <w:r w:rsidR="00BB12CA">
        <w:rPr>
          <w:rFonts w:ascii="Arial" w:hAnsi="Arial" w:cs="Arial"/>
          <w:sz w:val="20"/>
          <w:szCs w:val="20"/>
        </w:rPr>
        <w:t xml:space="preserve"> Nižší (56 %) je tento podíl na Slovensku.</w:t>
      </w:r>
    </w:p>
    <w:p w14:paraId="39403E47" w14:textId="77777777" w:rsidR="004C103D" w:rsidRDefault="004C103D" w:rsidP="004C103D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53397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8</w:t>
      </w:r>
      <w:r w:rsidRPr="0025339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Výzkum a vývoj v podnikatelském sektoru v Česku – základní ukazatele</w:t>
      </w:r>
    </w:p>
    <w:p w14:paraId="0E8CBC67" w14:textId="74593456" w:rsidR="004C103D" w:rsidRDefault="004C103D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02FF8E7A" wp14:editId="03EFCB42">
            <wp:extent cx="6120000" cy="3240000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D39BAB6" w14:textId="0B580CDC" w:rsidR="004C103D" w:rsidRPr="004C103D" w:rsidRDefault="004C103D" w:rsidP="004C103D">
      <w:pPr>
        <w:spacing w:after="120"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19141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696F4E36" w14:textId="51AA767C" w:rsidR="00BB12CA" w:rsidRDefault="00F8647D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</w:t>
      </w:r>
      <w:r w:rsidR="00BB12CA">
        <w:rPr>
          <w:rFonts w:ascii="Arial" w:hAnsi="Arial" w:cs="Arial"/>
          <w:sz w:val="20"/>
          <w:szCs w:val="20"/>
        </w:rPr>
        <w:t>výdajů na VaV v podnikatelském sektoru přesahuje od roku 2013 v Česku 1</w:t>
      </w:r>
      <w:r>
        <w:rPr>
          <w:rFonts w:ascii="Arial" w:hAnsi="Arial" w:cs="Arial"/>
          <w:sz w:val="20"/>
          <w:szCs w:val="20"/>
        </w:rPr>
        <w:t xml:space="preserve"> </w:t>
      </w:r>
      <w:r w:rsidR="00BB12CA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HDP</w:t>
      </w:r>
      <w:r w:rsidR="004C103D">
        <w:rPr>
          <w:rFonts w:ascii="Arial" w:hAnsi="Arial" w:cs="Arial"/>
          <w:sz w:val="20"/>
          <w:szCs w:val="20"/>
        </w:rPr>
        <w:t>. V roce 2020 byla</w:t>
      </w:r>
      <w:r w:rsidR="00BB12CA">
        <w:rPr>
          <w:rFonts w:ascii="Arial" w:hAnsi="Arial" w:cs="Arial"/>
          <w:sz w:val="20"/>
          <w:szCs w:val="20"/>
        </w:rPr>
        <w:t xml:space="preserve"> poprvé překročen</w:t>
      </w:r>
      <w:r w:rsidR="004C103D">
        <w:rPr>
          <w:rFonts w:ascii="Arial" w:hAnsi="Arial" w:cs="Arial"/>
          <w:sz w:val="20"/>
          <w:szCs w:val="20"/>
        </w:rPr>
        <w:t>a</w:t>
      </w:r>
      <w:r w:rsidR="00BB12CA">
        <w:rPr>
          <w:rFonts w:ascii="Arial" w:hAnsi="Arial" w:cs="Arial"/>
          <w:sz w:val="20"/>
          <w:szCs w:val="20"/>
        </w:rPr>
        <w:t xml:space="preserve"> hranice 1,2 % HDP. V roce 2021 </w:t>
      </w:r>
      <w:r w:rsidR="009015C5">
        <w:rPr>
          <w:rFonts w:ascii="Arial" w:hAnsi="Arial" w:cs="Arial"/>
          <w:sz w:val="20"/>
          <w:szCs w:val="20"/>
        </w:rPr>
        <w:t>byl tento podíl rekordních 1,25 %. Stále však zaostáváme za průměrem EU, který se pohybuje okolo 1,5 % HDP. V pěti státech EU, včetně Německa a Rakouska, byl podíl výdajů na VaV v podnikatelském sektoru vyšší než 2 % HDP.</w:t>
      </w:r>
    </w:p>
    <w:p w14:paraId="5AED6B2E" w14:textId="0EAA687C" w:rsidR="009015C5" w:rsidRDefault="00604527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Podnikový výzkum v Česku je financován především z vlastních zdrojů podniků. Podnikové zdroje se v roce 2021 podílely na financování podnikové výzkumu z 91 %. Druhým nejdůležitějším zdrojem financování VaV v podnicích jsou veřejné domácí zdroje. Poslední čtyři</w:t>
      </w:r>
      <w:r w:rsidR="00F8647D">
        <w:rPr>
          <w:rFonts w:ascii="Arial" w:hAnsi="Arial" w:cs="Arial"/>
          <w:sz w:val="20"/>
          <w:szCs w:val="20"/>
        </w:rPr>
        <w:t xml:space="preserve"> roky</w:t>
      </w:r>
      <w:r>
        <w:rPr>
          <w:rFonts w:ascii="Arial" w:hAnsi="Arial" w:cs="Arial"/>
          <w:sz w:val="20"/>
          <w:szCs w:val="20"/>
        </w:rPr>
        <w:t xml:space="preserve"> podporuje český stát podnikový výzkum každoročně částkou okolo 4,5 mld. Kč. V roce 2021 to znamenalo 6% podíl na celkových výdajích podnikatelského sektoru. </w:t>
      </w:r>
      <w:r w:rsidR="005F3CB8">
        <w:rPr>
          <w:rFonts w:ascii="Arial" w:hAnsi="Arial" w:cs="Arial"/>
          <w:sz w:val="20"/>
          <w:szCs w:val="20"/>
        </w:rPr>
        <w:t>Veřejnou domácí podporu čerpalo v roce 2021 přibližně 1 000 podniků, z toho 863 bylo soukromých domácích podniků. Čtyřicet procent ze soukromých domácích podniků provádějících v roce 2021 na území Česka VaV čerpalo veřejnou domácí podporu. V případě zahraničních podniků, jich tuto formu podpory čerpalo pouze 20 % z nich. I v celkových vynaložených částkách je patrné, že veřejná domácí podpora směřovala především na V</w:t>
      </w:r>
      <w:r w:rsidR="00FE4F5B">
        <w:rPr>
          <w:rFonts w:ascii="Arial" w:hAnsi="Arial" w:cs="Arial"/>
          <w:sz w:val="20"/>
          <w:szCs w:val="20"/>
        </w:rPr>
        <w:t>aV v soukromých domácích podnicích</w:t>
      </w:r>
      <w:r w:rsidR="005F3CB8">
        <w:rPr>
          <w:rFonts w:ascii="Arial" w:hAnsi="Arial" w:cs="Arial"/>
          <w:sz w:val="20"/>
          <w:szCs w:val="20"/>
        </w:rPr>
        <w:t xml:space="preserve">. Ty si z pomyslného koláče ukrojily ¾. V rámci soukromých domácích podniků byly nejvíce podpořeny malé a střední podniky. Ty v roce 2021 čerpaly 2,8 mld. Kč, 61 % celkové veřejné domácí </w:t>
      </w:r>
      <w:r w:rsidR="00E92037">
        <w:rPr>
          <w:rFonts w:ascii="Arial" w:hAnsi="Arial" w:cs="Arial"/>
          <w:sz w:val="20"/>
          <w:szCs w:val="20"/>
        </w:rPr>
        <w:t>podpory. Oproti tomu zahraniční podniky čerpaly domá</w:t>
      </w:r>
      <w:r w:rsidR="00FE4F5B">
        <w:rPr>
          <w:rFonts w:ascii="Arial" w:hAnsi="Arial" w:cs="Arial"/>
          <w:sz w:val="20"/>
          <w:szCs w:val="20"/>
        </w:rPr>
        <w:t>cí podporu ve výši 0,5 mld. Kč, z níž téměř 0,3 mld. Kč připadalo</w:t>
      </w:r>
      <w:r w:rsidR="00E92037">
        <w:rPr>
          <w:rFonts w:ascii="Arial" w:hAnsi="Arial" w:cs="Arial"/>
          <w:sz w:val="20"/>
          <w:szCs w:val="20"/>
        </w:rPr>
        <w:t xml:space="preserve"> na velké podniky.</w:t>
      </w:r>
    </w:p>
    <w:p w14:paraId="28E73D3C" w14:textId="1BDC63C4" w:rsidR="00E92037" w:rsidRDefault="00E92037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financování podnikového výzkumu se podílí nezanedbatelnou částkou i veřejné zahraniční zdroje. Především se jedná o dotace E</w:t>
      </w:r>
      <w:r w:rsidR="00C7567B">
        <w:rPr>
          <w:rFonts w:ascii="Arial" w:hAnsi="Arial" w:cs="Arial"/>
          <w:sz w:val="20"/>
          <w:szCs w:val="20"/>
        </w:rPr>
        <w:t xml:space="preserve">vropské Unie. V roce 2021 čerpaly podniky podporu z veřejných zahraničních zdrojů ve výši 2,5 mld. Kč, což tvořilo 3 % výdajů na VaV podnikatelského sektoru. Podporu z veřejných zdrojů </w:t>
      </w:r>
      <w:r w:rsidR="00C7567B">
        <w:rPr>
          <w:rFonts w:ascii="Arial" w:hAnsi="Arial" w:cs="Arial"/>
          <w:sz w:val="20"/>
          <w:szCs w:val="20"/>
        </w:rPr>
        <w:lastRenderedPageBreak/>
        <w:t xml:space="preserve">využily taktéž především domácí podniky. Z přibližně 500 podniků, které tuto formu podpory využily, bylo témě 90 % soukromých domácích podniků. Tyto podniky čerpaly v roce 2021 </w:t>
      </w:r>
      <w:r w:rsidR="00824EC9">
        <w:rPr>
          <w:rFonts w:ascii="Arial" w:hAnsi="Arial" w:cs="Arial"/>
          <w:sz w:val="20"/>
          <w:szCs w:val="20"/>
        </w:rPr>
        <w:t>celkem 2,1 mld. Kč.</w:t>
      </w:r>
    </w:p>
    <w:p w14:paraId="3775BB91" w14:textId="5202A094" w:rsidR="004C103D" w:rsidRPr="00253397" w:rsidRDefault="004C103D" w:rsidP="004C103D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53397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9</w:t>
      </w:r>
      <w:r w:rsidRPr="0025339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Podniky provádějící v Česku výzkum a vývoj v</w:t>
      </w:r>
      <w:r w:rsidRPr="00253397">
        <w:rPr>
          <w:rFonts w:ascii="Arial" w:hAnsi="Arial" w:cs="Arial"/>
          <w:b/>
          <w:sz w:val="20"/>
          <w:szCs w:val="20"/>
        </w:rPr>
        <w:t xml:space="preserve"> roce 202</w:t>
      </w:r>
      <w:r>
        <w:rPr>
          <w:rFonts w:ascii="Arial" w:hAnsi="Arial" w:cs="Arial"/>
          <w:b/>
          <w:sz w:val="20"/>
          <w:szCs w:val="20"/>
        </w:rPr>
        <w:t>1</w:t>
      </w:r>
    </w:p>
    <w:p w14:paraId="3AA98B02" w14:textId="49D74174" w:rsidR="004C103D" w:rsidRDefault="004C103D" w:rsidP="004C103D">
      <w:pPr>
        <w:tabs>
          <w:tab w:val="left" w:pos="0"/>
          <w:tab w:val="left" w:pos="3402"/>
          <w:tab w:val="left" w:pos="6379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253397">
        <w:rPr>
          <w:rFonts w:ascii="Arial" w:hAnsi="Arial" w:cs="Arial"/>
          <w:b/>
          <w:i/>
          <w:sz w:val="18"/>
          <w:szCs w:val="20"/>
        </w:rPr>
        <w:t xml:space="preserve">a) podle </w:t>
      </w:r>
      <w:r>
        <w:rPr>
          <w:rFonts w:ascii="Arial" w:hAnsi="Arial" w:cs="Arial"/>
          <w:b/>
          <w:i/>
          <w:sz w:val="18"/>
          <w:szCs w:val="20"/>
        </w:rPr>
        <w:t xml:space="preserve">výše výdajů na </w:t>
      </w:r>
      <w:r w:rsidRPr="00253397">
        <w:rPr>
          <w:rFonts w:ascii="Arial" w:hAnsi="Arial" w:cs="Arial"/>
          <w:b/>
          <w:i/>
          <w:sz w:val="18"/>
          <w:szCs w:val="20"/>
        </w:rPr>
        <w:t>VaV (</w:t>
      </w:r>
      <w:r>
        <w:rPr>
          <w:rFonts w:ascii="Arial" w:hAnsi="Arial" w:cs="Arial"/>
          <w:b/>
          <w:i/>
          <w:sz w:val="18"/>
          <w:szCs w:val="20"/>
        </w:rPr>
        <w:t>mil. Kč</w:t>
      </w:r>
      <w:r w:rsidRPr="00253397">
        <w:rPr>
          <w:rFonts w:ascii="Arial" w:hAnsi="Arial" w:cs="Arial"/>
          <w:b/>
          <w:i/>
          <w:sz w:val="18"/>
          <w:szCs w:val="20"/>
        </w:rPr>
        <w:t xml:space="preserve">) </w:t>
      </w:r>
      <w:r w:rsidRPr="00253397">
        <w:rPr>
          <w:rFonts w:ascii="Arial" w:hAnsi="Arial" w:cs="Arial"/>
          <w:b/>
          <w:i/>
          <w:sz w:val="18"/>
          <w:szCs w:val="20"/>
        </w:rPr>
        <w:tab/>
        <w:t xml:space="preserve">b) podle </w:t>
      </w:r>
      <w:r>
        <w:rPr>
          <w:rFonts w:ascii="Arial" w:hAnsi="Arial" w:cs="Arial"/>
          <w:b/>
          <w:i/>
          <w:sz w:val="18"/>
          <w:szCs w:val="20"/>
        </w:rPr>
        <w:t>vlastnictví podniků</w:t>
      </w:r>
      <w:r w:rsidRPr="00253397">
        <w:rPr>
          <w:rFonts w:ascii="Arial" w:hAnsi="Arial" w:cs="Arial"/>
          <w:b/>
          <w:i/>
          <w:sz w:val="18"/>
          <w:szCs w:val="20"/>
        </w:rPr>
        <w:t xml:space="preserve"> </w:t>
      </w:r>
      <w:r w:rsidRPr="00253397">
        <w:rPr>
          <w:rFonts w:ascii="Arial" w:hAnsi="Arial" w:cs="Arial"/>
          <w:b/>
          <w:i/>
          <w:sz w:val="18"/>
          <w:szCs w:val="20"/>
        </w:rPr>
        <w:tab/>
        <w:t xml:space="preserve">c) podle </w:t>
      </w:r>
      <w:r>
        <w:rPr>
          <w:rFonts w:ascii="Arial" w:hAnsi="Arial" w:cs="Arial"/>
          <w:b/>
          <w:i/>
          <w:sz w:val="18"/>
          <w:szCs w:val="20"/>
        </w:rPr>
        <w:t>odvětvových sekcí CZ-NACE</w:t>
      </w:r>
    </w:p>
    <w:p w14:paraId="61F6EA5C" w14:textId="39875C4D" w:rsidR="004C103D" w:rsidRDefault="004C103D" w:rsidP="004C103D">
      <w:pPr>
        <w:tabs>
          <w:tab w:val="left" w:pos="0"/>
          <w:tab w:val="left" w:pos="3402"/>
          <w:tab w:val="left" w:pos="6379"/>
        </w:tabs>
        <w:spacing w:after="0" w:line="288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20220BC" wp14:editId="23B167E6">
            <wp:extent cx="2087880" cy="2602230"/>
            <wp:effectExtent l="0" t="0" r="7620" b="762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4C103D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3A5715B" wp14:editId="367AA924">
            <wp:extent cx="1800000" cy="2602230"/>
            <wp:effectExtent l="0" t="0" r="0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4C103D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1DF58E0" wp14:editId="7B1D427F">
            <wp:extent cx="2160000" cy="2602230"/>
            <wp:effectExtent l="0" t="0" r="0" b="762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029B3BE" w14:textId="77777777" w:rsidR="00ED69BE" w:rsidRPr="004C103D" w:rsidRDefault="00ED69BE" w:rsidP="00ED69BE">
      <w:pPr>
        <w:spacing w:after="120"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19141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70EC1703" w14:textId="0E71D1C6" w:rsidR="00824EC9" w:rsidRDefault="00824EC9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Výzkum a vývoj provádělo v roce 2021 v Česku 2 802 podniků. Z tohoto počtu bylo 2 149 soukromých domácích podniků (77 % podniků provádějících VaV), 596 soukromých podniků pod zahraniční kontrolou (21</w:t>
      </w:r>
      <w:r w:rsidR="0079063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%) a 57 veřejných podniků. Pokud jde však o celkové vynaložené prostředky na VaV činnost, jsou jednoznačně nejvýznamnějším typem podniků firmy pod zahraniční kontrolou. Jejich podíl na výdajích na VaV podniků přesahuje dlouhodobě více než 60 %, v roce 2021 to bylo 63 %. Celkové výdaje na VaV zahraničních podniků byly v roce 2021 48, 1 mld. Kč.</w:t>
      </w:r>
      <w:r w:rsidR="00360FDA">
        <w:rPr>
          <w:rFonts w:ascii="Arial" w:hAnsi="Arial" w:cs="Arial"/>
          <w:sz w:val="20"/>
          <w:szCs w:val="20"/>
        </w:rPr>
        <w:t xml:space="preserve"> Výše prostředků vynakládá v těchto podnicích na VaV se od roku 2010 zvýšila více než trojnásobně. V roce 2010 vynaložily soukromé zahraniční podniky na VaV celkem 15</w:t>
      </w:r>
      <w:r w:rsidR="0079063D">
        <w:rPr>
          <w:rFonts w:ascii="Arial" w:hAnsi="Arial" w:cs="Arial"/>
          <w:sz w:val="20"/>
          <w:szCs w:val="20"/>
        </w:rPr>
        <w:t> </w:t>
      </w:r>
      <w:r w:rsidR="00360FDA">
        <w:rPr>
          <w:rFonts w:ascii="Arial" w:hAnsi="Arial" w:cs="Arial"/>
          <w:sz w:val="20"/>
          <w:szCs w:val="20"/>
        </w:rPr>
        <w:t xml:space="preserve">mld. Kč což tvořilo 28 % celkových výdajů na VaV, roce 2021 tyto podniky </w:t>
      </w:r>
      <w:r w:rsidR="0079063D">
        <w:rPr>
          <w:rFonts w:ascii="Arial" w:hAnsi="Arial" w:cs="Arial"/>
          <w:sz w:val="20"/>
          <w:szCs w:val="20"/>
        </w:rPr>
        <w:t xml:space="preserve">zaujímaly </w:t>
      </w:r>
      <w:r w:rsidR="00360FDA">
        <w:rPr>
          <w:rFonts w:ascii="Arial" w:hAnsi="Arial" w:cs="Arial"/>
          <w:sz w:val="20"/>
          <w:szCs w:val="20"/>
        </w:rPr>
        <w:t>již 39% podíl na celkových výdajích na VaV v Česku.</w:t>
      </w:r>
    </w:p>
    <w:p w14:paraId="3EE00BE2" w14:textId="77777777" w:rsidR="00ED69BE" w:rsidRPr="00C67BA8" w:rsidRDefault="00ED69BE" w:rsidP="00ED69BE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67BA8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10</w:t>
      </w:r>
      <w:r w:rsidRPr="00C67BA8">
        <w:rPr>
          <w:rFonts w:ascii="Arial" w:hAnsi="Arial" w:cs="Arial"/>
          <w:b/>
          <w:sz w:val="20"/>
          <w:szCs w:val="20"/>
        </w:rPr>
        <w:t xml:space="preserve">. </w:t>
      </w:r>
      <w:r w:rsidRPr="001B52AB">
        <w:rPr>
          <w:rFonts w:ascii="Arial" w:hAnsi="Arial" w:cs="Arial"/>
          <w:b/>
          <w:sz w:val="20"/>
          <w:szCs w:val="20"/>
        </w:rPr>
        <w:t>Výdaje na výzkum a vývoj v podnicích v Česku podle jejich vlastnictví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C67BA8">
        <w:rPr>
          <w:rFonts w:ascii="Arial" w:hAnsi="Arial" w:cs="Arial"/>
          <w:b/>
          <w:sz w:val="20"/>
          <w:szCs w:val="20"/>
        </w:rPr>
        <w:t>mld. Kč</w:t>
      </w:r>
      <w:r>
        <w:rPr>
          <w:rFonts w:ascii="Arial" w:hAnsi="Arial" w:cs="Arial"/>
          <w:b/>
          <w:sz w:val="20"/>
          <w:szCs w:val="20"/>
        </w:rPr>
        <w:t>; %)</w:t>
      </w:r>
    </w:p>
    <w:p w14:paraId="0E1B0FB5" w14:textId="493A9097" w:rsidR="00ED69BE" w:rsidRDefault="00ED69BE" w:rsidP="001A67C4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F408ACB" wp14:editId="63EAFEB7">
            <wp:extent cx="4140000" cy="2700000"/>
            <wp:effectExtent l="0" t="0" r="0" b="5715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ED69BE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63B46FDF" wp14:editId="00B05F52">
            <wp:extent cx="1872000" cy="2700000"/>
            <wp:effectExtent l="0" t="0" r="0" b="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4A5CFAD" w14:textId="77777777" w:rsidR="007F7B06" w:rsidRPr="004C103D" w:rsidRDefault="007F7B06" w:rsidP="007F7B06">
      <w:pPr>
        <w:spacing w:after="120"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19141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66C9D016" w14:textId="77777777" w:rsidR="007F7B06" w:rsidRDefault="007F7B06" w:rsidP="001A67C4">
      <w:pPr>
        <w:jc w:val="both"/>
        <w:rPr>
          <w:rFonts w:ascii="Arial" w:hAnsi="Arial" w:cs="Arial"/>
          <w:sz w:val="20"/>
          <w:szCs w:val="20"/>
        </w:rPr>
      </w:pPr>
    </w:p>
    <w:p w14:paraId="6F67BA38" w14:textId="4BB8DDA0" w:rsidR="00360FDA" w:rsidRDefault="00360FDA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Počet soukromých domácích podniků provádějících VaV je sice více než trojnásobný oproti zahraničním podnikům, ale jejich výdaje na VaV jsou výrazně nižší. V roce 2021 to bylo celkem 26,1 mld. Kč. Jednalo se o poměrně výrazný meziroční nárůst o 3 mld. Kč. Soukromé domácí p</w:t>
      </w:r>
      <w:r w:rsidR="00FE4F5B">
        <w:rPr>
          <w:rFonts w:ascii="Arial" w:hAnsi="Arial" w:cs="Arial"/>
          <w:sz w:val="20"/>
          <w:szCs w:val="20"/>
        </w:rPr>
        <w:t>odniky měly ve zmíněném roce 34</w:t>
      </w:r>
      <w:r>
        <w:rPr>
          <w:rFonts w:ascii="Arial" w:hAnsi="Arial" w:cs="Arial"/>
          <w:sz w:val="20"/>
          <w:szCs w:val="20"/>
        </w:rPr>
        <w:t xml:space="preserve">% podíl na výdajích na VaV podnikatelského sektoru. </w:t>
      </w:r>
    </w:p>
    <w:p w14:paraId="6E887EE6" w14:textId="77777777" w:rsidR="007F7B06" w:rsidRPr="00E66D3A" w:rsidRDefault="007F7B06" w:rsidP="007F7B06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11</w:t>
      </w:r>
      <w:r w:rsidRPr="00E66D3A">
        <w:rPr>
          <w:rFonts w:ascii="Arial" w:hAnsi="Arial" w:cs="Arial"/>
          <w:b/>
          <w:sz w:val="20"/>
          <w:szCs w:val="20"/>
        </w:rPr>
        <w:t xml:space="preserve">. Výdaje na </w:t>
      </w:r>
      <w:r>
        <w:rPr>
          <w:rFonts w:ascii="Arial" w:hAnsi="Arial" w:cs="Arial"/>
          <w:b/>
          <w:sz w:val="20"/>
          <w:szCs w:val="20"/>
        </w:rPr>
        <w:t>VaV</w:t>
      </w:r>
      <w:r w:rsidRPr="00E66D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 podnicích </w:t>
      </w:r>
      <w:r w:rsidRPr="00E66D3A">
        <w:rPr>
          <w:rFonts w:ascii="Arial" w:hAnsi="Arial" w:cs="Arial"/>
          <w:b/>
          <w:sz w:val="20"/>
          <w:szCs w:val="20"/>
        </w:rPr>
        <w:t xml:space="preserve">v Česku podle </w:t>
      </w:r>
      <w:r>
        <w:rPr>
          <w:rFonts w:ascii="Arial" w:hAnsi="Arial" w:cs="Arial"/>
          <w:b/>
          <w:sz w:val="20"/>
          <w:szCs w:val="20"/>
        </w:rPr>
        <w:t xml:space="preserve">druhu výdajů a zdrojů financování </w:t>
      </w:r>
      <w:r w:rsidRPr="00E66D3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%</w:t>
      </w:r>
      <w:r w:rsidRPr="00E66D3A">
        <w:rPr>
          <w:rFonts w:ascii="Arial" w:hAnsi="Arial" w:cs="Arial"/>
          <w:b/>
          <w:sz w:val="20"/>
          <w:szCs w:val="20"/>
        </w:rPr>
        <w:t>)</w:t>
      </w:r>
    </w:p>
    <w:p w14:paraId="05791E37" w14:textId="77777777" w:rsidR="007F7B06" w:rsidRPr="00C67BA8" w:rsidRDefault="007F7B06" w:rsidP="007F7B06">
      <w:pPr>
        <w:tabs>
          <w:tab w:val="left" w:pos="567"/>
          <w:tab w:val="left" w:pos="5387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druhu výdajů </w:t>
      </w:r>
      <w:r w:rsidRPr="00C67BA8">
        <w:rPr>
          <w:rFonts w:ascii="Arial" w:hAnsi="Arial" w:cs="Arial"/>
          <w:b/>
          <w:i/>
          <w:sz w:val="18"/>
          <w:szCs w:val="20"/>
        </w:rPr>
        <w:tab/>
        <w:t xml:space="preserve">b) podle zdrojů financování </w:t>
      </w:r>
      <w:r w:rsidRPr="00C67BA8">
        <w:rPr>
          <w:rFonts w:ascii="Arial" w:hAnsi="Arial" w:cs="Arial"/>
          <w:b/>
          <w:i/>
          <w:sz w:val="18"/>
          <w:szCs w:val="20"/>
        </w:rPr>
        <w:tab/>
      </w:r>
    </w:p>
    <w:p w14:paraId="2895DFF8" w14:textId="7D16FA78" w:rsidR="007F7B06" w:rsidRDefault="007F7B06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3A1533DA" wp14:editId="72A7D0AA">
            <wp:extent cx="2520000" cy="2160000"/>
            <wp:effectExtent l="0" t="0" r="0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noProof/>
          <w:lang w:eastAsia="cs-CZ"/>
        </w:rPr>
        <w:drawing>
          <wp:inline distT="0" distB="0" distL="0" distR="0" wp14:anchorId="04B05530" wp14:editId="2AFCECE4">
            <wp:extent cx="2520000" cy="2159635"/>
            <wp:effectExtent l="0" t="0" r="0" b="0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0C415BE3" w14:textId="77777777" w:rsidR="007F7B06" w:rsidRPr="004C103D" w:rsidRDefault="007F7B06" w:rsidP="007F7B06">
      <w:pPr>
        <w:spacing w:after="120" w:line="288" w:lineRule="auto"/>
        <w:jc w:val="right"/>
        <w:rPr>
          <w:rFonts w:ascii="Arial" w:hAnsi="Arial" w:cs="Arial"/>
          <w:b/>
          <w:sz w:val="20"/>
          <w:szCs w:val="20"/>
        </w:rPr>
      </w:pPr>
      <w:r w:rsidRPr="0019141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0CEFD7EE" w14:textId="3F89565F" w:rsidR="005A7210" w:rsidRDefault="0080765A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Většina podniků vynakládá na VaV nízké částky. Více než 70 % podniků vynaložilo v roce 2021 na VaV méně než 10 mil. Kč. V případě 18 % podniků to bylo dokonce méně než 1 mil. Kč. Mezi 50 až 100 mil. Kč vynaložilo na VaV </w:t>
      </w:r>
      <w:r w:rsidR="00FE4F5B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roce 2021 celkem 73 podniků. Počet podniků, které vynakládá na VaV více než 100 mil. Kč ročně trvale narůstá. V roce 2021 se jednalo o 118 podniků. Tyto podniky sice tvořily jen 4 % podniků provádějících na území Česka VaV, ale celkově vynaložily na </w:t>
      </w:r>
      <w:r w:rsidR="00FE4F5B">
        <w:rPr>
          <w:rFonts w:ascii="Arial" w:hAnsi="Arial" w:cs="Arial"/>
          <w:sz w:val="20"/>
          <w:szCs w:val="20"/>
        </w:rPr>
        <w:t>tuto činnost</w:t>
      </w:r>
      <w:r w:rsidR="005A7210">
        <w:rPr>
          <w:rFonts w:ascii="Arial" w:hAnsi="Arial" w:cs="Arial"/>
          <w:sz w:val="20"/>
          <w:szCs w:val="20"/>
        </w:rPr>
        <w:t xml:space="preserve"> 52,3 mld. Kč, více než 2/3 celkových výdajů na </w:t>
      </w:r>
      <w:r w:rsidR="00FE4F5B">
        <w:rPr>
          <w:rFonts w:ascii="Arial" w:hAnsi="Arial" w:cs="Arial"/>
          <w:sz w:val="20"/>
          <w:szCs w:val="20"/>
        </w:rPr>
        <w:t>VaV podnikatelského sektoru</w:t>
      </w:r>
      <w:r w:rsidR="005A7210">
        <w:rPr>
          <w:rFonts w:ascii="Arial" w:hAnsi="Arial" w:cs="Arial"/>
          <w:sz w:val="20"/>
          <w:szCs w:val="20"/>
        </w:rPr>
        <w:t xml:space="preserve">. Ze 118 podniků, které vynaložily na VaV v roce 2021 více než 100 mil. Kč jich 87 mělo zahraničního vlastníka. Nejvíce z těchto zahraničních podniků s vysokými výdaji na VaV má vrcholového vlastníka ve Spojených státech nebo v Německu. Celkem 31 podniků vynaložilo v roce 2021 na VaV více než 500 mil. Kč, 24 z nich mělo zahraničního vlastníka. Devět podniků </w:t>
      </w:r>
      <w:r w:rsidR="00016EE1">
        <w:rPr>
          <w:rFonts w:ascii="Arial" w:hAnsi="Arial" w:cs="Arial"/>
          <w:sz w:val="20"/>
          <w:szCs w:val="20"/>
        </w:rPr>
        <w:t xml:space="preserve"> pak ve stejném roce </w:t>
      </w:r>
      <w:r w:rsidR="005A7210">
        <w:rPr>
          <w:rFonts w:ascii="Arial" w:hAnsi="Arial" w:cs="Arial"/>
          <w:sz w:val="20"/>
          <w:szCs w:val="20"/>
        </w:rPr>
        <w:t>vynaložilo na VaV dokonce více než 1 mld. Kč.</w:t>
      </w:r>
    </w:p>
    <w:p w14:paraId="60D65B8E" w14:textId="77777777" w:rsidR="006438BD" w:rsidRPr="00C67BA8" w:rsidRDefault="006438BD" w:rsidP="006438BD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67BA8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12</w:t>
      </w:r>
      <w:r w:rsidRPr="00C67BA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Podnikový VaV financovaný v Česku z veřejných zdrojů*</w:t>
      </w:r>
      <w:r w:rsidRPr="001B52AB">
        <w:rPr>
          <w:rFonts w:ascii="Arial" w:hAnsi="Arial" w:cs="Arial"/>
          <w:b/>
          <w:sz w:val="20"/>
          <w:szCs w:val="20"/>
        </w:rPr>
        <w:t xml:space="preserve"> podle vlastnictví</w:t>
      </w:r>
      <w:r>
        <w:rPr>
          <w:rFonts w:ascii="Arial" w:hAnsi="Arial" w:cs="Arial"/>
          <w:b/>
          <w:sz w:val="20"/>
          <w:szCs w:val="20"/>
        </w:rPr>
        <w:t xml:space="preserve"> podniků</w:t>
      </w:r>
    </w:p>
    <w:p w14:paraId="7AC929EE" w14:textId="300C944E" w:rsidR="006438BD" w:rsidRDefault="006438BD" w:rsidP="001A67C4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72A60BA" wp14:editId="531769ED">
            <wp:extent cx="4283075" cy="2700000"/>
            <wp:effectExtent l="0" t="0" r="3175" b="5715"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6438BD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8586B83" wp14:editId="094578A0">
            <wp:extent cx="1706950" cy="2700000"/>
            <wp:effectExtent l="0" t="0" r="7620" b="0"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A59225E" w14:textId="77777777" w:rsidR="006438BD" w:rsidRPr="00F4232A" w:rsidRDefault="006438BD" w:rsidP="006438BD">
      <w:pPr>
        <w:spacing w:after="40" w:line="288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*Zahrnuje veřejné </w:t>
      </w:r>
      <w:r w:rsidRPr="00F4232A">
        <w:rPr>
          <w:rFonts w:ascii="Arial" w:hAnsi="Arial" w:cs="Arial"/>
          <w:sz w:val="18"/>
          <w:szCs w:val="20"/>
        </w:rPr>
        <w:t>domácí</w:t>
      </w:r>
      <w:r>
        <w:rPr>
          <w:rFonts w:ascii="Arial" w:hAnsi="Arial" w:cs="Arial"/>
          <w:sz w:val="18"/>
          <w:szCs w:val="20"/>
        </w:rPr>
        <w:t xml:space="preserve"> zdroje</w:t>
      </w:r>
      <w:r w:rsidRPr="00F4232A">
        <w:rPr>
          <w:rFonts w:ascii="Arial" w:hAnsi="Arial" w:cs="Arial"/>
          <w:sz w:val="18"/>
          <w:szCs w:val="20"/>
        </w:rPr>
        <w:t xml:space="preserve"> a veřejné zdroje ze zahraničí </w:t>
      </w:r>
      <w:r>
        <w:rPr>
          <w:rFonts w:ascii="Arial" w:hAnsi="Arial" w:cs="Arial"/>
          <w:sz w:val="18"/>
          <w:szCs w:val="20"/>
        </w:rPr>
        <w:t xml:space="preserve">včetně </w:t>
      </w:r>
      <w:r w:rsidRPr="00F4232A">
        <w:rPr>
          <w:rFonts w:ascii="Arial" w:hAnsi="Arial" w:cs="Arial"/>
          <w:sz w:val="18"/>
          <w:szCs w:val="20"/>
        </w:rPr>
        <w:t>strukturální</w:t>
      </w:r>
      <w:r>
        <w:rPr>
          <w:rFonts w:ascii="Arial" w:hAnsi="Arial" w:cs="Arial"/>
          <w:sz w:val="18"/>
          <w:szCs w:val="20"/>
        </w:rPr>
        <w:t>ch</w:t>
      </w:r>
      <w:r w:rsidRPr="00F4232A">
        <w:rPr>
          <w:rFonts w:ascii="Arial" w:hAnsi="Arial" w:cs="Arial"/>
          <w:sz w:val="18"/>
          <w:szCs w:val="20"/>
        </w:rPr>
        <w:t xml:space="preserve"> fond</w:t>
      </w:r>
      <w:r>
        <w:rPr>
          <w:rFonts w:ascii="Arial" w:hAnsi="Arial" w:cs="Arial"/>
          <w:sz w:val="18"/>
          <w:szCs w:val="20"/>
        </w:rPr>
        <w:t>ů</w:t>
      </w:r>
      <w:r w:rsidRPr="00F4232A">
        <w:rPr>
          <w:rFonts w:ascii="Arial" w:hAnsi="Arial" w:cs="Arial"/>
          <w:sz w:val="18"/>
          <w:szCs w:val="20"/>
        </w:rPr>
        <w:t xml:space="preserve"> EU</w:t>
      </w:r>
    </w:p>
    <w:p w14:paraId="78885287" w14:textId="77777777" w:rsidR="006438BD" w:rsidRPr="006438BD" w:rsidRDefault="006438BD" w:rsidP="006438BD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6438B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2350118D" w14:textId="77777777" w:rsidR="00460518" w:rsidRPr="00C67BA8" w:rsidRDefault="00460518" w:rsidP="00460518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67BA8">
        <w:rPr>
          <w:rFonts w:ascii="Arial" w:hAnsi="Arial" w:cs="Arial"/>
          <w:b/>
          <w:sz w:val="20"/>
          <w:szCs w:val="20"/>
        </w:rPr>
        <w:lastRenderedPageBreak/>
        <w:t xml:space="preserve">Graf </w:t>
      </w:r>
      <w:r>
        <w:rPr>
          <w:rFonts w:ascii="Arial" w:hAnsi="Arial" w:cs="Arial"/>
          <w:b/>
          <w:sz w:val="20"/>
          <w:szCs w:val="20"/>
        </w:rPr>
        <w:t>13</w:t>
      </w:r>
      <w:r w:rsidRPr="00C67BA8">
        <w:rPr>
          <w:rFonts w:ascii="Arial" w:hAnsi="Arial" w:cs="Arial"/>
          <w:b/>
          <w:sz w:val="20"/>
          <w:szCs w:val="20"/>
        </w:rPr>
        <w:t xml:space="preserve">. </w:t>
      </w:r>
      <w:r w:rsidRPr="00F4232A">
        <w:rPr>
          <w:rFonts w:ascii="Arial" w:hAnsi="Arial" w:cs="Arial"/>
          <w:b/>
          <w:sz w:val="20"/>
          <w:szCs w:val="20"/>
        </w:rPr>
        <w:t xml:space="preserve">Výdaje na </w:t>
      </w:r>
      <w:r>
        <w:rPr>
          <w:rFonts w:ascii="Arial" w:hAnsi="Arial" w:cs="Arial"/>
          <w:b/>
          <w:sz w:val="20"/>
          <w:szCs w:val="20"/>
        </w:rPr>
        <w:t>VaV</w:t>
      </w:r>
      <w:r w:rsidRPr="00F4232A">
        <w:rPr>
          <w:rFonts w:ascii="Arial" w:hAnsi="Arial" w:cs="Arial"/>
          <w:b/>
          <w:sz w:val="20"/>
          <w:szCs w:val="20"/>
        </w:rPr>
        <w:t xml:space="preserve"> v podnicích v Č</w:t>
      </w:r>
      <w:r>
        <w:rPr>
          <w:rFonts w:ascii="Arial" w:hAnsi="Arial" w:cs="Arial"/>
          <w:b/>
          <w:sz w:val="20"/>
          <w:szCs w:val="20"/>
        </w:rPr>
        <w:t>esku</w:t>
      </w:r>
      <w:r w:rsidRPr="00F4232A">
        <w:rPr>
          <w:rFonts w:ascii="Arial" w:hAnsi="Arial" w:cs="Arial"/>
          <w:b/>
          <w:sz w:val="20"/>
          <w:szCs w:val="20"/>
        </w:rPr>
        <w:t xml:space="preserve"> podle převažující ekonomické činnosti (</w:t>
      </w:r>
      <w:r>
        <w:rPr>
          <w:rFonts w:ascii="Arial" w:hAnsi="Arial" w:cs="Arial"/>
          <w:b/>
          <w:sz w:val="20"/>
          <w:szCs w:val="20"/>
        </w:rPr>
        <w:t>sekce CZ-</w:t>
      </w:r>
      <w:r w:rsidRPr="00F4232A">
        <w:rPr>
          <w:rFonts w:ascii="Arial" w:hAnsi="Arial" w:cs="Arial"/>
          <w:b/>
          <w:sz w:val="20"/>
          <w:szCs w:val="20"/>
        </w:rPr>
        <w:t>NACE)</w:t>
      </w:r>
    </w:p>
    <w:p w14:paraId="6406FB11" w14:textId="1A46CCA3" w:rsidR="00460518" w:rsidRDefault="00460518" w:rsidP="001A67C4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DAF390A" wp14:editId="7136308D">
            <wp:extent cx="4178301" cy="2700000"/>
            <wp:effectExtent l="0" t="0" r="0" b="5715"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Pr="00460518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4F94E898" wp14:editId="4418A64B">
            <wp:extent cx="1811725" cy="2700000"/>
            <wp:effectExtent l="0" t="0" r="0" b="0"/>
            <wp:docPr id="30" name="Graf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925515F" w14:textId="065C07F2" w:rsidR="00460518" w:rsidRPr="00460518" w:rsidRDefault="00460518" w:rsidP="00460518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6438B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29985D91" w14:textId="6A3755FC" w:rsidR="00D1044D" w:rsidRDefault="00C74A0E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Obdobně jako ve všech sektorech provádění se i v podnicích nejvíce prostředků vynakládá na mzdy, přičemž jejich podíl trvale narůstá. V roce 2021 se v podnicích </w:t>
      </w:r>
      <w:r w:rsidR="004300EB">
        <w:rPr>
          <w:rFonts w:ascii="Arial" w:hAnsi="Arial" w:cs="Arial"/>
          <w:sz w:val="20"/>
          <w:szCs w:val="20"/>
        </w:rPr>
        <w:t xml:space="preserve">vydalo </w:t>
      </w:r>
      <w:r>
        <w:rPr>
          <w:rFonts w:ascii="Arial" w:hAnsi="Arial" w:cs="Arial"/>
          <w:sz w:val="20"/>
          <w:szCs w:val="20"/>
        </w:rPr>
        <w:t xml:space="preserve">na mzdy ve VaV 45 mld. Kč, což tvořilo 59 % výdajů na VaV podniků. Investiční výdaje se naopak nenavyšují a pohybují se setrvale v obdobné výši. V roce 2021 se na investice v podnikovém výzkumu vynaložilo celkem 6,4 mld. Kč, což tvořilo 8 % podnikového výzkumu. Obdobná částka </w:t>
      </w:r>
      <w:r w:rsidR="004300EB">
        <w:rPr>
          <w:rFonts w:ascii="Arial" w:hAnsi="Arial" w:cs="Arial"/>
          <w:sz w:val="20"/>
          <w:szCs w:val="20"/>
        </w:rPr>
        <w:t xml:space="preserve">alokovaná </w:t>
      </w:r>
      <w:r>
        <w:rPr>
          <w:rFonts w:ascii="Arial" w:hAnsi="Arial" w:cs="Arial"/>
          <w:sz w:val="20"/>
          <w:szCs w:val="20"/>
        </w:rPr>
        <w:t>na investice v roce 2012</w:t>
      </w:r>
      <w:r w:rsidR="00D1044D">
        <w:rPr>
          <w:rFonts w:ascii="Arial" w:hAnsi="Arial" w:cs="Arial"/>
          <w:sz w:val="20"/>
          <w:szCs w:val="20"/>
        </w:rPr>
        <w:t xml:space="preserve"> tvořila </w:t>
      </w:r>
      <w:r w:rsidR="00FE4F5B">
        <w:rPr>
          <w:rFonts w:ascii="Arial" w:hAnsi="Arial" w:cs="Arial"/>
          <w:sz w:val="20"/>
          <w:szCs w:val="20"/>
        </w:rPr>
        <w:t xml:space="preserve">tehdy </w:t>
      </w:r>
      <w:r w:rsidR="00D1044D">
        <w:rPr>
          <w:rFonts w:ascii="Arial" w:hAnsi="Arial" w:cs="Arial"/>
          <w:sz w:val="20"/>
          <w:szCs w:val="20"/>
        </w:rPr>
        <w:t>17 % výdajů na VaV podnikatelského sektoru.</w:t>
      </w:r>
    </w:p>
    <w:p w14:paraId="1B40E0E0" w14:textId="36182684" w:rsidR="00460518" w:rsidRPr="00C67BA8" w:rsidRDefault="00460518" w:rsidP="00460518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67BA8">
        <w:rPr>
          <w:rFonts w:ascii="Arial" w:hAnsi="Arial" w:cs="Arial"/>
          <w:b/>
          <w:sz w:val="20"/>
          <w:szCs w:val="20"/>
        </w:rPr>
        <w:t>Kartogram</w:t>
      </w:r>
      <w:r>
        <w:rPr>
          <w:rFonts w:ascii="Arial" w:hAnsi="Arial" w:cs="Arial"/>
          <w:b/>
          <w:sz w:val="20"/>
          <w:szCs w:val="20"/>
        </w:rPr>
        <w:t xml:space="preserve"> 2. Výdaje na výzkum a vývoj v podnicích podle okresů v roce 2021 (mil. Kč; % HDP)</w:t>
      </w:r>
    </w:p>
    <w:p w14:paraId="72A80AAB" w14:textId="4C26DC9E" w:rsidR="00460518" w:rsidRDefault="00460518" w:rsidP="00D436CC">
      <w:pPr>
        <w:jc w:val="both"/>
        <w:rPr>
          <w:rFonts w:ascii="Arial" w:hAnsi="Arial" w:cs="Arial"/>
          <w:sz w:val="20"/>
          <w:szCs w:val="20"/>
        </w:rPr>
      </w:pPr>
      <w:r w:rsidRPr="000158B4">
        <w:rPr>
          <w:noProof/>
          <w:lang w:eastAsia="cs-CZ"/>
        </w:rPr>
        <w:drawing>
          <wp:inline distT="0" distB="0" distL="0" distR="0" wp14:anchorId="31197311" wp14:editId="38602FCA">
            <wp:extent cx="5759955" cy="3576955"/>
            <wp:effectExtent l="0" t="0" r="0" b="4445"/>
            <wp:docPr id="2" name="Obrázek 2" descr="C:\Users\stampach16510\VTR\web stranky\2021\kartogramy\mapy_podklady\Marek_2022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mpach16510\VTR\web stranky\2021\kartogramy\mapy_podklady\Marek_2022\2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3"/>
                    <a:stretch/>
                  </pic:blipFill>
                  <pic:spPr bwMode="auto">
                    <a:xfrm>
                      <a:off x="0" y="0"/>
                      <a:ext cx="5760720" cy="35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305B9" w14:textId="77777777" w:rsidR="00460518" w:rsidRPr="00460518" w:rsidRDefault="00460518" w:rsidP="00460518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6438B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09EA6CDF" w14:textId="77777777" w:rsidR="00460518" w:rsidRDefault="00460518" w:rsidP="00D436CC">
      <w:pPr>
        <w:jc w:val="both"/>
        <w:rPr>
          <w:rFonts w:ascii="Arial" w:hAnsi="Arial" w:cs="Arial"/>
          <w:sz w:val="20"/>
          <w:szCs w:val="20"/>
        </w:rPr>
      </w:pPr>
    </w:p>
    <w:p w14:paraId="26D3A458" w14:textId="2FB96BAF" w:rsidR="00D436CC" w:rsidRDefault="00D436CC" w:rsidP="00D436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Více než polovina firem provádějících v Česku VaV spadá do průmyslových odvětví. Podíl výdajů na VaV firem ze zpracovatelského průmyslu na celkových výdajích podnikatelského sektoru však v průběhu času pomalu klesá. V roce 2021 připadala na průmyslové podniky polovina výdajů na VaV podnikatelského sektoru. Z hlediska výše výdajů na VaV je nejvýznamnějším průmyslovým odvětvím automobilový průmysl. Firmy z tohoto odvětví </w:t>
      </w:r>
      <w:r w:rsidR="002D4899">
        <w:rPr>
          <w:rFonts w:ascii="Arial" w:hAnsi="Arial" w:cs="Arial"/>
          <w:sz w:val="20"/>
          <w:szCs w:val="20"/>
        </w:rPr>
        <w:t xml:space="preserve">utratily </w:t>
      </w:r>
      <w:r>
        <w:rPr>
          <w:rFonts w:ascii="Arial" w:hAnsi="Arial" w:cs="Arial"/>
          <w:sz w:val="20"/>
          <w:szCs w:val="20"/>
        </w:rPr>
        <w:t xml:space="preserve">v roce 2021 </w:t>
      </w:r>
      <w:r w:rsidR="002D4899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VaV celkem 11,9 mld. Kč. Firmy z elektrotechnického průmyslu vynaložily v roce 2021 na VaV 5,9 mld. Kč, firmy ze strojírenského průmyslu 4,6 mld. Kč. Jednoznačně nejdynamičtěji rostou výdaje na VaV IT podniků. Výzkumnou činnost provádělo v roce 2021 více než 400 podniků s celkovými výdaji 19,2 mld. Kč. Pro srovnání v roce 2011 to bylo jen něco přes 200 podniků s výdaji na VaV 5 mld. Kč. Podíl výdajů na VaV v informačních technologií na všech podnicích tak za deset let vzrostl z 15 na 25 %. V roce 2021 Vynaložilo více než 500 mil</w:t>
      </w:r>
      <w:r w:rsidR="00FE4F5B">
        <w:rPr>
          <w:rFonts w:ascii="Arial" w:hAnsi="Arial" w:cs="Arial"/>
          <w:sz w:val="20"/>
          <w:szCs w:val="20"/>
        </w:rPr>
        <w:t>. Kč celkem 31 podniků. Z </w:t>
      </w:r>
      <w:r>
        <w:rPr>
          <w:rFonts w:ascii="Arial" w:hAnsi="Arial" w:cs="Arial"/>
          <w:sz w:val="20"/>
          <w:szCs w:val="20"/>
        </w:rPr>
        <w:t xml:space="preserve"> 31 podniků</w:t>
      </w:r>
      <w:r w:rsidR="00FE4F5B">
        <w:rPr>
          <w:rFonts w:ascii="Arial" w:hAnsi="Arial" w:cs="Arial"/>
          <w:sz w:val="20"/>
          <w:szCs w:val="20"/>
        </w:rPr>
        <w:t>, které v roce 2021 vynaložily na VaV více než 500 mil. Kč,</w:t>
      </w:r>
      <w:r>
        <w:rPr>
          <w:rFonts w:ascii="Arial" w:hAnsi="Arial" w:cs="Arial"/>
          <w:sz w:val="20"/>
          <w:szCs w:val="20"/>
        </w:rPr>
        <w:t xml:space="preserve"> bylo 14 průmyslových podniků, 10 IT podniků a 6 podniků z odvětví výzkum a vývoj (CZ-NACE 72).</w:t>
      </w:r>
    </w:p>
    <w:p w14:paraId="61E962DC" w14:textId="6E81F3BA" w:rsidR="00460518" w:rsidRDefault="00460518" w:rsidP="00460518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14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Podíl výdajů na VaV v podnikatelském sektoru (BERD) v zemích EU 27 na HDP v roce 2021 (%)</w:t>
      </w:r>
    </w:p>
    <w:p w14:paraId="0A70177E" w14:textId="593EF0F8" w:rsidR="00460518" w:rsidRDefault="00460518" w:rsidP="00460518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4B1697E" wp14:editId="3620EC5B">
            <wp:extent cx="6084000" cy="3060000"/>
            <wp:effectExtent l="0" t="0" r="0" b="7620"/>
            <wp:docPr id="31" name="Graf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E5D10DE" w14:textId="553A8F3F" w:rsidR="008D75B1" w:rsidRPr="006438BD" w:rsidRDefault="008D75B1" w:rsidP="008D75B1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6438BD">
        <w:rPr>
          <w:rFonts w:ascii="Arial" w:hAnsi="Arial" w:cs="Arial"/>
          <w:i/>
          <w:sz w:val="18"/>
          <w:szCs w:val="20"/>
        </w:rPr>
        <w:t xml:space="preserve">Zdroj: </w:t>
      </w:r>
      <w:r>
        <w:rPr>
          <w:rFonts w:ascii="Arial" w:hAnsi="Arial" w:cs="Arial"/>
          <w:i/>
          <w:sz w:val="18"/>
          <w:szCs w:val="20"/>
        </w:rPr>
        <w:t>Eurostat</w:t>
      </w:r>
    </w:p>
    <w:p w14:paraId="670A4C82" w14:textId="721FD2F1" w:rsidR="005A7210" w:rsidRDefault="0008755C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ve všech hlavních sektorech provádění i v případě podnikového výzkumu </w:t>
      </w:r>
      <w:r w:rsidR="00FE4F5B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nejvíce prostředků </w:t>
      </w:r>
      <w:r w:rsidR="00FE4F5B">
        <w:rPr>
          <w:rFonts w:ascii="Arial" w:hAnsi="Arial" w:cs="Arial"/>
          <w:sz w:val="20"/>
          <w:szCs w:val="20"/>
        </w:rPr>
        <w:t>spotřebuje</w:t>
      </w:r>
      <w:r>
        <w:rPr>
          <w:rFonts w:ascii="Arial" w:hAnsi="Arial" w:cs="Arial"/>
          <w:sz w:val="20"/>
          <w:szCs w:val="20"/>
        </w:rPr>
        <w:t xml:space="preserve"> v Praze. V roce 2021 provádělo Praze VaV činnost 506 podniků, které na tuto činnost vynaložily celkem 23,7 mld. Kč. V druhém Jihomoravském kraji provádí VaV srovnatelný počet podniků jako v Praze. V roce 2021 to bylo 506 podniků, ale jejich celkové výdaje na VaV byly výrazně nižší než v Praze, a to 12,7 mld. Kč Třetím krajem v pořadí byl v roce 2021 Středočeský kraj, s 12,1 mld. Kč </w:t>
      </w:r>
      <w:r w:rsidR="00566F46">
        <w:rPr>
          <w:rFonts w:ascii="Arial" w:hAnsi="Arial" w:cs="Arial"/>
          <w:sz w:val="20"/>
          <w:szCs w:val="20"/>
        </w:rPr>
        <w:t>utracenými za</w:t>
      </w:r>
      <w:r>
        <w:rPr>
          <w:rFonts w:ascii="Arial" w:hAnsi="Arial" w:cs="Arial"/>
          <w:sz w:val="20"/>
          <w:szCs w:val="20"/>
        </w:rPr>
        <w:t xml:space="preserve"> VaV v roce 2021. Dohromady se v těchto třech krajích </w:t>
      </w:r>
      <w:r w:rsidR="00566F46">
        <w:rPr>
          <w:rFonts w:ascii="Arial" w:hAnsi="Arial" w:cs="Arial"/>
          <w:sz w:val="20"/>
          <w:szCs w:val="20"/>
        </w:rPr>
        <w:t xml:space="preserve">spotřebovalo </w:t>
      </w:r>
      <w:r>
        <w:rPr>
          <w:rFonts w:ascii="Arial" w:hAnsi="Arial" w:cs="Arial"/>
          <w:sz w:val="20"/>
          <w:szCs w:val="20"/>
        </w:rPr>
        <w:t xml:space="preserve">63 % </w:t>
      </w:r>
      <w:r w:rsidR="00566F46">
        <w:rPr>
          <w:rFonts w:ascii="Arial" w:hAnsi="Arial" w:cs="Arial"/>
          <w:sz w:val="20"/>
          <w:szCs w:val="20"/>
        </w:rPr>
        <w:t xml:space="preserve">výdajů na VaV </w:t>
      </w:r>
      <w:r>
        <w:rPr>
          <w:rFonts w:ascii="Arial" w:hAnsi="Arial" w:cs="Arial"/>
          <w:sz w:val="20"/>
          <w:szCs w:val="20"/>
        </w:rPr>
        <w:t xml:space="preserve">podnikatelského sektoru. </w:t>
      </w:r>
      <w:r w:rsidR="004F229C">
        <w:rPr>
          <w:rFonts w:ascii="Arial" w:hAnsi="Arial" w:cs="Arial"/>
          <w:sz w:val="20"/>
          <w:szCs w:val="20"/>
        </w:rPr>
        <w:t>V žádném dalším kraji se v podnicích ne</w:t>
      </w:r>
      <w:r w:rsidR="00FE4F5B">
        <w:rPr>
          <w:rFonts w:ascii="Arial" w:hAnsi="Arial" w:cs="Arial"/>
          <w:sz w:val="20"/>
          <w:szCs w:val="20"/>
        </w:rPr>
        <w:t>utratilo</w:t>
      </w:r>
      <w:r w:rsidR="004F229C">
        <w:rPr>
          <w:rFonts w:ascii="Arial" w:hAnsi="Arial" w:cs="Arial"/>
          <w:sz w:val="20"/>
          <w:szCs w:val="20"/>
        </w:rPr>
        <w:t xml:space="preserve"> na VaV více než 5 mld. Kč. V Praze polovina výdajů v podnicích připadá na podniky v odvětví informačních a komunikačních technologiích. Na průmyslové podniky v Praze připadá 20 % výdajů, nejméně ze všech krajů v Česku.</w:t>
      </w:r>
      <w:r w:rsidR="00217F47">
        <w:rPr>
          <w:rFonts w:ascii="Arial" w:hAnsi="Arial" w:cs="Arial"/>
          <w:sz w:val="20"/>
          <w:szCs w:val="20"/>
        </w:rPr>
        <w:t xml:space="preserve"> V Jihomoravském kraji obdobně jako v Praze</w:t>
      </w:r>
      <w:r>
        <w:rPr>
          <w:rFonts w:ascii="Arial" w:hAnsi="Arial" w:cs="Arial"/>
          <w:sz w:val="20"/>
          <w:szCs w:val="20"/>
        </w:rPr>
        <w:t xml:space="preserve"> </w:t>
      </w:r>
      <w:r w:rsidR="00217F47">
        <w:rPr>
          <w:rFonts w:ascii="Arial" w:hAnsi="Arial" w:cs="Arial"/>
          <w:sz w:val="20"/>
          <w:szCs w:val="20"/>
        </w:rPr>
        <w:t xml:space="preserve">jsou nejdůležitějším odvětvím informační a komunikační služby, na které v roce 2021 připadalo 43 % výdajů. Ve všech krajích vyjma Prahy a Jihomoravského kraje nejvíce </w:t>
      </w:r>
      <w:r w:rsidR="00FE4F5B">
        <w:rPr>
          <w:rFonts w:ascii="Arial" w:hAnsi="Arial" w:cs="Arial"/>
          <w:sz w:val="20"/>
          <w:szCs w:val="20"/>
        </w:rPr>
        <w:t>prostředků vynakládají</w:t>
      </w:r>
      <w:r w:rsidR="00217F47">
        <w:rPr>
          <w:rFonts w:ascii="Arial" w:hAnsi="Arial" w:cs="Arial"/>
          <w:sz w:val="20"/>
          <w:szCs w:val="20"/>
        </w:rPr>
        <w:t xml:space="preserve"> průmyslové podniky. Ve Středočeském kraji připadá na průmyslové podniky 80 % výdajů na VaV.</w:t>
      </w:r>
    </w:p>
    <w:p w14:paraId="5ECCAE2A" w14:textId="49B67CDB" w:rsidR="00217F47" w:rsidRDefault="00D436CC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roce 2021 pracovalo v podnicích ve VaV celkem 63,5 tis. osob. V ukazateli přepočtených osob (FTE) se jednalo o 49 tis. osob, což tvořilo 58 % pracovníků VaV na území Česka. V celé Evropské unii je podíl pracovníků VaV v podnicích 60 %. V Belgii a Nizozemsku je tento podíl okolo 70 %, ve Švédsku činí dokonce 77 %. V Rakousku a Německu podíl podnikatelského sektoru na pracovnících VaV výrazně převyšuje 60 %. Na Slovensku je to naopak jen 37 %. Vůbec nejnižší zastoupení ze států EU je v Lotyšsku, v roce </w:t>
      </w:r>
      <w:r w:rsidR="006D1956">
        <w:rPr>
          <w:rFonts w:ascii="Arial" w:hAnsi="Arial" w:cs="Arial"/>
          <w:sz w:val="20"/>
          <w:szCs w:val="20"/>
        </w:rPr>
        <w:t>2021</w:t>
      </w:r>
      <w:r>
        <w:rPr>
          <w:rFonts w:ascii="Arial" w:hAnsi="Arial" w:cs="Arial"/>
          <w:sz w:val="20"/>
          <w:szCs w:val="20"/>
        </w:rPr>
        <w:t xml:space="preserve"> to bylo </w:t>
      </w:r>
      <w:r w:rsidR="006D1956">
        <w:rPr>
          <w:rFonts w:ascii="Arial" w:hAnsi="Arial" w:cs="Arial"/>
          <w:sz w:val="20"/>
          <w:szCs w:val="20"/>
        </w:rPr>
        <w:t xml:space="preserve">pouhých 26 %. </w:t>
      </w:r>
    </w:p>
    <w:p w14:paraId="04C86384" w14:textId="58CFDC18" w:rsidR="008D75B1" w:rsidRPr="00C67BA8" w:rsidRDefault="008D75B1" w:rsidP="008D75B1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67BA8">
        <w:rPr>
          <w:rFonts w:ascii="Arial" w:hAnsi="Arial" w:cs="Arial"/>
          <w:b/>
          <w:sz w:val="20"/>
          <w:szCs w:val="20"/>
        </w:rPr>
        <w:lastRenderedPageBreak/>
        <w:t xml:space="preserve">Graf </w:t>
      </w:r>
      <w:r>
        <w:rPr>
          <w:rFonts w:ascii="Arial" w:hAnsi="Arial" w:cs="Arial"/>
          <w:b/>
          <w:sz w:val="20"/>
          <w:szCs w:val="20"/>
        </w:rPr>
        <w:t>15</w:t>
      </w:r>
      <w:r w:rsidRPr="00C67BA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Pracovníci ve </w:t>
      </w:r>
      <w:r w:rsidRPr="001B52AB">
        <w:rPr>
          <w:rFonts w:ascii="Arial" w:hAnsi="Arial" w:cs="Arial"/>
          <w:b/>
          <w:sz w:val="20"/>
          <w:szCs w:val="20"/>
        </w:rPr>
        <w:t>výzkum</w:t>
      </w:r>
      <w:r>
        <w:rPr>
          <w:rFonts w:ascii="Arial" w:hAnsi="Arial" w:cs="Arial"/>
          <w:b/>
          <w:sz w:val="20"/>
          <w:szCs w:val="20"/>
        </w:rPr>
        <w:t>u</w:t>
      </w:r>
      <w:r w:rsidRPr="001B52AB">
        <w:rPr>
          <w:rFonts w:ascii="Arial" w:hAnsi="Arial" w:cs="Arial"/>
          <w:b/>
          <w:sz w:val="20"/>
          <w:szCs w:val="20"/>
        </w:rPr>
        <w:t xml:space="preserve"> a vývoj</w:t>
      </w:r>
      <w:r>
        <w:rPr>
          <w:rFonts w:ascii="Arial" w:hAnsi="Arial" w:cs="Arial"/>
          <w:b/>
          <w:sz w:val="20"/>
          <w:szCs w:val="20"/>
        </w:rPr>
        <w:t xml:space="preserve">i </w:t>
      </w:r>
      <w:r w:rsidRPr="001B52AB">
        <w:rPr>
          <w:rFonts w:ascii="Arial" w:hAnsi="Arial" w:cs="Arial"/>
          <w:b/>
          <w:sz w:val="20"/>
          <w:szCs w:val="20"/>
        </w:rPr>
        <w:t>v podnicích v Česku podle jejich vlastnictví</w:t>
      </w:r>
    </w:p>
    <w:p w14:paraId="57E37445" w14:textId="32D136C3" w:rsidR="008D75B1" w:rsidRDefault="008D75B1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C58C208" wp14:editId="5C0E7CA9">
            <wp:extent cx="4111625" cy="2700000"/>
            <wp:effectExtent l="0" t="0" r="3175" b="5715"/>
            <wp:docPr id="32" name="Graf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9FB1490" wp14:editId="34BA538D">
            <wp:extent cx="1980000" cy="2700000"/>
            <wp:effectExtent l="0" t="0" r="1270" b="0"/>
            <wp:docPr id="33" name="Graf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2BE18DE" w14:textId="77777777" w:rsidR="008D75B1" w:rsidRPr="00460518" w:rsidRDefault="008D75B1" w:rsidP="008D75B1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6438BD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1F2EA8BD" w14:textId="77777777" w:rsidR="008D75B1" w:rsidRDefault="008D75B1" w:rsidP="001A67C4">
      <w:pPr>
        <w:jc w:val="both"/>
        <w:rPr>
          <w:rFonts w:ascii="Arial" w:hAnsi="Arial" w:cs="Arial"/>
          <w:sz w:val="20"/>
          <w:szCs w:val="20"/>
        </w:rPr>
      </w:pPr>
    </w:p>
    <w:p w14:paraId="76F3F4A9" w14:textId="71CCC3D4" w:rsidR="00BB12CA" w:rsidRDefault="006D1956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 průměrem EU je Česko v ukazateli podílu pracovníků VaV (FTE) v podnicích na obyvatel</w:t>
      </w:r>
      <w:r w:rsidR="00436435">
        <w:rPr>
          <w:rFonts w:ascii="Arial" w:hAnsi="Arial" w:cs="Arial"/>
          <w:sz w:val="20"/>
          <w:szCs w:val="20"/>
        </w:rPr>
        <w:t>stvu</w:t>
      </w:r>
      <w:r>
        <w:rPr>
          <w:rFonts w:ascii="Arial" w:hAnsi="Arial" w:cs="Arial"/>
          <w:sz w:val="20"/>
          <w:szCs w:val="20"/>
        </w:rPr>
        <w:t xml:space="preserve">. V celé EU pracovalo v podnicích </w:t>
      </w:r>
      <w:r w:rsidR="00436435">
        <w:rPr>
          <w:rFonts w:ascii="Arial" w:hAnsi="Arial" w:cs="Arial"/>
          <w:sz w:val="20"/>
          <w:szCs w:val="20"/>
        </w:rPr>
        <w:t xml:space="preserve">ve VaV téměř 1,9 mil. osob (FTE), které tvořily 0,42 % populace EU. </w:t>
      </w:r>
      <w:r w:rsidR="00CF5D0D">
        <w:rPr>
          <w:rFonts w:ascii="Arial" w:hAnsi="Arial" w:cs="Arial"/>
          <w:sz w:val="20"/>
          <w:szCs w:val="20"/>
        </w:rPr>
        <w:t>V České republice v roce 2021 pracovalo ve VaV</w:t>
      </w:r>
      <w:r w:rsidR="00436435">
        <w:rPr>
          <w:rFonts w:ascii="Arial" w:hAnsi="Arial" w:cs="Arial"/>
          <w:sz w:val="20"/>
          <w:szCs w:val="20"/>
        </w:rPr>
        <w:t xml:space="preserve"> 49 tis. </w:t>
      </w:r>
      <w:r w:rsidR="00CF5D0D">
        <w:rPr>
          <w:rFonts w:ascii="Arial" w:hAnsi="Arial" w:cs="Arial"/>
          <w:sz w:val="20"/>
          <w:szCs w:val="20"/>
        </w:rPr>
        <w:t>osob</w:t>
      </w:r>
      <w:r w:rsidR="00436435">
        <w:rPr>
          <w:rFonts w:ascii="Arial" w:hAnsi="Arial" w:cs="Arial"/>
          <w:sz w:val="20"/>
          <w:szCs w:val="20"/>
        </w:rPr>
        <w:t xml:space="preserve">, které na </w:t>
      </w:r>
      <w:r w:rsidR="00CF5D0D">
        <w:rPr>
          <w:rFonts w:ascii="Arial" w:hAnsi="Arial" w:cs="Arial"/>
          <w:sz w:val="20"/>
          <w:szCs w:val="20"/>
        </w:rPr>
        <w:t>její populaci zaujímaly 0,47</w:t>
      </w:r>
      <w:r w:rsidR="00436435">
        <w:rPr>
          <w:rFonts w:ascii="Arial" w:hAnsi="Arial" w:cs="Arial"/>
          <w:sz w:val="20"/>
          <w:szCs w:val="20"/>
        </w:rPr>
        <w:t>% podíl. Více než 0,5 % populace pracuje ve VaV v osmi státech EU. Nejvyšší podíl</w:t>
      </w:r>
      <w:r w:rsidR="00CF5D0D">
        <w:rPr>
          <w:rFonts w:ascii="Arial" w:hAnsi="Arial" w:cs="Arial"/>
          <w:sz w:val="20"/>
          <w:szCs w:val="20"/>
        </w:rPr>
        <w:t xml:space="preserve"> zaznamenalo</w:t>
      </w:r>
      <w:r w:rsidR="00436435">
        <w:rPr>
          <w:rFonts w:ascii="Arial" w:hAnsi="Arial" w:cs="Arial"/>
          <w:sz w:val="20"/>
          <w:szCs w:val="20"/>
        </w:rPr>
        <w:t xml:space="preserve"> v roce 2021</w:t>
      </w:r>
      <w:r w:rsidR="00CF5D0D">
        <w:rPr>
          <w:rFonts w:ascii="Arial" w:hAnsi="Arial" w:cs="Arial"/>
          <w:sz w:val="20"/>
          <w:szCs w:val="20"/>
        </w:rPr>
        <w:t xml:space="preserve"> Švédsko</w:t>
      </w:r>
      <w:r w:rsidR="00436435">
        <w:rPr>
          <w:rFonts w:ascii="Arial" w:hAnsi="Arial" w:cs="Arial"/>
          <w:sz w:val="20"/>
          <w:szCs w:val="20"/>
        </w:rPr>
        <w:t xml:space="preserve">, kde to bylo 0,85 %. Za Švédskem následovala Belgie s Nizozemskem s více než 0,7 %. </w:t>
      </w:r>
      <w:r w:rsidR="00CF5D0D">
        <w:rPr>
          <w:rFonts w:ascii="Arial" w:hAnsi="Arial" w:cs="Arial"/>
          <w:sz w:val="20"/>
          <w:szCs w:val="20"/>
        </w:rPr>
        <w:t>Více než 1 % populace pracuje v podnikovém výzkumu</w:t>
      </w:r>
      <w:r w:rsidR="00436435">
        <w:rPr>
          <w:rFonts w:ascii="Arial" w:hAnsi="Arial" w:cs="Arial"/>
          <w:sz w:val="20"/>
          <w:szCs w:val="20"/>
        </w:rPr>
        <w:t xml:space="preserve"> pouze v Izraeli.</w:t>
      </w:r>
    </w:p>
    <w:p w14:paraId="34D0A4C3" w14:textId="6F9569B6" w:rsidR="008D75B1" w:rsidRPr="00E66D3A" w:rsidRDefault="008D75B1" w:rsidP="008D75B1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16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 w:rsidRPr="00786824">
        <w:rPr>
          <w:rFonts w:ascii="Arial" w:hAnsi="Arial" w:cs="Arial"/>
          <w:b/>
          <w:sz w:val="20"/>
          <w:szCs w:val="20"/>
        </w:rPr>
        <w:t>Prac</w:t>
      </w:r>
      <w:r>
        <w:rPr>
          <w:rFonts w:ascii="Arial" w:hAnsi="Arial" w:cs="Arial"/>
          <w:b/>
          <w:sz w:val="20"/>
          <w:szCs w:val="20"/>
        </w:rPr>
        <w:t xml:space="preserve">ovníci </w:t>
      </w:r>
      <w:r w:rsidRPr="00786824">
        <w:rPr>
          <w:rFonts w:ascii="Arial" w:hAnsi="Arial" w:cs="Arial"/>
          <w:b/>
          <w:sz w:val="20"/>
          <w:szCs w:val="20"/>
        </w:rPr>
        <w:t xml:space="preserve">ve </w:t>
      </w:r>
      <w:r>
        <w:rPr>
          <w:rFonts w:ascii="Arial" w:hAnsi="Arial" w:cs="Arial"/>
          <w:b/>
          <w:sz w:val="20"/>
          <w:szCs w:val="20"/>
        </w:rPr>
        <w:t xml:space="preserve">výzkumu a vývoji </w:t>
      </w:r>
      <w:r w:rsidRPr="00786824">
        <w:rPr>
          <w:rFonts w:ascii="Arial" w:hAnsi="Arial" w:cs="Arial"/>
          <w:b/>
          <w:sz w:val="20"/>
          <w:szCs w:val="20"/>
        </w:rPr>
        <w:t>(FTE</w:t>
      </w:r>
      <w:r>
        <w:rPr>
          <w:rFonts w:ascii="Arial" w:hAnsi="Arial" w:cs="Arial"/>
          <w:b/>
          <w:sz w:val="20"/>
          <w:szCs w:val="20"/>
        </w:rPr>
        <w:t>)* v podnicích v Česku podle pohlaví, odvětví a krajů</w:t>
      </w:r>
      <w:r w:rsidRPr="00786824">
        <w:rPr>
          <w:rFonts w:ascii="Arial" w:hAnsi="Arial" w:cs="Arial"/>
          <w:b/>
          <w:sz w:val="20"/>
          <w:szCs w:val="20"/>
        </w:rPr>
        <w:t xml:space="preserve"> (%)</w:t>
      </w:r>
    </w:p>
    <w:p w14:paraId="434D8F3A" w14:textId="5D5CD36D" w:rsidR="008D75B1" w:rsidRPr="00C67BA8" w:rsidRDefault="008D75B1" w:rsidP="008D75B1">
      <w:pPr>
        <w:tabs>
          <w:tab w:val="left" w:pos="284"/>
          <w:tab w:val="left" w:pos="3119"/>
          <w:tab w:val="left" w:pos="6663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</w:t>
      </w:r>
      <w:r>
        <w:rPr>
          <w:rFonts w:ascii="Arial" w:hAnsi="Arial" w:cs="Arial"/>
          <w:b/>
          <w:i/>
          <w:sz w:val="18"/>
          <w:szCs w:val="20"/>
        </w:rPr>
        <w:t>pohlaví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</w:r>
      <w:r>
        <w:rPr>
          <w:rFonts w:ascii="Arial" w:hAnsi="Arial" w:cs="Arial"/>
          <w:b/>
          <w:i/>
          <w:sz w:val="18"/>
          <w:szCs w:val="20"/>
        </w:rPr>
        <w:t>b</w:t>
      </w:r>
      <w:r w:rsidRPr="008172FB">
        <w:rPr>
          <w:rFonts w:ascii="Arial" w:hAnsi="Arial" w:cs="Arial"/>
          <w:b/>
          <w:i/>
          <w:sz w:val="18"/>
          <w:szCs w:val="20"/>
        </w:rPr>
        <w:t xml:space="preserve">) podle odvětvových sekcí </w:t>
      </w:r>
      <w:r>
        <w:rPr>
          <w:rFonts w:ascii="Arial" w:hAnsi="Arial" w:cs="Arial"/>
          <w:b/>
          <w:i/>
          <w:sz w:val="18"/>
          <w:szCs w:val="20"/>
        </w:rPr>
        <w:t>(CZ-NACE)</w:t>
      </w:r>
      <w:r>
        <w:rPr>
          <w:rFonts w:ascii="Arial" w:hAnsi="Arial" w:cs="Arial"/>
          <w:b/>
          <w:i/>
          <w:sz w:val="18"/>
          <w:szCs w:val="20"/>
        </w:rPr>
        <w:tab/>
        <w:t xml:space="preserve">   c) podle krajů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</w:p>
    <w:p w14:paraId="57818B48" w14:textId="63B2DA13" w:rsidR="008D75B1" w:rsidRDefault="008D75B1" w:rsidP="001A67C4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0A349BE" wp14:editId="6B240AAF">
            <wp:extent cx="1764000" cy="1980000"/>
            <wp:effectExtent l="0" t="0" r="0" b="0"/>
            <wp:docPr id="34" name="Graf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 w:rsidRPr="008D75B1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48D471CE" wp14:editId="60BAB9D5">
            <wp:extent cx="1980000" cy="1980000"/>
            <wp:effectExtent l="0" t="0" r="1270" b="0"/>
            <wp:docPr id="35" name="Graf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 w:rsidRPr="008D75B1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3FE35C5B" wp14:editId="76780DB2">
            <wp:extent cx="1980000" cy="1980000"/>
            <wp:effectExtent l="0" t="0" r="1270" b="0"/>
            <wp:docPr id="36" name="Graf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815E95E" w14:textId="77777777" w:rsidR="008D75B1" w:rsidRDefault="008D75B1" w:rsidP="008D75B1">
      <w:pPr>
        <w:spacing w:after="40" w:line="288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*</w:t>
      </w:r>
      <w:r w:rsidRPr="000B0A9C">
        <w:rPr>
          <w:rFonts w:ascii="Arial" w:hAnsi="Arial" w:cs="Arial"/>
          <w:sz w:val="18"/>
          <w:szCs w:val="20"/>
        </w:rPr>
        <w:t>přepočtené osoby na plnou pracovní dobu věnovanou výzkumným a vývojovým činnostem (FTE)</w:t>
      </w:r>
    </w:p>
    <w:p w14:paraId="5BA69835" w14:textId="77777777" w:rsidR="008D75B1" w:rsidRPr="008D75B1" w:rsidRDefault="008D75B1" w:rsidP="008D75B1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217C0881" w14:textId="67DB245F" w:rsidR="00436435" w:rsidRDefault="00436435" w:rsidP="001A67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podnikovém výzkumu v Česku je velmi nízké zastoupení žen. Podíl žen je </w:t>
      </w:r>
      <w:r w:rsidR="00CF5D0D">
        <w:rPr>
          <w:rFonts w:ascii="Arial" w:hAnsi="Arial" w:cs="Arial"/>
          <w:sz w:val="20"/>
          <w:szCs w:val="20"/>
        </w:rPr>
        <w:t xml:space="preserve">zde </w:t>
      </w:r>
      <w:r>
        <w:rPr>
          <w:rFonts w:ascii="Arial" w:hAnsi="Arial" w:cs="Arial"/>
          <w:sz w:val="20"/>
          <w:szCs w:val="20"/>
        </w:rPr>
        <w:t xml:space="preserve">dlouhodobě nižší než 20 %, v roce 2021 to bylo </w:t>
      </w:r>
      <w:r w:rsidR="00B13189">
        <w:rPr>
          <w:rFonts w:ascii="Arial" w:hAnsi="Arial" w:cs="Arial"/>
          <w:sz w:val="20"/>
          <w:szCs w:val="20"/>
        </w:rPr>
        <w:t>18 %. Nízké zastoupení že</w:t>
      </w:r>
      <w:r w:rsidR="00CF5D0D">
        <w:rPr>
          <w:rFonts w:ascii="Arial" w:hAnsi="Arial" w:cs="Arial"/>
          <w:sz w:val="20"/>
          <w:szCs w:val="20"/>
        </w:rPr>
        <w:t>n</w:t>
      </w:r>
      <w:r w:rsidR="00B13189">
        <w:rPr>
          <w:rFonts w:ascii="Arial" w:hAnsi="Arial" w:cs="Arial"/>
          <w:sz w:val="20"/>
          <w:szCs w:val="20"/>
        </w:rPr>
        <w:t xml:space="preserve"> je zapříčiněno především odvětvovou skladbou podniků provádějících u nás VaV. Výzkum se </w:t>
      </w:r>
      <w:r w:rsidR="00CF5D0D">
        <w:rPr>
          <w:rFonts w:ascii="Arial" w:hAnsi="Arial" w:cs="Arial"/>
          <w:sz w:val="20"/>
          <w:szCs w:val="20"/>
        </w:rPr>
        <w:t>v Česku</w:t>
      </w:r>
      <w:r w:rsidR="00B13189">
        <w:rPr>
          <w:rFonts w:ascii="Arial" w:hAnsi="Arial" w:cs="Arial"/>
          <w:sz w:val="20"/>
          <w:szCs w:val="20"/>
        </w:rPr>
        <w:t xml:space="preserve"> provádí v největší míře v průmyslu a v IT, které jsou doménou mužů. V průmyslových podnicích bylo zastoupení žen 15 %. V automobilovém průmyslu měly ženy zastoupení 13</w:t>
      </w:r>
      <w:r w:rsidR="00CF5D0D">
        <w:rPr>
          <w:rFonts w:ascii="Arial" w:hAnsi="Arial" w:cs="Arial"/>
          <w:sz w:val="20"/>
          <w:szCs w:val="20"/>
        </w:rPr>
        <w:t xml:space="preserve"> </w:t>
      </w:r>
      <w:r w:rsidR="00B13189">
        <w:rPr>
          <w:rFonts w:ascii="Arial" w:hAnsi="Arial" w:cs="Arial"/>
          <w:sz w:val="20"/>
          <w:szCs w:val="20"/>
        </w:rPr>
        <w:t>%, ve strojírenství pouze 7 %. V IT podnicích pracovalo v roce 2021 ve VaV 1,7 tis. žen, které tvořily jen 14</w:t>
      </w:r>
      <w:r w:rsidR="00CF5D0D">
        <w:rPr>
          <w:rFonts w:ascii="Arial" w:hAnsi="Arial" w:cs="Arial"/>
          <w:sz w:val="20"/>
          <w:szCs w:val="20"/>
        </w:rPr>
        <w:t xml:space="preserve"> </w:t>
      </w:r>
      <w:r w:rsidR="00B13189">
        <w:rPr>
          <w:rFonts w:ascii="Arial" w:hAnsi="Arial" w:cs="Arial"/>
          <w:sz w:val="20"/>
          <w:szCs w:val="20"/>
        </w:rPr>
        <w:t xml:space="preserve">% pracovníků VaV IT podniků. Obdobně nízké zastoupení žen v podnikovém výzkumu jako v Česku je také na Slovensku, </w:t>
      </w:r>
      <w:r w:rsidR="00CF5D0D">
        <w:rPr>
          <w:rFonts w:ascii="Arial" w:hAnsi="Arial" w:cs="Arial"/>
          <w:sz w:val="20"/>
          <w:szCs w:val="20"/>
        </w:rPr>
        <w:t xml:space="preserve">v </w:t>
      </w:r>
      <w:r w:rsidR="00B13189">
        <w:rPr>
          <w:rFonts w:ascii="Arial" w:hAnsi="Arial" w:cs="Arial"/>
          <w:sz w:val="20"/>
          <w:szCs w:val="20"/>
        </w:rPr>
        <w:t xml:space="preserve">Rakousku a Německu. V několika </w:t>
      </w:r>
      <w:r w:rsidR="000C2032">
        <w:rPr>
          <w:rFonts w:ascii="Arial" w:hAnsi="Arial" w:cs="Arial"/>
          <w:sz w:val="20"/>
          <w:szCs w:val="20"/>
        </w:rPr>
        <w:t>státech EU (např. Španělsku, Řecku, Litvě a Lotyšsku) přesahuje podíl žen v podnikovém výzkumu 30 %.</w:t>
      </w:r>
    </w:p>
    <w:p w14:paraId="104C5DB7" w14:textId="77777777" w:rsidR="00746408" w:rsidRPr="00456552" w:rsidRDefault="00746408" w:rsidP="00A96835">
      <w:pPr>
        <w:pageBreakBefore/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lastRenderedPageBreak/>
        <w:t>Výzkum a vývoj prováděný ve vládním sektoru</w:t>
      </w:r>
    </w:p>
    <w:p w14:paraId="484E1E49" w14:textId="49EC60DC" w:rsidR="00A7180F" w:rsidRDefault="00270786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Výdaje na VaV</w:t>
      </w:r>
      <w:r w:rsidR="000837FE">
        <w:rPr>
          <w:rFonts w:ascii="Arial" w:hAnsi="Arial" w:cs="Arial"/>
          <w:sz w:val="20"/>
          <w:szCs w:val="20"/>
        </w:rPr>
        <w:t xml:space="preserve"> ve vládním sektoru</w:t>
      </w:r>
      <w:r>
        <w:rPr>
          <w:rFonts w:ascii="Arial" w:hAnsi="Arial" w:cs="Arial"/>
          <w:sz w:val="20"/>
          <w:szCs w:val="20"/>
        </w:rPr>
        <w:t xml:space="preserve"> </w:t>
      </w:r>
      <w:r w:rsidR="00A7180F">
        <w:rPr>
          <w:rFonts w:ascii="Arial" w:hAnsi="Arial" w:cs="Arial"/>
          <w:sz w:val="20"/>
          <w:szCs w:val="20"/>
        </w:rPr>
        <w:t xml:space="preserve">v roce 2021 </w:t>
      </w:r>
      <w:r>
        <w:rPr>
          <w:rFonts w:ascii="Arial" w:hAnsi="Arial" w:cs="Arial"/>
          <w:sz w:val="20"/>
          <w:szCs w:val="20"/>
        </w:rPr>
        <w:t xml:space="preserve">dosáhly </w:t>
      </w:r>
      <w:r w:rsidR="002011D4">
        <w:rPr>
          <w:rFonts w:ascii="Arial" w:hAnsi="Arial" w:cs="Arial"/>
          <w:sz w:val="20"/>
          <w:szCs w:val="20"/>
        </w:rPr>
        <w:t>20,3</w:t>
      </w:r>
      <w:r w:rsidR="0015376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mld. Kč. </w:t>
      </w:r>
      <w:r w:rsidR="00A7180F">
        <w:rPr>
          <w:rFonts w:ascii="Arial" w:hAnsi="Arial" w:cs="Arial"/>
          <w:sz w:val="20"/>
          <w:szCs w:val="20"/>
        </w:rPr>
        <w:t>Bylo to poprvé, kdy se v tomto sektoru utratilo za výzkumnou činnost více než 20 mld. Kč. Podíl vládního sektoru na celkových výdajích na VaV se v posledních pěti letech pohybuje kolem 17 %. Jedná se o podíl vysoko přesahující podíl EU, který byl v roce 2021 12 %. V Německu je podíl vládního sektoru (15 %) nižší než v Česku, avšak v absolutním vyjádření se v Německu ve vládním sektoru vynaložilo na VaV 17 mld. Eur. V Česku to pro srovnání bylo 0,8 mld. Eur.</w:t>
      </w:r>
    </w:p>
    <w:p w14:paraId="0B236316" w14:textId="42DF3F16" w:rsidR="009704BA" w:rsidRDefault="009704BA" w:rsidP="009704BA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53397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17</w:t>
      </w:r>
      <w:r w:rsidRPr="0025339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Výzkum a vývoj ve vládním sektoru v Česku – základní ukazatele</w:t>
      </w:r>
    </w:p>
    <w:p w14:paraId="09B401C6" w14:textId="0713ED49" w:rsidR="009704BA" w:rsidRDefault="00CA39D0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282ACE3" wp14:editId="5D66538C">
            <wp:extent cx="6036945" cy="2974975"/>
            <wp:effectExtent l="0" t="0" r="1905" b="15875"/>
            <wp:docPr id="67" name="Graf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30A310E" w14:textId="3C548EF4" w:rsidR="009704BA" w:rsidRPr="009704BA" w:rsidRDefault="009704BA" w:rsidP="009704BA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394FD697" w14:textId="0C4CB4C3" w:rsidR="003F019C" w:rsidRDefault="00A7180F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podílu výdajů na VaV ve vládním sektoru ve vztahu k HDP, patříme dlouh</w:t>
      </w:r>
      <w:r w:rsidR="003A578B">
        <w:rPr>
          <w:rFonts w:ascii="Arial" w:hAnsi="Arial" w:cs="Arial"/>
          <w:sz w:val="20"/>
          <w:szCs w:val="20"/>
        </w:rPr>
        <w:t>odobě mezi absolutní evropskou š</w:t>
      </w:r>
      <w:r>
        <w:rPr>
          <w:rFonts w:ascii="Arial" w:hAnsi="Arial" w:cs="Arial"/>
          <w:sz w:val="20"/>
          <w:szCs w:val="20"/>
        </w:rPr>
        <w:t>pičku.</w:t>
      </w:r>
      <w:r w:rsidR="003A578B">
        <w:rPr>
          <w:rFonts w:ascii="Arial" w:hAnsi="Arial" w:cs="Arial"/>
          <w:sz w:val="20"/>
          <w:szCs w:val="20"/>
        </w:rPr>
        <w:t xml:space="preserve"> Dlouhodobě se ve vládním sektoru u nás vynakládá na VaV více než 0,3 % HDP, v roce 2021 to bylo 0,33 % HDP. Česko se s tímto podílem řadí hned na druhé místo za Německo, které má však výrazný náskok. V roce 2021 v Německu tento podíl činil 0,47 % HDP. </w:t>
      </w:r>
      <w:r w:rsidR="0008467C">
        <w:rPr>
          <w:rFonts w:ascii="Arial" w:hAnsi="Arial" w:cs="Arial"/>
          <w:sz w:val="20"/>
          <w:szCs w:val="20"/>
        </w:rPr>
        <w:t xml:space="preserve">Na třetím místě za Českem bylo Řecko s podílem 0,32 % HDP. V žádném dalším státě EU se v roce 2021 </w:t>
      </w:r>
      <w:r w:rsidR="00BA5631">
        <w:rPr>
          <w:rFonts w:ascii="Arial" w:hAnsi="Arial" w:cs="Arial"/>
          <w:sz w:val="20"/>
          <w:szCs w:val="20"/>
        </w:rPr>
        <w:t>neutratilo za</w:t>
      </w:r>
      <w:r w:rsidR="0008467C">
        <w:rPr>
          <w:rFonts w:ascii="Arial" w:hAnsi="Arial" w:cs="Arial"/>
          <w:sz w:val="20"/>
          <w:szCs w:val="20"/>
        </w:rPr>
        <w:t xml:space="preserve"> VaV</w:t>
      </w:r>
      <w:r w:rsidR="002011D4">
        <w:rPr>
          <w:rFonts w:ascii="Arial" w:hAnsi="Arial" w:cs="Arial"/>
          <w:sz w:val="20"/>
          <w:szCs w:val="20"/>
        </w:rPr>
        <w:t xml:space="preserve"> ve vládním sektoru</w:t>
      </w:r>
      <w:r w:rsidR="0008467C">
        <w:rPr>
          <w:rFonts w:ascii="Arial" w:hAnsi="Arial" w:cs="Arial"/>
          <w:sz w:val="20"/>
          <w:szCs w:val="20"/>
        </w:rPr>
        <w:t xml:space="preserve"> více než 0,3 % HDP.</w:t>
      </w:r>
    </w:p>
    <w:p w14:paraId="751108B9" w14:textId="5F75E01A" w:rsidR="009704BA" w:rsidRPr="00E66D3A" w:rsidRDefault="009704BA" w:rsidP="009704BA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18</w:t>
      </w:r>
      <w:r w:rsidRPr="00E66D3A">
        <w:rPr>
          <w:rFonts w:ascii="Arial" w:hAnsi="Arial" w:cs="Arial"/>
          <w:b/>
          <w:sz w:val="20"/>
          <w:szCs w:val="20"/>
        </w:rPr>
        <w:t xml:space="preserve">. Výdaje na </w:t>
      </w:r>
      <w:r>
        <w:rPr>
          <w:rFonts w:ascii="Arial" w:hAnsi="Arial" w:cs="Arial"/>
          <w:b/>
          <w:sz w:val="20"/>
          <w:szCs w:val="20"/>
        </w:rPr>
        <w:t>VaV</w:t>
      </w:r>
      <w:r w:rsidRPr="00E66D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ve vládním sektoru </w:t>
      </w:r>
      <w:r w:rsidRPr="00E66D3A">
        <w:rPr>
          <w:rFonts w:ascii="Arial" w:hAnsi="Arial" w:cs="Arial"/>
          <w:b/>
          <w:sz w:val="20"/>
          <w:szCs w:val="20"/>
        </w:rPr>
        <w:t xml:space="preserve">v Česku podle </w:t>
      </w:r>
      <w:r>
        <w:rPr>
          <w:rFonts w:ascii="Arial" w:hAnsi="Arial" w:cs="Arial"/>
          <w:b/>
          <w:sz w:val="20"/>
          <w:szCs w:val="20"/>
        </w:rPr>
        <w:t xml:space="preserve">druhu výdajů a zdrojů financování </w:t>
      </w:r>
      <w:r w:rsidRPr="00E66D3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%</w:t>
      </w:r>
      <w:r w:rsidRPr="00E66D3A">
        <w:rPr>
          <w:rFonts w:ascii="Arial" w:hAnsi="Arial" w:cs="Arial"/>
          <w:b/>
          <w:sz w:val="20"/>
          <w:szCs w:val="20"/>
        </w:rPr>
        <w:t>)</w:t>
      </w:r>
    </w:p>
    <w:p w14:paraId="29889306" w14:textId="444BE128" w:rsidR="009704BA" w:rsidRDefault="009704BA" w:rsidP="009704BA">
      <w:pPr>
        <w:tabs>
          <w:tab w:val="left" w:pos="426"/>
          <w:tab w:val="left" w:pos="5245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druhu výdajů </w:t>
      </w:r>
      <w:r w:rsidRPr="00C67BA8">
        <w:rPr>
          <w:rFonts w:ascii="Arial" w:hAnsi="Arial" w:cs="Arial"/>
          <w:b/>
          <w:i/>
          <w:sz w:val="18"/>
          <w:szCs w:val="20"/>
        </w:rPr>
        <w:tab/>
        <w:t xml:space="preserve">b) podle zdrojů financování </w:t>
      </w:r>
      <w:r w:rsidRPr="00C67BA8">
        <w:rPr>
          <w:rFonts w:ascii="Arial" w:hAnsi="Arial" w:cs="Arial"/>
          <w:b/>
          <w:i/>
          <w:sz w:val="18"/>
          <w:szCs w:val="20"/>
        </w:rPr>
        <w:tab/>
      </w:r>
    </w:p>
    <w:p w14:paraId="2E098FAD" w14:textId="78135E27" w:rsidR="009704BA" w:rsidRDefault="009704BA" w:rsidP="009704BA">
      <w:pPr>
        <w:tabs>
          <w:tab w:val="left" w:pos="426"/>
          <w:tab w:val="left" w:pos="5245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noProof/>
          <w:lang w:eastAsia="cs-CZ"/>
        </w:rPr>
        <w:drawing>
          <wp:inline distT="0" distB="0" distL="0" distR="0" wp14:anchorId="33AA690B" wp14:editId="76B26663">
            <wp:extent cx="1980000" cy="2016000"/>
            <wp:effectExtent l="0" t="0" r="1270" b="0"/>
            <wp:docPr id="38" name="Graf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>
        <w:rPr>
          <w:rFonts w:ascii="Arial" w:hAnsi="Arial" w:cs="Arial"/>
          <w:b/>
          <w:i/>
          <w:sz w:val="18"/>
          <w:szCs w:val="20"/>
        </w:rPr>
        <w:t xml:space="preserve">                                 </w:t>
      </w:r>
      <w:r>
        <w:rPr>
          <w:noProof/>
          <w:lang w:eastAsia="cs-CZ"/>
        </w:rPr>
        <w:drawing>
          <wp:inline distT="0" distB="0" distL="0" distR="0" wp14:anchorId="4D0E7E0E" wp14:editId="350EE691">
            <wp:extent cx="1980000" cy="2016000"/>
            <wp:effectExtent l="0" t="0" r="1270" b="0"/>
            <wp:docPr id="39" name="Graf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75796CFE" w14:textId="77777777" w:rsidR="009704BA" w:rsidRPr="009704BA" w:rsidRDefault="009704BA" w:rsidP="009704BA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5B74B92C" w14:textId="76A90F87" w:rsidR="0008467C" w:rsidRDefault="0008467C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Výzkum a vývoj ve vládním sektoru v Česku provádělo v roce 2021 171 subjektů. Nejvýznamnější institucí je bezesporu Akademie věd ČR se svými 53 vědeckými ústavy. Na pracovištích Akademie věd se v roce 2021 vynaložilo na VaV celkem 15, 1 mld. Kč. Akademie věd ČR tak zaujímá přibližně ¾ podíl na vládním sektoru. Na celkových výdajích na VaV</w:t>
      </w:r>
      <w:r w:rsidR="002011D4">
        <w:rPr>
          <w:rFonts w:ascii="Arial" w:hAnsi="Arial" w:cs="Arial"/>
          <w:sz w:val="20"/>
          <w:szCs w:val="20"/>
        </w:rPr>
        <w:t xml:space="preserve"> v Česku</w:t>
      </w:r>
      <w:r w:rsidR="00434204">
        <w:rPr>
          <w:rFonts w:ascii="Arial" w:hAnsi="Arial" w:cs="Arial"/>
          <w:sz w:val="20"/>
          <w:szCs w:val="20"/>
        </w:rPr>
        <w:t xml:space="preserve"> se AV ČR podílela</w:t>
      </w:r>
      <w:r w:rsidR="002011D4">
        <w:rPr>
          <w:rFonts w:ascii="Arial" w:hAnsi="Arial" w:cs="Arial"/>
          <w:sz w:val="20"/>
          <w:szCs w:val="20"/>
        </w:rPr>
        <w:t xml:space="preserve"> ze 12 %, přičemž tento podíl </w:t>
      </w:r>
      <w:r w:rsidR="00434204">
        <w:rPr>
          <w:rFonts w:ascii="Arial" w:hAnsi="Arial" w:cs="Arial"/>
          <w:sz w:val="20"/>
          <w:szCs w:val="20"/>
        </w:rPr>
        <w:t xml:space="preserve">historicky poněkud </w:t>
      </w:r>
      <w:r w:rsidR="00434204">
        <w:rPr>
          <w:rFonts w:ascii="Arial" w:hAnsi="Arial" w:cs="Arial"/>
          <w:sz w:val="20"/>
          <w:szCs w:val="20"/>
        </w:rPr>
        <w:lastRenderedPageBreak/>
        <w:t xml:space="preserve">klesá. Pro srovnání v roce 2011 měla AV ČR 15% podíl. Za uplynulých deset let se sice roční výdaje na VaV </w:t>
      </w:r>
      <w:r w:rsidR="002011D4">
        <w:rPr>
          <w:rFonts w:ascii="Arial" w:hAnsi="Arial" w:cs="Arial"/>
          <w:sz w:val="20"/>
          <w:szCs w:val="20"/>
        </w:rPr>
        <w:t xml:space="preserve">na </w:t>
      </w:r>
      <w:r w:rsidR="00434204">
        <w:rPr>
          <w:rFonts w:ascii="Arial" w:hAnsi="Arial" w:cs="Arial"/>
          <w:sz w:val="20"/>
          <w:szCs w:val="20"/>
        </w:rPr>
        <w:t>AV ČR navýšily o 5,5 mld. Kč, tento nárůst je však pomalejší ve srovnání s</w:t>
      </w:r>
      <w:r w:rsidR="002011D4">
        <w:rPr>
          <w:rFonts w:ascii="Arial" w:hAnsi="Arial" w:cs="Arial"/>
          <w:sz w:val="20"/>
          <w:szCs w:val="20"/>
        </w:rPr>
        <w:t> nárůsty v podnicích i veřejných státních škol</w:t>
      </w:r>
      <w:r w:rsidR="00434204">
        <w:rPr>
          <w:rFonts w:ascii="Arial" w:hAnsi="Arial" w:cs="Arial"/>
          <w:sz w:val="20"/>
          <w:szCs w:val="20"/>
        </w:rPr>
        <w:t>. Vyjma Akademie věd řadíme do vládního sektoru všechny ostatní veřejné výzkumné instituce. V roce 2021 jich na území Česka provádělo VaV 22 a na tuto činnost vynaložily celkem 1,7 mld. Kč (8 % vlád</w:t>
      </w:r>
      <w:r w:rsidR="002011D4">
        <w:rPr>
          <w:rFonts w:ascii="Arial" w:hAnsi="Arial" w:cs="Arial"/>
          <w:sz w:val="20"/>
          <w:szCs w:val="20"/>
        </w:rPr>
        <w:t xml:space="preserve">ního sektoru). Dalšími subjekty, které řadíme </w:t>
      </w:r>
      <w:r w:rsidR="00434204">
        <w:rPr>
          <w:rFonts w:ascii="Arial" w:hAnsi="Arial" w:cs="Arial"/>
          <w:sz w:val="20"/>
          <w:szCs w:val="20"/>
        </w:rPr>
        <w:t>do vládního sektoru</w:t>
      </w:r>
      <w:r w:rsidR="002011D4">
        <w:rPr>
          <w:rFonts w:ascii="Arial" w:hAnsi="Arial" w:cs="Arial"/>
          <w:sz w:val="20"/>
          <w:szCs w:val="20"/>
        </w:rPr>
        <w:t>,</w:t>
      </w:r>
      <w:r w:rsidR="00434204">
        <w:rPr>
          <w:rFonts w:ascii="Arial" w:hAnsi="Arial" w:cs="Arial"/>
          <w:sz w:val="20"/>
          <w:szCs w:val="20"/>
        </w:rPr>
        <w:t xml:space="preserve"> jsou např. muzea, archivy, knihovny a zdravotnická zařízení kromě fakultních nemocnic.</w:t>
      </w:r>
    </w:p>
    <w:p w14:paraId="4EC59F1C" w14:textId="0C44ACBF" w:rsidR="009704BA" w:rsidRDefault="009704BA" w:rsidP="00A7180F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 w:rsidR="004A078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 w:rsidRPr="008A248B">
        <w:rPr>
          <w:rFonts w:ascii="Arial" w:hAnsi="Arial" w:cs="Arial"/>
          <w:b/>
          <w:sz w:val="20"/>
          <w:szCs w:val="20"/>
        </w:rPr>
        <w:t>Neinvestiční výdaje na VaV ve vládním sektoru v Č</w:t>
      </w:r>
      <w:r>
        <w:rPr>
          <w:rFonts w:ascii="Arial" w:hAnsi="Arial" w:cs="Arial"/>
          <w:b/>
          <w:sz w:val="20"/>
          <w:szCs w:val="20"/>
        </w:rPr>
        <w:t>R</w:t>
      </w:r>
      <w:r w:rsidRPr="008A248B">
        <w:rPr>
          <w:rFonts w:ascii="Arial" w:hAnsi="Arial" w:cs="Arial"/>
          <w:b/>
          <w:sz w:val="20"/>
          <w:szCs w:val="20"/>
        </w:rPr>
        <w:t xml:space="preserve"> podle převažující vědní oblast</w:t>
      </w:r>
      <w:r>
        <w:rPr>
          <w:rFonts w:ascii="Arial" w:hAnsi="Arial" w:cs="Arial"/>
          <w:b/>
          <w:sz w:val="20"/>
          <w:szCs w:val="20"/>
        </w:rPr>
        <w:t>i</w:t>
      </w:r>
    </w:p>
    <w:p w14:paraId="41A3D96D" w14:textId="2B24495B" w:rsidR="004A0789" w:rsidRDefault="004A0789" w:rsidP="00A7180F">
      <w:pPr>
        <w:spacing w:after="120" w:line="288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1475A2D" wp14:editId="79CFDC10">
            <wp:extent cx="3877450" cy="2700000"/>
            <wp:effectExtent l="0" t="0" r="8890" b="5715"/>
            <wp:docPr id="40" name="Graf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 w:rsidRPr="004A0789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0957CE0" wp14:editId="17B0133B">
            <wp:extent cx="1980000" cy="2700000"/>
            <wp:effectExtent l="0" t="0" r="1270" b="0"/>
            <wp:docPr id="41" name="Graf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A1EE101" w14:textId="61997AA3" w:rsidR="004A0789" w:rsidRPr="004A0789" w:rsidRDefault="004A0789" w:rsidP="004A0789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1CCD64E1" w14:textId="75BF5256" w:rsidR="00434204" w:rsidRDefault="00EA020F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Výzkum ve vládním sektoru je financován především z veřejných domácích zdrojů. V roce 2021 Český stát podpořil výzkum tohoto sektoru celkem 15,9 mld. Kč, z toho 11,1 mld. Kč směřovalo </w:t>
      </w:r>
      <w:r w:rsidR="00BA5631">
        <w:rPr>
          <w:rFonts w:ascii="Arial" w:hAnsi="Arial" w:cs="Arial"/>
          <w:sz w:val="20"/>
          <w:szCs w:val="20"/>
        </w:rPr>
        <w:t>do ústavů</w:t>
      </w:r>
      <w:r>
        <w:rPr>
          <w:rFonts w:ascii="Arial" w:hAnsi="Arial" w:cs="Arial"/>
          <w:sz w:val="20"/>
          <w:szCs w:val="20"/>
        </w:rPr>
        <w:t xml:space="preserve"> AV ČR. Před deseti lety byly veřejné domácí zdroje ve vládním sektoru 10,1 mld. Kč. Podíl veřejných domácích zdrojů na financování VaV vládního sektoru se dlouhodobě pohybuje okolo 80 %, v roce 2021 to bylo 78 %. Ve většině států </w:t>
      </w:r>
      <w:r w:rsidR="002011D4">
        <w:rPr>
          <w:rFonts w:ascii="Arial" w:hAnsi="Arial" w:cs="Arial"/>
          <w:sz w:val="20"/>
          <w:szCs w:val="20"/>
        </w:rPr>
        <w:t xml:space="preserve">EU </w:t>
      </w:r>
      <w:r>
        <w:rPr>
          <w:rFonts w:ascii="Arial" w:hAnsi="Arial" w:cs="Arial"/>
          <w:sz w:val="20"/>
          <w:szCs w:val="20"/>
        </w:rPr>
        <w:t xml:space="preserve">se tento podíl pohybuje v rozmezí </w:t>
      </w:r>
      <w:r w:rsidR="00157195">
        <w:rPr>
          <w:rFonts w:ascii="Arial" w:hAnsi="Arial" w:cs="Arial"/>
          <w:sz w:val="20"/>
          <w:szCs w:val="20"/>
        </w:rPr>
        <w:t>70 až 90 %. Výrazně vybočují Litva, Lotyško a Belgie, kde byl tento podíl v posledních letech necelých 50 %.</w:t>
      </w:r>
    </w:p>
    <w:p w14:paraId="345B23B1" w14:textId="65BE8170" w:rsidR="006017E9" w:rsidRPr="00E66D3A" w:rsidRDefault="006017E9" w:rsidP="006017E9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20</w:t>
      </w:r>
      <w:r w:rsidRPr="00E66D3A">
        <w:rPr>
          <w:rFonts w:ascii="Arial" w:hAnsi="Arial" w:cs="Arial"/>
          <w:b/>
          <w:sz w:val="20"/>
          <w:szCs w:val="20"/>
        </w:rPr>
        <w:t xml:space="preserve">. Výdaje na </w:t>
      </w:r>
      <w:r>
        <w:rPr>
          <w:rFonts w:ascii="Arial" w:hAnsi="Arial" w:cs="Arial"/>
          <w:b/>
          <w:sz w:val="20"/>
          <w:szCs w:val="20"/>
        </w:rPr>
        <w:t>VaV</w:t>
      </w:r>
      <w:r w:rsidRPr="00E66D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ve vládním sektoru </w:t>
      </w:r>
      <w:r w:rsidRPr="00E66D3A">
        <w:rPr>
          <w:rFonts w:ascii="Arial" w:hAnsi="Arial" w:cs="Arial"/>
          <w:b/>
          <w:sz w:val="20"/>
          <w:szCs w:val="20"/>
        </w:rPr>
        <w:t xml:space="preserve">v Česku podle </w:t>
      </w:r>
      <w:r>
        <w:rPr>
          <w:rFonts w:ascii="Arial" w:hAnsi="Arial" w:cs="Arial"/>
          <w:b/>
          <w:sz w:val="20"/>
          <w:szCs w:val="20"/>
        </w:rPr>
        <w:t xml:space="preserve">druhu subjektů a krajů </w:t>
      </w:r>
      <w:r w:rsidRPr="00E66D3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%</w:t>
      </w:r>
      <w:r w:rsidRPr="00E66D3A">
        <w:rPr>
          <w:rFonts w:ascii="Arial" w:hAnsi="Arial" w:cs="Arial"/>
          <w:b/>
          <w:sz w:val="20"/>
          <w:szCs w:val="20"/>
        </w:rPr>
        <w:t>)</w:t>
      </w:r>
    </w:p>
    <w:p w14:paraId="2774FA5F" w14:textId="77777777" w:rsidR="006017E9" w:rsidRPr="00C67BA8" w:rsidRDefault="006017E9" w:rsidP="006017E9">
      <w:pPr>
        <w:tabs>
          <w:tab w:val="left" w:pos="567"/>
          <w:tab w:val="left" w:pos="5387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druhu </w:t>
      </w:r>
      <w:r>
        <w:rPr>
          <w:rFonts w:ascii="Arial" w:hAnsi="Arial" w:cs="Arial"/>
          <w:b/>
          <w:i/>
          <w:sz w:val="18"/>
          <w:szCs w:val="20"/>
        </w:rPr>
        <w:t>subjektů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  <w:t xml:space="preserve">b) podle </w:t>
      </w:r>
      <w:r>
        <w:rPr>
          <w:rFonts w:ascii="Arial" w:hAnsi="Arial" w:cs="Arial"/>
          <w:b/>
          <w:i/>
          <w:sz w:val="18"/>
          <w:szCs w:val="20"/>
        </w:rPr>
        <w:t>krajů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</w:r>
    </w:p>
    <w:p w14:paraId="526A93E1" w14:textId="418A3D97" w:rsidR="006017E9" w:rsidRDefault="006017E9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5CFE521D" wp14:editId="58DE8E02">
            <wp:extent cx="2700000" cy="2340000"/>
            <wp:effectExtent l="0" t="0" r="0" b="0"/>
            <wp:docPr id="43" name="Graf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noProof/>
          <w:lang w:eastAsia="cs-CZ"/>
        </w:rPr>
        <w:drawing>
          <wp:inline distT="0" distB="0" distL="0" distR="0" wp14:anchorId="5D0B25C0" wp14:editId="6CFAB8D1">
            <wp:extent cx="2700000" cy="2340000"/>
            <wp:effectExtent l="0" t="0" r="0" b="0"/>
            <wp:docPr id="44" name="Graf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0BD7B930" w14:textId="77777777" w:rsidR="006017E9" w:rsidRPr="004A0789" w:rsidRDefault="006017E9" w:rsidP="006017E9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396699A4" w14:textId="6DE81723" w:rsidR="00157195" w:rsidRDefault="00157195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Vedle veřejné domácí podpory čerpají subjekty vládního sektoru také veřejnou zahraniční podporu, která je tvořena především dotacemi EU. Veřejné zahraniční zdroje se v posledních letech pohybují okolo 2 mld. Kč </w:t>
      </w:r>
      <w:r>
        <w:rPr>
          <w:rFonts w:ascii="Arial" w:hAnsi="Arial" w:cs="Arial"/>
          <w:sz w:val="20"/>
          <w:szCs w:val="20"/>
        </w:rPr>
        <w:lastRenderedPageBreak/>
        <w:t xml:space="preserve">ročně. </w:t>
      </w:r>
      <w:r w:rsidR="005C4151">
        <w:rPr>
          <w:rFonts w:ascii="Arial" w:hAnsi="Arial" w:cs="Arial"/>
          <w:sz w:val="20"/>
          <w:szCs w:val="20"/>
        </w:rPr>
        <w:t xml:space="preserve">Nejvíce prostředků </w:t>
      </w:r>
      <w:r w:rsidR="00CE016D">
        <w:rPr>
          <w:rFonts w:ascii="Arial" w:hAnsi="Arial" w:cs="Arial"/>
          <w:sz w:val="20"/>
          <w:szCs w:val="20"/>
        </w:rPr>
        <w:t>z EU bylo ve vládním sektoru čerpáno mezi lety 2013 až 2015. V roce 2015 to bylo dokonce rekordních 4,7 mld. Kč. Nejvyšší dotace byly použity na výstavbu nových výzkumných center včetně dvou center excelence ELI a BIOCEV.</w:t>
      </w:r>
      <w:r w:rsidR="000F4BB7">
        <w:rPr>
          <w:rFonts w:ascii="Arial" w:hAnsi="Arial" w:cs="Arial"/>
          <w:sz w:val="20"/>
          <w:szCs w:val="20"/>
        </w:rPr>
        <w:t xml:space="preserve"> Ve zmíněném roce 2015 </w:t>
      </w:r>
      <w:r w:rsidR="008E2725">
        <w:rPr>
          <w:rFonts w:ascii="Arial" w:hAnsi="Arial" w:cs="Arial"/>
          <w:sz w:val="20"/>
          <w:szCs w:val="20"/>
        </w:rPr>
        <w:t>tvořily veřejné zahraniční zdroje 26 % výdajů vládního sektoru, v roce 2021 to bylo 10 %. I přes tento pokles je podíl zdrojů z EU v Česku výrazně nad průměrem EU. V roce 2020 byl průměr EU 5</w:t>
      </w:r>
      <w:r w:rsidR="002011D4">
        <w:rPr>
          <w:rFonts w:ascii="Arial" w:hAnsi="Arial" w:cs="Arial"/>
          <w:sz w:val="20"/>
          <w:szCs w:val="20"/>
        </w:rPr>
        <w:t xml:space="preserve"> </w:t>
      </w:r>
      <w:r w:rsidR="008E2725">
        <w:rPr>
          <w:rFonts w:ascii="Arial" w:hAnsi="Arial" w:cs="Arial"/>
          <w:sz w:val="20"/>
          <w:szCs w:val="20"/>
        </w:rPr>
        <w:t>%. Vyjma Česka jen v 7 dalších států EU byly</w:t>
      </w:r>
      <w:r w:rsidR="002011D4">
        <w:rPr>
          <w:rFonts w:ascii="Arial" w:hAnsi="Arial" w:cs="Arial"/>
          <w:sz w:val="20"/>
          <w:szCs w:val="20"/>
        </w:rPr>
        <w:t xml:space="preserve"> podíl zdrojů z</w:t>
      </w:r>
      <w:r w:rsidR="008E2725">
        <w:rPr>
          <w:rFonts w:ascii="Arial" w:hAnsi="Arial" w:cs="Arial"/>
          <w:sz w:val="20"/>
          <w:szCs w:val="20"/>
        </w:rPr>
        <w:t xml:space="preserve"> EU vyšší než 10 % výdajů na VaV vládn</w:t>
      </w:r>
      <w:r w:rsidR="004920C4">
        <w:rPr>
          <w:rFonts w:ascii="Arial" w:hAnsi="Arial" w:cs="Arial"/>
          <w:sz w:val="20"/>
          <w:szCs w:val="20"/>
        </w:rPr>
        <w:t>ího sektoru. Absolutními rekord</w:t>
      </w:r>
      <w:r w:rsidR="008E2725">
        <w:rPr>
          <w:rFonts w:ascii="Arial" w:hAnsi="Arial" w:cs="Arial"/>
          <w:sz w:val="20"/>
          <w:szCs w:val="20"/>
        </w:rPr>
        <w:t>m</w:t>
      </w:r>
      <w:r w:rsidR="004920C4">
        <w:rPr>
          <w:rFonts w:ascii="Arial" w:hAnsi="Arial" w:cs="Arial"/>
          <w:sz w:val="20"/>
          <w:szCs w:val="20"/>
        </w:rPr>
        <w:t>an</w:t>
      </w:r>
      <w:r w:rsidR="008E2725">
        <w:rPr>
          <w:rFonts w:ascii="Arial" w:hAnsi="Arial" w:cs="Arial"/>
          <w:sz w:val="20"/>
          <w:szCs w:val="20"/>
        </w:rPr>
        <w:t>y</w:t>
      </w:r>
      <w:r w:rsidR="004920C4">
        <w:rPr>
          <w:rFonts w:ascii="Arial" w:hAnsi="Arial" w:cs="Arial"/>
          <w:sz w:val="20"/>
          <w:szCs w:val="20"/>
        </w:rPr>
        <w:t xml:space="preserve"> jsou v tomto ukazateli pobaltské státy Litva a Lotyšsko, v nichž zdroje EU</w:t>
      </w:r>
      <w:r w:rsidR="002011D4">
        <w:rPr>
          <w:rFonts w:ascii="Arial" w:hAnsi="Arial" w:cs="Arial"/>
          <w:sz w:val="20"/>
          <w:szCs w:val="20"/>
        </w:rPr>
        <w:t xml:space="preserve"> ve vládním sektoru</w:t>
      </w:r>
      <w:r w:rsidR="004920C4">
        <w:rPr>
          <w:rFonts w:ascii="Arial" w:hAnsi="Arial" w:cs="Arial"/>
          <w:sz w:val="20"/>
          <w:szCs w:val="20"/>
        </w:rPr>
        <w:t xml:space="preserve"> tvoří více než 30 %. </w:t>
      </w:r>
    </w:p>
    <w:p w14:paraId="2B5E2161" w14:textId="2A329499" w:rsidR="004920C4" w:rsidRDefault="004920C4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Nezanedbatelným zdrojem podpory VaV vládního sektoru jsou i podnikové zdroje. Podnikové zdroje jsou ve vládním sektoru tvořeny především příjmy z výz</w:t>
      </w:r>
      <w:r w:rsidR="002011D4">
        <w:rPr>
          <w:rFonts w:ascii="Arial" w:hAnsi="Arial" w:cs="Arial"/>
          <w:sz w:val="20"/>
          <w:szCs w:val="20"/>
        </w:rPr>
        <w:t>kumu prováděného na zakázku a příjmy</w:t>
      </w:r>
      <w:r>
        <w:rPr>
          <w:rFonts w:ascii="Arial" w:hAnsi="Arial" w:cs="Arial"/>
          <w:sz w:val="20"/>
          <w:szCs w:val="20"/>
        </w:rPr>
        <w:t xml:space="preserve"> z licenčních poplatků. Celkem 73 pracovišť vládního sektoru mělo v roce 2021 příjmy z</w:t>
      </w:r>
      <w:r w:rsidR="008E6AE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prodeje</w:t>
      </w:r>
      <w:r w:rsidR="008E6AED">
        <w:rPr>
          <w:rFonts w:ascii="Arial" w:hAnsi="Arial" w:cs="Arial"/>
          <w:sz w:val="20"/>
          <w:szCs w:val="20"/>
        </w:rPr>
        <w:t xml:space="preserve"> služeb VaV podnikům,</w:t>
      </w:r>
      <w:r w:rsidR="001F3865">
        <w:rPr>
          <w:rFonts w:ascii="Arial" w:hAnsi="Arial" w:cs="Arial"/>
          <w:sz w:val="20"/>
          <w:szCs w:val="20"/>
        </w:rPr>
        <w:t xml:space="preserve"> </w:t>
      </w:r>
      <w:r w:rsidR="00FB5735">
        <w:rPr>
          <w:rFonts w:ascii="Arial" w:hAnsi="Arial" w:cs="Arial"/>
          <w:sz w:val="20"/>
          <w:szCs w:val="20"/>
        </w:rPr>
        <w:t>z toho 14 institucí mělo tyto příjmy vyšší než 10 mil. Kč. Podnikové zdroje financování vládního výzkumu dosáhly v roce 2021</w:t>
      </w:r>
      <w:r>
        <w:rPr>
          <w:rFonts w:ascii="Arial" w:hAnsi="Arial" w:cs="Arial"/>
          <w:sz w:val="20"/>
          <w:szCs w:val="20"/>
        </w:rPr>
        <w:t xml:space="preserve"> </w:t>
      </w:r>
      <w:r w:rsidR="00FB5735">
        <w:rPr>
          <w:rFonts w:ascii="Arial" w:hAnsi="Arial" w:cs="Arial"/>
          <w:sz w:val="20"/>
          <w:szCs w:val="20"/>
        </w:rPr>
        <w:t>celkové výše</w:t>
      </w:r>
      <w:r w:rsidR="00084CE7">
        <w:rPr>
          <w:rFonts w:ascii="Arial" w:hAnsi="Arial" w:cs="Arial"/>
          <w:sz w:val="20"/>
          <w:szCs w:val="20"/>
        </w:rPr>
        <w:t xml:space="preserve"> 2,2 mld. Kč a tvořily 11 % výdajů na VaV vládního sektoru. Je třeba podotknout, že 1,6</w:t>
      </w:r>
      <w:r w:rsidR="00B71A92">
        <w:rPr>
          <w:rFonts w:ascii="Arial" w:hAnsi="Arial" w:cs="Arial"/>
          <w:sz w:val="20"/>
          <w:szCs w:val="20"/>
        </w:rPr>
        <w:t> </w:t>
      </w:r>
      <w:r w:rsidR="00084CE7">
        <w:rPr>
          <w:rFonts w:ascii="Arial" w:hAnsi="Arial" w:cs="Arial"/>
          <w:sz w:val="20"/>
          <w:szCs w:val="20"/>
        </w:rPr>
        <w:t>mld.</w:t>
      </w:r>
      <w:r w:rsidR="00B71A92">
        <w:rPr>
          <w:rFonts w:ascii="Arial" w:hAnsi="Arial" w:cs="Arial"/>
          <w:sz w:val="20"/>
          <w:szCs w:val="20"/>
        </w:rPr>
        <w:t> </w:t>
      </w:r>
      <w:r w:rsidR="00084CE7">
        <w:rPr>
          <w:rFonts w:ascii="Arial" w:hAnsi="Arial" w:cs="Arial"/>
          <w:sz w:val="20"/>
          <w:szCs w:val="20"/>
        </w:rPr>
        <w:t xml:space="preserve">Kč z této částky připadalo na příjmy z licenčních poplatků. Ve většině států EU je VaV ve vládním sektoru financován z podnikových zdrojů méně než z 10 %. Pár evropských států uvádí podnikové financování </w:t>
      </w:r>
      <w:r w:rsidR="002011D4">
        <w:rPr>
          <w:rFonts w:ascii="Arial" w:hAnsi="Arial" w:cs="Arial"/>
          <w:sz w:val="20"/>
          <w:szCs w:val="20"/>
        </w:rPr>
        <w:t xml:space="preserve">vládního výzkumu </w:t>
      </w:r>
      <w:r w:rsidR="00084CE7">
        <w:rPr>
          <w:rFonts w:ascii="Arial" w:hAnsi="Arial" w:cs="Arial"/>
          <w:sz w:val="20"/>
          <w:szCs w:val="20"/>
        </w:rPr>
        <w:t>z 10 až 20 %. V tomto ukazateli zcela vyčnívá Belgie, kde je vládním výzkum financován podniky přibližně ze 40 %.</w:t>
      </w:r>
    </w:p>
    <w:p w14:paraId="3860F72A" w14:textId="61C2C07F" w:rsidR="0017595D" w:rsidRDefault="0017595D" w:rsidP="0017595D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21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Podíl výdajů na VaV ve vládním sektoru (GOVERD) v zemích EU 27 na HDP v roce 2021 (%)</w:t>
      </w:r>
    </w:p>
    <w:p w14:paraId="2C868B37" w14:textId="7D763736" w:rsidR="0017595D" w:rsidRDefault="0017595D" w:rsidP="0017595D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3061CFE9" wp14:editId="681B8165">
            <wp:extent cx="6084000" cy="3240000"/>
            <wp:effectExtent l="0" t="0" r="0" b="0"/>
            <wp:docPr id="45" name="Graf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3B311238" w14:textId="77777777" w:rsidR="0017595D" w:rsidRDefault="0017595D" w:rsidP="0017595D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6C61C35B" w14:textId="6B9C4D9F" w:rsidR="0017595D" w:rsidRPr="0017595D" w:rsidRDefault="0017595D" w:rsidP="0017595D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6438BD">
        <w:rPr>
          <w:rFonts w:ascii="Arial" w:hAnsi="Arial" w:cs="Arial"/>
          <w:i/>
          <w:sz w:val="18"/>
          <w:szCs w:val="20"/>
        </w:rPr>
        <w:t xml:space="preserve">Zdroj: </w:t>
      </w:r>
      <w:r>
        <w:rPr>
          <w:rFonts w:ascii="Arial" w:hAnsi="Arial" w:cs="Arial"/>
          <w:i/>
          <w:sz w:val="18"/>
          <w:szCs w:val="20"/>
        </w:rPr>
        <w:t>Eurostat</w:t>
      </w:r>
    </w:p>
    <w:p w14:paraId="7EF79FA7" w14:textId="3276EC44" w:rsidR="00084CE7" w:rsidRDefault="00D6225D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ve všech sektorech provádění i v případě vládního sektoru se nejvíce prostředků na VaV </w:t>
      </w:r>
      <w:r w:rsidR="002011D4">
        <w:rPr>
          <w:rFonts w:ascii="Arial" w:hAnsi="Arial" w:cs="Arial"/>
          <w:sz w:val="20"/>
          <w:szCs w:val="20"/>
        </w:rPr>
        <w:t>utratí z</w:t>
      </w:r>
      <w:r>
        <w:rPr>
          <w:rFonts w:ascii="Arial" w:hAnsi="Arial" w:cs="Arial"/>
          <w:sz w:val="20"/>
          <w:szCs w:val="20"/>
        </w:rPr>
        <w:t>a mzdy. V posledních čtyřech letech se podíl mzdových nákladů na VaV ve vládním sektoru pohybuje okolo 52 %. Za deset let vzrostly mzdové náklady ve vládním sektoru dvojnásobně, a to z 5,3 mld. Kč v roce 2011 na 10,6</w:t>
      </w:r>
      <w:r w:rsidR="00B71A9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mld. Kč v roce 2021. V případě investičních výdajů takovouto dynamiku nezaznamenáváme. S výjimkou let 2013 až 2015, kdy byly čerpány nejvyšší částky evropských dotací určených na výstavbu zmíněných výzku</w:t>
      </w:r>
      <w:r w:rsidR="009E557A">
        <w:rPr>
          <w:rFonts w:ascii="Arial" w:hAnsi="Arial" w:cs="Arial"/>
          <w:sz w:val="20"/>
          <w:szCs w:val="20"/>
        </w:rPr>
        <w:t xml:space="preserve">mných center, se jejich roční výše po dobu uplynulých </w:t>
      </w:r>
      <w:r w:rsidR="002011D4">
        <w:rPr>
          <w:rFonts w:ascii="Arial" w:hAnsi="Arial" w:cs="Arial"/>
          <w:sz w:val="20"/>
          <w:szCs w:val="20"/>
        </w:rPr>
        <w:t>deseti let</w:t>
      </w:r>
      <w:r w:rsidR="009E557A">
        <w:rPr>
          <w:rFonts w:ascii="Arial" w:hAnsi="Arial" w:cs="Arial"/>
          <w:sz w:val="20"/>
          <w:szCs w:val="20"/>
        </w:rPr>
        <w:t xml:space="preserve"> pohybovala v rozmezí 2,3 až 3 mld. Kč. V roce 2021 to bylo konkrétně 2,8 mld. Kč, což činilo 14 % vládního sektoru. Rekordní byly investice v roce 2015, tehdy tvořily celou 1/3 výdajů na VaV vládního sektoru. Dlouhodobě více než 80 % z investičních výdajů na VaV vládního sektoru připadá na pracoviště </w:t>
      </w:r>
      <w:r w:rsidR="00C17D62">
        <w:rPr>
          <w:rFonts w:ascii="Arial" w:hAnsi="Arial" w:cs="Arial"/>
          <w:sz w:val="20"/>
          <w:szCs w:val="20"/>
        </w:rPr>
        <w:t>Akademie věd</w:t>
      </w:r>
      <w:r w:rsidR="009E557A">
        <w:rPr>
          <w:rFonts w:ascii="Arial" w:hAnsi="Arial" w:cs="Arial"/>
          <w:sz w:val="20"/>
          <w:szCs w:val="20"/>
        </w:rPr>
        <w:t>.</w:t>
      </w:r>
    </w:p>
    <w:p w14:paraId="0D0B2055" w14:textId="5A0190A0" w:rsidR="009E557A" w:rsidRDefault="009E557A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51 pracovišť vládního sektoru vynaložilo v roce 2021 na VaV </w:t>
      </w:r>
      <w:r w:rsidR="002011D4">
        <w:rPr>
          <w:rFonts w:ascii="Arial" w:hAnsi="Arial" w:cs="Arial"/>
          <w:sz w:val="20"/>
          <w:szCs w:val="20"/>
        </w:rPr>
        <w:t xml:space="preserve">více než 100 mil. Kč, z toho </w:t>
      </w:r>
      <w:r>
        <w:rPr>
          <w:rFonts w:ascii="Arial" w:hAnsi="Arial" w:cs="Arial"/>
          <w:sz w:val="20"/>
          <w:szCs w:val="20"/>
        </w:rPr>
        <w:t xml:space="preserve">35 bylo pracovišť Akademie věd ČR. Na šesti pracovištích se </w:t>
      </w:r>
      <w:r w:rsidR="007E1812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VaV </w:t>
      </w:r>
      <w:r w:rsidR="007E1812">
        <w:rPr>
          <w:rFonts w:ascii="Arial" w:hAnsi="Arial" w:cs="Arial"/>
          <w:sz w:val="20"/>
          <w:szCs w:val="20"/>
        </w:rPr>
        <w:t>utratilo</w:t>
      </w:r>
      <w:r>
        <w:rPr>
          <w:rFonts w:ascii="Arial" w:hAnsi="Arial" w:cs="Arial"/>
          <w:sz w:val="20"/>
          <w:szCs w:val="20"/>
        </w:rPr>
        <w:t xml:space="preserve"> dokonce více než 500</w:t>
      </w:r>
      <w:r w:rsidR="007E181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mil.</w:t>
      </w:r>
      <w:r w:rsidR="007E181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Kč. Všechna tato pracoviště </w:t>
      </w:r>
      <w:r w:rsidR="002011D4">
        <w:rPr>
          <w:rFonts w:ascii="Arial" w:hAnsi="Arial" w:cs="Arial"/>
          <w:sz w:val="20"/>
          <w:szCs w:val="20"/>
        </w:rPr>
        <w:t>spadají pod</w:t>
      </w:r>
      <w:r>
        <w:rPr>
          <w:rFonts w:ascii="Arial" w:hAnsi="Arial" w:cs="Arial"/>
          <w:sz w:val="20"/>
          <w:szCs w:val="20"/>
        </w:rPr>
        <w:t xml:space="preserve"> AV ČR.</w:t>
      </w:r>
    </w:p>
    <w:p w14:paraId="22892C21" w14:textId="35F7D828" w:rsidR="009E557A" w:rsidRDefault="009E557A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regionálního rozdělení</w:t>
      </w:r>
      <w:r w:rsidR="009C6FC2">
        <w:rPr>
          <w:rFonts w:ascii="Arial" w:hAnsi="Arial" w:cs="Arial"/>
          <w:sz w:val="20"/>
          <w:szCs w:val="20"/>
        </w:rPr>
        <w:t xml:space="preserve"> výdajů na VaV</w:t>
      </w:r>
      <w:r w:rsidR="002011D4">
        <w:rPr>
          <w:rFonts w:ascii="Arial" w:hAnsi="Arial" w:cs="Arial"/>
          <w:sz w:val="20"/>
          <w:szCs w:val="20"/>
        </w:rPr>
        <w:t xml:space="preserve"> vládního sektoru</w:t>
      </w:r>
      <w:r w:rsidR="009C6FC2">
        <w:rPr>
          <w:rFonts w:ascii="Arial" w:hAnsi="Arial" w:cs="Arial"/>
          <w:sz w:val="20"/>
          <w:szCs w:val="20"/>
        </w:rPr>
        <w:t xml:space="preserve"> je dominantní hlavní město Praha. Z 211 výzkumných pracovišť v roce 2021 se jich v Praze nalézalo 96</w:t>
      </w:r>
      <w:r w:rsidR="00CC2B7D">
        <w:rPr>
          <w:rFonts w:ascii="Arial" w:hAnsi="Arial" w:cs="Arial"/>
          <w:sz w:val="20"/>
          <w:szCs w:val="20"/>
        </w:rPr>
        <w:t>, z toho 37 bylo pracovišť AV ČR</w:t>
      </w:r>
      <w:r w:rsidR="009C6FC2">
        <w:rPr>
          <w:rFonts w:ascii="Arial" w:hAnsi="Arial" w:cs="Arial"/>
          <w:sz w:val="20"/>
          <w:szCs w:val="20"/>
        </w:rPr>
        <w:t xml:space="preserve">. </w:t>
      </w:r>
      <w:r w:rsidR="00CC2B7D">
        <w:rPr>
          <w:rFonts w:ascii="Arial" w:hAnsi="Arial" w:cs="Arial"/>
          <w:sz w:val="20"/>
          <w:szCs w:val="20"/>
        </w:rPr>
        <w:t>Druhý nejvyšší počet pracovišť, byl v</w:t>
      </w:r>
      <w:r w:rsidR="00931EE6">
        <w:rPr>
          <w:rFonts w:ascii="Arial" w:hAnsi="Arial" w:cs="Arial"/>
          <w:sz w:val="20"/>
          <w:szCs w:val="20"/>
        </w:rPr>
        <w:t> Jihomoravském kraji</w:t>
      </w:r>
      <w:r w:rsidR="007E1812">
        <w:rPr>
          <w:rFonts w:ascii="Arial" w:hAnsi="Arial" w:cs="Arial"/>
          <w:sz w:val="20"/>
          <w:szCs w:val="20"/>
        </w:rPr>
        <w:t xml:space="preserve"> (28)</w:t>
      </w:r>
      <w:r w:rsidR="00CC2B7D">
        <w:rPr>
          <w:rFonts w:ascii="Arial" w:hAnsi="Arial" w:cs="Arial"/>
          <w:sz w:val="20"/>
          <w:szCs w:val="20"/>
        </w:rPr>
        <w:t>. Více než 10 pracovišť VaV vládního sektoru bylo již jen ve Středočeském a Ústeckém kraji. V případě výše vynaložených výdajů na VaV je dominance Prahy ještě zřetelnější. V roce 2021 na hlavní město připadaly celé 2/3 výdajů na VaV vládního sektoru. S velkým odstupem následoval z</w:t>
      </w:r>
      <w:r w:rsidR="00931EE6">
        <w:rPr>
          <w:rFonts w:ascii="Arial" w:hAnsi="Arial" w:cs="Arial"/>
          <w:sz w:val="20"/>
          <w:szCs w:val="20"/>
        </w:rPr>
        <w:t>a</w:t>
      </w:r>
      <w:r w:rsidR="00CC2B7D">
        <w:rPr>
          <w:rFonts w:ascii="Arial" w:hAnsi="Arial" w:cs="Arial"/>
          <w:sz w:val="20"/>
          <w:szCs w:val="20"/>
        </w:rPr>
        <w:t xml:space="preserve"> Prahou </w:t>
      </w:r>
      <w:r w:rsidR="00203440">
        <w:rPr>
          <w:rFonts w:ascii="Arial" w:hAnsi="Arial" w:cs="Arial"/>
          <w:sz w:val="20"/>
          <w:szCs w:val="20"/>
        </w:rPr>
        <w:t xml:space="preserve">Středočeský kraj s 3,2 mld. </w:t>
      </w:r>
      <w:r w:rsidR="00931EE6">
        <w:rPr>
          <w:rFonts w:ascii="Arial" w:hAnsi="Arial" w:cs="Arial"/>
          <w:sz w:val="20"/>
          <w:szCs w:val="20"/>
        </w:rPr>
        <w:t>Kč (16 % vládního sektoru). Ve S</w:t>
      </w:r>
      <w:r w:rsidR="00203440">
        <w:rPr>
          <w:rFonts w:ascii="Arial" w:hAnsi="Arial" w:cs="Arial"/>
          <w:sz w:val="20"/>
          <w:szCs w:val="20"/>
        </w:rPr>
        <w:t xml:space="preserve">tředočeském kraji se nachází několik pracovišť AV ČR včetně nově vybudovaných VaV center vzniklých s podporou EU.  Na třetím místě je Jihomoravský kraj, v němž se na VaV ve vládním sektoru vynakládá okolo 2 mld. Kč ročně. V roce 2021 to bylo 2,2 mld. Kč, což znamenalo 11 % vládního sektoru. V Jihomoravské kraji působí několik ústavů AV ČR a některé další veřejné výzkumné instituce. V Brně též nalezneme několik muzeí či </w:t>
      </w:r>
      <w:r w:rsidR="00931EE6">
        <w:rPr>
          <w:rFonts w:ascii="Arial" w:hAnsi="Arial" w:cs="Arial"/>
          <w:sz w:val="20"/>
          <w:szCs w:val="20"/>
        </w:rPr>
        <w:t xml:space="preserve">velkou </w:t>
      </w:r>
      <w:r w:rsidR="00203440">
        <w:rPr>
          <w:rFonts w:ascii="Arial" w:hAnsi="Arial" w:cs="Arial"/>
          <w:sz w:val="20"/>
          <w:szCs w:val="20"/>
        </w:rPr>
        <w:t>knihovnu provádějící VaV činnost. Významný je VaV ve vládním sektoru v Jihočeském kraji, kde působí Biologické centrum AV ČR. V roce 2021 byly výdaje na VaV ve vládním sektoru v tomto kraji 0,8 mld. Kč.</w:t>
      </w:r>
      <w:r w:rsidR="004569CF">
        <w:rPr>
          <w:rFonts w:ascii="Arial" w:hAnsi="Arial" w:cs="Arial"/>
          <w:sz w:val="20"/>
          <w:szCs w:val="20"/>
        </w:rPr>
        <w:t xml:space="preserve"> Ve zbylých deseti krajích Česka dohromady byly v roce 2021 výdaje na VaV vládního sektoru </w:t>
      </w:r>
      <w:r w:rsidR="00931EE6">
        <w:rPr>
          <w:rFonts w:ascii="Arial" w:hAnsi="Arial" w:cs="Arial"/>
          <w:sz w:val="20"/>
          <w:szCs w:val="20"/>
        </w:rPr>
        <w:t xml:space="preserve">celkem </w:t>
      </w:r>
      <w:r w:rsidR="004569CF">
        <w:rPr>
          <w:rFonts w:ascii="Arial" w:hAnsi="Arial" w:cs="Arial"/>
          <w:sz w:val="20"/>
          <w:szCs w:val="20"/>
        </w:rPr>
        <w:t>0,5 mld.</w:t>
      </w:r>
      <w:r w:rsidR="007E1812">
        <w:rPr>
          <w:rFonts w:ascii="Arial" w:hAnsi="Arial" w:cs="Arial"/>
          <w:sz w:val="20"/>
          <w:szCs w:val="20"/>
        </w:rPr>
        <w:t> </w:t>
      </w:r>
      <w:r w:rsidR="004569CF">
        <w:rPr>
          <w:rFonts w:ascii="Arial" w:hAnsi="Arial" w:cs="Arial"/>
          <w:sz w:val="20"/>
          <w:szCs w:val="20"/>
        </w:rPr>
        <w:t>Kč.</w:t>
      </w:r>
    </w:p>
    <w:p w14:paraId="2E5180BB" w14:textId="4C89EEC4" w:rsidR="00456DCA" w:rsidRDefault="00456DCA" w:rsidP="00A7180F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67BA8">
        <w:rPr>
          <w:rFonts w:ascii="Arial" w:hAnsi="Arial" w:cs="Arial"/>
          <w:b/>
          <w:sz w:val="20"/>
          <w:szCs w:val="20"/>
        </w:rPr>
        <w:t>Kartogram</w:t>
      </w:r>
      <w:r>
        <w:rPr>
          <w:rFonts w:ascii="Arial" w:hAnsi="Arial" w:cs="Arial"/>
          <w:b/>
          <w:sz w:val="20"/>
          <w:szCs w:val="20"/>
        </w:rPr>
        <w:t xml:space="preserve"> 3. Výdaje na výzkum a vývoj ve vládním sektoru podle krajů v roce 2021 (mil. Kč)</w:t>
      </w:r>
    </w:p>
    <w:p w14:paraId="3905B040" w14:textId="6C72EEB2" w:rsidR="00456DCA" w:rsidRDefault="00456DCA" w:rsidP="00A7180F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1B5D8A">
        <w:rPr>
          <w:noProof/>
          <w:lang w:eastAsia="cs-CZ"/>
        </w:rPr>
        <w:drawing>
          <wp:inline distT="0" distB="0" distL="0" distR="0" wp14:anchorId="0FB1E17E" wp14:editId="362452D9">
            <wp:extent cx="5760085" cy="3597175"/>
            <wp:effectExtent l="0" t="0" r="0" b="3810"/>
            <wp:docPr id="3" name="Obrázek 3" descr="C:\Users\stampach16510\VTR\web stranky\2021\kartogramy\mapy_podklady\Marek_2022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mpach16510\VTR\web stranky\2021\kartogramy\mapy_podklady\Marek_2022\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2"/>
                    <a:stretch/>
                  </pic:blipFill>
                  <pic:spPr bwMode="auto">
                    <a:xfrm>
                      <a:off x="0" y="0"/>
                      <a:ext cx="5760720" cy="359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C0C3E" w14:textId="39486430" w:rsidR="00456DCA" w:rsidRPr="00456DCA" w:rsidRDefault="00456DCA" w:rsidP="00456DCA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41E3ABA2" w14:textId="002C40A4" w:rsidR="006A3936" w:rsidRDefault="00BA098E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roku 2019 tři roky po sobě je počet pracovníků VaV ve vládním sektoru konstantní. Pohybuje se okolo 19</w:t>
      </w:r>
      <w:r w:rsidR="0063456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tisíc fyzických a 14,5 tisíc přepočtených osob. S ohledem na nárůst pracovníků v jiných sektorech se podíl vládního sektoru na celkovém počtu pracovníků VaV postupně snižuje, a to z 20 % v roce 2016 na 17 % v roce 2021. Přesto jde o nadprůměrné zastoupení ve srovnání s ostatními státy EU. Průměr EU byl v roce 2021 v tomto ukazateli 12 %.</w:t>
      </w:r>
      <w:r w:rsidR="006A3936">
        <w:rPr>
          <w:rFonts w:ascii="Arial" w:hAnsi="Arial" w:cs="Arial"/>
          <w:sz w:val="20"/>
          <w:szCs w:val="20"/>
        </w:rPr>
        <w:t xml:space="preserve"> V absolutních číslech pracovalo ve vládním sektoru výrazně více osob (FTE) než v Česku pouze ve velkých státech Německu, Francii, Španělsku a Itálii. Jediný další stát EU, kde pracuje ve vládním VaV více osob než v Česku je Řecko. I v dalším ukazateli patří Česko mezi lídry EU. V podílu pracovníků VaV (FTE) vládního sektoru na celkové populaci vede jasně Lucembursko s 0,23 % v roce 2021. S velkým odstupem s 0,14 % následují tři státy, a to Německo, Řecko a Česko.</w:t>
      </w:r>
    </w:p>
    <w:p w14:paraId="109C5E95" w14:textId="0C13ED6E" w:rsidR="006A3936" w:rsidRDefault="006A3936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</w:t>
      </w:r>
      <w:r w:rsidR="006C43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jako stagnuje počet celkové</w:t>
      </w:r>
      <w:r w:rsidR="007729C0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počtu pracovníků</w:t>
      </w:r>
      <w:r w:rsidR="007729C0">
        <w:rPr>
          <w:rFonts w:ascii="Arial" w:hAnsi="Arial" w:cs="Arial"/>
          <w:sz w:val="20"/>
          <w:szCs w:val="20"/>
        </w:rPr>
        <w:t xml:space="preserve"> VaV ve vládním sektoru, stagnuje i počet </w:t>
      </w:r>
      <w:r w:rsidR="006C43EF">
        <w:rPr>
          <w:rFonts w:ascii="Arial" w:hAnsi="Arial" w:cs="Arial"/>
          <w:sz w:val="20"/>
          <w:szCs w:val="20"/>
        </w:rPr>
        <w:t xml:space="preserve">zde zaměstnaných </w:t>
      </w:r>
      <w:r w:rsidR="007729C0">
        <w:rPr>
          <w:rFonts w:ascii="Arial" w:hAnsi="Arial" w:cs="Arial"/>
          <w:sz w:val="20"/>
          <w:szCs w:val="20"/>
        </w:rPr>
        <w:t>žen</w:t>
      </w:r>
      <w:r w:rsidR="006C43EF">
        <w:rPr>
          <w:rFonts w:ascii="Arial" w:hAnsi="Arial" w:cs="Arial"/>
          <w:sz w:val="20"/>
          <w:szCs w:val="20"/>
        </w:rPr>
        <w:t>.</w:t>
      </w:r>
      <w:r w:rsidR="007729C0">
        <w:rPr>
          <w:rFonts w:ascii="Arial" w:hAnsi="Arial" w:cs="Arial"/>
          <w:sz w:val="20"/>
          <w:szCs w:val="20"/>
        </w:rPr>
        <w:t xml:space="preserve"> V posledních letech se počet žen pracujících ve VaV v tomto sektoru pohybuje okolo 9,3 tisíc osob, v ukazateli přepočtených osob je to přibližně 7 tisíc osob ročně. Podíl žen na celkovém počtu pracovníků VaV (FTE) sektoru v roce 2021 činil 48 %. Vládní sektor tak vykazuje nejvyšší podíl žen ze všech sektorů provádění. Ve většině států EU se podíl žen ve VaV v tomto sektoru pohybuje v rozmezí 40 až 60 %. </w:t>
      </w:r>
      <w:r w:rsidR="007729C0">
        <w:rPr>
          <w:rFonts w:ascii="Arial" w:hAnsi="Arial" w:cs="Arial"/>
          <w:sz w:val="20"/>
          <w:szCs w:val="20"/>
        </w:rPr>
        <w:lastRenderedPageBreak/>
        <w:t>Nejvíce je to v Estonsku, kde ženy v roce 2020 zaujímaly dokonce 69% podíl, následovalo Portugalsko</w:t>
      </w:r>
      <w:r w:rsidR="00931EE6">
        <w:rPr>
          <w:rFonts w:ascii="Arial" w:hAnsi="Arial" w:cs="Arial"/>
          <w:sz w:val="20"/>
          <w:szCs w:val="20"/>
        </w:rPr>
        <w:t xml:space="preserve"> s 61% podílem a Chorvatsko s 60</w:t>
      </w:r>
      <w:r w:rsidR="007729C0">
        <w:rPr>
          <w:rFonts w:ascii="Arial" w:hAnsi="Arial" w:cs="Arial"/>
          <w:sz w:val="20"/>
          <w:szCs w:val="20"/>
        </w:rPr>
        <w:t>% podílem žen. Naopak méně než 40%</w:t>
      </w:r>
      <w:r w:rsidR="00931EE6">
        <w:rPr>
          <w:rFonts w:ascii="Arial" w:hAnsi="Arial" w:cs="Arial"/>
          <w:sz w:val="20"/>
          <w:szCs w:val="20"/>
        </w:rPr>
        <w:t xml:space="preserve"> zastoupení</w:t>
      </w:r>
      <w:r w:rsidR="007729C0">
        <w:rPr>
          <w:rFonts w:ascii="Arial" w:hAnsi="Arial" w:cs="Arial"/>
          <w:sz w:val="20"/>
          <w:szCs w:val="20"/>
        </w:rPr>
        <w:t xml:space="preserve"> </w:t>
      </w:r>
      <w:r w:rsidR="00931EE6">
        <w:rPr>
          <w:rFonts w:ascii="Arial" w:hAnsi="Arial" w:cs="Arial"/>
          <w:sz w:val="20"/>
          <w:szCs w:val="20"/>
        </w:rPr>
        <w:t xml:space="preserve">ve vládním sektoru </w:t>
      </w:r>
      <w:r w:rsidR="007729C0">
        <w:rPr>
          <w:rFonts w:ascii="Arial" w:hAnsi="Arial" w:cs="Arial"/>
          <w:sz w:val="20"/>
          <w:szCs w:val="20"/>
        </w:rPr>
        <w:t>měly ženy zastoupení v Belgii a na Maltě.</w:t>
      </w:r>
    </w:p>
    <w:p w14:paraId="2F4AD94D" w14:textId="336CD450" w:rsidR="00456DCA" w:rsidRPr="00E66D3A" w:rsidRDefault="00456DCA" w:rsidP="00456DCA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22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 w:rsidRPr="00E95F4B">
        <w:rPr>
          <w:rFonts w:ascii="Arial" w:hAnsi="Arial" w:cs="Arial"/>
          <w:b/>
          <w:sz w:val="20"/>
          <w:szCs w:val="20"/>
        </w:rPr>
        <w:t xml:space="preserve">Pracovníci ve VaV (FTE)* ve vládním sektoru v ČR </w:t>
      </w:r>
      <w:r w:rsidRPr="00E66D3A">
        <w:rPr>
          <w:rFonts w:ascii="Arial" w:hAnsi="Arial" w:cs="Arial"/>
          <w:b/>
          <w:sz w:val="20"/>
          <w:szCs w:val="20"/>
        </w:rPr>
        <w:t xml:space="preserve">podle </w:t>
      </w:r>
      <w:r>
        <w:rPr>
          <w:rFonts w:ascii="Arial" w:hAnsi="Arial" w:cs="Arial"/>
          <w:b/>
          <w:sz w:val="20"/>
          <w:szCs w:val="20"/>
        </w:rPr>
        <w:t xml:space="preserve">druhu subjektů a krajů </w:t>
      </w:r>
      <w:r w:rsidRPr="00E66D3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%</w:t>
      </w:r>
      <w:r w:rsidRPr="00E66D3A">
        <w:rPr>
          <w:rFonts w:ascii="Arial" w:hAnsi="Arial" w:cs="Arial"/>
          <w:b/>
          <w:sz w:val="20"/>
          <w:szCs w:val="20"/>
        </w:rPr>
        <w:t>)</w:t>
      </w:r>
    </w:p>
    <w:p w14:paraId="657F1E96" w14:textId="4ED2FD96" w:rsidR="00456DCA" w:rsidRDefault="00456DCA" w:rsidP="00456DCA">
      <w:pPr>
        <w:tabs>
          <w:tab w:val="left" w:pos="567"/>
          <w:tab w:val="left" w:pos="5103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druhu </w:t>
      </w:r>
      <w:r>
        <w:rPr>
          <w:rFonts w:ascii="Arial" w:hAnsi="Arial" w:cs="Arial"/>
          <w:b/>
          <w:i/>
          <w:sz w:val="18"/>
          <w:szCs w:val="20"/>
        </w:rPr>
        <w:t>subjektu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  <w:t xml:space="preserve">b) podle </w:t>
      </w:r>
      <w:r>
        <w:rPr>
          <w:rFonts w:ascii="Arial" w:hAnsi="Arial" w:cs="Arial"/>
          <w:b/>
          <w:i/>
          <w:sz w:val="18"/>
          <w:szCs w:val="20"/>
        </w:rPr>
        <w:t>krajů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</w:r>
    </w:p>
    <w:p w14:paraId="2294F275" w14:textId="0F574D38" w:rsidR="00456DCA" w:rsidRDefault="00456DCA" w:rsidP="00456DCA">
      <w:pPr>
        <w:tabs>
          <w:tab w:val="left" w:pos="567"/>
          <w:tab w:val="left" w:pos="5103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noProof/>
          <w:lang w:eastAsia="cs-CZ"/>
        </w:rPr>
        <w:drawing>
          <wp:inline distT="0" distB="0" distL="0" distR="0" wp14:anchorId="285DCEF5" wp14:editId="1CCCE77A">
            <wp:extent cx="2714625" cy="2160000"/>
            <wp:effectExtent l="0" t="0" r="0" b="0"/>
            <wp:docPr id="48" name="Graf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  <w:r>
        <w:rPr>
          <w:rFonts w:ascii="Arial" w:hAnsi="Arial" w:cs="Arial"/>
          <w:b/>
          <w:i/>
          <w:sz w:val="18"/>
          <w:szCs w:val="20"/>
        </w:rPr>
        <w:t xml:space="preserve">            </w:t>
      </w:r>
      <w:r>
        <w:rPr>
          <w:noProof/>
          <w:lang w:eastAsia="cs-CZ"/>
        </w:rPr>
        <w:drawing>
          <wp:inline distT="0" distB="0" distL="0" distR="0" wp14:anchorId="4CA3447D" wp14:editId="5AA4D0A9">
            <wp:extent cx="2514600" cy="2160000"/>
            <wp:effectExtent l="0" t="0" r="0" b="0"/>
            <wp:docPr id="49" name="Graf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067B5BE8" w14:textId="77777777" w:rsidR="00456DCA" w:rsidRDefault="00456DCA" w:rsidP="00456DCA">
      <w:pPr>
        <w:spacing w:after="0" w:line="288" w:lineRule="auto"/>
        <w:rPr>
          <w:rFonts w:ascii="Arial" w:hAnsi="Arial" w:cs="Arial"/>
          <w:sz w:val="18"/>
          <w:szCs w:val="20"/>
        </w:rPr>
      </w:pPr>
      <w:r w:rsidRPr="00C67BA8">
        <w:rPr>
          <w:noProof/>
          <w:lang w:eastAsia="cs-CZ"/>
        </w:rPr>
        <w:t xml:space="preserve"> </w:t>
      </w:r>
      <w:r w:rsidRPr="00FA568E">
        <w:rPr>
          <w:noProof/>
          <w:lang w:eastAsia="cs-CZ"/>
        </w:rPr>
        <w:t xml:space="preserve">  </w:t>
      </w:r>
      <w:r w:rsidRPr="00C67BA8">
        <w:rPr>
          <w:noProof/>
          <w:lang w:eastAsia="cs-CZ"/>
        </w:rPr>
        <w:t xml:space="preserve"> </w:t>
      </w:r>
      <w:r>
        <w:rPr>
          <w:rFonts w:ascii="Arial" w:hAnsi="Arial" w:cs="Arial"/>
          <w:sz w:val="18"/>
          <w:szCs w:val="20"/>
        </w:rPr>
        <w:t>*</w:t>
      </w:r>
      <w:r w:rsidRPr="000B0A9C">
        <w:rPr>
          <w:rFonts w:ascii="Arial" w:hAnsi="Arial" w:cs="Arial"/>
          <w:sz w:val="18"/>
          <w:szCs w:val="20"/>
        </w:rPr>
        <w:t>přepočtené osoby na plnou pracovní dobu věnovanou výzkumným a vývojovým činnostem (FTE)</w:t>
      </w:r>
    </w:p>
    <w:p w14:paraId="7880A413" w14:textId="458196F1" w:rsidR="00456DCA" w:rsidRPr="00456DCA" w:rsidRDefault="00456DCA" w:rsidP="00456DCA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233A1C23" w14:textId="77777777" w:rsidR="00456DCA" w:rsidRPr="00C67BA8" w:rsidRDefault="00456DCA" w:rsidP="00456DCA">
      <w:pPr>
        <w:tabs>
          <w:tab w:val="left" w:pos="567"/>
          <w:tab w:val="left" w:pos="5103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</w:p>
    <w:p w14:paraId="28209AE3" w14:textId="7A235C05" w:rsidR="007729C0" w:rsidRDefault="00C44D28" w:rsidP="00A7180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vládním sektoru u nás převažuje bádání v přírodních vědách. Na přírodní vědy v roce 2021 připadalo celkem 62 % pra</w:t>
      </w:r>
      <w:r w:rsidR="003319E6">
        <w:rPr>
          <w:rFonts w:ascii="Arial" w:hAnsi="Arial" w:cs="Arial"/>
          <w:sz w:val="20"/>
          <w:szCs w:val="20"/>
        </w:rPr>
        <w:t>covníků VaV vládního</w:t>
      </w:r>
      <w:r>
        <w:rPr>
          <w:rFonts w:ascii="Arial" w:hAnsi="Arial" w:cs="Arial"/>
          <w:sz w:val="20"/>
          <w:szCs w:val="20"/>
        </w:rPr>
        <w:t xml:space="preserve"> sektoru. Pětina pracovníků VaV vládního sektoru připadala na sociální a humanitní vědy. Ve vládním sektoru v Česku jsou jen nepatrně zastoupeny technické vědy. Vyšší zastoupení žen ve vládním sektoru souvisí právě i se skladbou oborů, v nichž se v tomto sektoru bádá. </w:t>
      </w:r>
      <w:r w:rsidR="003319E6">
        <w:rPr>
          <w:rFonts w:ascii="Arial" w:hAnsi="Arial" w:cs="Arial"/>
          <w:sz w:val="20"/>
          <w:szCs w:val="20"/>
        </w:rPr>
        <w:t>V nejvýznamnějším přírodovědném výzkumu vládního sektoru bylo v roce 2021 zastoupení žen 44 %. Nadpoloviční podíl žen byl ve čtyřech vědních oborech, v lékařských, zemědělských, sociálních a humanitních. Naopak v technických vědách byl podíl žen jen třetinový.</w:t>
      </w:r>
    </w:p>
    <w:p w14:paraId="4E65C073" w14:textId="2ACAEAE3" w:rsidR="00456DCA" w:rsidRPr="00E66D3A" w:rsidRDefault="00456DCA" w:rsidP="00456DCA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 w:rsidR="003E6964">
        <w:rPr>
          <w:rFonts w:ascii="Arial" w:hAnsi="Arial" w:cs="Arial"/>
          <w:b/>
          <w:sz w:val="20"/>
          <w:szCs w:val="20"/>
        </w:rPr>
        <w:t>23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 w:rsidRPr="00786824">
        <w:rPr>
          <w:rFonts w:ascii="Arial" w:hAnsi="Arial" w:cs="Arial"/>
          <w:b/>
          <w:sz w:val="20"/>
          <w:szCs w:val="20"/>
        </w:rPr>
        <w:t>Prac</w:t>
      </w:r>
      <w:r>
        <w:rPr>
          <w:rFonts w:ascii="Arial" w:hAnsi="Arial" w:cs="Arial"/>
          <w:b/>
          <w:sz w:val="20"/>
          <w:szCs w:val="20"/>
        </w:rPr>
        <w:t xml:space="preserve">ovníci </w:t>
      </w:r>
      <w:r w:rsidRPr="00786824">
        <w:rPr>
          <w:rFonts w:ascii="Arial" w:hAnsi="Arial" w:cs="Arial"/>
          <w:b/>
          <w:sz w:val="20"/>
          <w:szCs w:val="20"/>
        </w:rPr>
        <w:t xml:space="preserve">ve </w:t>
      </w:r>
      <w:r>
        <w:rPr>
          <w:rFonts w:ascii="Arial" w:hAnsi="Arial" w:cs="Arial"/>
          <w:b/>
          <w:sz w:val="20"/>
          <w:szCs w:val="20"/>
        </w:rPr>
        <w:t xml:space="preserve">VaV </w:t>
      </w:r>
      <w:r w:rsidRPr="00786824">
        <w:rPr>
          <w:rFonts w:ascii="Arial" w:hAnsi="Arial" w:cs="Arial"/>
          <w:b/>
          <w:sz w:val="20"/>
          <w:szCs w:val="20"/>
        </w:rPr>
        <w:t>(FTE</w:t>
      </w:r>
      <w:r>
        <w:rPr>
          <w:rFonts w:ascii="Arial" w:hAnsi="Arial" w:cs="Arial"/>
          <w:b/>
          <w:sz w:val="20"/>
          <w:szCs w:val="20"/>
        </w:rPr>
        <w:t>)* ve vládním sektoru v ČR podle vybraných charakteristik; 2021</w:t>
      </w:r>
      <w:r w:rsidRPr="00786824">
        <w:rPr>
          <w:rFonts w:ascii="Arial" w:hAnsi="Arial" w:cs="Arial"/>
          <w:b/>
          <w:sz w:val="20"/>
          <w:szCs w:val="20"/>
        </w:rPr>
        <w:t xml:space="preserve"> (%)</w:t>
      </w:r>
    </w:p>
    <w:p w14:paraId="3094EC8C" w14:textId="77777777" w:rsidR="00456DCA" w:rsidRPr="00C67BA8" w:rsidRDefault="00456DCA" w:rsidP="00456DCA">
      <w:pPr>
        <w:tabs>
          <w:tab w:val="left" w:pos="851"/>
          <w:tab w:val="left" w:pos="3544"/>
          <w:tab w:val="left" w:pos="6663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</w:t>
      </w:r>
      <w:r>
        <w:rPr>
          <w:rFonts w:ascii="Arial" w:hAnsi="Arial" w:cs="Arial"/>
          <w:b/>
          <w:i/>
          <w:sz w:val="18"/>
          <w:szCs w:val="20"/>
        </w:rPr>
        <w:t>pohlaví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</w:r>
      <w:r>
        <w:rPr>
          <w:rFonts w:ascii="Arial" w:hAnsi="Arial" w:cs="Arial"/>
          <w:b/>
          <w:i/>
          <w:sz w:val="18"/>
          <w:szCs w:val="20"/>
        </w:rPr>
        <w:t>b</w:t>
      </w:r>
      <w:r w:rsidRPr="008172FB">
        <w:rPr>
          <w:rFonts w:ascii="Arial" w:hAnsi="Arial" w:cs="Arial"/>
          <w:b/>
          <w:i/>
          <w:sz w:val="18"/>
          <w:szCs w:val="20"/>
        </w:rPr>
        <w:t xml:space="preserve">) podle </w:t>
      </w:r>
      <w:r>
        <w:rPr>
          <w:rFonts w:ascii="Arial" w:hAnsi="Arial" w:cs="Arial"/>
          <w:b/>
          <w:i/>
          <w:sz w:val="18"/>
          <w:szCs w:val="20"/>
        </w:rPr>
        <w:t>typu VaV pracovníků</w:t>
      </w:r>
      <w:r>
        <w:rPr>
          <w:rFonts w:ascii="Arial" w:hAnsi="Arial" w:cs="Arial"/>
          <w:b/>
          <w:i/>
          <w:sz w:val="18"/>
          <w:szCs w:val="20"/>
        </w:rPr>
        <w:tab/>
        <w:t>c) podle převažující vědní oblasti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</w:p>
    <w:p w14:paraId="398E140B" w14:textId="3D95587C" w:rsidR="00456DCA" w:rsidRDefault="00456DCA" w:rsidP="00A7180F">
      <w:pPr>
        <w:spacing w:after="120" w:line="288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8F63507" wp14:editId="4ACB9B72">
            <wp:extent cx="1800000" cy="2160000"/>
            <wp:effectExtent l="0" t="0" r="0" b="0"/>
            <wp:docPr id="50" name="Graf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  <w:r w:rsidR="003E6964">
        <w:rPr>
          <w:noProof/>
          <w:lang w:eastAsia="cs-CZ"/>
        </w:rPr>
        <w:t xml:space="preserve">   </w:t>
      </w:r>
      <w:r w:rsidRPr="00456DCA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D27211E" wp14:editId="5DCE34C7">
            <wp:extent cx="1800000" cy="2160000"/>
            <wp:effectExtent l="0" t="0" r="0" b="0"/>
            <wp:docPr id="51" name="Graf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  <w:r w:rsidR="003E6964" w:rsidRPr="003E6964">
        <w:rPr>
          <w:noProof/>
          <w:lang w:eastAsia="cs-CZ"/>
        </w:rPr>
        <w:t xml:space="preserve"> </w:t>
      </w:r>
      <w:r w:rsidR="003E6964">
        <w:rPr>
          <w:noProof/>
          <w:lang w:eastAsia="cs-CZ"/>
        </w:rPr>
        <w:t xml:space="preserve">  </w:t>
      </w:r>
      <w:r w:rsidR="003E6964">
        <w:rPr>
          <w:noProof/>
          <w:lang w:eastAsia="cs-CZ"/>
        </w:rPr>
        <w:drawing>
          <wp:inline distT="0" distB="0" distL="0" distR="0" wp14:anchorId="4BB6BBF6" wp14:editId="44EC2D16">
            <wp:extent cx="2340000" cy="2160000"/>
            <wp:effectExtent l="0" t="0" r="3175" b="0"/>
            <wp:docPr id="52" name="Graf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3004F67E" w14:textId="77777777" w:rsidR="003E6964" w:rsidRDefault="003E6964" w:rsidP="003E6964">
      <w:pPr>
        <w:spacing w:after="40" w:line="288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*</w:t>
      </w:r>
      <w:r w:rsidRPr="000B0A9C">
        <w:rPr>
          <w:rFonts w:ascii="Arial" w:hAnsi="Arial" w:cs="Arial"/>
          <w:sz w:val="18"/>
          <w:szCs w:val="20"/>
        </w:rPr>
        <w:t>přepočtené osoby na plnou pracovní dobu věnovanou výzkumným a vývojovým činnostem (FTE)</w:t>
      </w:r>
    </w:p>
    <w:p w14:paraId="64BF10DF" w14:textId="6922B3C3" w:rsidR="009E557A" w:rsidRPr="003E6964" w:rsidRDefault="003E6964" w:rsidP="003E6964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3E6964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5A1129DD" w14:textId="2EA50438" w:rsidR="00963004" w:rsidRPr="00456552" w:rsidRDefault="00963004" w:rsidP="00DB3518">
      <w:pPr>
        <w:pageBreakBefore/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lastRenderedPageBreak/>
        <w:t>Výzkum a vývoj prováděný ve vysokoškolském sektoru</w:t>
      </w:r>
    </w:p>
    <w:p w14:paraId="2C06DCAF" w14:textId="6DF1DD45" w:rsidR="00D4262D" w:rsidRDefault="00963004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0D62BD">
        <w:rPr>
          <w:rFonts w:ascii="Arial" w:hAnsi="Arial" w:cs="Arial"/>
          <w:sz w:val="20"/>
          <w:szCs w:val="20"/>
        </w:rPr>
        <w:t>Výdaje na VaV ve v</w:t>
      </w:r>
      <w:r w:rsidR="00926C9B">
        <w:rPr>
          <w:rFonts w:ascii="Arial" w:hAnsi="Arial" w:cs="Arial"/>
          <w:sz w:val="20"/>
          <w:szCs w:val="20"/>
        </w:rPr>
        <w:t xml:space="preserve">ysokoškolském </w:t>
      </w:r>
      <w:r w:rsidR="007F4FC6">
        <w:rPr>
          <w:rFonts w:ascii="Arial" w:hAnsi="Arial" w:cs="Arial"/>
          <w:sz w:val="20"/>
          <w:szCs w:val="20"/>
        </w:rPr>
        <w:t>sektoru meziročně vzrostly o 1</w:t>
      </w:r>
      <w:r w:rsidRPr="000D62BD">
        <w:rPr>
          <w:rFonts w:ascii="Arial" w:hAnsi="Arial" w:cs="Arial"/>
          <w:sz w:val="20"/>
          <w:szCs w:val="20"/>
        </w:rPr>
        <w:t xml:space="preserve"> % a dosáhly </w:t>
      </w:r>
      <w:r w:rsidR="00926C9B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,</w:t>
      </w:r>
      <w:r w:rsidR="003319E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mld. Kč. </w:t>
      </w:r>
      <w:r w:rsidR="003319E6">
        <w:rPr>
          <w:rFonts w:ascii="Arial" w:hAnsi="Arial" w:cs="Arial"/>
          <w:sz w:val="20"/>
          <w:szCs w:val="20"/>
        </w:rPr>
        <w:t>Od roku 2019 výdaje na VaV ve vysokoškolském sektoru stagnují. V průběhu dvou let se navýšily</w:t>
      </w:r>
      <w:r w:rsidR="002B69DA">
        <w:rPr>
          <w:rFonts w:ascii="Arial" w:hAnsi="Arial" w:cs="Arial"/>
          <w:sz w:val="20"/>
          <w:szCs w:val="20"/>
        </w:rPr>
        <w:t xml:space="preserve"> jen</w:t>
      </w:r>
      <w:r w:rsidR="003319E6">
        <w:rPr>
          <w:rFonts w:ascii="Arial" w:hAnsi="Arial" w:cs="Arial"/>
          <w:sz w:val="20"/>
          <w:szCs w:val="20"/>
        </w:rPr>
        <w:t xml:space="preserve"> o 0,4 mld. Kč, nejméně ze tří hlavních sektorů. </w:t>
      </w:r>
      <w:r w:rsidR="00BC2B26">
        <w:rPr>
          <w:rFonts w:ascii="Arial" w:hAnsi="Arial" w:cs="Arial"/>
          <w:sz w:val="20"/>
          <w:szCs w:val="20"/>
        </w:rPr>
        <w:t>V roce 2021 byl p</w:t>
      </w:r>
      <w:r w:rsidR="005236DC">
        <w:rPr>
          <w:rFonts w:ascii="Arial" w:hAnsi="Arial" w:cs="Arial"/>
          <w:sz w:val="20"/>
          <w:szCs w:val="20"/>
        </w:rPr>
        <w:t>odíl vysokoškolského sektoru na celkových výdajích na VaV 20 %. Jedná se o podíl lehce pod průměrem EU, který byl v</w:t>
      </w:r>
      <w:r w:rsidR="00BC2B26">
        <w:rPr>
          <w:rFonts w:ascii="Arial" w:hAnsi="Arial" w:cs="Arial"/>
          <w:sz w:val="20"/>
          <w:szCs w:val="20"/>
        </w:rPr>
        <w:t>e stejném</w:t>
      </w:r>
      <w:r w:rsidR="005236DC">
        <w:rPr>
          <w:rFonts w:ascii="Arial" w:hAnsi="Arial" w:cs="Arial"/>
          <w:sz w:val="20"/>
          <w:szCs w:val="20"/>
        </w:rPr>
        <w:t xml:space="preserve"> roce 22%. </w:t>
      </w:r>
      <w:r w:rsidR="00A00711">
        <w:rPr>
          <w:rFonts w:ascii="Arial" w:hAnsi="Arial" w:cs="Arial"/>
          <w:sz w:val="20"/>
          <w:szCs w:val="20"/>
        </w:rPr>
        <w:t xml:space="preserve"> </w:t>
      </w:r>
      <w:r w:rsidR="005236DC">
        <w:rPr>
          <w:rFonts w:ascii="Arial" w:hAnsi="Arial" w:cs="Arial"/>
          <w:sz w:val="20"/>
          <w:szCs w:val="20"/>
        </w:rPr>
        <w:t xml:space="preserve">V deseti státech EU zaujímal </w:t>
      </w:r>
      <w:r w:rsidR="00317B4A">
        <w:rPr>
          <w:rFonts w:ascii="Arial" w:hAnsi="Arial" w:cs="Arial"/>
          <w:sz w:val="20"/>
          <w:szCs w:val="20"/>
        </w:rPr>
        <w:t>vysokoškolský</w:t>
      </w:r>
      <w:r w:rsidR="005236DC">
        <w:rPr>
          <w:rFonts w:ascii="Arial" w:hAnsi="Arial" w:cs="Arial"/>
          <w:sz w:val="20"/>
          <w:szCs w:val="20"/>
        </w:rPr>
        <w:t xml:space="preserve"> sektor více než 30% podíl. V Lotyšsku </w:t>
      </w:r>
      <w:r w:rsidR="00317B4A">
        <w:rPr>
          <w:rFonts w:ascii="Arial" w:hAnsi="Arial" w:cs="Arial"/>
          <w:sz w:val="20"/>
          <w:szCs w:val="20"/>
        </w:rPr>
        <w:t>jako jediném státu EU má vysokoškolský sektor dlouhodobě více než 40% podíl na celkových výdajích na VaV.</w:t>
      </w:r>
    </w:p>
    <w:p w14:paraId="74DEFC10" w14:textId="5B55DA42" w:rsidR="003E6964" w:rsidRDefault="003E6964" w:rsidP="003E6964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53397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24</w:t>
      </w:r>
      <w:r w:rsidRPr="0025339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Výzkum a vývoj ve vysokoškolském sektoru v Česku – základní ukazatele</w:t>
      </w:r>
    </w:p>
    <w:p w14:paraId="07A30446" w14:textId="4B3DC2D5" w:rsidR="003E6964" w:rsidRDefault="003E6964" w:rsidP="003E6964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DDC6790" wp14:editId="61EDF14B">
            <wp:extent cx="6036945" cy="2880000"/>
            <wp:effectExtent l="0" t="0" r="1905" b="0"/>
            <wp:docPr id="53" name="Graf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1B6844C4" w14:textId="0C25A15D" w:rsidR="003E6964" w:rsidRPr="003E6964" w:rsidRDefault="003E6964" w:rsidP="003E6964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5CCEAB17" w14:textId="08922DE6" w:rsidR="0003455D" w:rsidRDefault="00C72BAC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podílovém ukazateli výdajů na VaV na HDP, přesahuje vysokoškolský sektor v Česku 0,4 %. V roce 2021 to bylo 0,41 % HDP. To je přibližně o 0,1 procentního bodu méně než v letech 2012 až 2015, kdy se tento podíl pohyboval okolo 0,5 % HDP. Česko v posledních letech v tomto ukazateli zaostává za průměrem EU, který byl v roce 2021 0,49 % HDP. Lídrem v tomto ukazateli je Dánsko s 0,96 % HDP v roce 2021, přičemž v předešlých letech přesahovalo i hranici 1 % HDP. Za Dánskem s odstupem následuje Švédsko s 0,8 % HDP a Rakouskou s Finskem s 0,7 % HDP. </w:t>
      </w:r>
    </w:p>
    <w:p w14:paraId="0A2B2412" w14:textId="60D49ADA" w:rsidR="003E6964" w:rsidRPr="00E66D3A" w:rsidRDefault="003E6964" w:rsidP="003E6964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25</w:t>
      </w:r>
      <w:r w:rsidRPr="00E66D3A">
        <w:rPr>
          <w:rFonts w:ascii="Arial" w:hAnsi="Arial" w:cs="Arial"/>
          <w:b/>
          <w:sz w:val="20"/>
          <w:szCs w:val="20"/>
        </w:rPr>
        <w:t xml:space="preserve">. Výdaje na </w:t>
      </w:r>
      <w:r>
        <w:rPr>
          <w:rFonts w:ascii="Arial" w:hAnsi="Arial" w:cs="Arial"/>
          <w:b/>
          <w:sz w:val="20"/>
          <w:szCs w:val="20"/>
        </w:rPr>
        <w:t>VaV</w:t>
      </w:r>
      <w:r w:rsidRPr="00E66D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ve vysokoškolském sektoru </w:t>
      </w:r>
      <w:r w:rsidRPr="00E66D3A">
        <w:rPr>
          <w:rFonts w:ascii="Arial" w:hAnsi="Arial" w:cs="Arial"/>
          <w:b/>
          <w:sz w:val="20"/>
          <w:szCs w:val="20"/>
        </w:rPr>
        <w:t>v Č</w:t>
      </w:r>
      <w:r>
        <w:rPr>
          <w:rFonts w:ascii="Arial" w:hAnsi="Arial" w:cs="Arial"/>
          <w:b/>
          <w:sz w:val="20"/>
          <w:szCs w:val="20"/>
        </w:rPr>
        <w:t>R</w:t>
      </w:r>
      <w:r w:rsidRPr="00E66D3A">
        <w:rPr>
          <w:rFonts w:ascii="Arial" w:hAnsi="Arial" w:cs="Arial"/>
          <w:b/>
          <w:sz w:val="20"/>
          <w:szCs w:val="20"/>
        </w:rPr>
        <w:t xml:space="preserve"> podle </w:t>
      </w:r>
      <w:r>
        <w:rPr>
          <w:rFonts w:ascii="Arial" w:hAnsi="Arial" w:cs="Arial"/>
          <w:b/>
          <w:sz w:val="20"/>
          <w:szCs w:val="20"/>
        </w:rPr>
        <w:t xml:space="preserve">druhu výdajů a zdrojů financování </w:t>
      </w:r>
      <w:r w:rsidRPr="00E66D3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%</w:t>
      </w:r>
      <w:r w:rsidRPr="00E66D3A">
        <w:rPr>
          <w:rFonts w:ascii="Arial" w:hAnsi="Arial" w:cs="Arial"/>
          <w:b/>
          <w:sz w:val="20"/>
          <w:szCs w:val="20"/>
        </w:rPr>
        <w:t>)</w:t>
      </w:r>
    </w:p>
    <w:p w14:paraId="34136E7A" w14:textId="57457E73" w:rsidR="003E6964" w:rsidRDefault="003E6964" w:rsidP="003E6964">
      <w:pPr>
        <w:tabs>
          <w:tab w:val="left" w:pos="426"/>
          <w:tab w:val="left" w:pos="5245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druhu výdajů </w:t>
      </w:r>
      <w:r w:rsidRPr="00C67BA8">
        <w:rPr>
          <w:rFonts w:ascii="Arial" w:hAnsi="Arial" w:cs="Arial"/>
          <w:b/>
          <w:i/>
          <w:sz w:val="18"/>
          <w:szCs w:val="20"/>
        </w:rPr>
        <w:tab/>
        <w:t xml:space="preserve">b) podle zdrojů financování </w:t>
      </w:r>
      <w:r w:rsidRPr="00C67BA8">
        <w:rPr>
          <w:rFonts w:ascii="Arial" w:hAnsi="Arial" w:cs="Arial"/>
          <w:b/>
          <w:i/>
          <w:sz w:val="18"/>
          <w:szCs w:val="20"/>
        </w:rPr>
        <w:tab/>
      </w:r>
    </w:p>
    <w:p w14:paraId="2010F924" w14:textId="32823FE0" w:rsidR="003E6964" w:rsidRDefault="003E6964" w:rsidP="003E6964">
      <w:pPr>
        <w:tabs>
          <w:tab w:val="left" w:pos="426"/>
          <w:tab w:val="left" w:pos="5245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noProof/>
          <w:lang w:eastAsia="cs-CZ"/>
        </w:rPr>
        <w:drawing>
          <wp:inline distT="0" distB="0" distL="0" distR="0" wp14:anchorId="52381712" wp14:editId="0E6A7CC7">
            <wp:extent cx="1944000" cy="2160000"/>
            <wp:effectExtent l="0" t="0" r="0" b="0"/>
            <wp:docPr id="54" name="Graf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r>
        <w:rPr>
          <w:rFonts w:ascii="Arial" w:hAnsi="Arial" w:cs="Arial"/>
          <w:b/>
          <w:i/>
          <w:sz w:val="18"/>
          <w:szCs w:val="20"/>
        </w:rPr>
        <w:t xml:space="preserve">                                  </w:t>
      </w:r>
      <w:r>
        <w:rPr>
          <w:noProof/>
          <w:lang w:eastAsia="cs-CZ"/>
        </w:rPr>
        <w:drawing>
          <wp:inline distT="0" distB="0" distL="0" distR="0" wp14:anchorId="2D6B76EC" wp14:editId="2641A8C6">
            <wp:extent cx="1980000" cy="2160000"/>
            <wp:effectExtent l="0" t="0" r="1270" b="0"/>
            <wp:docPr id="55" name="Graf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49D94632" w14:textId="2E9DCAEF" w:rsidR="00C72BAC" w:rsidRPr="00C72BAC" w:rsidRDefault="00C72BAC" w:rsidP="00C72BAC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4FC6ECED" w14:textId="2819AF70" w:rsidR="00C72BAC" w:rsidRDefault="00C72BAC" w:rsidP="00C72BA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roce 2021 se VaV prováděl </w:t>
      </w:r>
      <w:r w:rsidR="00DE7E59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64 institucích vysokoškolského sektoru. Mezi tyto instituce patří především 28 veřejných a státních vysokých škol s jejich více než 180 výzkumnými pracovišti. V roce 2021 se </w:t>
      </w:r>
      <w:r w:rsidR="00DE7E59">
        <w:rPr>
          <w:rFonts w:ascii="Arial" w:hAnsi="Arial" w:cs="Arial"/>
          <w:sz w:val="20"/>
          <w:szCs w:val="20"/>
        </w:rPr>
        <w:t>zde</w:t>
      </w:r>
      <w:r>
        <w:rPr>
          <w:rFonts w:ascii="Arial" w:hAnsi="Arial" w:cs="Arial"/>
          <w:sz w:val="20"/>
          <w:szCs w:val="20"/>
        </w:rPr>
        <w:t xml:space="preserve"> </w:t>
      </w:r>
      <w:r w:rsidR="00DE7E59">
        <w:rPr>
          <w:rFonts w:ascii="Arial" w:hAnsi="Arial" w:cs="Arial"/>
          <w:sz w:val="20"/>
          <w:szCs w:val="20"/>
        </w:rPr>
        <w:t xml:space="preserve">na VaV </w:t>
      </w:r>
      <w:r>
        <w:rPr>
          <w:rFonts w:ascii="Arial" w:hAnsi="Arial" w:cs="Arial"/>
          <w:sz w:val="20"/>
          <w:szCs w:val="20"/>
        </w:rPr>
        <w:lastRenderedPageBreak/>
        <w:t xml:space="preserve">vynaložilo celkem 23,2 mld. Kč, což tvořilo </w:t>
      </w:r>
      <w:r w:rsidR="00DE7E59">
        <w:rPr>
          <w:rFonts w:ascii="Arial" w:hAnsi="Arial" w:cs="Arial"/>
          <w:sz w:val="20"/>
          <w:szCs w:val="20"/>
        </w:rPr>
        <w:t>94 </w:t>
      </w:r>
      <w:r>
        <w:rPr>
          <w:rFonts w:ascii="Arial" w:hAnsi="Arial" w:cs="Arial"/>
          <w:sz w:val="20"/>
          <w:szCs w:val="20"/>
        </w:rPr>
        <w:t xml:space="preserve">% </w:t>
      </w:r>
      <w:r w:rsidR="00DE7E59">
        <w:rPr>
          <w:rFonts w:ascii="Arial" w:hAnsi="Arial" w:cs="Arial"/>
          <w:sz w:val="20"/>
          <w:szCs w:val="20"/>
        </w:rPr>
        <w:t xml:space="preserve">výdajů na VaV </w:t>
      </w:r>
      <w:r>
        <w:rPr>
          <w:rFonts w:ascii="Arial" w:hAnsi="Arial" w:cs="Arial"/>
          <w:sz w:val="20"/>
          <w:szCs w:val="20"/>
        </w:rPr>
        <w:t xml:space="preserve">vysokoškolského sektoru. Do vysokoškolského sektoru řadíme taktéž fakultní nemocnice. Na 12 fakultních nemocnicích bylo v roce 2021 </w:t>
      </w:r>
      <w:r w:rsidR="00DE7E59">
        <w:rPr>
          <w:rFonts w:ascii="Arial" w:hAnsi="Arial" w:cs="Arial"/>
          <w:sz w:val="20"/>
          <w:szCs w:val="20"/>
        </w:rPr>
        <w:t>utraceno za</w:t>
      </w:r>
      <w:r>
        <w:rPr>
          <w:rFonts w:ascii="Arial" w:hAnsi="Arial" w:cs="Arial"/>
          <w:sz w:val="20"/>
          <w:szCs w:val="20"/>
        </w:rPr>
        <w:t xml:space="preserve"> VaV celkem 1,3 mld. Kč, tj. necelých 6 % vysokoškolského sektoru. Zanedbatelný je výzkum prováděný v Česku na soukromých vysokých školách, jejichž pracovníci se zabývají převážně pedagogickou činností. Počet soukromých škol provádějících VaV činnost na našem území se dlouhodobě pohybuje mezi 20 až 30 školami s celkovými výdaji na VaV okolo 0,2 mld. Kč ročně, což odpovídá přibližně 1</w:t>
      </w:r>
      <w:r w:rsidR="00B2362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% výdajů na VaV vysokoškolského sektoru.</w:t>
      </w:r>
    </w:p>
    <w:p w14:paraId="0B24970E" w14:textId="77777777" w:rsidR="00C72BAC" w:rsidRDefault="00C72BAC" w:rsidP="00C72BAC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26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 w:rsidRPr="008A248B">
        <w:rPr>
          <w:rFonts w:ascii="Arial" w:hAnsi="Arial" w:cs="Arial"/>
          <w:b/>
          <w:sz w:val="20"/>
          <w:szCs w:val="20"/>
        </w:rPr>
        <w:t>Neinvestiční výdaje na VaV ve v</w:t>
      </w:r>
      <w:r>
        <w:rPr>
          <w:rFonts w:ascii="Arial" w:hAnsi="Arial" w:cs="Arial"/>
          <w:b/>
          <w:sz w:val="20"/>
          <w:szCs w:val="20"/>
        </w:rPr>
        <w:t xml:space="preserve">ysokoškolském </w:t>
      </w:r>
      <w:r w:rsidRPr="008A248B">
        <w:rPr>
          <w:rFonts w:ascii="Arial" w:hAnsi="Arial" w:cs="Arial"/>
          <w:b/>
          <w:sz w:val="20"/>
          <w:szCs w:val="20"/>
        </w:rPr>
        <w:t>sektoru v Č</w:t>
      </w:r>
      <w:r>
        <w:rPr>
          <w:rFonts w:ascii="Arial" w:hAnsi="Arial" w:cs="Arial"/>
          <w:b/>
          <w:sz w:val="20"/>
          <w:szCs w:val="20"/>
        </w:rPr>
        <w:t>R</w:t>
      </w:r>
      <w:r w:rsidRPr="008A248B">
        <w:rPr>
          <w:rFonts w:ascii="Arial" w:hAnsi="Arial" w:cs="Arial"/>
          <w:b/>
          <w:sz w:val="20"/>
          <w:szCs w:val="20"/>
        </w:rPr>
        <w:t xml:space="preserve"> podle převažující vědní oblast</w:t>
      </w:r>
      <w:r>
        <w:rPr>
          <w:rFonts w:ascii="Arial" w:hAnsi="Arial" w:cs="Arial"/>
          <w:b/>
          <w:sz w:val="20"/>
          <w:szCs w:val="20"/>
        </w:rPr>
        <w:t>i</w:t>
      </w:r>
    </w:p>
    <w:p w14:paraId="4F3BDF2D" w14:textId="77777777" w:rsidR="00C72BAC" w:rsidRDefault="00C72BAC" w:rsidP="00C72BAC">
      <w:pPr>
        <w:spacing w:after="120" w:line="288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77CCC18" wp14:editId="030116A2">
            <wp:extent cx="3877450" cy="2340000"/>
            <wp:effectExtent l="0" t="0" r="8890" b="3175"/>
            <wp:docPr id="56" name="Graf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  <w:r w:rsidRPr="00C72BAC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6758343" wp14:editId="3FF47C89">
            <wp:extent cx="1980000" cy="2340000"/>
            <wp:effectExtent l="0" t="0" r="1270" b="0"/>
            <wp:docPr id="57" name="Graf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022318A7" w14:textId="77777777" w:rsidR="00C72BAC" w:rsidRPr="00C72BAC" w:rsidRDefault="00C72BAC" w:rsidP="00C72BAC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28FD7174" w14:textId="7BDC0972" w:rsidR="00C72BAC" w:rsidRDefault="00C72BAC" w:rsidP="00C72BA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 jako ve vládním sektoru je i vysokoškolský VaV financován zvláště z veřejných domácích zdrojů, v roce 2021 to bylo ze 76 %. Český stát podpořil vysokoškolský výzkum celkovou částkou 18,8 mld. Kč</w:t>
      </w:r>
      <w:r w:rsidR="002F0D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 celkových veřejných domácích výdajů na VaV jich do vysokoškolského sektoru míří téměř polovina. Obdobně jako v Česku je i v ostatních státech financován vysokoškolský VaV převážně z veřejných domácích zdrojů. Průměr EU převyšuje 75 %, v Rakousku a Německu se pohybuje okolo 80 %.</w:t>
      </w:r>
    </w:p>
    <w:p w14:paraId="1CF89EED" w14:textId="7B22B393" w:rsidR="00C72BAC" w:rsidRPr="00E66D3A" w:rsidRDefault="00C72BAC" w:rsidP="00C72BAC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 w:rsidR="006F275F">
        <w:rPr>
          <w:rFonts w:ascii="Arial" w:hAnsi="Arial" w:cs="Arial"/>
          <w:b/>
          <w:sz w:val="20"/>
          <w:szCs w:val="20"/>
        </w:rPr>
        <w:t>27</w:t>
      </w:r>
      <w:r w:rsidRPr="00E66D3A">
        <w:rPr>
          <w:rFonts w:ascii="Arial" w:hAnsi="Arial" w:cs="Arial"/>
          <w:b/>
          <w:sz w:val="20"/>
          <w:szCs w:val="20"/>
        </w:rPr>
        <w:t xml:space="preserve">. Výdaje na </w:t>
      </w:r>
      <w:r>
        <w:rPr>
          <w:rFonts w:ascii="Arial" w:hAnsi="Arial" w:cs="Arial"/>
          <w:b/>
          <w:sz w:val="20"/>
          <w:szCs w:val="20"/>
        </w:rPr>
        <w:t>VaV</w:t>
      </w:r>
      <w:r w:rsidRPr="00E66D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ve vysokoškolském sektoru </w:t>
      </w:r>
      <w:r w:rsidRPr="00E66D3A">
        <w:rPr>
          <w:rFonts w:ascii="Arial" w:hAnsi="Arial" w:cs="Arial"/>
          <w:b/>
          <w:sz w:val="20"/>
          <w:szCs w:val="20"/>
        </w:rPr>
        <w:t xml:space="preserve">v Česku podle </w:t>
      </w:r>
      <w:r>
        <w:rPr>
          <w:rFonts w:ascii="Arial" w:hAnsi="Arial" w:cs="Arial"/>
          <w:b/>
          <w:sz w:val="20"/>
          <w:szCs w:val="20"/>
        </w:rPr>
        <w:t xml:space="preserve">druhu subjektů a krajů </w:t>
      </w:r>
      <w:r w:rsidRPr="00E66D3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%</w:t>
      </w:r>
      <w:r w:rsidRPr="00E66D3A">
        <w:rPr>
          <w:rFonts w:ascii="Arial" w:hAnsi="Arial" w:cs="Arial"/>
          <w:b/>
          <w:sz w:val="20"/>
          <w:szCs w:val="20"/>
        </w:rPr>
        <w:t>)</w:t>
      </w:r>
    </w:p>
    <w:p w14:paraId="08F5A61E" w14:textId="51BD67EA" w:rsidR="00C72BAC" w:rsidRPr="00C67BA8" w:rsidRDefault="00C72BAC" w:rsidP="00C72BAC">
      <w:pPr>
        <w:tabs>
          <w:tab w:val="left" w:pos="567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druhu </w:t>
      </w:r>
      <w:r>
        <w:rPr>
          <w:rFonts w:ascii="Arial" w:hAnsi="Arial" w:cs="Arial"/>
          <w:b/>
          <w:i/>
          <w:sz w:val="18"/>
          <w:szCs w:val="20"/>
        </w:rPr>
        <w:t>subjektů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>
        <w:rPr>
          <w:rFonts w:ascii="Arial" w:hAnsi="Arial" w:cs="Arial"/>
          <w:b/>
          <w:i/>
          <w:sz w:val="18"/>
          <w:szCs w:val="20"/>
        </w:rPr>
        <w:t xml:space="preserve">                                </w:t>
      </w:r>
      <w:r w:rsidRPr="00C67BA8">
        <w:rPr>
          <w:rFonts w:ascii="Arial" w:hAnsi="Arial" w:cs="Arial"/>
          <w:b/>
          <w:i/>
          <w:sz w:val="18"/>
          <w:szCs w:val="20"/>
        </w:rPr>
        <w:tab/>
        <w:t xml:space="preserve">b) podle </w:t>
      </w:r>
      <w:r>
        <w:rPr>
          <w:rFonts w:ascii="Arial" w:hAnsi="Arial" w:cs="Arial"/>
          <w:b/>
          <w:i/>
          <w:sz w:val="18"/>
          <w:szCs w:val="20"/>
        </w:rPr>
        <w:t>krajů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</w:r>
    </w:p>
    <w:p w14:paraId="3F96765F" w14:textId="64817881" w:rsidR="00C72BAC" w:rsidRDefault="00C72BAC" w:rsidP="00C72BA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0C6F7909" wp14:editId="215A6DFC">
            <wp:extent cx="2514600" cy="2160000"/>
            <wp:effectExtent l="0" t="0" r="0" b="0"/>
            <wp:docPr id="58" name="Graf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noProof/>
          <w:lang w:eastAsia="cs-CZ"/>
        </w:rPr>
        <w:drawing>
          <wp:inline distT="0" distB="0" distL="0" distR="0" wp14:anchorId="45C00477" wp14:editId="253A2AB3">
            <wp:extent cx="2819400" cy="2160000"/>
            <wp:effectExtent l="0" t="0" r="0" b="0"/>
            <wp:docPr id="59" name="Graf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55F8D52A" w14:textId="140E245F" w:rsidR="00C72BAC" w:rsidRPr="00C72BAC" w:rsidRDefault="00C72BAC" w:rsidP="00C72BAC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10326BFC" w14:textId="52EEEFDF" w:rsidR="00C72BAC" w:rsidRDefault="00C72BAC" w:rsidP="00C72BA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Veřejné zahraniční zdroje tvořené zejména prostředky EU přinesly vysokým školám od roku 2011 téměř 50</w:t>
      </w:r>
      <w:r w:rsidR="004763B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mld. Kč. Nejvýraznější čerpání EU dotací probíhalo mezi lety 2012 a 2015. V roce 2013 dosáhly veřejné zahraniční zdroje rekordní výše 7,8 mld. Kč, což tehdy tvořilo 37 % výdajů na VaV vysokoškolského sektoru. Prostředky čerpané v posledních letech takto vysokých částek nedosahují, ale rozhodně nejsou zanedbatelné. V roce 2021 přispěly veřejné zahraniční zdroje vysokým školám celkovou částkou 3,8 mld. Kč, což tvořilo 15</w:t>
      </w:r>
      <w:r w:rsidR="004763B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lastRenderedPageBreak/>
        <w:t>výdajů na VaV ve vysokoškolském sektoru. V roce 2019 jedenáct států EU včetně Česka uvádělo, že jejich vysokoškolský výzkum je financován ze zdrojů EU z více než 10 %. V Litvě a Lotyšsku se tento podíl dlouhodobě pohybuje nad úrovní 30 %. Tento ukazatel však není v případě mnoha států konstantní a jsou evidovány velké výkyvy v souvislosti s různou intenzitou čerpání EU dotací v jednotlivých letech.</w:t>
      </w:r>
    </w:p>
    <w:p w14:paraId="640151BE" w14:textId="51E9B080" w:rsidR="006F275F" w:rsidRDefault="006F275F" w:rsidP="006F275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Podnikové zdroje</w:t>
      </w:r>
      <w:r w:rsidR="00342E61">
        <w:rPr>
          <w:rFonts w:ascii="Arial" w:hAnsi="Arial" w:cs="Arial"/>
          <w:sz w:val="20"/>
          <w:szCs w:val="20"/>
        </w:rPr>
        <w:t>, směřující do vysokoškolského výzkumu,</w:t>
      </w:r>
      <w:r>
        <w:rPr>
          <w:rFonts w:ascii="Arial" w:hAnsi="Arial" w:cs="Arial"/>
          <w:sz w:val="20"/>
          <w:szCs w:val="20"/>
        </w:rPr>
        <w:t xml:space="preserve"> se v posledních pěti letech pohybují kolem 1 mld. Kč ročně, v roce 2021 to bylo 1,1 mld. Kč. Podnikové zdroje na vysokých školách tvoří především příjmy z prodeje služeb VaV. Celkem 28 subjektů vysokoškolského sektoru provádělo v roce 2021 výzkum na zakázku podniků, z toho v případě 11 subjektů byla utržená částka vyšší než 10 mil. Kč. Nejvíce peněz utržily technické školy. Na ČVUT v Praze a VUT v Brně dokonce připadá více než polovina ze všech příjmů z prodejů služeb VaV vysokých škol podnikům. Téměř ve všech státech EU se podniky podílejí na financování výdajů na VaV vysokoškolského sektoru z méně než 10 %. V České republice je to dlouhodobě kolem 4 %. Ze západoevropských států překonává hranici 10 % pouze Belgie. V roce 2019 se jednalo o 12 %. Ze všech států EU se na financování vysokoškolského výzkumu podílí podniky více než v Belgii již jen v Bulharsku. V roce 2020 to bylo dokonce z 24 %. Je však třeba podotknout, že celkové výdaje na VaV ve vysokoškolském sektoru byly v Bulharsku pouhých 35 mil. Eur. Pro srovnání v Česku to bylo ve stejném roce 965 mil. Eur.</w:t>
      </w:r>
    </w:p>
    <w:p w14:paraId="2DC0F36E" w14:textId="137BC613" w:rsidR="006F275F" w:rsidRDefault="006F275F" w:rsidP="00C72BA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28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Podíl výdajů na VaV ve vysokoškolském sektoru (HERD) v EU 27 na HDP v roce 2021 (%)</w:t>
      </w:r>
    </w:p>
    <w:p w14:paraId="11A54BBD" w14:textId="1B82F0DC" w:rsidR="00C72BAC" w:rsidRDefault="006F275F" w:rsidP="006F275F">
      <w:pPr>
        <w:spacing w:after="120" w:line="288" w:lineRule="auto"/>
        <w:rPr>
          <w:rFonts w:ascii="Arial" w:hAnsi="Arial" w:cs="Arial"/>
          <w:i/>
          <w:sz w:val="18"/>
          <w:szCs w:val="20"/>
        </w:rPr>
      </w:pPr>
      <w:r>
        <w:rPr>
          <w:noProof/>
          <w:lang w:eastAsia="cs-CZ"/>
        </w:rPr>
        <w:drawing>
          <wp:inline distT="0" distB="0" distL="0" distR="0" wp14:anchorId="366E0B52" wp14:editId="1DA55105">
            <wp:extent cx="6084000" cy="3240000"/>
            <wp:effectExtent l="0" t="0" r="0" b="0"/>
            <wp:docPr id="60" name="Graf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095ED927" w14:textId="5A8FCE82" w:rsidR="006F275F" w:rsidRPr="00C72BAC" w:rsidRDefault="006F275F" w:rsidP="006F275F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6438BD">
        <w:rPr>
          <w:rFonts w:ascii="Arial" w:hAnsi="Arial" w:cs="Arial"/>
          <w:i/>
          <w:sz w:val="18"/>
          <w:szCs w:val="20"/>
        </w:rPr>
        <w:t xml:space="preserve">Zdroj: </w:t>
      </w:r>
      <w:r>
        <w:rPr>
          <w:rFonts w:ascii="Arial" w:hAnsi="Arial" w:cs="Arial"/>
          <w:i/>
          <w:sz w:val="18"/>
          <w:szCs w:val="20"/>
        </w:rPr>
        <w:t>Eurostat</w:t>
      </w:r>
    </w:p>
    <w:p w14:paraId="554FC981" w14:textId="745819A4" w:rsidR="00C17D62" w:rsidRDefault="00E4634A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v ostatních sektorech i na vysokých školách z nákladových položek nejvíce rostou mzdy, které několik let tvoří více než 50 % výdajů na VaV sektoru. Od roku 2011 do roku 2021 se mzdové náklady navýšily z</w:t>
      </w:r>
      <w:r w:rsidR="0057477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</w:t>
      </w:r>
      <w:r w:rsidR="0057477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mld. Kč na </w:t>
      </w:r>
      <w:r w:rsidR="00B228C0">
        <w:rPr>
          <w:rFonts w:ascii="Arial" w:hAnsi="Arial" w:cs="Arial"/>
          <w:sz w:val="20"/>
          <w:szCs w:val="20"/>
        </w:rPr>
        <w:t>13,6 mld. Kč a jejich podíl na celkových výdajích na VaV vysokoškolského sektoru vzrostl z 39 na 55 %.</w:t>
      </w:r>
      <w:r w:rsidR="00F24B3B">
        <w:rPr>
          <w:rFonts w:ascii="Arial" w:hAnsi="Arial" w:cs="Arial"/>
          <w:sz w:val="20"/>
          <w:szCs w:val="20"/>
        </w:rPr>
        <w:t xml:space="preserve"> Investi</w:t>
      </w:r>
      <w:r w:rsidR="00C17D62">
        <w:rPr>
          <w:rFonts w:ascii="Arial" w:hAnsi="Arial" w:cs="Arial"/>
          <w:sz w:val="20"/>
          <w:szCs w:val="20"/>
        </w:rPr>
        <w:t>ční náklady měly svůj vrchol ve stejném období jako ve vládním sektoru</w:t>
      </w:r>
      <w:r w:rsidR="002301B3">
        <w:rPr>
          <w:rFonts w:ascii="Arial" w:hAnsi="Arial" w:cs="Arial"/>
          <w:sz w:val="20"/>
          <w:szCs w:val="20"/>
        </w:rPr>
        <w:t>, který souvisel</w:t>
      </w:r>
      <w:r w:rsidR="00C17D62">
        <w:rPr>
          <w:rFonts w:ascii="Arial" w:hAnsi="Arial" w:cs="Arial"/>
          <w:sz w:val="20"/>
          <w:szCs w:val="20"/>
        </w:rPr>
        <w:t xml:space="preserve"> s intenzivním čerpáním EU dotací na výstavbu nových výzkumných center. Na investice šlo ve vysokoškolském sektoru mezi lety 2012 a 2015 25 mld. Kč, tzn. více než 6 mld. Kč ročně. V posledních čtyřech letech se jejich výše pohybuje okolo 2 mld. Kč ročně, v roce 2021 to bylo 1,8 mld. Kč, pouhých 7 % výdajů na VaV vysokoškolského sektoru.</w:t>
      </w:r>
    </w:p>
    <w:p w14:paraId="19E201DD" w14:textId="72DC9F30" w:rsidR="00EA6825" w:rsidRDefault="00072009" w:rsidP="001A67C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sedmi univerzitách se v roce 2021 vynaložila na VaV více než 1 mld. Kč. Dalších pět veřejných vysokých škol vykázalo výdaje na VaV vyšší než 500 mil. Kč a na dalších devíti to bylo více než 100 mil. Kč. Šest fakultních nemocnic z dvanácti mělo v roce 2021 výdaje na VaV vyšší než 100 mil. Kč. V případě soukromých vysokých škol jsou částky vynakládané n</w:t>
      </w:r>
      <w:r w:rsidR="002301B3">
        <w:rPr>
          <w:rFonts w:ascii="Arial" w:hAnsi="Arial" w:cs="Arial"/>
          <w:sz w:val="20"/>
          <w:szCs w:val="20"/>
        </w:rPr>
        <w:t>a VaV podstatně nižší. Dvacet z</w:t>
      </w:r>
      <w:r>
        <w:rPr>
          <w:rFonts w:ascii="Arial" w:hAnsi="Arial" w:cs="Arial"/>
          <w:sz w:val="20"/>
          <w:szCs w:val="20"/>
        </w:rPr>
        <w:t xml:space="preserve"> 24 soukromých vysokých škol provádějících v roce 2021</w:t>
      </w:r>
      <w:r w:rsidR="002301B3">
        <w:rPr>
          <w:rFonts w:ascii="Arial" w:hAnsi="Arial" w:cs="Arial"/>
          <w:sz w:val="20"/>
          <w:szCs w:val="20"/>
        </w:rPr>
        <w:t xml:space="preserve"> v Česku</w:t>
      </w:r>
      <w:r>
        <w:rPr>
          <w:rFonts w:ascii="Arial" w:hAnsi="Arial" w:cs="Arial"/>
          <w:sz w:val="20"/>
          <w:szCs w:val="20"/>
        </w:rPr>
        <w:t xml:space="preserve"> VaV </w:t>
      </w:r>
      <w:r w:rsidR="0057477E">
        <w:rPr>
          <w:rFonts w:ascii="Arial" w:hAnsi="Arial" w:cs="Arial"/>
          <w:sz w:val="20"/>
          <w:szCs w:val="20"/>
        </w:rPr>
        <w:t>utratilo za</w:t>
      </w:r>
      <w:r>
        <w:rPr>
          <w:rFonts w:ascii="Arial" w:hAnsi="Arial" w:cs="Arial"/>
          <w:sz w:val="20"/>
          <w:szCs w:val="20"/>
        </w:rPr>
        <w:t xml:space="preserve"> tuto činnost dokonce méně než 10 mil. Kč.</w:t>
      </w:r>
    </w:p>
    <w:p w14:paraId="2B8BAF67" w14:textId="75AB215C" w:rsidR="006F275F" w:rsidRDefault="006F275F" w:rsidP="006F275F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67BA8">
        <w:rPr>
          <w:rFonts w:ascii="Arial" w:hAnsi="Arial" w:cs="Arial"/>
          <w:b/>
          <w:sz w:val="20"/>
          <w:szCs w:val="20"/>
        </w:rPr>
        <w:lastRenderedPageBreak/>
        <w:t>Kartogram</w:t>
      </w:r>
      <w:r>
        <w:rPr>
          <w:rFonts w:ascii="Arial" w:hAnsi="Arial" w:cs="Arial"/>
          <w:b/>
          <w:sz w:val="20"/>
          <w:szCs w:val="20"/>
        </w:rPr>
        <w:t xml:space="preserve"> 4. Výdaje na výzkum a vývoj ve vysokoškolském sektoru podle krajů v roce 2021 (mil. Kč)</w:t>
      </w:r>
    </w:p>
    <w:p w14:paraId="5DEEC1BF" w14:textId="21BBB268" w:rsidR="006F275F" w:rsidRDefault="006F275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80084B">
        <w:rPr>
          <w:noProof/>
          <w:lang w:eastAsia="cs-CZ"/>
        </w:rPr>
        <w:drawing>
          <wp:inline distT="0" distB="0" distL="0" distR="0" wp14:anchorId="51ACCAF8" wp14:editId="6CF37ECE">
            <wp:extent cx="5760248" cy="3597275"/>
            <wp:effectExtent l="0" t="0" r="0" b="3175"/>
            <wp:docPr id="61" name="Obrázek 61" descr="C:\Users\stampach16510\VTR\web stranky\2021\kartogramy\mapy_podklady\Marek_2022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mpach16510\VTR\web stranky\2021\kartogramy\mapy_podklady\Marek_2022\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2"/>
                    <a:stretch/>
                  </pic:blipFill>
                  <pic:spPr bwMode="auto">
                    <a:xfrm>
                      <a:off x="0" y="0"/>
                      <a:ext cx="5760720" cy="359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80FE1" w14:textId="51229CFD" w:rsidR="006F275F" w:rsidRPr="006F275F" w:rsidRDefault="006F275F" w:rsidP="006F275F">
      <w:pPr>
        <w:spacing w:after="120" w:line="288" w:lineRule="auto"/>
        <w:jc w:val="right"/>
        <w:rPr>
          <w:rFonts w:ascii="Arial" w:hAnsi="Arial" w:cs="Arial"/>
          <w:i/>
          <w:sz w:val="18"/>
          <w:szCs w:val="20"/>
        </w:rPr>
      </w:pPr>
      <w:r w:rsidRPr="008D75B1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</w:p>
    <w:p w14:paraId="72E1FF4F" w14:textId="0C899CD8" w:rsidR="006F275F" w:rsidRDefault="006F275F" w:rsidP="006F275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Nejvíce vysokých škol i fakultních nemocnic se nachází ve dvou největších městech</w:t>
      </w:r>
      <w:r w:rsidR="00795F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95F63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Praze a</w:t>
      </w:r>
      <w:r w:rsidR="00795F63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 Brně. Jejich převaha nad zbytkem republiku je výrazná, v roce 2021 </w:t>
      </w:r>
      <w:r w:rsidR="00795F63">
        <w:rPr>
          <w:rFonts w:ascii="Arial" w:hAnsi="Arial" w:cs="Arial"/>
          <w:sz w:val="20"/>
          <w:szCs w:val="20"/>
        </w:rPr>
        <w:t xml:space="preserve">připadaly </w:t>
      </w:r>
      <w:r>
        <w:rPr>
          <w:rFonts w:ascii="Arial" w:hAnsi="Arial" w:cs="Arial"/>
          <w:sz w:val="20"/>
          <w:szCs w:val="20"/>
        </w:rPr>
        <w:t>na Prahu a Jihomoravský kraj 2/3 výdajů na VaV vysokoškolského sektoru. Ve vedoucí Praze to bylo 9,9 mld. Kč a v Jihomoravském kraji 6,5</w:t>
      </w:r>
      <w:r w:rsidR="00795F6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mld.</w:t>
      </w:r>
      <w:r w:rsidR="00795F6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Kč. V ostatních regionech Česka to bylo dohromady 8,3 mld. Kč. Na třetím místě s dvěma mld. Kč byl Moravskoslezský kraj, v němž sídlí tři univerzity. Na dalším místě byl v závěsu Olomoucký kraj, kde bylo vynaloženo 1,7 mld. Kč. Okolo 1 mld. Kč se na VaV ve vysokoškolském sektoru vynakládá v Plzeňském kraji. V nejmenším Karlovarském kraji se nenachází ani jeden subjekt vysokoškolského sektoru provádějící výzkumnou činnost.</w:t>
      </w:r>
    </w:p>
    <w:p w14:paraId="2AB09E1C" w14:textId="66235747" w:rsidR="006F275F" w:rsidRPr="00E66D3A" w:rsidRDefault="006F275F" w:rsidP="006F275F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29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 w:rsidRPr="00E95F4B">
        <w:rPr>
          <w:rFonts w:ascii="Arial" w:hAnsi="Arial" w:cs="Arial"/>
          <w:b/>
          <w:sz w:val="20"/>
          <w:szCs w:val="20"/>
        </w:rPr>
        <w:t xml:space="preserve">Pracovníci ve VaV (FTE)* ve </w:t>
      </w:r>
      <w:r>
        <w:rPr>
          <w:rFonts w:ascii="Arial" w:hAnsi="Arial" w:cs="Arial"/>
          <w:b/>
          <w:sz w:val="20"/>
          <w:szCs w:val="20"/>
        </w:rPr>
        <w:t xml:space="preserve">vysokoškolském sektoru </w:t>
      </w:r>
      <w:r w:rsidRPr="00E95F4B">
        <w:rPr>
          <w:rFonts w:ascii="Arial" w:hAnsi="Arial" w:cs="Arial"/>
          <w:b/>
          <w:sz w:val="20"/>
          <w:szCs w:val="20"/>
        </w:rPr>
        <w:t xml:space="preserve">v ČR </w:t>
      </w:r>
      <w:r w:rsidRPr="00E66D3A">
        <w:rPr>
          <w:rFonts w:ascii="Arial" w:hAnsi="Arial" w:cs="Arial"/>
          <w:b/>
          <w:sz w:val="20"/>
          <w:szCs w:val="20"/>
        </w:rPr>
        <w:t xml:space="preserve">podle </w:t>
      </w:r>
      <w:r>
        <w:rPr>
          <w:rFonts w:ascii="Arial" w:hAnsi="Arial" w:cs="Arial"/>
          <w:b/>
          <w:sz w:val="20"/>
          <w:szCs w:val="20"/>
        </w:rPr>
        <w:t xml:space="preserve">druhu subjektů a krajů </w:t>
      </w:r>
      <w:r w:rsidRPr="00E66D3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%</w:t>
      </w:r>
      <w:r w:rsidRPr="00E66D3A">
        <w:rPr>
          <w:rFonts w:ascii="Arial" w:hAnsi="Arial" w:cs="Arial"/>
          <w:b/>
          <w:sz w:val="20"/>
          <w:szCs w:val="20"/>
        </w:rPr>
        <w:t>)</w:t>
      </w:r>
    </w:p>
    <w:p w14:paraId="54AE5217" w14:textId="77777777" w:rsidR="006F275F" w:rsidRPr="00C67BA8" w:rsidRDefault="006F275F" w:rsidP="006F275F">
      <w:pPr>
        <w:tabs>
          <w:tab w:val="left" w:pos="567"/>
          <w:tab w:val="left" w:pos="5103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druhu </w:t>
      </w:r>
      <w:r>
        <w:rPr>
          <w:rFonts w:ascii="Arial" w:hAnsi="Arial" w:cs="Arial"/>
          <w:b/>
          <w:i/>
          <w:sz w:val="18"/>
          <w:szCs w:val="20"/>
        </w:rPr>
        <w:t>subjektů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  <w:t xml:space="preserve">b) podle </w:t>
      </w:r>
      <w:r>
        <w:rPr>
          <w:rFonts w:ascii="Arial" w:hAnsi="Arial" w:cs="Arial"/>
          <w:b/>
          <w:i/>
          <w:sz w:val="18"/>
          <w:szCs w:val="20"/>
        </w:rPr>
        <w:t>krajů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</w:r>
    </w:p>
    <w:p w14:paraId="6C40D79E" w14:textId="36C86D0D" w:rsidR="006F275F" w:rsidRDefault="006F275F" w:rsidP="006F275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64B9E3C" wp14:editId="2B37C34E">
            <wp:extent cx="2880000" cy="2160000"/>
            <wp:effectExtent l="0" t="0" r="0" b="0"/>
            <wp:docPr id="62" name="Graf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noProof/>
          <w:lang w:eastAsia="cs-CZ"/>
        </w:rPr>
        <w:drawing>
          <wp:inline distT="0" distB="0" distL="0" distR="0" wp14:anchorId="7CBE9192" wp14:editId="154C563D">
            <wp:extent cx="2880000" cy="2160000"/>
            <wp:effectExtent l="0" t="0" r="0" b="0"/>
            <wp:docPr id="63" name="Graf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14:paraId="36BE1B26" w14:textId="77777777" w:rsidR="00CA39D0" w:rsidRDefault="00CA39D0" w:rsidP="00CA39D0">
      <w:pPr>
        <w:spacing w:after="40" w:line="288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*</w:t>
      </w:r>
      <w:r w:rsidRPr="000B0A9C">
        <w:rPr>
          <w:rFonts w:ascii="Arial" w:hAnsi="Arial" w:cs="Arial"/>
          <w:sz w:val="18"/>
          <w:szCs w:val="20"/>
        </w:rPr>
        <w:t>přepočtené osoby na plnou pracovní dobu věnovanou výzkumným a vývojovým činnostem (FTE)</w:t>
      </w:r>
    </w:p>
    <w:p w14:paraId="36245759" w14:textId="77777777" w:rsidR="00CA39D0" w:rsidRPr="00CA39D0" w:rsidRDefault="00CA39D0" w:rsidP="00CA39D0">
      <w:pPr>
        <w:spacing w:after="120"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A39D0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  <w:r w:rsidRPr="00CA39D0">
        <w:rPr>
          <w:rFonts w:ascii="Arial" w:hAnsi="Arial" w:cs="Arial"/>
          <w:i/>
          <w:sz w:val="20"/>
          <w:szCs w:val="20"/>
        </w:rPr>
        <w:t xml:space="preserve"> </w:t>
      </w:r>
    </w:p>
    <w:p w14:paraId="420C64F6" w14:textId="77777777" w:rsidR="006F275F" w:rsidRDefault="006F275F" w:rsidP="006F275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AF033F6" w14:textId="01110A49" w:rsidR="006F275F" w:rsidRDefault="006F275F" w:rsidP="006F275F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Ve vysokoškolském sektoru pracovalo v roce 2021 ve výzkumu a vývoji téměř 39 tis osob. V ukazateli přepočtených osob se jednalo o 20,9 tis. osob. Přibližně poloviční počet přepočtených osob ve vztahu k fyzickým osobám lze vysvětlit tím, že na vysokých školách se akademičtí pracovníci nezabývají výlučně VaV činností, ale mají samozřejmě i pedagogické povinnosti. Na vysokých školách najdeme též mnoho pracovníků zaměstnaných jen na částečný úvazek. Na celkovém počtu pracovníků VaV (FTE) zaujímá VŠ sektor 25% podíl. Ve většině států západní Evropy se tento podíl pohybuje mezi 20 a 25 %. Naopak v případě východní Evropy je v mnoha státech přesahován i 40% podíl. V podílu pracovníků VaV na obyvatelstvo dosahuje Česko s 0,2% průměru EU. Ve většině států EU se tento podíl pohybuje v rozmezí 0,15 až 0,25 %. Vyšší podíl zaznamenalo v roce 2021 pět států EU, přičemž v Dánsku, Finsku a Portugalsku dokonce více než 0,4</w:t>
      </w:r>
      <w:r w:rsidR="003510C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%. </w:t>
      </w:r>
    </w:p>
    <w:p w14:paraId="56053D8C" w14:textId="049F07A2" w:rsidR="00967061" w:rsidRDefault="00367633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Podíl žen ve vysokoškolském výzkumu se v Česku dlouhodobě pohybuje okolo 40 %. Je tedy nižší než v případě vládního sektoru. </w:t>
      </w:r>
      <w:r w:rsidR="00E0171D">
        <w:rPr>
          <w:rFonts w:ascii="Arial" w:hAnsi="Arial" w:cs="Arial"/>
          <w:sz w:val="20"/>
          <w:szCs w:val="20"/>
        </w:rPr>
        <w:t xml:space="preserve">K drobnému nárůstu </w:t>
      </w:r>
      <w:r w:rsidR="005B52A9">
        <w:rPr>
          <w:rFonts w:ascii="Arial" w:hAnsi="Arial" w:cs="Arial"/>
          <w:sz w:val="20"/>
          <w:szCs w:val="20"/>
        </w:rPr>
        <w:t xml:space="preserve">však </w:t>
      </w:r>
      <w:r w:rsidR="00E0171D">
        <w:rPr>
          <w:rFonts w:ascii="Arial" w:hAnsi="Arial" w:cs="Arial"/>
          <w:sz w:val="20"/>
          <w:szCs w:val="20"/>
        </w:rPr>
        <w:t>přece jen dochází. Od roku 2012 se počet žen zvýšil z 6,5 na 8,5 tis. osob (FTE) a jejich podíl vzrostl z 39 na téměř 41 %. I Přes tento drobný nárůst zůstává zastoupení žen</w:t>
      </w:r>
      <w:r w:rsidR="00967061">
        <w:rPr>
          <w:rFonts w:ascii="Arial" w:hAnsi="Arial" w:cs="Arial"/>
          <w:sz w:val="20"/>
          <w:szCs w:val="20"/>
        </w:rPr>
        <w:t xml:space="preserve"> ve VŠ výzkumu jedno z nejnižších v rámci celé EU. Nižší než 40 % bylo v roce 2020</w:t>
      </w:r>
      <w:r w:rsidR="005B52A9">
        <w:rPr>
          <w:rFonts w:ascii="Arial" w:hAnsi="Arial" w:cs="Arial"/>
          <w:sz w:val="20"/>
          <w:szCs w:val="20"/>
        </w:rPr>
        <w:t xml:space="preserve"> </w:t>
      </w:r>
      <w:r w:rsidR="00967061">
        <w:rPr>
          <w:rFonts w:ascii="Arial" w:hAnsi="Arial" w:cs="Arial"/>
          <w:sz w:val="20"/>
          <w:szCs w:val="20"/>
        </w:rPr>
        <w:t xml:space="preserve">pouze v Lucembursku. Většina států vykazovala podíl žen v rozmezí 43 až 50 %. Nadpoloviční zastoupení žen ve vysokoškolském výzkumu bylo v sedmi státech EU, </w:t>
      </w:r>
      <w:r w:rsidR="005B52A9">
        <w:rPr>
          <w:rFonts w:ascii="Arial" w:hAnsi="Arial" w:cs="Arial"/>
          <w:sz w:val="20"/>
          <w:szCs w:val="20"/>
        </w:rPr>
        <w:t xml:space="preserve">přičemž nejvíce to bylo </w:t>
      </w:r>
      <w:r w:rsidR="00967061">
        <w:rPr>
          <w:rFonts w:ascii="Arial" w:hAnsi="Arial" w:cs="Arial"/>
          <w:sz w:val="20"/>
          <w:szCs w:val="20"/>
        </w:rPr>
        <w:t>v</w:t>
      </w:r>
      <w:r w:rsidR="005B52A9">
        <w:rPr>
          <w:rFonts w:ascii="Arial" w:hAnsi="Arial" w:cs="Arial"/>
          <w:sz w:val="20"/>
          <w:szCs w:val="20"/>
        </w:rPr>
        <w:t> </w:t>
      </w:r>
      <w:r w:rsidR="00967061">
        <w:rPr>
          <w:rFonts w:ascii="Arial" w:hAnsi="Arial" w:cs="Arial"/>
          <w:sz w:val="20"/>
          <w:szCs w:val="20"/>
        </w:rPr>
        <w:t>Lotyšsku</w:t>
      </w:r>
      <w:r w:rsidR="005B52A9">
        <w:rPr>
          <w:rFonts w:ascii="Arial" w:hAnsi="Arial" w:cs="Arial"/>
          <w:sz w:val="20"/>
          <w:szCs w:val="20"/>
        </w:rPr>
        <w:t xml:space="preserve"> (57 %)</w:t>
      </w:r>
      <w:r w:rsidR="00967061">
        <w:rPr>
          <w:rFonts w:ascii="Arial" w:hAnsi="Arial" w:cs="Arial"/>
          <w:sz w:val="20"/>
          <w:szCs w:val="20"/>
        </w:rPr>
        <w:t>.</w:t>
      </w:r>
    </w:p>
    <w:p w14:paraId="69E398E6" w14:textId="128A7067" w:rsidR="00CA39D0" w:rsidRPr="00E66D3A" w:rsidRDefault="00CA39D0" w:rsidP="00CA39D0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E66D3A">
        <w:rPr>
          <w:rFonts w:ascii="Arial" w:hAnsi="Arial" w:cs="Arial"/>
          <w:b/>
          <w:sz w:val="20"/>
          <w:szCs w:val="20"/>
        </w:rPr>
        <w:t xml:space="preserve">Graf </w:t>
      </w:r>
      <w:r>
        <w:rPr>
          <w:rFonts w:ascii="Arial" w:hAnsi="Arial" w:cs="Arial"/>
          <w:b/>
          <w:sz w:val="20"/>
          <w:szCs w:val="20"/>
        </w:rPr>
        <w:t>30</w:t>
      </w:r>
      <w:r w:rsidRPr="00E66D3A">
        <w:rPr>
          <w:rFonts w:ascii="Arial" w:hAnsi="Arial" w:cs="Arial"/>
          <w:b/>
          <w:sz w:val="20"/>
          <w:szCs w:val="20"/>
        </w:rPr>
        <w:t xml:space="preserve">. </w:t>
      </w:r>
      <w:r w:rsidRPr="00786824">
        <w:rPr>
          <w:rFonts w:ascii="Arial" w:hAnsi="Arial" w:cs="Arial"/>
          <w:b/>
          <w:sz w:val="20"/>
          <w:szCs w:val="20"/>
        </w:rPr>
        <w:t>Prac</w:t>
      </w:r>
      <w:r>
        <w:rPr>
          <w:rFonts w:ascii="Arial" w:hAnsi="Arial" w:cs="Arial"/>
          <w:b/>
          <w:sz w:val="20"/>
          <w:szCs w:val="20"/>
        </w:rPr>
        <w:t xml:space="preserve">ovníci </w:t>
      </w:r>
      <w:r w:rsidRPr="00786824">
        <w:rPr>
          <w:rFonts w:ascii="Arial" w:hAnsi="Arial" w:cs="Arial"/>
          <w:b/>
          <w:sz w:val="20"/>
          <w:szCs w:val="20"/>
        </w:rPr>
        <w:t xml:space="preserve">ve </w:t>
      </w:r>
      <w:r>
        <w:rPr>
          <w:rFonts w:ascii="Arial" w:hAnsi="Arial" w:cs="Arial"/>
          <w:b/>
          <w:sz w:val="20"/>
          <w:szCs w:val="20"/>
        </w:rPr>
        <w:t xml:space="preserve">vysokoškolském výzkumu </w:t>
      </w:r>
      <w:r w:rsidRPr="00786824">
        <w:rPr>
          <w:rFonts w:ascii="Arial" w:hAnsi="Arial" w:cs="Arial"/>
          <w:b/>
          <w:sz w:val="20"/>
          <w:szCs w:val="20"/>
        </w:rPr>
        <w:t>(FTE</w:t>
      </w:r>
      <w:r>
        <w:rPr>
          <w:rFonts w:ascii="Arial" w:hAnsi="Arial" w:cs="Arial"/>
          <w:b/>
          <w:sz w:val="20"/>
          <w:szCs w:val="20"/>
        </w:rPr>
        <w:t>)* v ČR podle vybraných charakteristik; 2021</w:t>
      </w:r>
      <w:r w:rsidRPr="00786824">
        <w:rPr>
          <w:rFonts w:ascii="Arial" w:hAnsi="Arial" w:cs="Arial"/>
          <w:b/>
          <w:sz w:val="20"/>
          <w:szCs w:val="20"/>
        </w:rPr>
        <w:t xml:space="preserve"> (%)</w:t>
      </w:r>
    </w:p>
    <w:p w14:paraId="5B6DB035" w14:textId="77777777" w:rsidR="00CA39D0" w:rsidRPr="00C67BA8" w:rsidRDefault="00CA39D0" w:rsidP="00CA39D0">
      <w:pPr>
        <w:tabs>
          <w:tab w:val="left" w:pos="851"/>
          <w:tab w:val="left" w:pos="3544"/>
          <w:tab w:val="left" w:pos="6663"/>
        </w:tabs>
        <w:spacing w:after="0" w:line="288" w:lineRule="auto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Pr="00C67BA8">
        <w:rPr>
          <w:rFonts w:ascii="Arial" w:hAnsi="Arial" w:cs="Arial"/>
          <w:b/>
          <w:i/>
          <w:sz w:val="18"/>
          <w:szCs w:val="20"/>
        </w:rPr>
        <w:t>a)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podle </w:t>
      </w:r>
      <w:r>
        <w:rPr>
          <w:rFonts w:ascii="Arial" w:hAnsi="Arial" w:cs="Arial"/>
          <w:b/>
          <w:i/>
          <w:sz w:val="18"/>
          <w:szCs w:val="20"/>
        </w:rPr>
        <w:t>pohlaví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  <w:r w:rsidRPr="00C67BA8">
        <w:rPr>
          <w:rFonts w:ascii="Arial" w:hAnsi="Arial" w:cs="Arial"/>
          <w:b/>
          <w:i/>
          <w:sz w:val="18"/>
          <w:szCs w:val="20"/>
        </w:rPr>
        <w:tab/>
      </w:r>
      <w:r>
        <w:rPr>
          <w:rFonts w:ascii="Arial" w:hAnsi="Arial" w:cs="Arial"/>
          <w:b/>
          <w:i/>
          <w:sz w:val="18"/>
          <w:szCs w:val="20"/>
        </w:rPr>
        <w:t>b</w:t>
      </w:r>
      <w:r w:rsidRPr="008172FB">
        <w:rPr>
          <w:rFonts w:ascii="Arial" w:hAnsi="Arial" w:cs="Arial"/>
          <w:b/>
          <w:i/>
          <w:sz w:val="18"/>
          <w:szCs w:val="20"/>
        </w:rPr>
        <w:t xml:space="preserve">) podle </w:t>
      </w:r>
      <w:r>
        <w:rPr>
          <w:rFonts w:ascii="Arial" w:hAnsi="Arial" w:cs="Arial"/>
          <w:b/>
          <w:i/>
          <w:sz w:val="18"/>
          <w:szCs w:val="20"/>
        </w:rPr>
        <w:t>typu VaV pracovníků</w:t>
      </w:r>
      <w:r>
        <w:rPr>
          <w:rFonts w:ascii="Arial" w:hAnsi="Arial" w:cs="Arial"/>
          <w:b/>
          <w:i/>
          <w:sz w:val="18"/>
          <w:szCs w:val="20"/>
        </w:rPr>
        <w:tab/>
        <w:t>c) podle převažující vědní oblasti</w:t>
      </w:r>
      <w:r w:rsidRPr="00C67BA8">
        <w:rPr>
          <w:rFonts w:ascii="Arial" w:hAnsi="Arial" w:cs="Arial"/>
          <w:b/>
          <w:i/>
          <w:sz w:val="18"/>
          <w:szCs w:val="20"/>
        </w:rPr>
        <w:t xml:space="preserve"> </w:t>
      </w:r>
    </w:p>
    <w:p w14:paraId="1B1A418A" w14:textId="23802C16" w:rsidR="00CA39D0" w:rsidRDefault="00CA39D0">
      <w:pPr>
        <w:spacing w:after="120" w:line="288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02B6ECF" wp14:editId="7BAE5D45">
            <wp:extent cx="1800000" cy="2333650"/>
            <wp:effectExtent l="0" t="0" r="0" b="0"/>
            <wp:docPr id="64" name="Graf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  <w:r>
        <w:rPr>
          <w:noProof/>
          <w:lang w:eastAsia="cs-CZ"/>
        </w:rPr>
        <w:t xml:space="preserve">     </w:t>
      </w:r>
      <w:r w:rsidRPr="00CA39D0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EE6523E" wp14:editId="3D51F750">
            <wp:extent cx="1800000" cy="2333650"/>
            <wp:effectExtent l="0" t="0" r="0" b="0"/>
            <wp:docPr id="65" name="Graf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  <w:r w:rsidRPr="00CA39D0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0CBB9A6" wp14:editId="787B0BCA">
            <wp:extent cx="2340000" cy="2327300"/>
            <wp:effectExtent l="0" t="0" r="3175" b="0"/>
            <wp:docPr id="66" name="Graf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14:paraId="5F10EEDE" w14:textId="77777777" w:rsidR="00CA39D0" w:rsidRDefault="00CA39D0" w:rsidP="00CA39D0">
      <w:pPr>
        <w:spacing w:after="40" w:line="288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*</w:t>
      </w:r>
      <w:r w:rsidRPr="000B0A9C">
        <w:rPr>
          <w:rFonts w:ascii="Arial" w:hAnsi="Arial" w:cs="Arial"/>
          <w:sz w:val="18"/>
          <w:szCs w:val="20"/>
        </w:rPr>
        <w:t>přepočtené osoby na plnou pracovní dobu věnovanou výzkumným a vývojovým činnostem (FTE)</w:t>
      </w:r>
    </w:p>
    <w:p w14:paraId="07280A75" w14:textId="7719E048" w:rsidR="00CA39D0" w:rsidRPr="00CA39D0" w:rsidRDefault="00CA39D0" w:rsidP="00CA39D0">
      <w:pPr>
        <w:spacing w:after="120"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A39D0">
        <w:rPr>
          <w:rFonts w:ascii="Arial" w:hAnsi="Arial" w:cs="Arial"/>
          <w:i/>
          <w:sz w:val="18"/>
          <w:szCs w:val="20"/>
        </w:rPr>
        <w:t>Zdroj: ČSÚ; Roční zjišťování o výzkumu a vývoji VTR 5-01</w:t>
      </w:r>
      <w:r w:rsidRPr="00CA39D0">
        <w:rPr>
          <w:rFonts w:ascii="Arial" w:hAnsi="Arial" w:cs="Arial"/>
          <w:i/>
          <w:sz w:val="20"/>
          <w:szCs w:val="20"/>
        </w:rPr>
        <w:t xml:space="preserve"> </w:t>
      </w:r>
    </w:p>
    <w:p w14:paraId="27F364CE" w14:textId="1A0DB660" w:rsidR="002301B3" w:rsidRDefault="00967061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srovnání s vládním sektorem jsou ve vysokoškolském </w:t>
      </w:r>
      <w:r w:rsidR="00984CE4">
        <w:rPr>
          <w:rFonts w:ascii="Arial" w:hAnsi="Arial" w:cs="Arial"/>
          <w:sz w:val="20"/>
          <w:szCs w:val="20"/>
        </w:rPr>
        <w:t>výzkumu</w:t>
      </w:r>
      <w:r>
        <w:rPr>
          <w:rFonts w:ascii="Arial" w:hAnsi="Arial" w:cs="Arial"/>
          <w:sz w:val="20"/>
          <w:szCs w:val="20"/>
        </w:rPr>
        <w:t xml:space="preserve"> u nás rovnoměrněji zastoupeny jednotlivé vědní obory, i když i zde se nejvíce osob věnuje přírodovědnému </w:t>
      </w:r>
      <w:r w:rsidR="00984CE4">
        <w:rPr>
          <w:rFonts w:ascii="Arial" w:hAnsi="Arial" w:cs="Arial"/>
          <w:sz w:val="20"/>
          <w:szCs w:val="20"/>
        </w:rPr>
        <w:t>bádání. Počet vysokoškolských pracovníků VaV</w:t>
      </w:r>
      <w:r>
        <w:rPr>
          <w:rFonts w:ascii="Arial" w:hAnsi="Arial" w:cs="Arial"/>
          <w:sz w:val="20"/>
          <w:szCs w:val="20"/>
        </w:rPr>
        <w:t xml:space="preserve"> </w:t>
      </w:r>
      <w:r w:rsidR="00984CE4">
        <w:rPr>
          <w:rFonts w:ascii="Arial" w:hAnsi="Arial" w:cs="Arial"/>
          <w:sz w:val="20"/>
          <w:szCs w:val="20"/>
        </w:rPr>
        <w:t>v přírodních se zvýšil ze 4 tis. osob</w:t>
      </w:r>
      <w:r w:rsidR="005B52A9">
        <w:rPr>
          <w:rFonts w:ascii="Arial" w:hAnsi="Arial" w:cs="Arial"/>
          <w:sz w:val="20"/>
          <w:szCs w:val="20"/>
        </w:rPr>
        <w:t xml:space="preserve"> v roce 2021</w:t>
      </w:r>
      <w:r w:rsidR="00984CE4">
        <w:rPr>
          <w:rFonts w:ascii="Arial" w:hAnsi="Arial" w:cs="Arial"/>
          <w:sz w:val="20"/>
          <w:szCs w:val="20"/>
        </w:rPr>
        <w:t xml:space="preserve"> na 6,6 tis. osob (FTE)</w:t>
      </w:r>
      <w:r w:rsidR="005B52A9">
        <w:rPr>
          <w:rFonts w:ascii="Arial" w:hAnsi="Arial" w:cs="Arial"/>
          <w:sz w:val="20"/>
          <w:szCs w:val="20"/>
        </w:rPr>
        <w:t xml:space="preserve"> v roce 2021</w:t>
      </w:r>
      <w:r w:rsidR="00984CE4">
        <w:rPr>
          <w:rFonts w:ascii="Arial" w:hAnsi="Arial" w:cs="Arial"/>
          <w:sz w:val="20"/>
          <w:szCs w:val="20"/>
        </w:rPr>
        <w:t xml:space="preserve">. Podíl přírodních věd tak ve vysokoškolském sektoru výrazně vzrostl 25 na 31 %. Dříve nejvýznamnější technické vědy zaznamenávají dlouholetou stagnaci na přibližně 5 tis. osobách. V roce 2021 to bylo 5,2 tis. osob (FTE) a podíl technických věd klesl z 34 % v roce 2012 na 25 % v roce 2021. V lékařských vědách provádělo VaV ve vysokoškolském sektoru v roce 2021 více než 3 tis. osob, v zemědělských a sociálních vědách okolo 2 tis. osob a v humanitních vědách 1,6 tis. osob. </w:t>
      </w:r>
      <w:r w:rsidR="00CE0F38">
        <w:rPr>
          <w:rFonts w:ascii="Arial" w:hAnsi="Arial" w:cs="Arial"/>
          <w:sz w:val="20"/>
          <w:szCs w:val="20"/>
        </w:rPr>
        <w:t>V lékařských a zemědělských vědách je mezi vysokoškolskými pracovníky VaV nadpoloviční zastoupení žen, v</w:t>
      </w:r>
      <w:r w:rsidR="00094173">
        <w:rPr>
          <w:rFonts w:ascii="Arial" w:hAnsi="Arial" w:cs="Arial"/>
          <w:sz w:val="20"/>
          <w:szCs w:val="20"/>
        </w:rPr>
        <w:t> sociálních a humanitních vědách se zastoupení žen dlouhodobě pohybuje mezi 40 a 50 %. Podílové zastoupení žen je nižší v případě přírodních věd (34 % v roce 2021) a vůbec nejméně je tomu v případě tech</w:t>
      </w:r>
      <w:r w:rsidR="002301B3">
        <w:rPr>
          <w:rFonts w:ascii="Arial" w:hAnsi="Arial" w:cs="Arial"/>
          <w:sz w:val="20"/>
          <w:szCs w:val="20"/>
        </w:rPr>
        <w:t>nických věd (30 % v roce 2021).</w:t>
      </w:r>
    </w:p>
    <w:sectPr w:rsidR="002301B3" w:rsidSect="00456552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315"/>
    <w:multiLevelType w:val="hybridMultilevel"/>
    <w:tmpl w:val="59A20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B8E"/>
    <w:multiLevelType w:val="hybridMultilevel"/>
    <w:tmpl w:val="E4D66CFA"/>
    <w:lvl w:ilvl="0" w:tplc="AF500688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0" w:hanging="360"/>
      </w:pPr>
    </w:lvl>
    <w:lvl w:ilvl="2" w:tplc="0405001B" w:tentative="1">
      <w:start w:val="1"/>
      <w:numFmt w:val="lowerRoman"/>
      <w:lvlText w:val="%3."/>
      <w:lvlJc w:val="right"/>
      <w:pPr>
        <w:ind w:left="2080" w:hanging="180"/>
      </w:pPr>
    </w:lvl>
    <w:lvl w:ilvl="3" w:tplc="0405000F" w:tentative="1">
      <w:start w:val="1"/>
      <w:numFmt w:val="decimal"/>
      <w:lvlText w:val="%4."/>
      <w:lvlJc w:val="left"/>
      <w:pPr>
        <w:ind w:left="2800" w:hanging="360"/>
      </w:pPr>
    </w:lvl>
    <w:lvl w:ilvl="4" w:tplc="04050019" w:tentative="1">
      <w:start w:val="1"/>
      <w:numFmt w:val="lowerLetter"/>
      <w:lvlText w:val="%5."/>
      <w:lvlJc w:val="left"/>
      <w:pPr>
        <w:ind w:left="3520" w:hanging="360"/>
      </w:pPr>
    </w:lvl>
    <w:lvl w:ilvl="5" w:tplc="0405001B" w:tentative="1">
      <w:start w:val="1"/>
      <w:numFmt w:val="lowerRoman"/>
      <w:lvlText w:val="%6."/>
      <w:lvlJc w:val="right"/>
      <w:pPr>
        <w:ind w:left="4240" w:hanging="180"/>
      </w:pPr>
    </w:lvl>
    <w:lvl w:ilvl="6" w:tplc="0405000F" w:tentative="1">
      <w:start w:val="1"/>
      <w:numFmt w:val="decimal"/>
      <w:lvlText w:val="%7."/>
      <w:lvlJc w:val="left"/>
      <w:pPr>
        <w:ind w:left="4960" w:hanging="360"/>
      </w:pPr>
    </w:lvl>
    <w:lvl w:ilvl="7" w:tplc="04050019" w:tentative="1">
      <w:start w:val="1"/>
      <w:numFmt w:val="lowerLetter"/>
      <w:lvlText w:val="%8."/>
      <w:lvlJc w:val="left"/>
      <w:pPr>
        <w:ind w:left="5680" w:hanging="360"/>
      </w:pPr>
    </w:lvl>
    <w:lvl w:ilvl="8" w:tplc="040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09FA68DB"/>
    <w:multiLevelType w:val="hybridMultilevel"/>
    <w:tmpl w:val="A2D2F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3CC3"/>
    <w:multiLevelType w:val="hybridMultilevel"/>
    <w:tmpl w:val="EF10DAC0"/>
    <w:lvl w:ilvl="0" w:tplc="75549F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3044"/>
    <w:multiLevelType w:val="hybridMultilevel"/>
    <w:tmpl w:val="E72E8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42D7B"/>
    <w:multiLevelType w:val="hybridMultilevel"/>
    <w:tmpl w:val="F22C1DC6"/>
    <w:lvl w:ilvl="0" w:tplc="2B549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B840E7"/>
    <w:multiLevelType w:val="hybridMultilevel"/>
    <w:tmpl w:val="C6FEA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0ED"/>
    <w:multiLevelType w:val="hybridMultilevel"/>
    <w:tmpl w:val="3934F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E3EC0"/>
    <w:multiLevelType w:val="hybridMultilevel"/>
    <w:tmpl w:val="004E0E0C"/>
    <w:lvl w:ilvl="0" w:tplc="B142C278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0" w:hanging="360"/>
      </w:pPr>
    </w:lvl>
    <w:lvl w:ilvl="2" w:tplc="0405001B" w:tentative="1">
      <w:start w:val="1"/>
      <w:numFmt w:val="lowerRoman"/>
      <w:lvlText w:val="%3."/>
      <w:lvlJc w:val="right"/>
      <w:pPr>
        <w:ind w:left="2080" w:hanging="180"/>
      </w:pPr>
    </w:lvl>
    <w:lvl w:ilvl="3" w:tplc="0405000F" w:tentative="1">
      <w:start w:val="1"/>
      <w:numFmt w:val="decimal"/>
      <w:lvlText w:val="%4."/>
      <w:lvlJc w:val="left"/>
      <w:pPr>
        <w:ind w:left="2800" w:hanging="360"/>
      </w:pPr>
    </w:lvl>
    <w:lvl w:ilvl="4" w:tplc="04050019" w:tentative="1">
      <w:start w:val="1"/>
      <w:numFmt w:val="lowerLetter"/>
      <w:lvlText w:val="%5."/>
      <w:lvlJc w:val="left"/>
      <w:pPr>
        <w:ind w:left="3520" w:hanging="360"/>
      </w:pPr>
    </w:lvl>
    <w:lvl w:ilvl="5" w:tplc="0405001B" w:tentative="1">
      <w:start w:val="1"/>
      <w:numFmt w:val="lowerRoman"/>
      <w:lvlText w:val="%6."/>
      <w:lvlJc w:val="right"/>
      <w:pPr>
        <w:ind w:left="4240" w:hanging="180"/>
      </w:pPr>
    </w:lvl>
    <w:lvl w:ilvl="6" w:tplc="0405000F" w:tentative="1">
      <w:start w:val="1"/>
      <w:numFmt w:val="decimal"/>
      <w:lvlText w:val="%7."/>
      <w:lvlJc w:val="left"/>
      <w:pPr>
        <w:ind w:left="4960" w:hanging="360"/>
      </w:pPr>
    </w:lvl>
    <w:lvl w:ilvl="7" w:tplc="04050019" w:tentative="1">
      <w:start w:val="1"/>
      <w:numFmt w:val="lowerLetter"/>
      <w:lvlText w:val="%8."/>
      <w:lvlJc w:val="left"/>
      <w:pPr>
        <w:ind w:left="5680" w:hanging="360"/>
      </w:pPr>
    </w:lvl>
    <w:lvl w:ilvl="8" w:tplc="040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68D1637E"/>
    <w:multiLevelType w:val="hybridMultilevel"/>
    <w:tmpl w:val="E8246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F7282"/>
    <w:multiLevelType w:val="hybridMultilevel"/>
    <w:tmpl w:val="1130CC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E5"/>
    <w:rsid w:val="00000B2F"/>
    <w:rsid w:val="00002C31"/>
    <w:rsid w:val="000054EA"/>
    <w:rsid w:val="00006C34"/>
    <w:rsid w:val="000130FC"/>
    <w:rsid w:val="00013DD7"/>
    <w:rsid w:val="00014476"/>
    <w:rsid w:val="00016348"/>
    <w:rsid w:val="000165CB"/>
    <w:rsid w:val="00016DBC"/>
    <w:rsid w:val="00016EE1"/>
    <w:rsid w:val="000170CA"/>
    <w:rsid w:val="000174F0"/>
    <w:rsid w:val="00020B74"/>
    <w:rsid w:val="00020F15"/>
    <w:rsid w:val="000212E5"/>
    <w:rsid w:val="00023B33"/>
    <w:rsid w:val="000278F5"/>
    <w:rsid w:val="00033AAE"/>
    <w:rsid w:val="0003455D"/>
    <w:rsid w:val="000352AF"/>
    <w:rsid w:val="00035A5C"/>
    <w:rsid w:val="00043FA4"/>
    <w:rsid w:val="000467E4"/>
    <w:rsid w:val="00050D01"/>
    <w:rsid w:val="0005167C"/>
    <w:rsid w:val="00053C1A"/>
    <w:rsid w:val="0005449D"/>
    <w:rsid w:val="00055174"/>
    <w:rsid w:val="00060E77"/>
    <w:rsid w:val="00063BDD"/>
    <w:rsid w:val="000642EA"/>
    <w:rsid w:val="000719F8"/>
    <w:rsid w:val="00072009"/>
    <w:rsid w:val="00074173"/>
    <w:rsid w:val="00075B10"/>
    <w:rsid w:val="000837FE"/>
    <w:rsid w:val="00084361"/>
    <w:rsid w:val="0008467C"/>
    <w:rsid w:val="00084CE7"/>
    <w:rsid w:val="000860AE"/>
    <w:rsid w:val="00086C99"/>
    <w:rsid w:val="0008755C"/>
    <w:rsid w:val="00091ED7"/>
    <w:rsid w:val="00094173"/>
    <w:rsid w:val="0009738A"/>
    <w:rsid w:val="000A0CDB"/>
    <w:rsid w:val="000A1146"/>
    <w:rsid w:val="000A4B8F"/>
    <w:rsid w:val="000A4DF3"/>
    <w:rsid w:val="000A58B7"/>
    <w:rsid w:val="000B0076"/>
    <w:rsid w:val="000B0A9C"/>
    <w:rsid w:val="000B1E8D"/>
    <w:rsid w:val="000B4812"/>
    <w:rsid w:val="000C2032"/>
    <w:rsid w:val="000C21EC"/>
    <w:rsid w:val="000C23A6"/>
    <w:rsid w:val="000C3548"/>
    <w:rsid w:val="000C58F7"/>
    <w:rsid w:val="000C68D4"/>
    <w:rsid w:val="000D156A"/>
    <w:rsid w:val="000D15B6"/>
    <w:rsid w:val="000D186E"/>
    <w:rsid w:val="000D1F72"/>
    <w:rsid w:val="000D2581"/>
    <w:rsid w:val="000D3254"/>
    <w:rsid w:val="000D3310"/>
    <w:rsid w:val="000D5B2A"/>
    <w:rsid w:val="000D62BD"/>
    <w:rsid w:val="000D644A"/>
    <w:rsid w:val="000D77E5"/>
    <w:rsid w:val="000E04FB"/>
    <w:rsid w:val="000E16A8"/>
    <w:rsid w:val="000E27F7"/>
    <w:rsid w:val="000E2FD1"/>
    <w:rsid w:val="000E4309"/>
    <w:rsid w:val="000E4661"/>
    <w:rsid w:val="000E70A6"/>
    <w:rsid w:val="000E7A2E"/>
    <w:rsid w:val="000F4385"/>
    <w:rsid w:val="000F4BB7"/>
    <w:rsid w:val="000F62ED"/>
    <w:rsid w:val="000F764C"/>
    <w:rsid w:val="0010180C"/>
    <w:rsid w:val="00104843"/>
    <w:rsid w:val="00113178"/>
    <w:rsid w:val="001210A2"/>
    <w:rsid w:val="00122DF7"/>
    <w:rsid w:val="00133E0F"/>
    <w:rsid w:val="0013699C"/>
    <w:rsid w:val="0013773B"/>
    <w:rsid w:val="0014214F"/>
    <w:rsid w:val="00142429"/>
    <w:rsid w:val="00142860"/>
    <w:rsid w:val="00144E8B"/>
    <w:rsid w:val="00153767"/>
    <w:rsid w:val="00154648"/>
    <w:rsid w:val="00157195"/>
    <w:rsid w:val="00166242"/>
    <w:rsid w:val="001672B2"/>
    <w:rsid w:val="00167AF5"/>
    <w:rsid w:val="0017364D"/>
    <w:rsid w:val="00173B82"/>
    <w:rsid w:val="0017595D"/>
    <w:rsid w:val="001808D6"/>
    <w:rsid w:val="00183555"/>
    <w:rsid w:val="001908C9"/>
    <w:rsid w:val="0019141D"/>
    <w:rsid w:val="00192FAE"/>
    <w:rsid w:val="00192FC8"/>
    <w:rsid w:val="0019340C"/>
    <w:rsid w:val="0019672D"/>
    <w:rsid w:val="001968E6"/>
    <w:rsid w:val="001A182A"/>
    <w:rsid w:val="001A26B3"/>
    <w:rsid w:val="001A4BD3"/>
    <w:rsid w:val="001A5F2E"/>
    <w:rsid w:val="001A67C4"/>
    <w:rsid w:val="001B1012"/>
    <w:rsid w:val="001B4658"/>
    <w:rsid w:val="001B52AB"/>
    <w:rsid w:val="001C3B3F"/>
    <w:rsid w:val="001C3F76"/>
    <w:rsid w:val="001C5497"/>
    <w:rsid w:val="001D01CF"/>
    <w:rsid w:val="001D06BF"/>
    <w:rsid w:val="001D0C5D"/>
    <w:rsid w:val="001D1DD8"/>
    <w:rsid w:val="001D4BA5"/>
    <w:rsid w:val="001D4DB3"/>
    <w:rsid w:val="001D53CA"/>
    <w:rsid w:val="001D618F"/>
    <w:rsid w:val="001D690A"/>
    <w:rsid w:val="001D76AA"/>
    <w:rsid w:val="001E3A86"/>
    <w:rsid w:val="001F1247"/>
    <w:rsid w:val="001F3865"/>
    <w:rsid w:val="001F5ED0"/>
    <w:rsid w:val="001F74A5"/>
    <w:rsid w:val="00200398"/>
    <w:rsid w:val="002011D4"/>
    <w:rsid w:val="002014DC"/>
    <w:rsid w:val="0020261D"/>
    <w:rsid w:val="00202E34"/>
    <w:rsid w:val="00203440"/>
    <w:rsid w:val="00207CE1"/>
    <w:rsid w:val="002102BE"/>
    <w:rsid w:val="00211EEC"/>
    <w:rsid w:val="0021255B"/>
    <w:rsid w:val="00212869"/>
    <w:rsid w:val="002129AF"/>
    <w:rsid w:val="002138B8"/>
    <w:rsid w:val="0021668F"/>
    <w:rsid w:val="00217F47"/>
    <w:rsid w:val="002222C9"/>
    <w:rsid w:val="002244AA"/>
    <w:rsid w:val="0022649E"/>
    <w:rsid w:val="002301B3"/>
    <w:rsid w:val="002335ED"/>
    <w:rsid w:val="00235ADC"/>
    <w:rsid w:val="00235F98"/>
    <w:rsid w:val="00241719"/>
    <w:rsid w:val="0024253C"/>
    <w:rsid w:val="00243F9E"/>
    <w:rsid w:val="00244017"/>
    <w:rsid w:val="00245D17"/>
    <w:rsid w:val="0024616B"/>
    <w:rsid w:val="00246355"/>
    <w:rsid w:val="00246BC9"/>
    <w:rsid w:val="00247707"/>
    <w:rsid w:val="00251933"/>
    <w:rsid w:val="00252899"/>
    <w:rsid w:val="00253397"/>
    <w:rsid w:val="002563E6"/>
    <w:rsid w:val="00257C9B"/>
    <w:rsid w:val="00266EAB"/>
    <w:rsid w:val="00266FC7"/>
    <w:rsid w:val="002670AD"/>
    <w:rsid w:val="00270786"/>
    <w:rsid w:val="002708C5"/>
    <w:rsid w:val="00271E4D"/>
    <w:rsid w:val="00272F53"/>
    <w:rsid w:val="00274226"/>
    <w:rsid w:val="00275189"/>
    <w:rsid w:val="002759BA"/>
    <w:rsid w:val="00275F9B"/>
    <w:rsid w:val="002764A8"/>
    <w:rsid w:val="00281DAB"/>
    <w:rsid w:val="002853D6"/>
    <w:rsid w:val="00285661"/>
    <w:rsid w:val="0028617E"/>
    <w:rsid w:val="00290B83"/>
    <w:rsid w:val="00290D97"/>
    <w:rsid w:val="002968AB"/>
    <w:rsid w:val="00297CD3"/>
    <w:rsid w:val="002A10F5"/>
    <w:rsid w:val="002A2C21"/>
    <w:rsid w:val="002A5A40"/>
    <w:rsid w:val="002A5BB5"/>
    <w:rsid w:val="002B1288"/>
    <w:rsid w:val="002B6057"/>
    <w:rsid w:val="002B6362"/>
    <w:rsid w:val="002B69DA"/>
    <w:rsid w:val="002B75B3"/>
    <w:rsid w:val="002C17C9"/>
    <w:rsid w:val="002C2150"/>
    <w:rsid w:val="002C3C6D"/>
    <w:rsid w:val="002C3DA2"/>
    <w:rsid w:val="002C5B6C"/>
    <w:rsid w:val="002D194C"/>
    <w:rsid w:val="002D2035"/>
    <w:rsid w:val="002D322A"/>
    <w:rsid w:val="002D402D"/>
    <w:rsid w:val="002D4899"/>
    <w:rsid w:val="002D72F8"/>
    <w:rsid w:val="002E5197"/>
    <w:rsid w:val="002E5BD7"/>
    <w:rsid w:val="002E5E6E"/>
    <w:rsid w:val="002E79D0"/>
    <w:rsid w:val="002F0D12"/>
    <w:rsid w:val="002F215A"/>
    <w:rsid w:val="002F2DEB"/>
    <w:rsid w:val="002F4FAA"/>
    <w:rsid w:val="003003D4"/>
    <w:rsid w:val="00302E57"/>
    <w:rsid w:val="00304216"/>
    <w:rsid w:val="00304332"/>
    <w:rsid w:val="00305BD7"/>
    <w:rsid w:val="0030665D"/>
    <w:rsid w:val="003115C7"/>
    <w:rsid w:val="00316617"/>
    <w:rsid w:val="0031734F"/>
    <w:rsid w:val="00317B4A"/>
    <w:rsid w:val="00320705"/>
    <w:rsid w:val="00320E36"/>
    <w:rsid w:val="003218DA"/>
    <w:rsid w:val="0032210F"/>
    <w:rsid w:val="00323136"/>
    <w:rsid w:val="00325859"/>
    <w:rsid w:val="00330D20"/>
    <w:rsid w:val="003318AC"/>
    <w:rsid w:val="003319E6"/>
    <w:rsid w:val="00333A85"/>
    <w:rsid w:val="00333AD8"/>
    <w:rsid w:val="00335AB6"/>
    <w:rsid w:val="00340C62"/>
    <w:rsid w:val="0034242F"/>
    <w:rsid w:val="00342E61"/>
    <w:rsid w:val="00344458"/>
    <w:rsid w:val="0034458E"/>
    <w:rsid w:val="00344E41"/>
    <w:rsid w:val="00345C9D"/>
    <w:rsid w:val="00345F14"/>
    <w:rsid w:val="00350D54"/>
    <w:rsid w:val="003510CF"/>
    <w:rsid w:val="00351CF2"/>
    <w:rsid w:val="003526D6"/>
    <w:rsid w:val="00353347"/>
    <w:rsid w:val="003540AA"/>
    <w:rsid w:val="00354ECC"/>
    <w:rsid w:val="00355925"/>
    <w:rsid w:val="003579D3"/>
    <w:rsid w:val="00360FDA"/>
    <w:rsid w:val="0036199C"/>
    <w:rsid w:val="00362222"/>
    <w:rsid w:val="00362BF6"/>
    <w:rsid w:val="00363211"/>
    <w:rsid w:val="003638D1"/>
    <w:rsid w:val="00363FFE"/>
    <w:rsid w:val="00364975"/>
    <w:rsid w:val="00367633"/>
    <w:rsid w:val="003709DA"/>
    <w:rsid w:val="00370D57"/>
    <w:rsid w:val="003729E6"/>
    <w:rsid w:val="0037343A"/>
    <w:rsid w:val="00376605"/>
    <w:rsid w:val="00377888"/>
    <w:rsid w:val="00377EED"/>
    <w:rsid w:val="00377F18"/>
    <w:rsid w:val="0038013E"/>
    <w:rsid w:val="00380CE0"/>
    <w:rsid w:val="00380D6C"/>
    <w:rsid w:val="00382664"/>
    <w:rsid w:val="00384178"/>
    <w:rsid w:val="00384615"/>
    <w:rsid w:val="00384E70"/>
    <w:rsid w:val="003851B8"/>
    <w:rsid w:val="003866CA"/>
    <w:rsid w:val="00386C72"/>
    <w:rsid w:val="00391925"/>
    <w:rsid w:val="003957A1"/>
    <w:rsid w:val="003A2982"/>
    <w:rsid w:val="003A3B1A"/>
    <w:rsid w:val="003A578B"/>
    <w:rsid w:val="003A646A"/>
    <w:rsid w:val="003B0B56"/>
    <w:rsid w:val="003B1373"/>
    <w:rsid w:val="003B66BE"/>
    <w:rsid w:val="003B6843"/>
    <w:rsid w:val="003B6E79"/>
    <w:rsid w:val="003C4505"/>
    <w:rsid w:val="003C4712"/>
    <w:rsid w:val="003C4F0E"/>
    <w:rsid w:val="003D1EC0"/>
    <w:rsid w:val="003D2B99"/>
    <w:rsid w:val="003D363A"/>
    <w:rsid w:val="003D37EB"/>
    <w:rsid w:val="003D3954"/>
    <w:rsid w:val="003D5A42"/>
    <w:rsid w:val="003D5DA1"/>
    <w:rsid w:val="003D60EF"/>
    <w:rsid w:val="003D7888"/>
    <w:rsid w:val="003E05BF"/>
    <w:rsid w:val="003E3D18"/>
    <w:rsid w:val="003E5074"/>
    <w:rsid w:val="003E6964"/>
    <w:rsid w:val="003E7105"/>
    <w:rsid w:val="003F019C"/>
    <w:rsid w:val="003F15E5"/>
    <w:rsid w:val="003F2220"/>
    <w:rsid w:val="003F2796"/>
    <w:rsid w:val="003F283F"/>
    <w:rsid w:val="003F7B25"/>
    <w:rsid w:val="004004D2"/>
    <w:rsid w:val="004019D8"/>
    <w:rsid w:val="00402AE7"/>
    <w:rsid w:val="004033B6"/>
    <w:rsid w:val="00403E5E"/>
    <w:rsid w:val="00405739"/>
    <w:rsid w:val="00407CD4"/>
    <w:rsid w:val="00410B96"/>
    <w:rsid w:val="00412DA1"/>
    <w:rsid w:val="00412DBA"/>
    <w:rsid w:val="004154E0"/>
    <w:rsid w:val="0041627E"/>
    <w:rsid w:val="00417FA4"/>
    <w:rsid w:val="004262D9"/>
    <w:rsid w:val="004300EB"/>
    <w:rsid w:val="0043043B"/>
    <w:rsid w:val="00431726"/>
    <w:rsid w:val="00432E78"/>
    <w:rsid w:val="00434204"/>
    <w:rsid w:val="00435C1A"/>
    <w:rsid w:val="00436435"/>
    <w:rsid w:val="00440B5F"/>
    <w:rsid w:val="004410EE"/>
    <w:rsid w:val="00444836"/>
    <w:rsid w:val="0044621F"/>
    <w:rsid w:val="004513F8"/>
    <w:rsid w:val="00452ED0"/>
    <w:rsid w:val="004549AD"/>
    <w:rsid w:val="00456552"/>
    <w:rsid w:val="004569CF"/>
    <w:rsid w:val="00456DCA"/>
    <w:rsid w:val="00460518"/>
    <w:rsid w:val="00461F39"/>
    <w:rsid w:val="004626F7"/>
    <w:rsid w:val="004664D5"/>
    <w:rsid w:val="00466903"/>
    <w:rsid w:val="00466FF4"/>
    <w:rsid w:val="00467B7F"/>
    <w:rsid w:val="004737FA"/>
    <w:rsid w:val="00476135"/>
    <w:rsid w:val="004763BF"/>
    <w:rsid w:val="00476C41"/>
    <w:rsid w:val="00480ECE"/>
    <w:rsid w:val="00481E74"/>
    <w:rsid w:val="00482BB3"/>
    <w:rsid w:val="00483A19"/>
    <w:rsid w:val="00485123"/>
    <w:rsid w:val="00486978"/>
    <w:rsid w:val="00490FAA"/>
    <w:rsid w:val="004912E1"/>
    <w:rsid w:val="00491610"/>
    <w:rsid w:val="004920C4"/>
    <w:rsid w:val="004943AA"/>
    <w:rsid w:val="004970EE"/>
    <w:rsid w:val="00497532"/>
    <w:rsid w:val="004979E5"/>
    <w:rsid w:val="004A0789"/>
    <w:rsid w:val="004A1886"/>
    <w:rsid w:val="004A24DE"/>
    <w:rsid w:val="004A402C"/>
    <w:rsid w:val="004A6732"/>
    <w:rsid w:val="004A6CF1"/>
    <w:rsid w:val="004B3F0A"/>
    <w:rsid w:val="004B5336"/>
    <w:rsid w:val="004B5D4B"/>
    <w:rsid w:val="004C08E5"/>
    <w:rsid w:val="004C103D"/>
    <w:rsid w:val="004C7EB8"/>
    <w:rsid w:val="004D37C9"/>
    <w:rsid w:val="004D4D98"/>
    <w:rsid w:val="004D5812"/>
    <w:rsid w:val="004D619F"/>
    <w:rsid w:val="004E0434"/>
    <w:rsid w:val="004E6B0A"/>
    <w:rsid w:val="004F229C"/>
    <w:rsid w:val="004F42C1"/>
    <w:rsid w:val="004F4C11"/>
    <w:rsid w:val="004F52A9"/>
    <w:rsid w:val="004F5D6A"/>
    <w:rsid w:val="004F6E50"/>
    <w:rsid w:val="00502413"/>
    <w:rsid w:val="005030C9"/>
    <w:rsid w:val="00503293"/>
    <w:rsid w:val="00507FC4"/>
    <w:rsid w:val="005118C7"/>
    <w:rsid w:val="00511F15"/>
    <w:rsid w:val="00513845"/>
    <w:rsid w:val="00516399"/>
    <w:rsid w:val="00521228"/>
    <w:rsid w:val="0052155B"/>
    <w:rsid w:val="00522AE4"/>
    <w:rsid w:val="005236DC"/>
    <w:rsid w:val="0052450B"/>
    <w:rsid w:val="005250DB"/>
    <w:rsid w:val="005344D1"/>
    <w:rsid w:val="0053456A"/>
    <w:rsid w:val="00535BC5"/>
    <w:rsid w:val="005403BD"/>
    <w:rsid w:val="005429DB"/>
    <w:rsid w:val="00542ED9"/>
    <w:rsid w:val="00544C9F"/>
    <w:rsid w:val="005524CA"/>
    <w:rsid w:val="00555062"/>
    <w:rsid w:val="00555117"/>
    <w:rsid w:val="0055619C"/>
    <w:rsid w:val="00560ABA"/>
    <w:rsid w:val="005615D2"/>
    <w:rsid w:val="00562F28"/>
    <w:rsid w:val="00563EAB"/>
    <w:rsid w:val="00564A3C"/>
    <w:rsid w:val="00566F46"/>
    <w:rsid w:val="0056732E"/>
    <w:rsid w:val="0057055F"/>
    <w:rsid w:val="00572FEE"/>
    <w:rsid w:val="0057477E"/>
    <w:rsid w:val="005766DB"/>
    <w:rsid w:val="00576788"/>
    <w:rsid w:val="00582584"/>
    <w:rsid w:val="005835AF"/>
    <w:rsid w:val="00583A6B"/>
    <w:rsid w:val="0058710A"/>
    <w:rsid w:val="0059129A"/>
    <w:rsid w:val="005918AB"/>
    <w:rsid w:val="00593297"/>
    <w:rsid w:val="0059448F"/>
    <w:rsid w:val="00595A84"/>
    <w:rsid w:val="005A1D5D"/>
    <w:rsid w:val="005A1EEE"/>
    <w:rsid w:val="005A3A21"/>
    <w:rsid w:val="005A4E2B"/>
    <w:rsid w:val="005A6887"/>
    <w:rsid w:val="005A7210"/>
    <w:rsid w:val="005B251C"/>
    <w:rsid w:val="005B3F59"/>
    <w:rsid w:val="005B52A9"/>
    <w:rsid w:val="005B7472"/>
    <w:rsid w:val="005C06A8"/>
    <w:rsid w:val="005C4151"/>
    <w:rsid w:val="005C7C3A"/>
    <w:rsid w:val="005D19DF"/>
    <w:rsid w:val="005D38CE"/>
    <w:rsid w:val="005D46E7"/>
    <w:rsid w:val="005D78D2"/>
    <w:rsid w:val="005E04B4"/>
    <w:rsid w:val="005E1E5F"/>
    <w:rsid w:val="005E237D"/>
    <w:rsid w:val="005E23F5"/>
    <w:rsid w:val="005E2680"/>
    <w:rsid w:val="005E6332"/>
    <w:rsid w:val="005F12CD"/>
    <w:rsid w:val="005F3CB8"/>
    <w:rsid w:val="005F716D"/>
    <w:rsid w:val="006001CA"/>
    <w:rsid w:val="00600A0C"/>
    <w:rsid w:val="00601546"/>
    <w:rsid w:val="006017E9"/>
    <w:rsid w:val="00603C8C"/>
    <w:rsid w:val="00604527"/>
    <w:rsid w:val="00604F6E"/>
    <w:rsid w:val="00610AB5"/>
    <w:rsid w:val="00611053"/>
    <w:rsid w:val="00614D75"/>
    <w:rsid w:val="006161CC"/>
    <w:rsid w:val="006176C0"/>
    <w:rsid w:val="006204D5"/>
    <w:rsid w:val="00622B9B"/>
    <w:rsid w:val="006268B9"/>
    <w:rsid w:val="00627C5B"/>
    <w:rsid w:val="00630A85"/>
    <w:rsid w:val="0063257F"/>
    <w:rsid w:val="00634566"/>
    <w:rsid w:val="00636547"/>
    <w:rsid w:val="006368F3"/>
    <w:rsid w:val="00636C2A"/>
    <w:rsid w:val="00637627"/>
    <w:rsid w:val="00637882"/>
    <w:rsid w:val="00637C1B"/>
    <w:rsid w:val="006400B1"/>
    <w:rsid w:val="00640C4E"/>
    <w:rsid w:val="00641F0F"/>
    <w:rsid w:val="006438BD"/>
    <w:rsid w:val="00646032"/>
    <w:rsid w:val="00646187"/>
    <w:rsid w:val="00646E32"/>
    <w:rsid w:val="00650AB4"/>
    <w:rsid w:val="0065111B"/>
    <w:rsid w:val="0065267B"/>
    <w:rsid w:val="0065281E"/>
    <w:rsid w:val="00652DE7"/>
    <w:rsid w:val="00652FDB"/>
    <w:rsid w:val="00655677"/>
    <w:rsid w:val="00655986"/>
    <w:rsid w:val="006610B0"/>
    <w:rsid w:val="00667F9E"/>
    <w:rsid w:val="006721CE"/>
    <w:rsid w:val="00677122"/>
    <w:rsid w:val="00681A7D"/>
    <w:rsid w:val="00681C6A"/>
    <w:rsid w:val="00682887"/>
    <w:rsid w:val="00683DB9"/>
    <w:rsid w:val="0068580E"/>
    <w:rsid w:val="00685AF9"/>
    <w:rsid w:val="00685E5B"/>
    <w:rsid w:val="00691B0E"/>
    <w:rsid w:val="006934D9"/>
    <w:rsid w:val="006936AB"/>
    <w:rsid w:val="00697C36"/>
    <w:rsid w:val="006A1270"/>
    <w:rsid w:val="006A1550"/>
    <w:rsid w:val="006A1664"/>
    <w:rsid w:val="006A262A"/>
    <w:rsid w:val="006A283B"/>
    <w:rsid w:val="006A28C1"/>
    <w:rsid w:val="006A3936"/>
    <w:rsid w:val="006A4CB7"/>
    <w:rsid w:val="006A6221"/>
    <w:rsid w:val="006B0158"/>
    <w:rsid w:val="006B061E"/>
    <w:rsid w:val="006B0F6E"/>
    <w:rsid w:val="006B1D97"/>
    <w:rsid w:val="006C0093"/>
    <w:rsid w:val="006C43EF"/>
    <w:rsid w:val="006C4F4A"/>
    <w:rsid w:val="006C640C"/>
    <w:rsid w:val="006C7D27"/>
    <w:rsid w:val="006D1956"/>
    <w:rsid w:val="006D391F"/>
    <w:rsid w:val="006D4D91"/>
    <w:rsid w:val="006D7976"/>
    <w:rsid w:val="006E38E6"/>
    <w:rsid w:val="006E3A91"/>
    <w:rsid w:val="006E4203"/>
    <w:rsid w:val="006F0AD2"/>
    <w:rsid w:val="006F275F"/>
    <w:rsid w:val="006F49C6"/>
    <w:rsid w:val="006F57A4"/>
    <w:rsid w:val="006F5B17"/>
    <w:rsid w:val="006F6D52"/>
    <w:rsid w:val="006F7BC2"/>
    <w:rsid w:val="00701168"/>
    <w:rsid w:val="00701192"/>
    <w:rsid w:val="007028E5"/>
    <w:rsid w:val="00703CDD"/>
    <w:rsid w:val="00704408"/>
    <w:rsid w:val="00715D0C"/>
    <w:rsid w:val="00721B34"/>
    <w:rsid w:val="007239ED"/>
    <w:rsid w:val="007248FC"/>
    <w:rsid w:val="00724A7B"/>
    <w:rsid w:val="00726C95"/>
    <w:rsid w:val="0072726F"/>
    <w:rsid w:val="007272A6"/>
    <w:rsid w:val="00731071"/>
    <w:rsid w:val="007345B8"/>
    <w:rsid w:val="00740D71"/>
    <w:rsid w:val="00740E90"/>
    <w:rsid w:val="00746408"/>
    <w:rsid w:val="007466AA"/>
    <w:rsid w:val="00750165"/>
    <w:rsid w:val="00750D00"/>
    <w:rsid w:val="007530CC"/>
    <w:rsid w:val="00757C3A"/>
    <w:rsid w:val="007607BB"/>
    <w:rsid w:val="00763D0A"/>
    <w:rsid w:val="007640ED"/>
    <w:rsid w:val="00770DE5"/>
    <w:rsid w:val="007715DC"/>
    <w:rsid w:val="007725DA"/>
    <w:rsid w:val="007729C0"/>
    <w:rsid w:val="007820B8"/>
    <w:rsid w:val="00784B9C"/>
    <w:rsid w:val="00785E5C"/>
    <w:rsid w:val="00786824"/>
    <w:rsid w:val="0079063D"/>
    <w:rsid w:val="00790859"/>
    <w:rsid w:val="00793608"/>
    <w:rsid w:val="00793DD5"/>
    <w:rsid w:val="007952F9"/>
    <w:rsid w:val="00795CE0"/>
    <w:rsid w:val="00795F63"/>
    <w:rsid w:val="007971DF"/>
    <w:rsid w:val="007A2D7A"/>
    <w:rsid w:val="007A50FB"/>
    <w:rsid w:val="007A5C8E"/>
    <w:rsid w:val="007A6DE7"/>
    <w:rsid w:val="007B2E32"/>
    <w:rsid w:val="007B4F17"/>
    <w:rsid w:val="007B6D4C"/>
    <w:rsid w:val="007C182E"/>
    <w:rsid w:val="007C3509"/>
    <w:rsid w:val="007C6840"/>
    <w:rsid w:val="007C7178"/>
    <w:rsid w:val="007C7933"/>
    <w:rsid w:val="007D1ED0"/>
    <w:rsid w:val="007D714D"/>
    <w:rsid w:val="007E0646"/>
    <w:rsid w:val="007E1812"/>
    <w:rsid w:val="007E18FC"/>
    <w:rsid w:val="007E3730"/>
    <w:rsid w:val="007E48AC"/>
    <w:rsid w:val="007E77C6"/>
    <w:rsid w:val="007E7DC1"/>
    <w:rsid w:val="007F2966"/>
    <w:rsid w:val="007F3A86"/>
    <w:rsid w:val="007F451C"/>
    <w:rsid w:val="007F4FC6"/>
    <w:rsid w:val="007F7599"/>
    <w:rsid w:val="007F7702"/>
    <w:rsid w:val="007F7B06"/>
    <w:rsid w:val="008015A7"/>
    <w:rsid w:val="00802719"/>
    <w:rsid w:val="00802788"/>
    <w:rsid w:val="0080461D"/>
    <w:rsid w:val="0080765A"/>
    <w:rsid w:val="008109E6"/>
    <w:rsid w:val="00813AFB"/>
    <w:rsid w:val="00814002"/>
    <w:rsid w:val="0081506A"/>
    <w:rsid w:val="008172FB"/>
    <w:rsid w:val="0082480D"/>
    <w:rsid w:val="00824EC9"/>
    <w:rsid w:val="008268F8"/>
    <w:rsid w:val="00827195"/>
    <w:rsid w:val="00827EF2"/>
    <w:rsid w:val="00830A1D"/>
    <w:rsid w:val="00831178"/>
    <w:rsid w:val="00831407"/>
    <w:rsid w:val="008314DB"/>
    <w:rsid w:val="00836297"/>
    <w:rsid w:val="0084099F"/>
    <w:rsid w:val="00842921"/>
    <w:rsid w:val="00843783"/>
    <w:rsid w:val="0084737A"/>
    <w:rsid w:val="0084752C"/>
    <w:rsid w:val="00850EE9"/>
    <w:rsid w:val="0085247C"/>
    <w:rsid w:val="00860E20"/>
    <w:rsid w:val="00861B24"/>
    <w:rsid w:val="00862F03"/>
    <w:rsid w:val="00863713"/>
    <w:rsid w:val="00867AD5"/>
    <w:rsid w:val="00870396"/>
    <w:rsid w:val="008755C4"/>
    <w:rsid w:val="00876875"/>
    <w:rsid w:val="008813FE"/>
    <w:rsid w:val="008830DE"/>
    <w:rsid w:val="00883917"/>
    <w:rsid w:val="008863DD"/>
    <w:rsid w:val="00886945"/>
    <w:rsid w:val="00887B4D"/>
    <w:rsid w:val="00890CF3"/>
    <w:rsid w:val="00890D15"/>
    <w:rsid w:val="00892DD6"/>
    <w:rsid w:val="008969EC"/>
    <w:rsid w:val="008A248B"/>
    <w:rsid w:val="008A34FF"/>
    <w:rsid w:val="008A3C27"/>
    <w:rsid w:val="008A6CA2"/>
    <w:rsid w:val="008B398E"/>
    <w:rsid w:val="008B5309"/>
    <w:rsid w:val="008B7DB6"/>
    <w:rsid w:val="008C2658"/>
    <w:rsid w:val="008C537E"/>
    <w:rsid w:val="008D0D7D"/>
    <w:rsid w:val="008D1C37"/>
    <w:rsid w:val="008D3728"/>
    <w:rsid w:val="008D3EBA"/>
    <w:rsid w:val="008D66EE"/>
    <w:rsid w:val="008D75B1"/>
    <w:rsid w:val="008D7A90"/>
    <w:rsid w:val="008E1EEF"/>
    <w:rsid w:val="008E2191"/>
    <w:rsid w:val="008E2725"/>
    <w:rsid w:val="008E57DA"/>
    <w:rsid w:val="008E5C4D"/>
    <w:rsid w:val="008E6AED"/>
    <w:rsid w:val="008F0452"/>
    <w:rsid w:val="008F1320"/>
    <w:rsid w:val="008F378A"/>
    <w:rsid w:val="008F39DB"/>
    <w:rsid w:val="008F5B73"/>
    <w:rsid w:val="008F5EDF"/>
    <w:rsid w:val="008F60DA"/>
    <w:rsid w:val="008F768C"/>
    <w:rsid w:val="009015C5"/>
    <w:rsid w:val="00901C6B"/>
    <w:rsid w:val="00902368"/>
    <w:rsid w:val="00902736"/>
    <w:rsid w:val="009030D4"/>
    <w:rsid w:val="009067D4"/>
    <w:rsid w:val="009105DD"/>
    <w:rsid w:val="009126B1"/>
    <w:rsid w:val="00912AF8"/>
    <w:rsid w:val="00913726"/>
    <w:rsid w:val="00914792"/>
    <w:rsid w:val="00917815"/>
    <w:rsid w:val="0092065C"/>
    <w:rsid w:val="009211F2"/>
    <w:rsid w:val="00921496"/>
    <w:rsid w:val="0092300A"/>
    <w:rsid w:val="00926C9B"/>
    <w:rsid w:val="00931679"/>
    <w:rsid w:val="00931EE6"/>
    <w:rsid w:val="009343A4"/>
    <w:rsid w:val="009401E4"/>
    <w:rsid w:val="00943148"/>
    <w:rsid w:val="00943C20"/>
    <w:rsid w:val="0094507E"/>
    <w:rsid w:val="00950097"/>
    <w:rsid w:val="009501FC"/>
    <w:rsid w:val="00950B10"/>
    <w:rsid w:val="00951712"/>
    <w:rsid w:val="0095227A"/>
    <w:rsid w:val="00953670"/>
    <w:rsid w:val="00954BFB"/>
    <w:rsid w:val="00957492"/>
    <w:rsid w:val="009603A6"/>
    <w:rsid w:val="00960616"/>
    <w:rsid w:val="00961D14"/>
    <w:rsid w:val="00963004"/>
    <w:rsid w:val="0096693E"/>
    <w:rsid w:val="00967061"/>
    <w:rsid w:val="009704BA"/>
    <w:rsid w:val="0097464D"/>
    <w:rsid w:val="00976B70"/>
    <w:rsid w:val="00977103"/>
    <w:rsid w:val="00980722"/>
    <w:rsid w:val="00984289"/>
    <w:rsid w:val="00984CE4"/>
    <w:rsid w:val="00984DA3"/>
    <w:rsid w:val="009873F0"/>
    <w:rsid w:val="0099038A"/>
    <w:rsid w:val="00992788"/>
    <w:rsid w:val="0099417D"/>
    <w:rsid w:val="009A1129"/>
    <w:rsid w:val="009A50F0"/>
    <w:rsid w:val="009A6451"/>
    <w:rsid w:val="009A7969"/>
    <w:rsid w:val="009B22AE"/>
    <w:rsid w:val="009B37F7"/>
    <w:rsid w:val="009B43A8"/>
    <w:rsid w:val="009B52FC"/>
    <w:rsid w:val="009C1BE4"/>
    <w:rsid w:val="009C4DD1"/>
    <w:rsid w:val="009C6772"/>
    <w:rsid w:val="009C6FC2"/>
    <w:rsid w:val="009C7B92"/>
    <w:rsid w:val="009D1918"/>
    <w:rsid w:val="009D19FB"/>
    <w:rsid w:val="009D2689"/>
    <w:rsid w:val="009D324F"/>
    <w:rsid w:val="009D507C"/>
    <w:rsid w:val="009D79B6"/>
    <w:rsid w:val="009E557A"/>
    <w:rsid w:val="009E706F"/>
    <w:rsid w:val="009E7FCC"/>
    <w:rsid w:val="009F14C6"/>
    <w:rsid w:val="009F2292"/>
    <w:rsid w:val="009F2B53"/>
    <w:rsid w:val="009F6387"/>
    <w:rsid w:val="009F65CC"/>
    <w:rsid w:val="009F77AB"/>
    <w:rsid w:val="009F7E43"/>
    <w:rsid w:val="00A00711"/>
    <w:rsid w:val="00A00C31"/>
    <w:rsid w:val="00A01377"/>
    <w:rsid w:val="00A03747"/>
    <w:rsid w:val="00A0379F"/>
    <w:rsid w:val="00A053EC"/>
    <w:rsid w:val="00A0748A"/>
    <w:rsid w:val="00A11EDF"/>
    <w:rsid w:val="00A11EE2"/>
    <w:rsid w:val="00A134CF"/>
    <w:rsid w:val="00A1402A"/>
    <w:rsid w:val="00A14C97"/>
    <w:rsid w:val="00A157A6"/>
    <w:rsid w:val="00A226AA"/>
    <w:rsid w:val="00A240F8"/>
    <w:rsid w:val="00A24D87"/>
    <w:rsid w:val="00A3100A"/>
    <w:rsid w:val="00A32B24"/>
    <w:rsid w:val="00A36C70"/>
    <w:rsid w:val="00A375E7"/>
    <w:rsid w:val="00A42408"/>
    <w:rsid w:val="00A47A50"/>
    <w:rsid w:val="00A51245"/>
    <w:rsid w:val="00A51E12"/>
    <w:rsid w:val="00A55739"/>
    <w:rsid w:val="00A57F71"/>
    <w:rsid w:val="00A611BE"/>
    <w:rsid w:val="00A62A1E"/>
    <w:rsid w:val="00A6338D"/>
    <w:rsid w:val="00A6476A"/>
    <w:rsid w:val="00A6541D"/>
    <w:rsid w:val="00A7180F"/>
    <w:rsid w:val="00A71ECF"/>
    <w:rsid w:val="00A72098"/>
    <w:rsid w:val="00A75866"/>
    <w:rsid w:val="00A75C9D"/>
    <w:rsid w:val="00A76FD5"/>
    <w:rsid w:val="00A85042"/>
    <w:rsid w:val="00A85564"/>
    <w:rsid w:val="00A85D5A"/>
    <w:rsid w:val="00A87967"/>
    <w:rsid w:val="00A94862"/>
    <w:rsid w:val="00A96835"/>
    <w:rsid w:val="00A97579"/>
    <w:rsid w:val="00A97F4C"/>
    <w:rsid w:val="00AA26EF"/>
    <w:rsid w:val="00AA4374"/>
    <w:rsid w:val="00AA55AE"/>
    <w:rsid w:val="00AA58E0"/>
    <w:rsid w:val="00AA6585"/>
    <w:rsid w:val="00AB1381"/>
    <w:rsid w:val="00AB4F3E"/>
    <w:rsid w:val="00AB531F"/>
    <w:rsid w:val="00AB58FF"/>
    <w:rsid w:val="00AB671B"/>
    <w:rsid w:val="00AB6B13"/>
    <w:rsid w:val="00AC03AD"/>
    <w:rsid w:val="00AC214F"/>
    <w:rsid w:val="00AC2A2F"/>
    <w:rsid w:val="00AC2CE8"/>
    <w:rsid w:val="00AC38F8"/>
    <w:rsid w:val="00AC3FDB"/>
    <w:rsid w:val="00AD085C"/>
    <w:rsid w:val="00AD1737"/>
    <w:rsid w:val="00AD1B36"/>
    <w:rsid w:val="00AD4165"/>
    <w:rsid w:val="00AD77E0"/>
    <w:rsid w:val="00AE0D4A"/>
    <w:rsid w:val="00AE1C26"/>
    <w:rsid w:val="00AE24ED"/>
    <w:rsid w:val="00AE4CF5"/>
    <w:rsid w:val="00AE4DE7"/>
    <w:rsid w:val="00AE74C4"/>
    <w:rsid w:val="00AF0F24"/>
    <w:rsid w:val="00AF398A"/>
    <w:rsid w:val="00AF50EB"/>
    <w:rsid w:val="00AF563E"/>
    <w:rsid w:val="00AF6FFC"/>
    <w:rsid w:val="00AF76CB"/>
    <w:rsid w:val="00B03F4D"/>
    <w:rsid w:val="00B05FC1"/>
    <w:rsid w:val="00B10982"/>
    <w:rsid w:val="00B11E96"/>
    <w:rsid w:val="00B13189"/>
    <w:rsid w:val="00B136C8"/>
    <w:rsid w:val="00B1555D"/>
    <w:rsid w:val="00B16977"/>
    <w:rsid w:val="00B16E33"/>
    <w:rsid w:val="00B210C4"/>
    <w:rsid w:val="00B228C0"/>
    <w:rsid w:val="00B2362E"/>
    <w:rsid w:val="00B2672B"/>
    <w:rsid w:val="00B32088"/>
    <w:rsid w:val="00B340DE"/>
    <w:rsid w:val="00B34859"/>
    <w:rsid w:val="00B36BD2"/>
    <w:rsid w:val="00B40C78"/>
    <w:rsid w:val="00B41494"/>
    <w:rsid w:val="00B4277E"/>
    <w:rsid w:val="00B444BE"/>
    <w:rsid w:val="00B506A7"/>
    <w:rsid w:val="00B51181"/>
    <w:rsid w:val="00B51703"/>
    <w:rsid w:val="00B5546A"/>
    <w:rsid w:val="00B55DD0"/>
    <w:rsid w:val="00B619AC"/>
    <w:rsid w:val="00B65BDA"/>
    <w:rsid w:val="00B65F7E"/>
    <w:rsid w:val="00B6605A"/>
    <w:rsid w:val="00B66F3E"/>
    <w:rsid w:val="00B71A92"/>
    <w:rsid w:val="00B741F2"/>
    <w:rsid w:val="00B76344"/>
    <w:rsid w:val="00B8108F"/>
    <w:rsid w:val="00B82539"/>
    <w:rsid w:val="00B83F14"/>
    <w:rsid w:val="00B85A65"/>
    <w:rsid w:val="00B85D7C"/>
    <w:rsid w:val="00B90558"/>
    <w:rsid w:val="00B9440C"/>
    <w:rsid w:val="00B955B4"/>
    <w:rsid w:val="00B96743"/>
    <w:rsid w:val="00BA098E"/>
    <w:rsid w:val="00BA2A55"/>
    <w:rsid w:val="00BA4033"/>
    <w:rsid w:val="00BA4AA3"/>
    <w:rsid w:val="00BA50D0"/>
    <w:rsid w:val="00BA5631"/>
    <w:rsid w:val="00BB0B36"/>
    <w:rsid w:val="00BB12CA"/>
    <w:rsid w:val="00BB354B"/>
    <w:rsid w:val="00BB3A54"/>
    <w:rsid w:val="00BB683E"/>
    <w:rsid w:val="00BC2359"/>
    <w:rsid w:val="00BC2B26"/>
    <w:rsid w:val="00BD615F"/>
    <w:rsid w:val="00BE3BFE"/>
    <w:rsid w:val="00BE7DA2"/>
    <w:rsid w:val="00BF0097"/>
    <w:rsid w:val="00BF0F85"/>
    <w:rsid w:val="00BF11CC"/>
    <w:rsid w:val="00BF35F4"/>
    <w:rsid w:val="00BF4AA3"/>
    <w:rsid w:val="00BF4C7D"/>
    <w:rsid w:val="00C00BB0"/>
    <w:rsid w:val="00C01456"/>
    <w:rsid w:val="00C05624"/>
    <w:rsid w:val="00C106DF"/>
    <w:rsid w:val="00C10806"/>
    <w:rsid w:val="00C11A9D"/>
    <w:rsid w:val="00C12343"/>
    <w:rsid w:val="00C1462C"/>
    <w:rsid w:val="00C17D62"/>
    <w:rsid w:val="00C2007A"/>
    <w:rsid w:val="00C2163A"/>
    <w:rsid w:val="00C268C1"/>
    <w:rsid w:val="00C30EAE"/>
    <w:rsid w:val="00C354B2"/>
    <w:rsid w:val="00C4091F"/>
    <w:rsid w:val="00C44D28"/>
    <w:rsid w:val="00C45CCD"/>
    <w:rsid w:val="00C4685A"/>
    <w:rsid w:val="00C47270"/>
    <w:rsid w:val="00C47CD4"/>
    <w:rsid w:val="00C5042B"/>
    <w:rsid w:val="00C51465"/>
    <w:rsid w:val="00C51EE5"/>
    <w:rsid w:val="00C5584F"/>
    <w:rsid w:val="00C563C7"/>
    <w:rsid w:val="00C611CB"/>
    <w:rsid w:val="00C61D25"/>
    <w:rsid w:val="00C630F5"/>
    <w:rsid w:val="00C63783"/>
    <w:rsid w:val="00C64647"/>
    <w:rsid w:val="00C65435"/>
    <w:rsid w:val="00C6550A"/>
    <w:rsid w:val="00C66A8A"/>
    <w:rsid w:val="00C67BA8"/>
    <w:rsid w:val="00C70F14"/>
    <w:rsid w:val="00C71240"/>
    <w:rsid w:val="00C726A8"/>
    <w:rsid w:val="00C72BAC"/>
    <w:rsid w:val="00C74A0E"/>
    <w:rsid w:val="00C7567B"/>
    <w:rsid w:val="00C77471"/>
    <w:rsid w:val="00C86924"/>
    <w:rsid w:val="00C9002B"/>
    <w:rsid w:val="00CA007C"/>
    <w:rsid w:val="00CA1DB4"/>
    <w:rsid w:val="00CA39D0"/>
    <w:rsid w:val="00CA4E1F"/>
    <w:rsid w:val="00CA553D"/>
    <w:rsid w:val="00CA5DD3"/>
    <w:rsid w:val="00CA6DB1"/>
    <w:rsid w:val="00CB2006"/>
    <w:rsid w:val="00CB6E7B"/>
    <w:rsid w:val="00CC0360"/>
    <w:rsid w:val="00CC2B7D"/>
    <w:rsid w:val="00CC3807"/>
    <w:rsid w:val="00CC3949"/>
    <w:rsid w:val="00CC696B"/>
    <w:rsid w:val="00CC6BC7"/>
    <w:rsid w:val="00CD0798"/>
    <w:rsid w:val="00CD368B"/>
    <w:rsid w:val="00CD428F"/>
    <w:rsid w:val="00CD6079"/>
    <w:rsid w:val="00CE016D"/>
    <w:rsid w:val="00CE0813"/>
    <w:rsid w:val="00CE0F38"/>
    <w:rsid w:val="00CE32E1"/>
    <w:rsid w:val="00CF03D3"/>
    <w:rsid w:val="00CF22CC"/>
    <w:rsid w:val="00CF3979"/>
    <w:rsid w:val="00CF58AC"/>
    <w:rsid w:val="00CF5D0D"/>
    <w:rsid w:val="00CF6A82"/>
    <w:rsid w:val="00CF6ECD"/>
    <w:rsid w:val="00D00506"/>
    <w:rsid w:val="00D02246"/>
    <w:rsid w:val="00D026E8"/>
    <w:rsid w:val="00D0408E"/>
    <w:rsid w:val="00D07790"/>
    <w:rsid w:val="00D1044D"/>
    <w:rsid w:val="00D12152"/>
    <w:rsid w:val="00D125A5"/>
    <w:rsid w:val="00D151D6"/>
    <w:rsid w:val="00D160DB"/>
    <w:rsid w:val="00D16151"/>
    <w:rsid w:val="00D170E3"/>
    <w:rsid w:val="00D210AD"/>
    <w:rsid w:val="00D22014"/>
    <w:rsid w:val="00D255F6"/>
    <w:rsid w:val="00D25A91"/>
    <w:rsid w:val="00D32E8B"/>
    <w:rsid w:val="00D33290"/>
    <w:rsid w:val="00D4262D"/>
    <w:rsid w:val="00D436CC"/>
    <w:rsid w:val="00D44C61"/>
    <w:rsid w:val="00D45269"/>
    <w:rsid w:val="00D458B7"/>
    <w:rsid w:val="00D50C6E"/>
    <w:rsid w:val="00D604E5"/>
    <w:rsid w:val="00D6143B"/>
    <w:rsid w:val="00D6225D"/>
    <w:rsid w:val="00D6467B"/>
    <w:rsid w:val="00D651E5"/>
    <w:rsid w:val="00D65B3D"/>
    <w:rsid w:val="00D67AF4"/>
    <w:rsid w:val="00D67C85"/>
    <w:rsid w:val="00D72116"/>
    <w:rsid w:val="00D72628"/>
    <w:rsid w:val="00D7335D"/>
    <w:rsid w:val="00D74283"/>
    <w:rsid w:val="00D77ED2"/>
    <w:rsid w:val="00D811AE"/>
    <w:rsid w:val="00D84287"/>
    <w:rsid w:val="00D8589C"/>
    <w:rsid w:val="00D87122"/>
    <w:rsid w:val="00D90AC0"/>
    <w:rsid w:val="00D95139"/>
    <w:rsid w:val="00D9698C"/>
    <w:rsid w:val="00D972AF"/>
    <w:rsid w:val="00DA1CE7"/>
    <w:rsid w:val="00DA2883"/>
    <w:rsid w:val="00DA3914"/>
    <w:rsid w:val="00DB302F"/>
    <w:rsid w:val="00DB3518"/>
    <w:rsid w:val="00DB4778"/>
    <w:rsid w:val="00DB4CD0"/>
    <w:rsid w:val="00DB7958"/>
    <w:rsid w:val="00DB7F88"/>
    <w:rsid w:val="00DC1E2D"/>
    <w:rsid w:val="00DC41F1"/>
    <w:rsid w:val="00DC7A27"/>
    <w:rsid w:val="00DD0973"/>
    <w:rsid w:val="00DD44D9"/>
    <w:rsid w:val="00DD4F07"/>
    <w:rsid w:val="00DD5DBE"/>
    <w:rsid w:val="00DD637B"/>
    <w:rsid w:val="00DE059B"/>
    <w:rsid w:val="00DE075F"/>
    <w:rsid w:val="00DE3064"/>
    <w:rsid w:val="00DE6458"/>
    <w:rsid w:val="00DE7878"/>
    <w:rsid w:val="00DE7E59"/>
    <w:rsid w:val="00DF1B71"/>
    <w:rsid w:val="00DF36FA"/>
    <w:rsid w:val="00DF6A53"/>
    <w:rsid w:val="00DF710F"/>
    <w:rsid w:val="00DF7444"/>
    <w:rsid w:val="00DF7C0A"/>
    <w:rsid w:val="00E00A3C"/>
    <w:rsid w:val="00E0171D"/>
    <w:rsid w:val="00E0240E"/>
    <w:rsid w:val="00E02B3A"/>
    <w:rsid w:val="00E038FD"/>
    <w:rsid w:val="00E0400F"/>
    <w:rsid w:val="00E05572"/>
    <w:rsid w:val="00E1080E"/>
    <w:rsid w:val="00E11FC7"/>
    <w:rsid w:val="00E13511"/>
    <w:rsid w:val="00E14BEF"/>
    <w:rsid w:val="00E15F7F"/>
    <w:rsid w:val="00E21C42"/>
    <w:rsid w:val="00E22577"/>
    <w:rsid w:val="00E225BF"/>
    <w:rsid w:val="00E23D55"/>
    <w:rsid w:val="00E25458"/>
    <w:rsid w:val="00E26113"/>
    <w:rsid w:val="00E275F9"/>
    <w:rsid w:val="00E3038D"/>
    <w:rsid w:val="00E307AD"/>
    <w:rsid w:val="00E41AFF"/>
    <w:rsid w:val="00E4325B"/>
    <w:rsid w:val="00E4634A"/>
    <w:rsid w:val="00E51E35"/>
    <w:rsid w:val="00E51FF4"/>
    <w:rsid w:val="00E52D7B"/>
    <w:rsid w:val="00E554F5"/>
    <w:rsid w:val="00E55506"/>
    <w:rsid w:val="00E65F80"/>
    <w:rsid w:val="00E7130F"/>
    <w:rsid w:val="00E73018"/>
    <w:rsid w:val="00E7448A"/>
    <w:rsid w:val="00E7583F"/>
    <w:rsid w:val="00E76270"/>
    <w:rsid w:val="00E815C7"/>
    <w:rsid w:val="00E85069"/>
    <w:rsid w:val="00E92037"/>
    <w:rsid w:val="00E921A0"/>
    <w:rsid w:val="00E92EAB"/>
    <w:rsid w:val="00E934B0"/>
    <w:rsid w:val="00E95F4B"/>
    <w:rsid w:val="00EA020F"/>
    <w:rsid w:val="00EA089B"/>
    <w:rsid w:val="00EA5471"/>
    <w:rsid w:val="00EA66BC"/>
    <w:rsid w:val="00EA6825"/>
    <w:rsid w:val="00EA7B95"/>
    <w:rsid w:val="00EB3042"/>
    <w:rsid w:val="00EB7B27"/>
    <w:rsid w:val="00EC3481"/>
    <w:rsid w:val="00EC3D93"/>
    <w:rsid w:val="00EC4B16"/>
    <w:rsid w:val="00EC6607"/>
    <w:rsid w:val="00ED51A9"/>
    <w:rsid w:val="00ED69BE"/>
    <w:rsid w:val="00EE010D"/>
    <w:rsid w:val="00EE0C48"/>
    <w:rsid w:val="00EE3EC0"/>
    <w:rsid w:val="00EE6079"/>
    <w:rsid w:val="00EF1220"/>
    <w:rsid w:val="00EF29C3"/>
    <w:rsid w:val="00EF4D30"/>
    <w:rsid w:val="00EF6F9D"/>
    <w:rsid w:val="00F03185"/>
    <w:rsid w:val="00F043CA"/>
    <w:rsid w:val="00F045B2"/>
    <w:rsid w:val="00F04F2C"/>
    <w:rsid w:val="00F051FC"/>
    <w:rsid w:val="00F101EE"/>
    <w:rsid w:val="00F10522"/>
    <w:rsid w:val="00F13035"/>
    <w:rsid w:val="00F14EBF"/>
    <w:rsid w:val="00F17AEA"/>
    <w:rsid w:val="00F214F7"/>
    <w:rsid w:val="00F21AE7"/>
    <w:rsid w:val="00F2230B"/>
    <w:rsid w:val="00F24B3B"/>
    <w:rsid w:val="00F26B2A"/>
    <w:rsid w:val="00F318E8"/>
    <w:rsid w:val="00F31945"/>
    <w:rsid w:val="00F31EDE"/>
    <w:rsid w:val="00F329E2"/>
    <w:rsid w:val="00F33A6A"/>
    <w:rsid w:val="00F359D6"/>
    <w:rsid w:val="00F377A6"/>
    <w:rsid w:val="00F4232A"/>
    <w:rsid w:val="00F42CA7"/>
    <w:rsid w:val="00F43100"/>
    <w:rsid w:val="00F445D6"/>
    <w:rsid w:val="00F44C80"/>
    <w:rsid w:val="00F45D19"/>
    <w:rsid w:val="00F51CEE"/>
    <w:rsid w:val="00F536C0"/>
    <w:rsid w:val="00F55803"/>
    <w:rsid w:val="00F56369"/>
    <w:rsid w:val="00F5664F"/>
    <w:rsid w:val="00F60B32"/>
    <w:rsid w:val="00F6185D"/>
    <w:rsid w:val="00F62514"/>
    <w:rsid w:val="00F64297"/>
    <w:rsid w:val="00F65404"/>
    <w:rsid w:val="00F65A77"/>
    <w:rsid w:val="00F6731D"/>
    <w:rsid w:val="00F706F2"/>
    <w:rsid w:val="00F73AB0"/>
    <w:rsid w:val="00F81E40"/>
    <w:rsid w:val="00F833E5"/>
    <w:rsid w:val="00F83BCC"/>
    <w:rsid w:val="00F83C47"/>
    <w:rsid w:val="00F8647D"/>
    <w:rsid w:val="00F864AE"/>
    <w:rsid w:val="00F87435"/>
    <w:rsid w:val="00F8773A"/>
    <w:rsid w:val="00F92C63"/>
    <w:rsid w:val="00F93005"/>
    <w:rsid w:val="00F93AC4"/>
    <w:rsid w:val="00F95A20"/>
    <w:rsid w:val="00F96D72"/>
    <w:rsid w:val="00F97939"/>
    <w:rsid w:val="00F97E4C"/>
    <w:rsid w:val="00FA2003"/>
    <w:rsid w:val="00FA4998"/>
    <w:rsid w:val="00FA568E"/>
    <w:rsid w:val="00FA5BDF"/>
    <w:rsid w:val="00FB1808"/>
    <w:rsid w:val="00FB27B4"/>
    <w:rsid w:val="00FB5735"/>
    <w:rsid w:val="00FB604A"/>
    <w:rsid w:val="00FC02C2"/>
    <w:rsid w:val="00FC2F5B"/>
    <w:rsid w:val="00FC5257"/>
    <w:rsid w:val="00FD49FD"/>
    <w:rsid w:val="00FE1963"/>
    <w:rsid w:val="00FE3756"/>
    <w:rsid w:val="00FE405A"/>
    <w:rsid w:val="00FE4F5B"/>
    <w:rsid w:val="00FE71AA"/>
    <w:rsid w:val="00FF2E67"/>
    <w:rsid w:val="00FF631C"/>
    <w:rsid w:val="00FF6A2E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B20F"/>
  <w15:docId w15:val="{E3A144DD-DE3E-4B1A-9359-3267D777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4F1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F17"/>
    <w:rPr>
      <w:rFonts w:ascii="Calibri" w:hAnsi="Calibri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00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5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5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50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92FA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E30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20.xml"/><Relationship Id="rId21" Type="http://schemas.openxmlformats.org/officeDocument/2006/relationships/chart" Target="charts/chart15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63" Type="http://schemas.openxmlformats.org/officeDocument/2006/relationships/chart" Target="charts/chart54.xml"/><Relationship Id="rId68" Type="http://schemas.openxmlformats.org/officeDocument/2006/relationships/fontTable" Target="fontTable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chart" Target="charts/chart23.xml"/><Relationship Id="rId11" Type="http://schemas.openxmlformats.org/officeDocument/2006/relationships/chart" Target="charts/chart6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5.xml"/><Relationship Id="rId58" Type="http://schemas.openxmlformats.org/officeDocument/2006/relationships/chart" Target="charts/chart50.xml"/><Relationship Id="rId66" Type="http://schemas.openxmlformats.org/officeDocument/2006/relationships/chart" Target="charts/chart57.xml"/><Relationship Id="rId5" Type="http://schemas.openxmlformats.org/officeDocument/2006/relationships/webSettings" Target="webSettings.xml"/><Relationship Id="rId61" Type="http://schemas.openxmlformats.org/officeDocument/2006/relationships/chart" Target="charts/chart53.xml"/><Relationship Id="rId19" Type="http://schemas.openxmlformats.org/officeDocument/2006/relationships/chart" Target="charts/chart13.xml"/><Relationship Id="rId14" Type="http://schemas.openxmlformats.org/officeDocument/2006/relationships/chart" Target="charts/chart9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image" Target="media/image3.png"/><Relationship Id="rId56" Type="http://schemas.openxmlformats.org/officeDocument/2006/relationships/chart" Target="charts/chart48.xml"/><Relationship Id="rId64" Type="http://schemas.openxmlformats.org/officeDocument/2006/relationships/chart" Target="charts/chart55.xml"/><Relationship Id="rId69" Type="http://schemas.openxmlformats.org/officeDocument/2006/relationships/theme" Target="theme/theme1.xml"/><Relationship Id="rId8" Type="http://schemas.openxmlformats.org/officeDocument/2006/relationships/chart" Target="charts/chart3.xml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7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image" Target="media/image2.png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1.xml"/><Relationship Id="rId67" Type="http://schemas.openxmlformats.org/officeDocument/2006/relationships/chart" Target="charts/chart58.xml"/><Relationship Id="rId20" Type="http://schemas.openxmlformats.org/officeDocument/2006/relationships/chart" Target="charts/chart14.xml"/><Relationship Id="rId41" Type="http://schemas.openxmlformats.org/officeDocument/2006/relationships/chart" Target="charts/chart34.xml"/><Relationship Id="rId54" Type="http://schemas.openxmlformats.org/officeDocument/2006/relationships/chart" Target="charts/chart46.xml"/><Relationship Id="rId62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5" Type="http://schemas.openxmlformats.org/officeDocument/2006/relationships/chart" Target="charts/chart10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29.xml"/><Relationship Id="rId49" Type="http://schemas.openxmlformats.org/officeDocument/2006/relationships/chart" Target="charts/chart41.xml"/><Relationship Id="rId57" Type="http://schemas.openxmlformats.org/officeDocument/2006/relationships/chart" Target="charts/chart49.xml"/><Relationship Id="rId10" Type="http://schemas.openxmlformats.org/officeDocument/2006/relationships/chart" Target="charts/chart5.xml"/><Relationship Id="rId31" Type="http://schemas.openxmlformats.org/officeDocument/2006/relationships/chart" Target="charts/chart25.xml"/><Relationship Id="rId44" Type="http://schemas.openxmlformats.org/officeDocument/2006/relationships/chart" Target="charts/chart37.xml"/><Relationship Id="rId52" Type="http://schemas.openxmlformats.org/officeDocument/2006/relationships/chart" Target="charts/chart44.xml"/><Relationship Id="rId60" Type="http://schemas.openxmlformats.org/officeDocument/2006/relationships/chart" Target="charts/chart52.xml"/><Relationship Id="rId65" Type="http://schemas.openxmlformats.org/officeDocument/2006/relationships/chart" Target="charts/chart5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3" Type="http://schemas.openxmlformats.org/officeDocument/2006/relationships/chart" Target="charts/chart8.xml"/><Relationship Id="rId18" Type="http://schemas.openxmlformats.org/officeDocument/2006/relationships/chart" Target="charts/chart12.xml"/><Relationship Id="rId39" Type="http://schemas.openxmlformats.org/officeDocument/2006/relationships/chart" Target="charts/chart32.xml"/><Relationship Id="rId34" Type="http://schemas.openxmlformats.org/officeDocument/2006/relationships/chart" Target="charts/chart27.xml"/><Relationship Id="rId50" Type="http://schemas.openxmlformats.org/officeDocument/2006/relationships/chart" Target="charts/chart42.xml"/><Relationship Id="rId55" Type="http://schemas.openxmlformats.org/officeDocument/2006/relationships/chart" Target="charts/chart4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ampach16510\VTR\publikace\publikace_2022\analytick&#225;%20&#269;&#225;st\anal&#253;za_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ampach16510\VTR\publikace\publikace_2022\analytick&#225;%20&#269;&#225;st\anal&#253;za_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ampach16510\VTR\publikace\publikace_2022\analytick&#225;%20&#269;&#225;st\anal&#253;za_graf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ampach16510\VTR\publikace\publikace_2022\analytick&#225;%20&#269;&#225;st\anal&#253;za_graf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5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5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5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5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mpach16510\VTR\publikace\publikace_2022\analytick&#225;%20&#269;&#225;st\anal&#253;za_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Grafy_celkem!$A$28</c:f>
              <c:strCache>
                <c:ptCount val="1"/>
                <c:pt idx="0">
                  <c:v> Výdaje na VaV (GERD) - mld. Kč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Grafy_celkem!$C$27:$M$27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Grafy_celkem!$C$28:$M$28</c:f>
              <c:numCache>
                <c:formatCode>0.0</c:formatCode>
                <c:ptCount val="11"/>
                <c:pt idx="0">
                  <c:v>62.753402959999967</c:v>
                </c:pt>
                <c:pt idx="1">
                  <c:v>72.360307380000009</c:v>
                </c:pt>
                <c:pt idx="2">
                  <c:v>77.853386009999994</c:v>
                </c:pt>
                <c:pt idx="3">
                  <c:v>85.104466859999945</c:v>
                </c:pt>
                <c:pt idx="4">
                  <c:v>88.663389589999994</c:v>
                </c:pt>
                <c:pt idx="5">
                  <c:v>80.109157268128598</c:v>
                </c:pt>
                <c:pt idx="6">
                  <c:v>90.386024781976786</c:v>
                </c:pt>
                <c:pt idx="7">
                  <c:v>102.75372947535165</c:v>
                </c:pt>
                <c:pt idx="8">
                  <c:v>111.62204681941269</c:v>
                </c:pt>
                <c:pt idx="9">
                  <c:v>113.38250547877975</c:v>
                </c:pt>
                <c:pt idx="10">
                  <c:v>121.93036635920222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2A-43DB-A32D-1C1A27821940}"/>
            </c:ext>
          </c:extLst>
        </c:ser>
        <c:ser>
          <c:idx val="1"/>
          <c:order val="1"/>
          <c:tx>
            <c:strRef>
              <c:f>Grafy_celkem!$A$29</c:f>
              <c:strCache>
                <c:ptCount val="1"/>
                <c:pt idx="0">
                  <c:v> Pracovníci ve VaV - tis. přepočtených osob (FTE)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Grafy_celkem!$C$27:$M$27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Grafy_celkem!$C$29:$M$29</c:f>
              <c:numCache>
                <c:formatCode>0.0</c:formatCode>
                <c:ptCount val="11"/>
                <c:pt idx="0">
                  <c:v>55.696942280000009</c:v>
                </c:pt>
                <c:pt idx="1">
                  <c:v>60.329443785000024</c:v>
                </c:pt>
                <c:pt idx="2">
                  <c:v>61.975855935000013</c:v>
                </c:pt>
                <c:pt idx="3">
                  <c:v>64.44345184499997</c:v>
                </c:pt>
                <c:pt idx="4">
                  <c:v>66.433399944999991</c:v>
                </c:pt>
                <c:pt idx="5">
                  <c:v>65.782994585719763</c:v>
                </c:pt>
                <c:pt idx="6">
                  <c:v>69.735652770939822</c:v>
                </c:pt>
                <c:pt idx="7">
                  <c:v>74.969488901048067</c:v>
                </c:pt>
                <c:pt idx="8">
                  <c:v>79.245004599164432</c:v>
                </c:pt>
                <c:pt idx="9">
                  <c:v>80.958077025784704</c:v>
                </c:pt>
                <c:pt idx="10">
                  <c:v>84.67051455140772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2A-43DB-A32D-1C1A278219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-20"/>
        <c:axId val="1426075151"/>
        <c:axId val="1426075567"/>
      </c:barChart>
      <c:lineChart>
        <c:grouping val="standard"/>
        <c:varyColors val="0"/>
        <c:ser>
          <c:idx val="2"/>
          <c:order val="2"/>
          <c:tx>
            <c:strRef>
              <c:f>Grafy_celkem!$A$30</c:f>
              <c:strCache>
                <c:ptCount val="1"/>
                <c:pt idx="0">
                  <c:v> Podíl výdajů na VaV na HDP (Intenzita VaV)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triangle"/>
            <c:size val="8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Grafy_celkem!$C$27:$M$27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Grafy_celkem!$C$30:$M$30</c:f>
              <c:numCache>
                <c:formatCode>0.00%</c:formatCode>
                <c:ptCount val="11"/>
                <c:pt idx="0">
                  <c:v>1.5447664540707366E-2</c:v>
                </c:pt>
                <c:pt idx="1">
                  <c:v>1.7696714279984507E-2</c:v>
                </c:pt>
                <c:pt idx="2">
                  <c:v>1.8792405931624685E-2</c:v>
                </c:pt>
                <c:pt idx="3">
                  <c:v>1.9583306340010011E-2</c:v>
                </c:pt>
                <c:pt idx="4">
                  <c:v>1.9168895945369219E-2</c:v>
                </c:pt>
                <c:pt idx="5">
                  <c:v>1.6700287305527705E-2</c:v>
                </c:pt>
                <c:pt idx="6">
                  <c:v>1.7685495980129851E-2</c:v>
                </c:pt>
                <c:pt idx="7">
                  <c:v>1.8990624327216012E-2</c:v>
                </c:pt>
                <c:pt idx="8">
                  <c:v>1.9273432680010024E-2</c:v>
                </c:pt>
                <c:pt idx="9">
                  <c:v>1.9859853536165092E-2</c:v>
                </c:pt>
                <c:pt idx="10">
                  <c:v>1.9961005738170643E-2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C2A-43DB-A32D-1C1A27821940}"/>
            </c:ext>
          </c:extLst>
        </c:ser>
        <c:ser>
          <c:idx val="3"/>
          <c:order val="3"/>
          <c:tx>
            <c:strRef>
              <c:f>Grafy_celkem!$A$31</c:f>
              <c:strCache>
                <c:ptCount val="1"/>
                <c:pt idx="0">
                  <c:v> Podíl pracovníků ve VaV (FTE) na zaměstnaných v ČR celkem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Grafy_celkem!$C$27:$M$27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Grafy_celkem!$C$31:$M$31</c:f>
              <c:numCache>
                <c:formatCode>0.00%</c:formatCode>
                <c:ptCount val="11"/>
                <c:pt idx="0">
                  <c:v>1.1043447402347369E-2</c:v>
                </c:pt>
                <c:pt idx="1">
                  <c:v>1.1911931803216157E-2</c:v>
                </c:pt>
                <c:pt idx="2">
                  <c:v>1.2197738590179358E-2</c:v>
                </c:pt>
                <c:pt idx="3">
                  <c:v>1.261379293407062E-2</c:v>
                </c:pt>
                <c:pt idx="4">
                  <c:v>1.2820246103128322E-2</c:v>
                </c:pt>
                <c:pt idx="5">
                  <c:v>1.2496054953111489E-2</c:v>
                </c:pt>
                <c:pt idx="6">
                  <c:v>1.3044908178799303E-2</c:v>
                </c:pt>
                <c:pt idx="7">
                  <c:v>1.3839388327179635E-2</c:v>
                </c:pt>
                <c:pt idx="8">
                  <c:v>1.4592999006907192E-2</c:v>
                </c:pt>
                <c:pt idx="9">
                  <c:v>1.516863365058153E-2</c:v>
                </c:pt>
                <c:pt idx="10">
                  <c:v>1.5807027102419414E-2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C2A-43DB-A32D-1C1A278219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133519"/>
        <c:axId val="1426076399"/>
      </c:lineChart>
      <c:catAx>
        <c:axId val="1426075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26075567"/>
        <c:crosses val="autoZero"/>
        <c:auto val="1"/>
        <c:lblAlgn val="ctr"/>
        <c:lblOffset val="100"/>
        <c:noMultiLvlLbl val="0"/>
      </c:catAx>
      <c:valAx>
        <c:axId val="1426075567"/>
        <c:scaling>
          <c:orientation val="minMax"/>
          <c:max val="180"/>
        </c:scaling>
        <c:delete val="0"/>
        <c:axPos val="l"/>
        <c:numFmt formatCode="0.0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26075151"/>
        <c:crosses val="autoZero"/>
        <c:crossBetween val="between"/>
        <c:majorUnit val="10"/>
      </c:valAx>
      <c:valAx>
        <c:axId val="1426076399"/>
        <c:scaling>
          <c:orientation val="minMax"/>
          <c:max val="2.2000000000000006E-2"/>
        </c:scaling>
        <c:delete val="0"/>
        <c:axPos val="r"/>
        <c:numFmt formatCode="0.00%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953133519"/>
        <c:crosses val="max"/>
        <c:crossBetween val="between"/>
        <c:majorUnit val="2.0000000000000005E-3"/>
      </c:valAx>
      <c:catAx>
        <c:axId val="95313351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607639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950768544602489E-2"/>
          <c:y val="0.73973399346249891"/>
          <c:w val="0.92809846291079501"/>
          <c:h val="0.22785876775203179"/>
        </c:manualLayout>
      </c:layout>
      <c:overlay val="0"/>
      <c:spPr>
        <a:noFill/>
        <a:ln>
          <a:solidFill>
            <a:schemeClr val="bg1">
              <a:lumMod val="7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303030303031E-2"/>
          <c:y val="4.7861193095429744E-2"/>
          <c:w val="0.5099747474747474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Grafy_celkem!$A$135</c:f>
              <c:strCache>
                <c:ptCount val="1"/>
                <c:pt idx="0">
                  <c:v> podni
-katelský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Grafy_celkem!$B$134:$M$134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Grafy_celkem!$B$135:$M$135</c:f>
              <c:numCache>
                <c:formatCode>0%</c:formatCode>
                <c:ptCount val="2"/>
                <c:pt idx="0">
                  <c:v>0.54416206307993309</c:v>
                </c:pt>
                <c:pt idx="1">
                  <c:v>0.62785760215893882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FAA-490F-A993-BDE55A91BA03}"/>
            </c:ext>
          </c:extLst>
        </c:ser>
        <c:ser>
          <c:idx val="1"/>
          <c:order val="1"/>
          <c:tx>
            <c:strRef>
              <c:f>Grafy_celkem!$A$136</c:f>
              <c:strCache>
                <c:ptCount val="1"/>
                <c:pt idx="0">
                  <c:v> vysoko
-školský 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Grafy_celkem!$B$134:$M$134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Grafy_celkem!$B$136:$M$136</c:f>
              <c:numCache>
                <c:formatCode>0%</c:formatCode>
                <c:ptCount val="2"/>
                <c:pt idx="0">
                  <c:v>0.2436266445940003</c:v>
                </c:pt>
                <c:pt idx="1">
                  <c:v>0.20296810230734372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FAA-490F-A993-BDE55A91BA03}"/>
            </c:ext>
          </c:extLst>
        </c:ser>
        <c:ser>
          <c:idx val="2"/>
          <c:order val="2"/>
          <c:tx>
            <c:strRef>
              <c:f>Grafy_celkem!$A$137</c:f>
              <c:strCache>
                <c:ptCount val="1"/>
                <c:pt idx="0">
                  <c:v> vládní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Grafy_celkem!$B$134:$M$134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Grafy_celkem!$B$137:$M$137</c:f>
              <c:numCache>
                <c:formatCode>0%</c:formatCode>
                <c:ptCount val="2"/>
                <c:pt idx="0">
                  <c:v>0.20670892378965275</c:v>
                </c:pt>
                <c:pt idx="1">
                  <c:v>0.16653983422126792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5FAA-490F-A993-BDE55A91BA03}"/>
            </c:ext>
          </c:extLst>
        </c:ser>
        <c:ser>
          <c:idx val="3"/>
          <c:order val="3"/>
          <c:tx>
            <c:strRef>
              <c:f>Grafy_celkem!$A$138</c:f>
              <c:strCache>
                <c:ptCount val="1"/>
                <c:pt idx="0">
                  <c:v> neziskový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Grafy_celkem!$B$134:$M$134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Grafy_celkem!$B$138:$M$138</c:f>
              <c:numCache>
                <c:formatCode>0%</c:formatCode>
                <c:ptCount val="2"/>
                <c:pt idx="0">
                  <c:v>5.5023685364137941E-3</c:v>
                </c:pt>
                <c:pt idx="1">
                  <c:v>2.6344613124495678E-3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5FAA-490F-A993-BDE55A91B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1384393939393944"/>
          <c:y val="7.5112110986126732E-2"/>
          <c:w val="0.36004090909090908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920447074293226E-2"/>
          <c:y val="5.0529513888888891E-2"/>
          <c:w val="0.96248027613412224"/>
          <c:h val="0.6990837068443367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70C0"/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E4CB-428E-8AC8-87F4A9A5A403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4CB-428E-8AC8-87F4A9A5A403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4-E4CB-428E-8AC8-87F4A9A5A4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MS!$B$4:$B$31</c:f>
              <c:strCache>
                <c:ptCount val="28"/>
                <c:pt idx="0">
                  <c:v>Švédsko</c:v>
                </c:pt>
                <c:pt idx="1">
                  <c:v>Belgie</c:v>
                </c:pt>
                <c:pt idx="2">
                  <c:v>Rakousko</c:v>
                </c:pt>
                <c:pt idx="3">
                  <c:v>Německo</c:v>
                </c:pt>
                <c:pt idx="4">
                  <c:v>Finsko</c:v>
                </c:pt>
                <c:pt idx="5">
                  <c:v>Dánsko</c:v>
                </c:pt>
                <c:pt idx="6">
                  <c:v>EU27</c:v>
                </c:pt>
                <c:pt idx="7">
                  <c:v>Nizozemsko</c:v>
                </c:pt>
                <c:pt idx="8">
                  <c:v>Francie</c:v>
                </c:pt>
                <c:pt idx="9">
                  <c:v>Slovinsko</c:v>
                </c:pt>
                <c:pt idx="10">
                  <c:v>Česko</c:v>
                </c:pt>
                <c:pt idx="11">
                  <c:v>Estonsko</c:v>
                </c:pt>
                <c:pt idx="12">
                  <c:v>Portugalsko</c:v>
                </c:pt>
                <c:pt idx="13">
                  <c:v>Maďarsko</c:v>
                </c:pt>
                <c:pt idx="14">
                  <c:v>Itálie</c:v>
                </c:pt>
                <c:pt idx="15">
                  <c:v>Řecko</c:v>
                </c:pt>
                <c:pt idx="16">
                  <c:v>Polsko</c:v>
                </c:pt>
                <c:pt idx="17">
                  <c:v>Španělsko</c:v>
                </c:pt>
                <c:pt idx="18">
                  <c:v>Chorvatsko</c:v>
                </c:pt>
                <c:pt idx="19">
                  <c:v>Litva</c:v>
                </c:pt>
                <c:pt idx="20">
                  <c:v>Irsko</c:v>
                </c:pt>
                <c:pt idx="21">
                  <c:v>Lucembursko</c:v>
                </c:pt>
                <c:pt idx="22">
                  <c:v>Slovensko</c:v>
                </c:pt>
                <c:pt idx="23">
                  <c:v>Kypr</c:v>
                </c:pt>
                <c:pt idx="24">
                  <c:v>Bulharsko</c:v>
                </c:pt>
                <c:pt idx="25">
                  <c:v>Lotyšsko</c:v>
                </c:pt>
                <c:pt idx="26">
                  <c:v>Malta</c:v>
                </c:pt>
                <c:pt idx="27">
                  <c:v>Rumunsko</c:v>
                </c:pt>
              </c:strCache>
            </c:strRef>
          </c:cat>
          <c:val>
            <c:numRef>
              <c:f>MS!$C$4:$C$31</c:f>
              <c:numCache>
                <c:formatCode>0.00</c:formatCode>
                <c:ptCount val="28"/>
                <c:pt idx="0">
                  <c:v>3.3561848141159651</c:v>
                </c:pt>
                <c:pt idx="1">
                  <c:v>3.2155076649633414</c:v>
                </c:pt>
                <c:pt idx="2">
                  <c:v>3.1889231702575933</c:v>
                </c:pt>
                <c:pt idx="3">
                  <c:v>3.1331991393072816</c:v>
                </c:pt>
                <c:pt idx="4">
                  <c:v>2.9801453651433958</c:v>
                </c:pt>
                <c:pt idx="5">
                  <c:v>2.8126198871589665</c:v>
                </c:pt>
                <c:pt idx="6">
                  <c:v>2.2617736616858024</c:v>
                </c:pt>
                <c:pt idx="7">
                  <c:v>2.2556039777849399</c:v>
                </c:pt>
                <c:pt idx="8">
                  <c:v>2.2119126543962699</c:v>
                </c:pt>
                <c:pt idx="9">
                  <c:v>2.1395147496269735</c:v>
                </c:pt>
                <c:pt idx="10">
                  <c:v>1.9961005679366279</c:v>
                </c:pt>
                <c:pt idx="11">
                  <c:v>1.7521505872176411</c:v>
                </c:pt>
                <c:pt idx="12">
                  <c:v>1.662193483771909</c:v>
                </c:pt>
                <c:pt idx="13">
                  <c:v>1.6461570704015149</c:v>
                </c:pt>
                <c:pt idx="14">
                  <c:v>1.4880004516146121</c:v>
                </c:pt>
                <c:pt idx="15">
                  <c:v>1.4505230780747556</c:v>
                </c:pt>
                <c:pt idx="16">
                  <c:v>1.4358516251084243</c:v>
                </c:pt>
                <c:pt idx="17">
                  <c:v>1.4292881752540929</c:v>
                </c:pt>
                <c:pt idx="18">
                  <c:v>1.2447552798350785</c:v>
                </c:pt>
                <c:pt idx="19">
                  <c:v>1.1078034357972983</c:v>
                </c:pt>
                <c:pt idx="20">
                  <c:v>1.0559979581658587</c:v>
                </c:pt>
                <c:pt idx="21">
                  <c:v>1.0228079396915415</c:v>
                </c:pt>
                <c:pt idx="22">
                  <c:v>0.93211737360819302</c:v>
                </c:pt>
                <c:pt idx="23">
                  <c:v>0.86598470371249303</c:v>
                </c:pt>
                <c:pt idx="24">
                  <c:v>0.7725935043158052</c:v>
                </c:pt>
                <c:pt idx="25">
                  <c:v>0.68910460916610017</c:v>
                </c:pt>
                <c:pt idx="26">
                  <c:v>0.64701354784658038</c:v>
                </c:pt>
                <c:pt idx="27">
                  <c:v>0.47521016476694372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CB-428E-8AC8-87F4A9A5A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765568"/>
        <c:axId val="132767744"/>
      </c:barChart>
      <c:catAx>
        <c:axId val="13276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32767744"/>
        <c:crosses val="autoZero"/>
        <c:auto val="1"/>
        <c:lblAlgn val="ctr"/>
        <c:lblOffset val="100"/>
        <c:noMultiLvlLbl val="0"/>
      </c:catAx>
      <c:valAx>
        <c:axId val="132767744"/>
        <c:scaling>
          <c:orientation val="minMax"/>
          <c:max val="4"/>
          <c:min val="0"/>
        </c:scaling>
        <c:delete val="0"/>
        <c:axPos val="l"/>
        <c:numFmt formatCode="#,##0.0" sourceLinked="0"/>
        <c:majorTickMark val="none"/>
        <c:minorTickMark val="none"/>
        <c:tickLblPos val="none"/>
        <c:spPr>
          <a:ln>
            <a:solidFill>
              <a:schemeClr val="bg1">
                <a:lumMod val="65000"/>
              </a:schemeClr>
            </a:solidFill>
          </a:ln>
        </c:spPr>
        <c:crossAx val="132765568"/>
        <c:crosses val="autoZero"/>
        <c:crossBetween val="between"/>
        <c:majorUnit val="0.5"/>
        <c:minorUnit val="0.25"/>
      </c:valAx>
      <c:spPr>
        <a:ln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62024349881796692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Grafy_celkem!$A$146</c:f>
              <c:strCache>
                <c:ptCount val="1"/>
                <c:pt idx="0">
                  <c:v> muži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Grafy_celkem!$B$145:$M$145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Grafy_celkem!$B$146:$M$146</c:f>
              <c:numCache>
                <c:formatCode>0%</c:formatCode>
                <c:ptCount val="2"/>
                <c:pt idx="0">
                  <c:v>0.69886517511711399</c:v>
                </c:pt>
                <c:pt idx="1">
                  <c:v>0.71452964591873158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79B-4012-A28A-0A0657FEFCDD}"/>
            </c:ext>
          </c:extLst>
        </c:ser>
        <c:ser>
          <c:idx val="1"/>
          <c:order val="1"/>
          <c:tx>
            <c:strRef>
              <c:f>Grafy_celkem!$A$147</c:f>
              <c:strCache>
                <c:ptCount val="1"/>
                <c:pt idx="0">
                  <c:v> ženy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Grafy_celkem!$B$145:$M$145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Grafy_celkem!$B$147:$M$147</c:f>
              <c:numCache>
                <c:formatCode>0%</c:formatCode>
                <c:ptCount val="2"/>
                <c:pt idx="0">
                  <c:v>0.30113482488288612</c:v>
                </c:pt>
                <c:pt idx="1">
                  <c:v>0.28547035408126836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679B-4012-A28A-0A0657FEFC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9358392434988181"/>
          <c:y val="7.5112110986126732E-2"/>
          <c:w val="0.28030082742316786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6770222222222233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Grafy_celkem!$A$152</c:f>
              <c:strCache>
                <c:ptCount val="1"/>
                <c:pt idx="0">
                  <c:v> podni
-katelský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Grafy_celkem!$B$151:$M$151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Grafy_celkem!$B$152:$M$152</c:f>
              <c:numCache>
                <c:formatCode>0%</c:formatCode>
                <c:ptCount val="2"/>
                <c:pt idx="0">
                  <c:v>0.52093519217155781</c:v>
                </c:pt>
                <c:pt idx="1">
                  <c:v>0.57894302802807296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CB48-48B2-A9B1-AA7C0F86C8F3}"/>
            </c:ext>
          </c:extLst>
        </c:ser>
        <c:ser>
          <c:idx val="1"/>
          <c:order val="1"/>
          <c:tx>
            <c:strRef>
              <c:f>Grafy_celkem!$A$153</c:f>
              <c:strCache>
                <c:ptCount val="1"/>
                <c:pt idx="0">
                  <c:v> vysoko
-školský 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Grafy_celkem!$B$151:$M$151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Grafy_celkem!$B$153:$M$153</c:f>
              <c:numCache>
                <c:formatCode>0%</c:formatCode>
                <c:ptCount val="2"/>
                <c:pt idx="0">
                  <c:v>0.26435283333834053</c:v>
                </c:pt>
                <c:pt idx="1">
                  <c:v>0.24696716073591754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CB48-48B2-A9B1-AA7C0F86C8F3}"/>
            </c:ext>
          </c:extLst>
        </c:ser>
        <c:ser>
          <c:idx val="2"/>
          <c:order val="2"/>
          <c:tx>
            <c:strRef>
              <c:f>Grafy_celkem!$A$154</c:f>
              <c:strCache>
                <c:ptCount val="1"/>
                <c:pt idx="0">
                  <c:v> vládní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Grafy_celkem!$B$151:$M$151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Grafy_celkem!$B$154:$M$154</c:f>
              <c:numCache>
                <c:formatCode>0%</c:formatCode>
                <c:ptCount val="2"/>
                <c:pt idx="0">
                  <c:v>0.20875983256939437</c:v>
                </c:pt>
                <c:pt idx="1">
                  <c:v>0.17061068515450314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CB48-48B2-A9B1-AA7C0F86C8F3}"/>
            </c:ext>
          </c:extLst>
        </c:ser>
        <c:ser>
          <c:idx val="3"/>
          <c:order val="3"/>
          <c:tx>
            <c:strRef>
              <c:f>Grafy_celkem!$A$155</c:f>
              <c:strCache>
                <c:ptCount val="1"/>
                <c:pt idx="0">
                  <c:v> neziskový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Grafy_celkem!$B$151:$M$151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Grafy_celkem!$B$155:$M$155</c:f>
              <c:numCache>
                <c:formatCode>0%</c:formatCode>
                <c:ptCount val="2"/>
                <c:pt idx="0">
                  <c:v>5.9521419207072554E-3</c:v>
                </c:pt>
                <c:pt idx="1">
                  <c:v>3.4791260815064851E-3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CB48-48B2-A9B1-AA7C0F86C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3308611111111113"/>
          <c:y val="7.5112110986126732E-2"/>
          <c:w val="0.34079833333333331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0346847519972415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Grafy_celkem!$A$160</c:f>
              <c:strCache>
                <c:ptCount val="1"/>
                <c:pt idx="0">
                  <c:v> technické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Grafy_celkem!$B$159:$M$159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Grafy_celkem!$B$160:$M$160</c:f>
              <c:numCache>
                <c:formatCode>0%</c:formatCode>
                <c:ptCount val="2"/>
                <c:pt idx="0">
                  <c:v>0.47020490951446864</c:v>
                </c:pt>
                <c:pt idx="1">
                  <c:v>0.43221736834730595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9F5-47F2-BE48-B05DFDD2AA23}"/>
            </c:ext>
          </c:extLst>
        </c:ser>
        <c:ser>
          <c:idx val="1"/>
          <c:order val="1"/>
          <c:tx>
            <c:strRef>
              <c:f>Grafy_celkem!$A$161</c:f>
              <c:strCache>
                <c:ptCount val="1"/>
                <c:pt idx="0">
                  <c:v> přírodní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Grafy_celkem!$B$159:$M$159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Grafy_celkem!$B$161:$M$161</c:f>
              <c:numCache>
                <c:formatCode>0%</c:formatCode>
                <c:ptCount val="2"/>
                <c:pt idx="0">
                  <c:v>0.28549732039257697</c:v>
                </c:pt>
                <c:pt idx="1">
                  <c:v>0.36264193286194979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9F5-47F2-BE48-B05DFDD2AA23}"/>
            </c:ext>
          </c:extLst>
        </c:ser>
        <c:ser>
          <c:idx val="2"/>
          <c:order val="2"/>
          <c:tx>
            <c:strRef>
              <c:f>Grafy_celkem!$A$162</c:f>
              <c:strCache>
                <c:ptCount val="1"/>
                <c:pt idx="0">
                  <c:v> sociální 
 a humanitní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Grafy_celkem!$B$159:$M$159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Grafy_celkem!$B$162:$M$162</c:f>
              <c:numCache>
                <c:formatCode>0%</c:formatCode>
                <c:ptCount val="2"/>
                <c:pt idx="0">
                  <c:v>0.1163457377502557</c:v>
                </c:pt>
                <c:pt idx="1">
                  <c:v>9.0950087669463248E-2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09F5-47F2-BE48-B05DFDD2AA23}"/>
            </c:ext>
          </c:extLst>
        </c:ser>
        <c:ser>
          <c:idx val="3"/>
          <c:order val="3"/>
          <c:tx>
            <c:strRef>
              <c:f>Grafy_celkem!$A$163</c:f>
              <c:strCache>
                <c:ptCount val="1"/>
                <c:pt idx="0">
                  <c:v> lékařské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Grafy_celkem!$B$159:$M$159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Grafy_celkem!$B$163:$M$163</c:f>
              <c:numCache>
                <c:formatCode>0%</c:formatCode>
                <c:ptCount val="2"/>
                <c:pt idx="0">
                  <c:v>7.8742768102996241E-2</c:v>
                </c:pt>
                <c:pt idx="1">
                  <c:v>6.6270008310330933E-2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09F5-47F2-BE48-B05DFDD2AA23}"/>
            </c:ext>
          </c:extLst>
        </c:ser>
        <c:ser>
          <c:idx val="4"/>
          <c:order val="4"/>
          <c:tx>
            <c:strRef>
              <c:f>Grafy_celkem!$A$164</c:f>
              <c:strCache>
                <c:ptCount val="1"/>
                <c:pt idx="0">
                  <c:v> zemědělské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Grafy_celkem!$B$159:$M$159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Grafy_celkem!$B$164:$M$164</c:f>
              <c:numCache>
                <c:formatCode>0%</c:formatCode>
                <c:ptCount val="2"/>
                <c:pt idx="0">
                  <c:v>4.9209264239702927E-2</c:v>
                </c:pt>
                <c:pt idx="1">
                  <c:v>4.7920602810950313E-2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09F5-47F2-BE48-B05DFDD2A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9099396517041203"/>
          <c:y val="7.5112110986126732E-2"/>
          <c:w val="0.38167940686246338"/>
          <c:h val="0.8113145319966268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28681124831378E-2"/>
          <c:y val="5.8892428964571267E-2"/>
          <c:w val="0.95434263775033723"/>
          <c:h val="0.62109543280937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Grafy_BES!$A$35</c:f>
              <c:strCache>
                <c:ptCount val="1"/>
                <c:pt idx="0">
                  <c:v> Výdaje na VaV (BERD) - mld. Kč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Grafy_BES!$C$34:$M$34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Grafy_BES!$C$35:$M$35</c:f>
              <c:numCache>
                <c:formatCode>0.0</c:formatCode>
                <c:ptCount val="11"/>
                <c:pt idx="0">
                  <c:v>34.148021219999968</c:v>
                </c:pt>
                <c:pt idx="1">
                  <c:v>38.227991750000008</c:v>
                </c:pt>
                <c:pt idx="2">
                  <c:v>41.512703839999986</c:v>
                </c:pt>
                <c:pt idx="3">
                  <c:v>46.980508809999925</c:v>
                </c:pt>
                <c:pt idx="4">
                  <c:v>48.147505049999978</c:v>
                </c:pt>
                <c:pt idx="5">
                  <c:v>48.980262270849551</c:v>
                </c:pt>
                <c:pt idx="6">
                  <c:v>56.810126667346175</c:v>
                </c:pt>
                <c:pt idx="7">
                  <c:v>63.653606783896386</c:v>
                </c:pt>
                <c:pt idx="8">
                  <c:v>68.808243328201314</c:v>
                </c:pt>
                <c:pt idx="9">
                  <c:v>69.112545560542216</c:v>
                </c:pt>
                <c:pt idx="10">
                  <c:v>76.554907452649502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9B-42F3-BDAB-879A46B2F3E4}"/>
            </c:ext>
          </c:extLst>
        </c:ser>
        <c:ser>
          <c:idx val="1"/>
          <c:order val="1"/>
          <c:tx>
            <c:strRef>
              <c:f>Grafy_BES!$A$36</c:f>
              <c:strCache>
                <c:ptCount val="1"/>
                <c:pt idx="0">
                  <c:v> Pracovníci ve VaV - tis. přepočtených osob (FTE)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Grafy_BES!$C$34:$M$34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Grafy_BES!$C$36:$M$36</c:f>
              <c:numCache>
                <c:formatCode>0.0</c:formatCode>
                <c:ptCount val="11"/>
                <c:pt idx="0">
                  <c:v>29.014497330000012</c:v>
                </c:pt>
                <c:pt idx="1">
                  <c:v>31.705078565000033</c:v>
                </c:pt>
                <c:pt idx="2">
                  <c:v>33.187829090000022</c:v>
                </c:pt>
                <c:pt idx="3">
                  <c:v>35.256388209999962</c:v>
                </c:pt>
                <c:pt idx="4">
                  <c:v>36.365329955000007</c:v>
                </c:pt>
                <c:pt idx="5">
                  <c:v>37.263212953067352</c:v>
                </c:pt>
                <c:pt idx="6">
                  <c:v>39.967771617079883</c:v>
                </c:pt>
                <c:pt idx="7">
                  <c:v>42.349352351701818</c:v>
                </c:pt>
                <c:pt idx="8">
                  <c:v>44.792423282076207</c:v>
                </c:pt>
                <c:pt idx="9">
                  <c:v>46.234359110944879</c:v>
                </c:pt>
                <c:pt idx="10">
                  <c:v>49.019404079086996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9B-42F3-BDAB-879A46B2F3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-10"/>
        <c:axId val="1426075151"/>
        <c:axId val="1426075567"/>
      </c:barChart>
      <c:lineChart>
        <c:grouping val="standard"/>
        <c:varyColors val="0"/>
        <c:ser>
          <c:idx val="2"/>
          <c:order val="2"/>
          <c:tx>
            <c:strRef>
              <c:f>Grafy_BES!$A$37</c:f>
              <c:strCache>
                <c:ptCount val="1"/>
                <c:pt idx="0">
                  <c:v> Podíl výdajů na VaV na HDP (Intenzita VaV)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Grafy_BES!$C$34:$M$34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Grafy_BES!$C$37:$M$37</c:f>
              <c:numCache>
                <c:formatCode>0.00%</c:formatCode>
                <c:ptCount val="11"/>
                <c:pt idx="0">
                  <c:v>8.4060330062380555E-3</c:v>
                </c:pt>
                <c:pt idx="1">
                  <c:v>9.3491842695562922E-3</c:v>
                </c:pt>
                <c:pt idx="2">
                  <c:v>1.0020419430188826E-2</c:v>
                </c:pt>
                <c:pt idx="3">
                  <c:v>1.0810639323424218E-2</c:v>
                </c:pt>
                <c:pt idx="4">
                  <c:v>1.0409420603029644E-2</c:v>
                </c:pt>
                <c:pt idx="5">
                  <c:v>1.0210873264906023E-2</c:v>
                </c:pt>
                <c:pt idx="6">
                  <c:v>1.1115825363816232E-2</c:v>
                </c:pt>
                <c:pt idx="7">
                  <c:v>1.1764261401288367E-2</c:v>
                </c:pt>
                <c:pt idx="8">
                  <c:v>1.1880905998448283E-2</c:v>
                </c:pt>
                <c:pt idx="9">
                  <c:v>1.2105615646329046E-2</c:v>
                </c:pt>
                <c:pt idx="10">
                  <c:v>1.2532669199448621E-2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9B-42F3-BDAB-879A46B2F3E4}"/>
            </c:ext>
          </c:extLst>
        </c:ser>
        <c:ser>
          <c:idx val="3"/>
          <c:order val="3"/>
          <c:tx>
            <c:strRef>
              <c:f>Grafy_BES!$A$38</c:f>
              <c:strCache>
                <c:ptCount val="1"/>
                <c:pt idx="0">
                  <c:v> Podíl pracovníků ve VaV (FTE) na zaměstnaných v podnicích celkem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Grafy_BES!$C$34:$M$34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Grafy_BES!$C$38:$M$38</c:f>
              <c:numCache>
                <c:formatCode>0.00%</c:formatCode>
                <c:ptCount val="11"/>
                <c:pt idx="0">
                  <c:v>7.1703620879349029E-3</c:v>
                </c:pt>
                <c:pt idx="1">
                  <c:v>7.7841180239265669E-3</c:v>
                </c:pt>
                <c:pt idx="2">
                  <c:v>8.1416771700927038E-3</c:v>
                </c:pt>
                <c:pt idx="3">
                  <c:v>8.6215645830144041E-3</c:v>
                </c:pt>
                <c:pt idx="4">
                  <c:v>8.756041759667918E-3</c:v>
                </c:pt>
                <c:pt idx="5">
                  <c:v>8.8458728761272344E-3</c:v>
                </c:pt>
                <c:pt idx="6">
                  <c:v>9.3650774008293535E-3</c:v>
                </c:pt>
                <c:pt idx="7">
                  <c:v>9.8071135548428254E-3</c:v>
                </c:pt>
                <c:pt idx="8">
                  <c:v>1.0363660175961267E-2</c:v>
                </c:pt>
                <c:pt idx="9">
                  <c:v>1.0966102239820931E-2</c:v>
                </c:pt>
                <c:pt idx="10">
                  <c:v>1.1630781105679578E-2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89B-42F3-BDAB-879A46B2F3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133519"/>
        <c:axId val="1426076399"/>
      </c:lineChart>
      <c:catAx>
        <c:axId val="1426075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26075567"/>
        <c:crosses val="autoZero"/>
        <c:auto val="1"/>
        <c:lblAlgn val="ctr"/>
        <c:lblOffset val="100"/>
        <c:noMultiLvlLbl val="0"/>
      </c:catAx>
      <c:valAx>
        <c:axId val="1426075567"/>
        <c:scaling>
          <c:orientation val="minMax"/>
          <c:max val="110"/>
        </c:scaling>
        <c:delete val="0"/>
        <c:axPos val="l"/>
        <c:numFmt formatCode="0.0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26075151"/>
        <c:crosses val="autoZero"/>
        <c:crossBetween val="between"/>
        <c:majorUnit val="10"/>
      </c:valAx>
      <c:valAx>
        <c:axId val="1426076399"/>
        <c:scaling>
          <c:orientation val="minMax"/>
          <c:max val="1.3000000000000003E-2"/>
        </c:scaling>
        <c:delete val="0"/>
        <c:axPos val="r"/>
        <c:numFmt formatCode="0.00%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953133519"/>
        <c:crosses val="max"/>
        <c:crossBetween val="between"/>
        <c:majorUnit val="1.0000000000000002E-3"/>
      </c:valAx>
      <c:catAx>
        <c:axId val="95313351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607639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950768544602489E-2"/>
          <c:y val="0.7680983058935813"/>
          <c:w val="0.92809846291079501"/>
          <c:h val="0.21230127984268776"/>
        </c:manualLayout>
      </c:layout>
      <c:overlay val="0"/>
      <c:spPr>
        <a:noFill/>
        <a:ln>
          <a:solidFill>
            <a:schemeClr val="bg1">
              <a:lumMod val="7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539743589743586E-2"/>
          <c:y val="7.7059553544779044E-2"/>
          <c:w val="0.92145198412698415"/>
          <c:h val="0.71668487654320989"/>
        </c:manualLayout>
      </c:layout>
      <c:doughnutChart>
        <c:varyColors val="1"/>
        <c:ser>
          <c:idx val="0"/>
          <c:order val="0"/>
          <c:tx>
            <c:strRef>
              <c:f>Grafy_BES!$B$11</c:f>
              <c:strCache>
                <c:ptCount val="1"/>
                <c:pt idx="0">
                  <c:v>2021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70C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1-3883-4BDA-A000-EAB37F404BD8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3-3883-4BDA-A000-EAB37F404BD8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5-3883-4BDA-A000-EAB37F404BD8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8-3883-4BDA-A000-EAB37F404BD8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7-3883-4BDA-A000-EAB37F404BD8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83-4BDA-A000-EAB37F404BD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883-4BDA-A000-EAB37F404B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Grafy_BES!$A$12:$A$15</c:f>
              <c:strCache>
                <c:ptCount val="4"/>
                <c:pt idx="0">
                  <c:v> &lt; 1 </c:v>
                </c:pt>
                <c:pt idx="1">
                  <c:v> 1-9,9</c:v>
                </c:pt>
                <c:pt idx="2">
                  <c:v> 10-99,9</c:v>
                </c:pt>
                <c:pt idx="3">
                  <c:v> 100+</c:v>
                </c:pt>
              </c:strCache>
            </c:strRef>
          </c:cat>
          <c:val>
            <c:numRef>
              <c:f>Grafy_BES!$B$12:$B$15</c:f>
              <c:numCache>
                <c:formatCode>#,##0</c:formatCode>
                <c:ptCount val="4"/>
                <c:pt idx="0">
                  <c:v>497</c:v>
                </c:pt>
                <c:pt idx="1">
                  <c:v>1529</c:v>
                </c:pt>
                <c:pt idx="2">
                  <c:v>658</c:v>
                </c:pt>
                <c:pt idx="3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883-4BDA-A000-EAB37F404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</c:spPr>
    </c:plotArea>
    <c:legend>
      <c:legendPos val="b"/>
      <c:layout>
        <c:manualLayout>
          <c:xMode val="edge"/>
          <c:yMode val="edge"/>
          <c:x val="0.16333793129873364"/>
          <c:y val="0.8326005683261366"/>
          <c:w val="0.76031388888888884"/>
          <c:h val="0.11987464065224562"/>
        </c:manualLayout>
      </c:layout>
      <c:overlay val="0"/>
      <c:spPr>
        <a:ln w="6350">
          <a:solidFill>
            <a:schemeClr val="bg1">
              <a:lumMod val="85000"/>
            </a:schemeClr>
          </a:solidFill>
        </a:ln>
      </c:spPr>
      <c:txPr>
        <a:bodyPr/>
        <a:lstStyle/>
        <a:p>
          <a:pPr rtl="0"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3432450616570126"/>
          <c:h val="0.7795162037037036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Grafy_BES!$B$19</c:f>
              <c:strCache>
                <c:ptCount val="1"/>
                <c:pt idx="0">
                  <c:v> pod zahraniční kontrolou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Grafy_BES!$A$20:$A$21</c:f>
              <c:strCache>
                <c:ptCount val="2"/>
                <c:pt idx="0">
                  <c:v>
Celkem</c:v>
                </c:pt>
                <c:pt idx="1">
                  <c:v>100+ 
mil. Kč</c:v>
                </c:pt>
              </c:strCache>
            </c:strRef>
          </c:cat>
          <c:val>
            <c:numRef>
              <c:f>Grafy_BES!$B$20:$B$21</c:f>
              <c:numCache>
                <c:formatCode>#,##0</c:formatCode>
                <c:ptCount val="2"/>
                <c:pt idx="0">
                  <c:v>596</c:v>
                </c:pt>
                <c:pt idx="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28-4F2D-86B5-C7E86E0FFF74}"/>
            </c:ext>
          </c:extLst>
        </c:ser>
        <c:ser>
          <c:idx val="1"/>
          <c:order val="1"/>
          <c:tx>
            <c:strRef>
              <c:f>Grafy_BES!$C$19</c:f>
              <c:strCache>
                <c:ptCount val="1"/>
                <c:pt idx="0">
                  <c:v> soukromé domácí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Grafy_BES!$A$20:$A$21</c:f>
              <c:strCache>
                <c:ptCount val="2"/>
                <c:pt idx="0">
                  <c:v>
Celkem</c:v>
                </c:pt>
                <c:pt idx="1">
                  <c:v>100+ 
mil. Kč</c:v>
                </c:pt>
              </c:strCache>
            </c:strRef>
          </c:cat>
          <c:val>
            <c:numRef>
              <c:f>Grafy_BES!$C$20:$C$21</c:f>
              <c:numCache>
                <c:formatCode>#,##0</c:formatCode>
                <c:ptCount val="2"/>
                <c:pt idx="0">
                  <c:v>2149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28-4F2D-86B5-C7E86E0FFF74}"/>
            </c:ext>
          </c:extLst>
        </c:ser>
        <c:ser>
          <c:idx val="2"/>
          <c:order val="2"/>
          <c:tx>
            <c:strRef>
              <c:f>Grafy_BES!$D$19</c:f>
              <c:strCache>
                <c:ptCount val="1"/>
                <c:pt idx="0">
                  <c:v>veřejné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Grafy_BES!$A$20:$A$21</c:f>
              <c:strCache>
                <c:ptCount val="2"/>
                <c:pt idx="0">
                  <c:v>
Celkem</c:v>
                </c:pt>
                <c:pt idx="1">
                  <c:v>100+ 
mil. Kč</c:v>
                </c:pt>
              </c:strCache>
            </c:strRef>
          </c:cat>
          <c:val>
            <c:numRef>
              <c:f>Grafy_BES!$D$20:$D$21</c:f>
              <c:numCache>
                <c:formatCode>#,##0</c:formatCode>
                <c:ptCount val="2"/>
                <c:pt idx="0">
                  <c:v>57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28-4F2D-86B5-C7E86E0FFF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50000"/>
                </a:schemeClr>
              </a:solidFill>
              <a:prstDash val="solid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1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3308611111111113"/>
          <c:y val="7.5112110986126732E-2"/>
          <c:w val="0.35408721609556676"/>
          <c:h val="0.75351711328422655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69921769187848"/>
          <c:y val="6.8672638467775701E-2"/>
          <c:w val="0.79836314932847452"/>
          <c:h val="0.66257517590681836"/>
        </c:manualLayout>
      </c:layout>
      <c:doughnutChart>
        <c:varyColors val="1"/>
        <c:ser>
          <c:idx val="0"/>
          <c:order val="0"/>
          <c:tx>
            <c:strRef>
              <c:f>Grafy_BES!$B$24</c:f>
              <c:strCache>
                <c:ptCount val="1"/>
                <c:pt idx="0">
                  <c:v>2021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70C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1-C115-4937-8D6A-1D7A1978F53C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3-C115-4937-8D6A-1D7A1978F53C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5-C115-4937-8D6A-1D7A1978F53C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9-C115-4937-8D6A-1D7A1978F53C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7-C115-4937-8D6A-1D7A1978F53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15-4937-8D6A-1D7A1978F53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15-4937-8D6A-1D7A1978F5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Grafy_BES!$A$25:$A$28</c:f>
              <c:strCache>
                <c:ptCount val="4"/>
                <c:pt idx="0">
                  <c:v> Zpracovatelský průmysl (C)</c:v>
                </c:pt>
                <c:pt idx="1">
                  <c:v> Informační a komunikační činnosti (J)</c:v>
                </c:pt>
                <c:pt idx="2">
                  <c:v> Profesní, věd. a techn. činn. (M)</c:v>
                </c:pt>
                <c:pt idx="3">
                  <c:v> Ostatní činnosti</c:v>
                </c:pt>
              </c:strCache>
            </c:strRef>
          </c:cat>
          <c:val>
            <c:numRef>
              <c:f>Grafy_BES!$B$25:$B$28</c:f>
              <c:numCache>
                <c:formatCode>#,##0</c:formatCode>
                <c:ptCount val="4"/>
                <c:pt idx="0">
                  <c:v>1443</c:v>
                </c:pt>
                <c:pt idx="1">
                  <c:v>414</c:v>
                </c:pt>
                <c:pt idx="2">
                  <c:v>421</c:v>
                </c:pt>
                <c:pt idx="3">
                  <c:v>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115-4937-8D6A-1D7A1978F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</c:spPr>
    </c:plotArea>
    <c:legend>
      <c:legendPos val="b"/>
      <c:layout>
        <c:manualLayout>
          <c:xMode val="edge"/>
          <c:yMode val="edge"/>
          <c:x val="5.8516832705526628E-2"/>
          <c:y val="0.76771576686149956"/>
          <c:w val="0.88855755717980123"/>
          <c:h val="0.20428094365217525"/>
        </c:manualLayout>
      </c:layout>
      <c:overlay val="0"/>
      <c:spPr>
        <a:ln w="6350">
          <a:solidFill>
            <a:schemeClr val="bg1">
              <a:lumMod val="85000"/>
            </a:schemeClr>
          </a:solidFill>
        </a:ln>
      </c:spPr>
      <c:txPr>
        <a:bodyPr/>
        <a:lstStyle/>
        <a:p>
          <a:pPr rtl="0"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561928587086875E-2"/>
          <c:y val="4.750165077502938E-2"/>
          <c:w val="0.73638389540930027"/>
          <c:h val="0.83821788538836173"/>
        </c:manualLayout>
      </c:layout>
      <c:lineChart>
        <c:grouping val="standard"/>
        <c:varyColors val="0"/>
        <c:ser>
          <c:idx val="0"/>
          <c:order val="0"/>
          <c:tx>
            <c:strRef>
              <c:f>Grafy_BES!$A$65</c:f>
              <c:strCache>
                <c:ptCount val="1"/>
                <c:pt idx="0">
                  <c:v> pod
 zahraniční
 kontrolou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Grafy_BES!$C$64:$M$64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Grafy_BES!$C$65:$M$65</c:f>
              <c:numCache>
                <c:formatCode>0.0</c:formatCode>
                <c:ptCount val="11"/>
                <c:pt idx="0">
                  <c:v>17.789847960000003</c:v>
                </c:pt>
                <c:pt idx="1">
                  <c:v>20.331374999999984</c:v>
                </c:pt>
                <c:pt idx="2">
                  <c:v>23.067146279999999</c:v>
                </c:pt>
                <c:pt idx="3">
                  <c:v>26.830701209999976</c:v>
                </c:pt>
                <c:pt idx="4">
                  <c:v>28.707324159999974</c:v>
                </c:pt>
                <c:pt idx="5">
                  <c:v>31.405956173482739</c:v>
                </c:pt>
                <c:pt idx="6">
                  <c:v>36.867462047651529</c:v>
                </c:pt>
                <c:pt idx="7">
                  <c:v>42.021504857730719</c:v>
                </c:pt>
                <c:pt idx="8">
                  <c:v>44.630031597741734</c:v>
                </c:pt>
                <c:pt idx="9">
                  <c:v>43.710143026223122</c:v>
                </c:pt>
                <c:pt idx="10">
                  <c:v>48.144208457323899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B3-44BF-A52B-DFFEB0070BAA}"/>
            </c:ext>
          </c:extLst>
        </c:ser>
        <c:ser>
          <c:idx val="1"/>
          <c:order val="1"/>
          <c:tx>
            <c:strRef>
              <c:f>Grafy_BES!$A$66</c:f>
              <c:strCache>
                <c:ptCount val="1"/>
                <c:pt idx="0">
                  <c:v> soukromé
 domácí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star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Grafy_BES!$C$64:$M$64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Grafy_BES!$C$66:$M$66</c:f>
              <c:numCache>
                <c:formatCode>0.0</c:formatCode>
                <c:ptCount val="11"/>
                <c:pt idx="0">
                  <c:v>14.389047109999996</c:v>
                </c:pt>
                <c:pt idx="1">
                  <c:v>16.129439869999977</c:v>
                </c:pt>
                <c:pt idx="2">
                  <c:v>16.518581780000002</c:v>
                </c:pt>
                <c:pt idx="3">
                  <c:v>18.054762849999989</c:v>
                </c:pt>
                <c:pt idx="4">
                  <c:v>17.326254669999997</c:v>
                </c:pt>
                <c:pt idx="5">
                  <c:v>15.674067097366789</c:v>
                </c:pt>
                <c:pt idx="6">
                  <c:v>17.495019017384969</c:v>
                </c:pt>
                <c:pt idx="7">
                  <c:v>19.464473926165727</c:v>
                </c:pt>
                <c:pt idx="8">
                  <c:v>21.991255301677555</c:v>
                </c:pt>
                <c:pt idx="9">
                  <c:v>23.085494534319125</c:v>
                </c:pt>
                <c:pt idx="10">
                  <c:v>26.109744995325599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B3-44BF-A52B-DFFEB0070BAA}"/>
            </c:ext>
          </c:extLst>
        </c:ser>
        <c:ser>
          <c:idx val="2"/>
          <c:order val="2"/>
          <c:tx>
            <c:strRef>
              <c:f>Grafy_BES!$A$67</c:f>
              <c:strCache>
                <c:ptCount val="1"/>
                <c:pt idx="0">
                  <c:v> veřejné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Grafy_BES!$C$64:$M$64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Grafy_BES!$C$67:$M$67</c:f>
              <c:numCache>
                <c:formatCode>0.0</c:formatCode>
                <c:ptCount val="11"/>
                <c:pt idx="0">
                  <c:v>1.9691261499999726</c:v>
                </c:pt>
                <c:pt idx="1">
                  <c:v>1.7671768800000436</c:v>
                </c:pt>
                <c:pt idx="2">
                  <c:v>1.9269757799999851</c:v>
                </c:pt>
                <c:pt idx="3">
                  <c:v>2.095044749999964</c:v>
                </c:pt>
                <c:pt idx="4">
                  <c:v>2.1139262200000104</c:v>
                </c:pt>
                <c:pt idx="5">
                  <c:v>1.9002390000000204</c:v>
                </c:pt>
                <c:pt idx="6">
                  <c:v>2.4476456023096773</c:v>
                </c:pt>
                <c:pt idx="7">
                  <c:v>2.1676279999999437</c:v>
                </c:pt>
                <c:pt idx="8">
                  <c:v>2.1869564287820253</c:v>
                </c:pt>
                <c:pt idx="9">
                  <c:v>2.3169079999999993</c:v>
                </c:pt>
                <c:pt idx="10">
                  <c:v>2.3009539999999999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4B3-44BF-A52B-DFFEB0070B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339200"/>
        <c:axId val="154340736"/>
      </c:lineChart>
      <c:catAx>
        <c:axId val="15433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/>
            </a:pPr>
            <a:endParaRPr lang="cs-CZ"/>
          </a:p>
        </c:txPr>
        <c:crossAx val="154340736"/>
        <c:crosses val="autoZero"/>
        <c:auto val="0"/>
        <c:lblAlgn val="ctr"/>
        <c:lblOffset val="100"/>
        <c:tickLblSkip val="2"/>
        <c:noMultiLvlLbl val="0"/>
      </c:catAx>
      <c:valAx>
        <c:axId val="154340736"/>
        <c:scaling>
          <c:orientation val="minMax"/>
          <c:max val="5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800" b="1"/>
                </a:pPr>
                <a:r>
                  <a:rPr lang="cs-CZ" sz="800" b="1"/>
                  <a:t>Mld. Kč</a:t>
                </a:r>
              </a:p>
            </c:rich>
          </c:tx>
          <c:layout>
            <c:manualLayout>
              <c:xMode val="edge"/>
              <c:yMode val="edge"/>
              <c:x val="4.8106060606060604E-2"/>
              <c:y val="5.8928518518518505E-2"/>
            </c:manualLayout>
          </c:layout>
          <c:overlay val="0"/>
        </c:title>
        <c:numFmt formatCode="0" sourceLinked="0"/>
        <c:majorTickMark val="none"/>
        <c:minorTickMark val="none"/>
        <c:tickLblPos val="none"/>
        <c:spPr>
          <a:ln>
            <a:noFill/>
          </a:ln>
        </c:spPr>
        <c:crossAx val="154339200"/>
        <c:crosses val="autoZero"/>
        <c:crossBetween val="between"/>
        <c:majorUnit val="5"/>
        <c:minorUnit val="1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7457244903751965"/>
          <c:y val="3.1897777777777775E-2"/>
          <c:w val="0.21604154059665689"/>
          <c:h val="0.85965882158886697"/>
        </c:manualLayout>
      </c:layout>
      <c:overlay val="0"/>
      <c:spPr>
        <a:solidFill>
          <a:schemeClr val="bg1"/>
        </a:solidFill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539743589743586E-2"/>
          <c:y val="7.7059553544779044E-2"/>
          <c:w val="0.92145198412698415"/>
          <c:h val="0.71668487654320989"/>
        </c:manualLayout>
      </c:layout>
      <c:doughnutChart>
        <c:varyColors val="1"/>
        <c:ser>
          <c:idx val="0"/>
          <c:order val="0"/>
          <c:tx>
            <c:strRef>
              <c:f>Grafy_celkem!$B$4</c:f>
              <c:strCache>
                <c:ptCount val="1"/>
                <c:pt idx="0">
                  <c:v>2021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71BC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1-231B-4C17-B78C-55D6BFEC625B}"/>
              </c:ext>
            </c:extLst>
          </c:dPt>
          <c:dPt>
            <c:idx val="1"/>
            <c:bubble3D val="0"/>
            <c:spPr>
              <a:solidFill>
                <a:srgbClr val="BD1B21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3-231B-4C17-B78C-55D6BFEC625B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5-231B-4C17-B78C-55D6BFEC625B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7-231B-4C17-B78C-55D6BFEC625B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9-231B-4C17-B78C-55D6BFEC625B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1B-4C17-B78C-55D6BFEC625B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1B-4C17-B78C-55D6BFEC625B}"/>
                </c:ext>
              </c:extLst>
            </c:dLbl>
            <c:dLbl>
              <c:idx val="2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1B-4C17-B78C-55D6BFEC625B}"/>
                </c:ext>
              </c:extLst>
            </c:dLbl>
            <c:dLbl>
              <c:idx val="3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1B-4C17-B78C-55D6BFEC625B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Grafy_celkem!$A$5:$A$8</c:f>
              <c:strCache>
                <c:ptCount val="4"/>
                <c:pt idx="0">
                  <c:v> &lt; 5 </c:v>
                </c:pt>
                <c:pt idx="1">
                  <c:v> 5-19,9</c:v>
                </c:pt>
                <c:pt idx="2">
                  <c:v> 20-49,9</c:v>
                </c:pt>
                <c:pt idx="3">
                  <c:v> 50+</c:v>
                </c:pt>
              </c:strCache>
            </c:strRef>
          </c:cat>
          <c:val>
            <c:numRef>
              <c:f>Grafy_celkem!$B$5:$B$8</c:f>
              <c:numCache>
                <c:formatCode>#,##0</c:formatCode>
                <c:ptCount val="4"/>
                <c:pt idx="0">
                  <c:v>1682</c:v>
                </c:pt>
                <c:pt idx="1">
                  <c:v>1043</c:v>
                </c:pt>
                <c:pt idx="2">
                  <c:v>309</c:v>
                </c:pt>
                <c:pt idx="3">
                  <c:v>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1B-4C17-B78C-55D6BFEC6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050925925925926"/>
          <c:y val="0.8287487629011735"/>
          <c:w val="0.76031388888888884"/>
          <c:h val="0.11987464065224562"/>
        </c:manualLayout>
      </c:layout>
      <c:overlay val="0"/>
      <c:spPr>
        <a:ln w="6350">
          <a:solidFill>
            <a:schemeClr val="bg1">
              <a:lumMod val="85000"/>
            </a:schemeClr>
          </a:solidFill>
        </a:ln>
      </c:spPr>
      <c:txPr>
        <a:bodyPr/>
        <a:lstStyle/>
        <a:p>
          <a:pPr rtl="0"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576403874140624E-2"/>
          <c:y val="4.331777121903229E-2"/>
          <c:w val="0.4464058814673557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Grafy_BES!$A$71</c:f>
              <c:strCache>
                <c:ptCount val="1"/>
                <c:pt idx="0">
                  <c:v> pod
 zahraniční
 kontrolou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Grafy_BES!$B$70:$M$70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Grafy_BES!$B$71:$M$71</c:f>
              <c:numCache>
                <c:formatCode>0%</c:formatCode>
                <c:ptCount val="2"/>
                <c:pt idx="0">
                  <c:v>0.52096277688795523</c:v>
                </c:pt>
                <c:pt idx="1">
                  <c:v>0.62888467975879803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AB92-482B-B03C-3E80811CD685}"/>
            </c:ext>
          </c:extLst>
        </c:ser>
        <c:ser>
          <c:idx val="1"/>
          <c:order val="1"/>
          <c:tx>
            <c:strRef>
              <c:f>Grafy_BES!$A$72</c:f>
              <c:strCache>
                <c:ptCount val="1"/>
                <c:pt idx="0">
                  <c:v> soukromé
 domácí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Grafy_BES!$B$70:$M$70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Grafy_BES!$B$72:$M$72</c:f>
              <c:numCache>
                <c:formatCode>0%</c:formatCode>
                <c:ptCount val="2"/>
                <c:pt idx="0">
                  <c:v>0.42137279396946592</c:v>
                </c:pt>
                <c:pt idx="1">
                  <c:v>0.34105906288861909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AB92-482B-B03C-3E80811CD685}"/>
            </c:ext>
          </c:extLst>
        </c:ser>
        <c:ser>
          <c:idx val="2"/>
          <c:order val="2"/>
          <c:tx>
            <c:strRef>
              <c:f>Grafy_BES!$A$73</c:f>
              <c:strCache>
                <c:ptCount val="1"/>
                <c:pt idx="0">
                  <c:v> veřejné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Grafy_BES!$B$70:$M$70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Grafy_BES!$B$73:$M$73</c:f>
              <c:numCache>
                <c:formatCode>0%</c:formatCode>
                <c:ptCount val="2"/>
                <c:pt idx="0">
                  <c:v>5.7664429142579007E-2</c:v>
                </c:pt>
                <c:pt idx="1">
                  <c:v>3.00562573525829E-2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AB92-482B-B03C-3E80811CD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3095046921262612"/>
          <c:y val="7.5112110986126732E-2"/>
          <c:w val="0.42893210217293115"/>
          <c:h val="0.76054306412664341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4157047325102881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Grafy_BES!$A$97</c:f>
              <c:strCache>
                <c:ptCount val="1"/>
                <c:pt idx="0">
                  <c:v> mzdové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Grafy_BES!$B$96:$M$96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Grafy_BES!$B$97:$M$97</c:f>
              <c:numCache>
                <c:formatCode>0%</c:formatCode>
                <c:ptCount val="2"/>
                <c:pt idx="0">
                  <c:v>0.45463722626795355</c:v>
                </c:pt>
                <c:pt idx="1">
                  <c:v>0.58763666370945034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AFA-4332-9654-68B6A4A98023}"/>
            </c:ext>
          </c:extLst>
        </c:ser>
        <c:ser>
          <c:idx val="1"/>
          <c:order val="1"/>
          <c:tx>
            <c:strRef>
              <c:f>Grafy_BES!$A$98</c:f>
              <c:strCache>
                <c:ptCount val="1"/>
                <c:pt idx="0">
                  <c:v> ostatní běžné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Grafy_BES!$B$96:$M$96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Grafy_BES!$B$98:$M$98</c:f>
              <c:numCache>
                <c:formatCode>0%</c:formatCode>
                <c:ptCount val="2"/>
                <c:pt idx="0">
                  <c:v>0.38831742678646558</c:v>
                </c:pt>
                <c:pt idx="1">
                  <c:v>0.3289116934081544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BAFA-4332-9654-68B6A4A98023}"/>
            </c:ext>
          </c:extLst>
        </c:ser>
        <c:ser>
          <c:idx val="2"/>
          <c:order val="2"/>
          <c:tx>
            <c:strRef>
              <c:f>Grafy_BES!$A$99</c:f>
              <c:strCache>
                <c:ptCount val="1"/>
                <c:pt idx="0">
                  <c:v> investiční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Grafy_BES!$B$96:$M$96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Grafy_BES!$B$99:$M$99</c:f>
              <c:numCache>
                <c:formatCode>0%</c:formatCode>
                <c:ptCount val="2"/>
                <c:pt idx="0">
                  <c:v>0.15704535192390887</c:v>
                </c:pt>
                <c:pt idx="1">
                  <c:v>8.345164288239533E-2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BAFA-4332-9654-68B6A4A98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1296450617283949"/>
          <c:y val="7.5112110986126732E-2"/>
          <c:w val="0.36091975308641971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43941919191919188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Grafy_BES!$A$104</c:f>
              <c:strCache>
                <c:ptCount val="1"/>
                <c:pt idx="0">
                  <c:v> podnikové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Grafy_BES!$B$103:$M$103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Grafy_BES!$B$104:$M$104</c:f>
              <c:numCache>
                <c:formatCode>0%</c:formatCode>
                <c:ptCount val="2"/>
                <c:pt idx="0">
                  <c:v>0.81562974617362016</c:v>
                </c:pt>
                <c:pt idx="1">
                  <c:v>0.90782883467354869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247-4F37-86CD-CB947CD09B04}"/>
            </c:ext>
          </c:extLst>
        </c:ser>
        <c:ser>
          <c:idx val="1"/>
          <c:order val="1"/>
          <c:tx>
            <c:strRef>
              <c:f>Grafy_BES!$A$105</c:f>
              <c:strCache>
                <c:ptCount val="1"/>
                <c:pt idx="0">
                  <c:v> veřejné domácí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Grafy_BES!$B$103:$M$103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Grafy_BES!$B$105:$M$105</c:f>
              <c:numCache>
                <c:formatCode>0%</c:formatCode>
                <c:ptCount val="2"/>
                <c:pt idx="0">
                  <c:v>0.14677333739808418</c:v>
                </c:pt>
                <c:pt idx="1">
                  <c:v>5.9271758676039753E-2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B247-4F37-86CD-CB947CD09B04}"/>
            </c:ext>
          </c:extLst>
        </c:ser>
        <c:ser>
          <c:idx val="2"/>
          <c:order val="2"/>
          <c:tx>
            <c:strRef>
              <c:f>Grafy_BES!$A$106</c:f>
              <c:strCache>
                <c:ptCount val="1"/>
                <c:pt idx="0">
                  <c:v> veřejné zahraniční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Grafy_BES!$B$103:$M$103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Grafy_BES!$B$106:$M$106</c:f>
              <c:numCache>
                <c:formatCode>0%</c:formatCode>
                <c:ptCount val="2"/>
                <c:pt idx="0">
                  <c:v>3.7177205432227391E-2</c:v>
                </c:pt>
                <c:pt idx="1">
                  <c:v>3.2398746388707024E-2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B247-4F37-86CD-CB947CD09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4906111111111111"/>
          <c:y val="7.5112110986126732E-2"/>
          <c:w val="0.42482373737373735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011231608402434E-2"/>
          <c:y val="4.750165077502938E-2"/>
          <c:w val="0.73045720656304169"/>
          <c:h val="0.83821788538836173"/>
        </c:manualLayout>
      </c:layout>
      <c:lineChart>
        <c:grouping val="standard"/>
        <c:varyColors val="0"/>
        <c:ser>
          <c:idx val="0"/>
          <c:order val="0"/>
          <c:tx>
            <c:strRef>
              <c:f>Grafy_BES!$A$119</c:f>
              <c:strCache>
                <c:ptCount val="1"/>
                <c:pt idx="0">
                  <c:v> soukromé
 domácí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Grafy_BES!$C$118:$M$118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Grafy_BES!$C$119:$M$119</c:f>
              <c:numCache>
                <c:formatCode>0.0</c:formatCode>
                <c:ptCount val="11"/>
                <c:pt idx="0">
                  <c:v>4.4357495899999977</c:v>
                </c:pt>
                <c:pt idx="1">
                  <c:v>5.0660828399999955</c:v>
                </c:pt>
                <c:pt idx="2">
                  <c:v>4.3142912700000045</c:v>
                </c:pt>
                <c:pt idx="3">
                  <c:v>4.4257209700000013</c:v>
                </c:pt>
                <c:pt idx="4">
                  <c:v>3.5440138700000023</c:v>
                </c:pt>
                <c:pt idx="5">
                  <c:v>2.3811967507557878</c:v>
                </c:pt>
                <c:pt idx="6">
                  <c:v>3.1822932392064782</c:v>
                </c:pt>
                <c:pt idx="7">
                  <c:v>3.9326775554515323</c:v>
                </c:pt>
                <c:pt idx="8">
                  <c:v>4.5353270239826982</c:v>
                </c:pt>
                <c:pt idx="9">
                  <c:v>4.6849960029000641</c:v>
                </c:pt>
                <c:pt idx="10">
                  <c:v>5.5308369769717904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B4-4838-8E17-2019AA59D143}"/>
            </c:ext>
          </c:extLst>
        </c:ser>
        <c:ser>
          <c:idx val="1"/>
          <c:order val="1"/>
          <c:tx>
            <c:strRef>
              <c:f>Grafy_BES!$A$120</c:f>
              <c:strCache>
                <c:ptCount val="1"/>
                <c:pt idx="0">
                  <c:v> veřejné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tar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solidFill>
                <a:srgbClr val="FF0000">
                  <a:alpha val="2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Grafy_BES!$C$118:$M$118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Grafy_BES!$C$120:$M$120</c:f>
              <c:numCache>
                <c:formatCode>0.0</c:formatCode>
                <c:ptCount val="11"/>
                <c:pt idx="0">
                  <c:v>0.85353714999999986</c:v>
                </c:pt>
                <c:pt idx="1">
                  <c:v>0.85693660999999999</c:v>
                </c:pt>
                <c:pt idx="2">
                  <c:v>0.92663599999999979</c:v>
                </c:pt>
                <c:pt idx="3">
                  <c:v>0.95172375000000009</c:v>
                </c:pt>
                <c:pt idx="4">
                  <c:v>1.0564275600000002</c:v>
                </c:pt>
                <c:pt idx="5">
                  <c:v>0.68663599999999991</c:v>
                </c:pt>
                <c:pt idx="6">
                  <c:v>1.3243525796026907</c:v>
                </c:pt>
                <c:pt idx="7">
                  <c:v>0.99260699999999991</c:v>
                </c:pt>
                <c:pt idx="8">
                  <c:v>1.0167539999999997</c:v>
                </c:pt>
                <c:pt idx="9">
                  <c:v>1.0954560000000004</c:v>
                </c:pt>
                <c:pt idx="10">
                  <c:v>0.741622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B4-4838-8E17-2019AA59D143}"/>
            </c:ext>
          </c:extLst>
        </c:ser>
        <c:ser>
          <c:idx val="2"/>
          <c:order val="2"/>
          <c:tx>
            <c:strRef>
              <c:f>Grafy_BES!$A$121</c:f>
              <c:strCache>
                <c:ptCount val="1"/>
                <c:pt idx="0">
                  <c:v> pod
 zahraniční
 kontrolou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solidFill>
                <a:srgbClr val="00B0F0">
                  <a:alpha val="2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Grafy_BES!$C$118:$M$118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Grafy_BES!$C$121:$M$121</c:f>
              <c:numCache>
                <c:formatCode>0.0</c:formatCode>
                <c:ptCount val="11"/>
                <c:pt idx="0">
                  <c:v>0.99226029999999976</c:v>
                </c:pt>
                <c:pt idx="1">
                  <c:v>0.91776598999999981</c:v>
                </c:pt>
                <c:pt idx="2">
                  <c:v>0.96485430999999988</c:v>
                </c:pt>
                <c:pt idx="3">
                  <c:v>0.96504252000000046</c:v>
                </c:pt>
                <c:pt idx="4">
                  <c:v>1.1815803800000004</c:v>
                </c:pt>
                <c:pt idx="5">
                  <c:v>0.53226724016038607</c:v>
                </c:pt>
                <c:pt idx="6">
                  <c:v>0.82018460627191025</c:v>
                </c:pt>
                <c:pt idx="7">
                  <c:v>1.1261903224030163</c:v>
                </c:pt>
                <c:pt idx="8">
                  <c:v>0.92441600921333666</c:v>
                </c:pt>
                <c:pt idx="9">
                  <c:v>0.8049989999999998</c:v>
                </c:pt>
                <c:pt idx="10">
                  <c:v>0.74536805439753795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B4-4838-8E17-2019AA59D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339200"/>
        <c:axId val="154340736"/>
      </c:lineChart>
      <c:catAx>
        <c:axId val="15433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/>
            </a:pPr>
            <a:endParaRPr lang="cs-CZ"/>
          </a:p>
        </c:txPr>
        <c:crossAx val="154340736"/>
        <c:crosses val="autoZero"/>
        <c:auto val="0"/>
        <c:lblAlgn val="ctr"/>
        <c:lblOffset val="100"/>
        <c:tickLblSkip val="2"/>
        <c:noMultiLvlLbl val="0"/>
      </c:catAx>
      <c:valAx>
        <c:axId val="154340736"/>
        <c:scaling>
          <c:orientation val="minMax"/>
          <c:max val="6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800" b="1"/>
                </a:pPr>
                <a:r>
                  <a:rPr lang="cs-CZ" sz="800" b="1"/>
                  <a:t>Mld. Kč</a:t>
                </a:r>
              </a:p>
            </c:rich>
          </c:tx>
          <c:layout>
            <c:manualLayout>
              <c:xMode val="edge"/>
              <c:yMode val="edge"/>
              <c:x val="0.1974681741505811"/>
              <c:y val="4.5621132220857723E-2"/>
            </c:manualLayout>
          </c:layout>
          <c:overlay val="0"/>
        </c:title>
        <c:numFmt formatCode="0" sourceLinked="0"/>
        <c:majorTickMark val="none"/>
        <c:minorTickMark val="none"/>
        <c:tickLblPos val="none"/>
        <c:spPr>
          <a:ln>
            <a:noFill/>
          </a:ln>
        </c:spPr>
        <c:crossAx val="154339200"/>
        <c:crosses val="autoZero"/>
        <c:crossBetween val="between"/>
        <c:majorUnit val="0.5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6823287007582164"/>
          <c:y val="3.1897777777777775E-2"/>
          <c:w val="0.222381349847948"/>
          <c:h val="0.85965882158886697"/>
        </c:manualLayout>
      </c:layout>
      <c:overlay val="0"/>
      <c:spPr>
        <a:solidFill>
          <a:schemeClr val="bg1"/>
        </a:solidFill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5737373737373734E-2"/>
          <c:y val="4.3317732136629775E-2"/>
          <c:w val="0.420176767676767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Grafy_BES!$A$125</c:f>
              <c:strCache>
                <c:ptCount val="1"/>
                <c:pt idx="0">
                  <c:v> soukromé
 domácí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Grafy_BES!$B$124:$M$124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Grafy_BES!$B$125:$M$125</c:f>
              <c:numCache>
                <c:formatCode>0%</c:formatCode>
                <c:ptCount val="2"/>
                <c:pt idx="0">
                  <c:v>0.70615559538976236</c:v>
                </c:pt>
                <c:pt idx="1">
                  <c:v>0.78811246732773987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7A7-42EE-A131-A4055B436C32}"/>
            </c:ext>
          </c:extLst>
        </c:ser>
        <c:ser>
          <c:idx val="1"/>
          <c:order val="1"/>
          <c:tx>
            <c:strRef>
              <c:f>Grafy_BES!$A$126</c:f>
              <c:strCache>
                <c:ptCount val="1"/>
                <c:pt idx="0">
                  <c:v> veřejné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Grafy_BES!$B$124:$M$124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Grafy_BES!$B$126:$M$126</c:f>
              <c:numCache>
                <c:formatCode>0%</c:formatCode>
                <c:ptCount val="2"/>
                <c:pt idx="0">
                  <c:v>0.13588008568029447</c:v>
                </c:pt>
                <c:pt idx="1">
                  <c:v>0.10567687073006893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37A7-42EE-A131-A4055B436C32}"/>
            </c:ext>
          </c:extLst>
        </c:ser>
        <c:ser>
          <c:idx val="2"/>
          <c:order val="2"/>
          <c:tx>
            <c:strRef>
              <c:f>Grafy_BES!$A$127</c:f>
              <c:strCache>
                <c:ptCount val="1"/>
                <c:pt idx="0">
                  <c:v> pod
 zahraniční
 kontrolou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Grafy_BES!$B$124:$M$124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Grafy_BES!$B$127:$M$127</c:f>
              <c:numCache>
                <c:formatCode>0%</c:formatCode>
                <c:ptCount val="2"/>
                <c:pt idx="0">
                  <c:v>0.15796431892994311</c:v>
                </c:pt>
                <c:pt idx="1">
                  <c:v>0.10621066194219103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37A7-42EE-A131-A4055B436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0480353535353539"/>
          <c:y val="7.5112065110455248E-2"/>
          <c:w val="0.47827222222222221"/>
          <c:h val="0.7866611111111111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38805244550409E-2"/>
          <c:y val="4.750165077502938E-2"/>
          <c:w val="0.71749823232323229"/>
          <c:h val="0.83821788538836173"/>
        </c:manualLayout>
      </c:layout>
      <c:lineChart>
        <c:grouping val="standard"/>
        <c:varyColors val="0"/>
        <c:ser>
          <c:idx val="0"/>
          <c:order val="0"/>
          <c:tx>
            <c:strRef>
              <c:f>Grafy_BES!$A$151</c:f>
              <c:strCache>
                <c:ptCount val="1"/>
                <c:pt idx="0">
                  <c:v> Zpracov.
 průmysl
 (sekce C)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Grafy_BES!$C$150:$M$150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Grafy_BES!$C$151:$M$151</c:f>
              <c:numCache>
                <c:formatCode>0.0</c:formatCode>
                <c:ptCount val="11"/>
                <c:pt idx="0">
                  <c:v>17.904913209999961</c:v>
                </c:pt>
                <c:pt idx="1">
                  <c:v>19.525719059999989</c:v>
                </c:pt>
                <c:pt idx="2">
                  <c:v>22.065577300000008</c:v>
                </c:pt>
                <c:pt idx="3">
                  <c:v>24.263772039999985</c:v>
                </c:pt>
                <c:pt idx="4">
                  <c:v>25.277147980000017</c:v>
                </c:pt>
                <c:pt idx="5">
                  <c:v>26.203236893074699</c:v>
                </c:pt>
                <c:pt idx="6">
                  <c:v>30.519091493155141</c:v>
                </c:pt>
                <c:pt idx="7">
                  <c:v>34.750456158185493</c:v>
                </c:pt>
                <c:pt idx="8">
                  <c:v>36.961487840728495</c:v>
                </c:pt>
                <c:pt idx="9">
                  <c:v>34.963784405904462</c:v>
                </c:pt>
                <c:pt idx="10">
                  <c:v>38.473396805934001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06-40D9-AF41-918A87E8104B}"/>
            </c:ext>
          </c:extLst>
        </c:ser>
        <c:ser>
          <c:idx val="1"/>
          <c:order val="1"/>
          <c:tx>
            <c:strRef>
              <c:f>Grafy_BES!$A$152</c:f>
              <c:strCache>
                <c:ptCount val="1"/>
                <c:pt idx="0">
                  <c:v> ICT 
 (sekce J)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star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dLbl>
              <c:idx val="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06-40D9-AF41-918A87E8104B}"/>
                </c:ext>
              </c:extLst>
            </c:dLbl>
            <c:dLbl>
              <c:idx val="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06-40D9-AF41-918A87E8104B}"/>
                </c:ext>
              </c:extLst>
            </c:dLbl>
            <c:dLbl>
              <c:idx val="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06-40D9-AF41-918A87E8104B}"/>
                </c:ext>
              </c:extLst>
            </c:dLbl>
            <c:dLbl>
              <c:idx val="1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06-40D9-AF41-918A87E8104B}"/>
                </c:ext>
              </c:extLst>
            </c:dLbl>
            <c:spPr>
              <a:solidFill>
                <a:srgbClr val="92D050">
                  <a:alpha val="2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Grafy_BES!$C$150:$M$150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Grafy_BES!$C$152:$M$152</c:f>
              <c:numCache>
                <c:formatCode>0.0</c:formatCode>
                <c:ptCount val="11"/>
                <c:pt idx="0">
                  <c:v>4.9580163299999995</c:v>
                </c:pt>
                <c:pt idx="1">
                  <c:v>5.6005519799999979</c:v>
                </c:pt>
                <c:pt idx="2">
                  <c:v>5.8592479500000012</c:v>
                </c:pt>
                <c:pt idx="3">
                  <c:v>7.7190662399999965</c:v>
                </c:pt>
                <c:pt idx="4">
                  <c:v>7.9307894900000049</c:v>
                </c:pt>
                <c:pt idx="5">
                  <c:v>8.6289630707343701</c:v>
                </c:pt>
                <c:pt idx="6">
                  <c:v>10.580125486085127</c:v>
                </c:pt>
                <c:pt idx="7">
                  <c:v>12.808447359358224</c:v>
                </c:pt>
                <c:pt idx="8">
                  <c:v>13.458970778366385</c:v>
                </c:pt>
                <c:pt idx="9">
                  <c:v>15.505831771369989</c:v>
                </c:pt>
                <c:pt idx="10">
                  <c:v>19.242563400645899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406-40D9-AF41-918A87E8104B}"/>
            </c:ext>
          </c:extLst>
        </c:ser>
        <c:ser>
          <c:idx val="2"/>
          <c:order val="2"/>
          <c:tx>
            <c:strRef>
              <c:f>Grafy_BES!$A$153</c:f>
              <c:strCache>
                <c:ptCount val="1"/>
                <c:pt idx="0">
                  <c:v> Profesní,
 VaT činn.
 (sekce M)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dLbl>
              <c:idx val="7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06-40D9-AF41-918A87E8104B}"/>
                </c:ext>
              </c:extLst>
            </c:dLbl>
            <c:dLbl>
              <c:idx val="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06-40D9-AF41-918A87E8104B}"/>
                </c:ext>
              </c:extLst>
            </c:dLbl>
            <c:dLbl>
              <c:idx val="9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06-40D9-AF41-918A87E8104B}"/>
                </c:ext>
              </c:extLst>
            </c:dLbl>
            <c:dLbl>
              <c:idx val="1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406-40D9-AF41-918A87E8104B}"/>
                </c:ext>
              </c:extLst>
            </c:dLbl>
            <c:spPr>
              <a:solidFill>
                <a:srgbClr val="FF0000">
                  <a:alpha val="20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Grafy_BES!$C$150:$M$150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Grafy_BES!$C$153:$M$153</c:f>
              <c:numCache>
                <c:formatCode>0.0</c:formatCode>
                <c:ptCount val="11"/>
                <c:pt idx="0">
                  <c:v>8.9887767700000101</c:v>
                </c:pt>
                <c:pt idx="1">
                  <c:v>10.314835179999989</c:v>
                </c:pt>
                <c:pt idx="2">
                  <c:v>9.9981730800000079</c:v>
                </c:pt>
                <c:pt idx="3">
                  <c:v>11.741740779999994</c:v>
                </c:pt>
                <c:pt idx="4">
                  <c:v>11.63954742</c:v>
                </c:pt>
                <c:pt idx="5">
                  <c:v>10.956549493187378</c:v>
                </c:pt>
                <c:pt idx="6">
                  <c:v>12.119462839276343</c:v>
                </c:pt>
                <c:pt idx="7">
                  <c:v>12.025327569437611</c:v>
                </c:pt>
                <c:pt idx="8">
                  <c:v>13.130180706341518</c:v>
                </c:pt>
                <c:pt idx="9">
                  <c:v>13.538216525125723</c:v>
                </c:pt>
                <c:pt idx="10">
                  <c:v>13.421825452081499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E406-40D9-AF41-918A87E810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339200"/>
        <c:axId val="154340736"/>
      </c:lineChart>
      <c:catAx>
        <c:axId val="15433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/>
            </a:pPr>
            <a:endParaRPr lang="cs-CZ"/>
          </a:p>
        </c:txPr>
        <c:crossAx val="154340736"/>
        <c:crosses val="autoZero"/>
        <c:auto val="0"/>
        <c:lblAlgn val="ctr"/>
        <c:lblOffset val="100"/>
        <c:tickLblSkip val="2"/>
        <c:noMultiLvlLbl val="0"/>
      </c:catAx>
      <c:valAx>
        <c:axId val="154340736"/>
        <c:scaling>
          <c:orientation val="minMax"/>
          <c:max val="4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800" b="1"/>
                </a:pPr>
                <a:r>
                  <a:rPr lang="cs-CZ" sz="800" b="1"/>
                  <a:t>Mld. Kč</a:t>
                </a:r>
              </a:p>
            </c:rich>
          </c:tx>
          <c:layout>
            <c:manualLayout>
              <c:xMode val="edge"/>
              <c:yMode val="edge"/>
              <c:x val="4.8106060606060604E-2"/>
              <c:y val="5.8928518518518505E-2"/>
            </c:manualLayout>
          </c:layout>
          <c:overlay val="0"/>
        </c:title>
        <c:numFmt formatCode="0" sourceLinked="0"/>
        <c:majorTickMark val="none"/>
        <c:minorTickMark val="none"/>
        <c:tickLblPos val="none"/>
        <c:spPr>
          <a:ln>
            <a:noFill/>
          </a:ln>
        </c:spPr>
        <c:crossAx val="154339200"/>
        <c:crosses val="autoZero"/>
        <c:crossBetween val="between"/>
        <c:majorUnit val="5"/>
        <c:minorUnit val="1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7882171717171722"/>
          <c:y val="3.1897777777777775E-2"/>
          <c:w val="0.21179242424242425"/>
          <c:h val="0.85965882158886697"/>
        </c:manualLayout>
      </c:layout>
      <c:overlay val="0"/>
      <c:spPr>
        <a:solidFill>
          <a:schemeClr val="bg1"/>
        </a:solidFill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4330050505050505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Grafy_BES!$A$158</c:f>
              <c:strCache>
                <c:ptCount val="1"/>
                <c:pt idx="0">
                  <c:v> Zpracov.
 Průmysl
 (sekce C)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Grafy_BES!$B$157:$M$157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Grafy_BES!$B$158:$M$158</c:f>
              <c:numCache>
                <c:formatCode>0%</c:formatCode>
                <c:ptCount val="2"/>
                <c:pt idx="0">
                  <c:v>0.52433237916325637</c:v>
                </c:pt>
                <c:pt idx="1">
                  <c:v>0.50255951037143431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44E-485E-88B1-4222AAA227ED}"/>
            </c:ext>
          </c:extLst>
        </c:ser>
        <c:ser>
          <c:idx val="1"/>
          <c:order val="1"/>
          <c:tx>
            <c:strRef>
              <c:f>Grafy_BES!$A$159</c:f>
              <c:strCache>
                <c:ptCount val="1"/>
                <c:pt idx="0">
                  <c:v> ICT 
 (sekce J)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Grafy_BES!$B$157:$M$157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Grafy_BES!$B$159:$M$159</c:f>
              <c:numCache>
                <c:formatCode>0%</c:formatCode>
                <c:ptCount val="2"/>
                <c:pt idx="0">
                  <c:v>0.14519190725745953</c:v>
                </c:pt>
                <c:pt idx="1">
                  <c:v>0.25135636683445473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44E-485E-88B1-4222AAA227ED}"/>
            </c:ext>
          </c:extLst>
        </c:ser>
        <c:ser>
          <c:idx val="2"/>
          <c:order val="2"/>
          <c:tx>
            <c:strRef>
              <c:f>Grafy_BES!$A$160</c:f>
              <c:strCache>
                <c:ptCount val="1"/>
                <c:pt idx="0">
                  <c:v> Profesní,
 VaT činn.
 (sekce M)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Grafy_BES!$B$157:$M$157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Grafy_BES!$B$160:$M$160</c:f>
              <c:numCache>
                <c:formatCode>0%</c:formatCode>
                <c:ptCount val="2"/>
                <c:pt idx="0">
                  <c:v>0.26322979923461609</c:v>
                </c:pt>
                <c:pt idx="1">
                  <c:v>0.17532286170397535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944E-485E-88B1-4222AAA227ED}"/>
            </c:ext>
          </c:extLst>
        </c:ser>
        <c:ser>
          <c:idx val="3"/>
          <c:order val="3"/>
          <c:tx>
            <c:strRef>
              <c:f>Grafy_BES!$A$161</c:f>
              <c:strCache>
                <c:ptCount val="1"/>
                <c:pt idx="0">
                  <c:v> Ostatní činnosti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Grafy_BES!$B$157:$M$157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Grafy_BES!$B$161:$M$161</c:f>
              <c:numCache>
                <c:formatCode>0%</c:formatCode>
                <c:ptCount val="2"/>
                <c:pt idx="0">
                  <c:v>6.7245914344667923E-2</c:v>
                </c:pt>
                <c:pt idx="1">
                  <c:v>7.0761261090135641E-2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944E-485E-88B1-4222AAA227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3046010101010099"/>
          <c:y val="4.6889902513192021E-2"/>
          <c:w val="0.43864191919191919"/>
          <c:h val="0.83081370370370367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920447074293226E-2"/>
          <c:y val="5.0529513888888891E-2"/>
          <c:w val="0.96248027613412224"/>
          <c:h val="0.745936388888888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MS!$B$36</c:f>
              <c:strCache>
                <c:ptCount val="1"/>
                <c:pt idx="0">
                  <c:v>%HDP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8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2380-4614-9286-C5EBC06B00C5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2380-4614-9286-C5EBC06B00C5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4-2380-4614-9286-C5EBC06B00C5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2380-4614-9286-C5EBC06B00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MS!$A$37:$A$64</c:f>
              <c:strCache>
                <c:ptCount val="28"/>
                <c:pt idx="0">
                  <c:v>Belgie</c:v>
                </c:pt>
                <c:pt idx="1">
                  <c:v>Švédsko</c:v>
                </c:pt>
                <c:pt idx="2">
                  <c:v>Rakousko</c:v>
                </c:pt>
                <c:pt idx="3">
                  <c:v>Německo</c:v>
                </c:pt>
                <c:pt idx="4">
                  <c:v>Finsko</c:v>
                </c:pt>
                <c:pt idx="5">
                  <c:v>Dánsko</c:v>
                </c:pt>
                <c:pt idx="6">
                  <c:v>Slovinsko</c:v>
                </c:pt>
                <c:pt idx="7">
                  <c:v>Nizozemsko</c:v>
                </c:pt>
                <c:pt idx="8">
                  <c:v>EU27</c:v>
                </c:pt>
                <c:pt idx="9">
                  <c:v>Francie</c:v>
                </c:pt>
                <c:pt idx="10">
                  <c:v>Česko</c:v>
                </c:pt>
                <c:pt idx="11">
                  <c:v>Maďarsko</c:v>
                </c:pt>
                <c:pt idx="12">
                  <c:v>Portugalsko</c:v>
                </c:pt>
                <c:pt idx="13">
                  <c:v>Estonsko</c:v>
                </c:pt>
                <c:pt idx="14">
                  <c:v>Itálie</c:v>
                </c:pt>
                <c:pt idx="15">
                  <c:v>Polsko</c:v>
                </c:pt>
                <c:pt idx="16">
                  <c:v>Irsko</c:v>
                </c:pt>
                <c:pt idx="17">
                  <c:v>Španělsko</c:v>
                </c:pt>
                <c:pt idx="18">
                  <c:v>Řecko</c:v>
                </c:pt>
                <c:pt idx="19">
                  <c:v>Chorvatsko</c:v>
                </c:pt>
                <c:pt idx="20">
                  <c:v>Litva</c:v>
                </c:pt>
                <c:pt idx="21">
                  <c:v>Slovensko</c:v>
                </c:pt>
                <c:pt idx="22">
                  <c:v>Bulharsko</c:v>
                </c:pt>
                <c:pt idx="23">
                  <c:v>Lucembursko</c:v>
                </c:pt>
                <c:pt idx="24">
                  <c:v>Malta</c:v>
                </c:pt>
                <c:pt idx="25">
                  <c:v>Kypr</c:v>
                </c:pt>
                <c:pt idx="26">
                  <c:v>Rumunsko</c:v>
                </c:pt>
                <c:pt idx="27">
                  <c:v>Lotyšsko</c:v>
                </c:pt>
              </c:strCache>
            </c:strRef>
          </c:cat>
          <c:val>
            <c:numRef>
              <c:f>MS!$B$37:$B$64</c:f>
              <c:numCache>
                <c:formatCode>0.00</c:formatCode>
                <c:ptCount val="28"/>
                <c:pt idx="0">
                  <c:v>2.4233537509386607</c:v>
                </c:pt>
                <c:pt idx="1">
                  <c:v>2.4127970273375117</c:v>
                </c:pt>
                <c:pt idx="2">
                  <c:v>2.2176459016118972</c:v>
                </c:pt>
                <c:pt idx="3">
                  <c:v>2.0875685430693411</c:v>
                </c:pt>
                <c:pt idx="4">
                  <c:v>2.0498900014719514</c:v>
                </c:pt>
                <c:pt idx="5">
                  <c:v>1.747839220834847</c:v>
                </c:pt>
                <c:pt idx="6">
                  <c:v>1.5706375064405715</c:v>
                </c:pt>
                <c:pt idx="7">
                  <c:v>1.5217970096548632</c:v>
                </c:pt>
                <c:pt idx="8">
                  <c:v>1.4915162531709392</c:v>
                </c:pt>
                <c:pt idx="9">
                  <c:v>1.4507829275412156</c:v>
                </c:pt>
                <c:pt idx="10">
                  <c:v>1.2532669289054401</c:v>
                </c:pt>
                <c:pt idx="11">
                  <c:v>1.2421152865909157</c:v>
                </c:pt>
                <c:pt idx="12">
                  <c:v>0.98442071574345569</c:v>
                </c:pt>
                <c:pt idx="13">
                  <c:v>0.97839077243050532</c:v>
                </c:pt>
                <c:pt idx="14">
                  <c:v>0.91347966365036593</c:v>
                </c:pt>
                <c:pt idx="15">
                  <c:v>0.90584874395376747</c:v>
                </c:pt>
                <c:pt idx="16">
                  <c:v>0.84173744508934667</c:v>
                </c:pt>
                <c:pt idx="17">
                  <c:v>0.80343160082264276</c:v>
                </c:pt>
                <c:pt idx="18">
                  <c:v>0.68539850920271728</c:v>
                </c:pt>
                <c:pt idx="19">
                  <c:v>0.5791680547318373</c:v>
                </c:pt>
                <c:pt idx="20">
                  <c:v>0.54330525052911138</c:v>
                </c:pt>
                <c:pt idx="21">
                  <c:v>0.52237548592714389</c:v>
                </c:pt>
                <c:pt idx="22">
                  <c:v>0.50858808896766694</c:v>
                </c:pt>
                <c:pt idx="23">
                  <c:v>0.47442285081955876</c:v>
                </c:pt>
                <c:pt idx="24">
                  <c:v>0.4082744716067378</c:v>
                </c:pt>
                <c:pt idx="25">
                  <c:v>0.40593032986523114</c:v>
                </c:pt>
                <c:pt idx="26">
                  <c:v>0.2872225727353821</c:v>
                </c:pt>
                <c:pt idx="27">
                  <c:v>0.22614027225864275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80-4614-9286-C5EBC06B00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765568"/>
        <c:axId val="132767744"/>
      </c:barChart>
      <c:catAx>
        <c:axId val="13276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32767744"/>
        <c:crosses val="autoZero"/>
        <c:auto val="1"/>
        <c:lblAlgn val="ctr"/>
        <c:lblOffset val="100"/>
        <c:noMultiLvlLbl val="0"/>
      </c:catAx>
      <c:valAx>
        <c:axId val="132767744"/>
        <c:scaling>
          <c:orientation val="minMax"/>
          <c:max val="3"/>
          <c:min val="0"/>
        </c:scaling>
        <c:delete val="0"/>
        <c:axPos val="l"/>
        <c:numFmt formatCode="#,##0.0" sourceLinked="0"/>
        <c:majorTickMark val="none"/>
        <c:minorTickMark val="none"/>
        <c:tickLblPos val="none"/>
        <c:spPr>
          <a:ln>
            <a:solidFill>
              <a:schemeClr val="bg1">
                <a:lumMod val="65000"/>
              </a:schemeClr>
            </a:solidFill>
          </a:ln>
        </c:spPr>
        <c:crossAx val="132765568"/>
        <c:crosses val="autoZero"/>
        <c:crossBetween val="between"/>
        <c:majorUnit val="0.5"/>
        <c:minorUnit val="0.25"/>
      </c:valAx>
      <c:spPr>
        <a:ln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Tisíce přepočtených osob (FTE)</a:t>
            </a:r>
          </a:p>
        </c:rich>
      </c:tx>
      <c:layout>
        <c:manualLayout>
          <c:xMode val="edge"/>
          <c:yMode val="edge"/>
          <c:x val="3.2070707070707069E-2"/>
          <c:y val="6.114814814814814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4286580097744655E-2"/>
          <c:y val="4.750165077502938E-2"/>
          <c:w val="0.72780229274394259"/>
          <c:h val="0.83821788538836173"/>
        </c:manualLayout>
      </c:layout>
      <c:lineChart>
        <c:grouping val="standard"/>
        <c:varyColors val="0"/>
        <c:ser>
          <c:idx val="0"/>
          <c:order val="0"/>
          <c:tx>
            <c:strRef>
              <c:f>Grafy_BES!$A$215</c:f>
              <c:strCache>
                <c:ptCount val="1"/>
                <c:pt idx="0">
                  <c:v> pod
 zahraniční
 kontrolou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dLbl>
              <c:idx val="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79-4893-A80E-796BFA19F5A5}"/>
                </c:ext>
              </c:extLst>
            </c:dLbl>
            <c:spPr>
              <a:solidFill>
                <a:srgbClr val="00B0F0">
                  <a:alpha val="18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Grafy_BES!$C$214:$M$214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Grafy_BES!$C$215:$M$215</c:f>
              <c:numCache>
                <c:formatCode>0.0</c:formatCode>
                <c:ptCount val="11"/>
                <c:pt idx="0">
                  <c:v>13.456087035000007</c:v>
                </c:pt>
                <c:pt idx="1">
                  <c:v>15.509256230000011</c:v>
                </c:pt>
                <c:pt idx="2">
                  <c:v>16.474156454999999</c:v>
                </c:pt>
                <c:pt idx="3">
                  <c:v>18.414944774999974</c:v>
                </c:pt>
                <c:pt idx="4">
                  <c:v>19.783369349999997</c:v>
                </c:pt>
                <c:pt idx="5">
                  <c:v>21.11351527680462</c:v>
                </c:pt>
                <c:pt idx="6">
                  <c:v>22.071213090580514</c:v>
                </c:pt>
                <c:pt idx="7">
                  <c:v>23.653171509201805</c:v>
                </c:pt>
                <c:pt idx="8">
                  <c:v>24.372893330036863</c:v>
                </c:pt>
                <c:pt idx="9">
                  <c:v>25.411217512552579</c:v>
                </c:pt>
                <c:pt idx="10">
                  <c:v>27.436375926172701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79-4893-A80E-796BFA19F5A5}"/>
            </c:ext>
          </c:extLst>
        </c:ser>
        <c:ser>
          <c:idx val="1"/>
          <c:order val="1"/>
          <c:tx>
            <c:strRef>
              <c:f>Grafy_BES!$A$216</c:f>
              <c:strCache>
                <c:ptCount val="1"/>
                <c:pt idx="0">
                  <c:v> soukromé
 domácí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star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179-4893-A80E-796BFA19F5A5}"/>
                </c:ext>
              </c:extLst>
            </c:dLbl>
            <c:spPr>
              <a:solidFill>
                <a:srgbClr val="92D050">
                  <a:alpha val="23000"/>
                </a:srgb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Grafy_BES!$C$214:$M$214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Grafy_BES!$C$216:$M$216</c:f>
              <c:numCache>
                <c:formatCode>0.0</c:formatCode>
                <c:ptCount val="11"/>
                <c:pt idx="0">
                  <c:v>13.98483142000001</c:v>
                </c:pt>
                <c:pt idx="1">
                  <c:v>14.682470235000023</c:v>
                </c:pt>
                <c:pt idx="2">
                  <c:v>15.48305513500002</c:v>
                </c:pt>
                <c:pt idx="3">
                  <c:v>15.475177934999989</c:v>
                </c:pt>
                <c:pt idx="4">
                  <c:v>15.148075169999997</c:v>
                </c:pt>
                <c:pt idx="5">
                  <c:v>14.791644676262756</c:v>
                </c:pt>
                <c:pt idx="6">
                  <c:v>16.45508514150497</c:v>
                </c:pt>
                <c:pt idx="7">
                  <c:v>17.320116342500011</c:v>
                </c:pt>
                <c:pt idx="8">
                  <c:v>18.916218834980722</c:v>
                </c:pt>
                <c:pt idx="9">
                  <c:v>19.426661098392312</c:v>
                </c:pt>
                <c:pt idx="10">
                  <c:v>20.299840152914399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179-4893-A80E-796BFA19F5A5}"/>
            </c:ext>
          </c:extLst>
        </c:ser>
        <c:ser>
          <c:idx val="2"/>
          <c:order val="2"/>
          <c:tx>
            <c:strRef>
              <c:f>Grafy_BES!$A$217</c:f>
              <c:strCache>
                <c:ptCount val="1"/>
                <c:pt idx="0">
                  <c:v> veřejné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Grafy_BES!$C$214:$M$214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Grafy_BES!$C$217:$M$217</c:f>
              <c:numCache>
                <c:formatCode>0.0</c:formatCode>
                <c:ptCount val="11"/>
                <c:pt idx="0">
                  <c:v>1.5735788750000002</c:v>
                </c:pt>
                <c:pt idx="1">
                  <c:v>1.5133521000000003</c:v>
                </c:pt>
                <c:pt idx="2">
                  <c:v>1.2306174999999997</c:v>
                </c:pt>
                <c:pt idx="3">
                  <c:v>1.3662654999999997</c:v>
                </c:pt>
                <c:pt idx="4">
                  <c:v>1.4338854350000001</c:v>
                </c:pt>
                <c:pt idx="5">
                  <c:v>1.3580529999999997</c:v>
                </c:pt>
                <c:pt idx="6">
                  <c:v>1.4414733849944001</c:v>
                </c:pt>
                <c:pt idx="7">
                  <c:v>1.3760645000000002</c:v>
                </c:pt>
                <c:pt idx="8">
                  <c:v>1.5033111170586204</c:v>
                </c:pt>
                <c:pt idx="9">
                  <c:v>1.3964804999999998</c:v>
                </c:pt>
                <c:pt idx="10">
                  <c:v>1.283188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179-4893-A80E-796BFA19F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339200"/>
        <c:axId val="154340736"/>
      </c:lineChart>
      <c:catAx>
        <c:axId val="15433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/>
            </a:pPr>
            <a:endParaRPr lang="cs-CZ"/>
          </a:p>
        </c:txPr>
        <c:crossAx val="154340736"/>
        <c:crosses val="autoZero"/>
        <c:auto val="0"/>
        <c:lblAlgn val="ctr"/>
        <c:lblOffset val="100"/>
        <c:tickLblSkip val="2"/>
        <c:noMultiLvlLbl val="0"/>
      </c:catAx>
      <c:valAx>
        <c:axId val="154340736"/>
        <c:scaling>
          <c:orientation val="minMax"/>
          <c:max val="30"/>
          <c:min val="0"/>
        </c:scaling>
        <c:delete val="0"/>
        <c:axPos val="l"/>
        <c:numFmt formatCode="0" sourceLinked="0"/>
        <c:majorTickMark val="none"/>
        <c:minorTickMark val="none"/>
        <c:tickLblPos val="none"/>
        <c:spPr>
          <a:ln>
            <a:noFill/>
          </a:ln>
        </c:spPr>
        <c:crossAx val="154339200"/>
        <c:crosses val="autoZero"/>
        <c:crossBetween val="between"/>
        <c:majorUnit val="5"/>
        <c:minorUnit val="1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6947349417787481"/>
          <c:y val="3.1897777777777775E-2"/>
          <c:w val="0.22114044023778515"/>
          <c:h val="0.85965882158886697"/>
        </c:manualLayout>
      </c:layout>
      <c:overlay val="0"/>
      <c:spPr>
        <a:solidFill>
          <a:schemeClr val="bg1"/>
        </a:solidFill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3374747474747476E-2"/>
          <c:y val="4.3317732136629775E-2"/>
          <c:w val="0.46507575757575759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Grafy_BES!$A$221</c:f>
              <c:strCache>
                <c:ptCount val="1"/>
                <c:pt idx="0">
                  <c:v> pod
 zahraniční
 kontrolou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Grafy_BES!$B$220:$M$220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Grafy_BES!$B$221:$M$221</c:f>
              <c:numCache>
                <c:formatCode>0%</c:formatCode>
                <c:ptCount val="2"/>
                <c:pt idx="0">
                  <c:v>0.46377115832666405</c:v>
                </c:pt>
                <c:pt idx="1">
                  <c:v>0.55970439546566819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173-4746-A07D-CCF7CD6096AB}"/>
            </c:ext>
          </c:extLst>
        </c:ser>
        <c:ser>
          <c:idx val="1"/>
          <c:order val="1"/>
          <c:tx>
            <c:strRef>
              <c:f>Grafy_BES!$A$222</c:f>
              <c:strCache>
                <c:ptCount val="1"/>
                <c:pt idx="0">
                  <c:v> soukromé
 domácí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Grafy_BES!$B$220:$M$220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Grafy_BES!$B$222:$M$222</c:f>
              <c:numCache>
                <c:formatCode>0%</c:formatCode>
                <c:ptCount val="2"/>
                <c:pt idx="0">
                  <c:v>0.4819946132770036</c:v>
                </c:pt>
                <c:pt idx="1">
                  <c:v>0.41411846052153167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B173-4746-A07D-CCF7CD6096AB}"/>
            </c:ext>
          </c:extLst>
        </c:ser>
        <c:ser>
          <c:idx val="2"/>
          <c:order val="2"/>
          <c:tx>
            <c:strRef>
              <c:f>Grafy_BES!$A$223</c:f>
              <c:strCache>
                <c:ptCount val="1"/>
                <c:pt idx="0">
                  <c:v> veřejné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173-4746-A07D-CCF7CD6096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Grafy_BES!$B$220:$M$220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Grafy_BES!$B$223:$M$223</c:f>
              <c:numCache>
                <c:formatCode>0%</c:formatCode>
                <c:ptCount val="2"/>
                <c:pt idx="0">
                  <c:v>5.4234228396332504E-2</c:v>
                </c:pt>
                <c:pt idx="1">
                  <c:v>2.6177144012802116E-2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B173-4746-A07D-CCF7CD609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3687424242424242"/>
          <c:y val="7.5112110986126732E-2"/>
          <c:w val="0.44620151515151513"/>
          <c:h val="0.7866611111111111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539743589743586E-2"/>
          <c:y val="7.7059553544779044E-2"/>
          <c:w val="0.92145198412698415"/>
          <c:h val="0.71668487654320989"/>
        </c:manualLayout>
      </c:layout>
      <c:doughnutChart>
        <c:varyColors val="1"/>
        <c:ser>
          <c:idx val="0"/>
          <c:order val="0"/>
          <c:tx>
            <c:strRef>
              <c:f>Grafy_celkem!$B$12</c:f>
              <c:strCache>
                <c:ptCount val="1"/>
                <c:pt idx="0">
                  <c:v>2021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70C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1-B939-465C-AEE5-D7F6209E3B5F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3-B939-465C-AEE5-D7F6209E3B5F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5-B939-465C-AEE5-D7F6209E3B5F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8-B939-465C-AEE5-D7F6209E3B5F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7-B939-465C-AEE5-D7F6209E3B5F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39-465C-AEE5-D7F6209E3B5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39-465C-AEE5-D7F6209E3B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Grafy_celkem!$A$13:$A$16</c:f>
              <c:strCache>
                <c:ptCount val="4"/>
                <c:pt idx="0">
                  <c:v> &lt; 1 </c:v>
                </c:pt>
                <c:pt idx="1">
                  <c:v> 1-9,9</c:v>
                </c:pt>
                <c:pt idx="2">
                  <c:v> 10-99,9</c:v>
                </c:pt>
                <c:pt idx="3">
                  <c:v> 100+</c:v>
                </c:pt>
              </c:strCache>
            </c:strRef>
          </c:cat>
          <c:val>
            <c:numRef>
              <c:f>Grafy_celkem!$B$13:$B$16</c:f>
              <c:numCache>
                <c:formatCode>#,##0</c:formatCode>
                <c:ptCount val="4"/>
                <c:pt idx="0">
                  <c:v>582</c:v>
                </c:pt>
                <c:pt idx="1">
                  <c:v>1692</c:v>
                </c:pt>
                <c:pt idx="2">
                  <c:v>852</c:v>
                </c:pt>
                <c:pt idx="3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939-465C-AEE5-D7F6209E3B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</c:spPr>
    </c:plotArea>
    <c:legend>
      <c:legendPos val="b"/>
      <c:layout>
        <c:manualLayout>
          <c:xMode val="edge"/>
          <c:yMode val="edge"/>
          <c:x val="0.15050925925925926"/>
          <c:y val="0.8287487629011735"/>
          <c:w val="0.76031388888888884"/>
          <c:h val="0.11987464065224562"/>
        </c:manualLayout>
      </c:layout>
      <c:overlay val="0"/>
      <c:spPr>
        <a:ln w="6350">
          <a:solidFill>
            <a:schemeClr val="bg1">
              <a:lumMod val="85000"/>
            </a:schemeClr>
          </a:solidFill>
        </a:ln>
      </c:spPr>
      <c:txPr>
        <a:bodyPr/>
        <a:lstStyle/>
        <a:p>
          <a:pPr rtl="0">
            <a:defRPr sz="800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3384920634920641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Grafy_BES!$A$246</c:f>
              <c:strCache>
                <c:ptCount val="1"/>
                <c:pt idx="0">
                  <c:v> muži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Grafy_BES!$B$245:$M$245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Grafy_BES!$B$246:$M$246</c:f>
              <c:numCache>
                <c:formatCode>0%</c:formatCode>
                <c:ptCount val="2"/>
                <c:pt idx="0">
                  <c:v>0.81242537280241767</c:v>
                </c:pt>
                <c:pt idx="1">
                  <c:v>0.82427502516048479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0F9-4C5C-B4BE-683EED2722C4}"/>
            </c:ext>
          </c:extLst>
        </c:ser>
        <c:ser>
          <c:idx val="1"/>
          <c:order val="1"/>
          <c:tx>
            <c:strRef>
              <c:f>Grafy_BES!$A$247</c:f>
              <c:strCache>
                <c:ptCount val="1"/>
                <c:pt idx="0">
                  <c:v> ženy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Grafy_BES!$B$245:$M$245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Grafy_BES!$B$247:$M$247</c:f>
              <c:numCache>
                <c:formatCode>0%</c:formatCode>
                <c:ptCount val="2"/>
                <c:pt idx="0">
                  <c:v>0.18757462719758236</c:v>
                </c:pt>
                <c:pt idx="1">
                  <c:v>0.17572497483951516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B0F9-4C5C-B4BE-683EED2722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5758616780045354"/>
          <c:y val="7.5112173011717978E-2"/>
          <c:w val="0.28030082742316786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49073232323232324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Grafy_BES!$A$259</c:f>
              <c:strCache>
                <c:ptCount val="1"/>
                <c:pt idx="0">
                  <c:v> Zpracov.
 průmysl
 (sekce C)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Grafy_BES!$B$258:$M$258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Grafy_BES!$B$259:$M$259</c:f>
              <c:numCache>
                <c:formatCode>0%</c:formatCode>
                <c:ptCount val="2"/>
                <c:pt idx="0">
                  <c:v>0.51507514192044102</c:v>
                </c:pt>
                <c:pt idx="1">
                  <c:v>0.45865723618440019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F57-4B6E-9191-D5B6C87697CB}"/>
            </c:ext>
          </c:extLst>
        </c:ser>
        <c:ser>
          <c:idx val="1"/>
          <c:order val="1"/>
          <c:tx>
            <c:strRef>
              <c:f>Grafy_BES!$A$260</c:f>
              <c:strCache>
                <c:ptCount val="1"/>
                <c:pt idx="0">
                  <c:v> ICT 
 (sekce J)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Grafy_BES!$B$258:$M$258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Grafy_BES!$B$260:$M$260</c:f>
              <c:numCache>
                <c:formatCode>0%</c:formatCode>
                <c:ptCount val="2"/>
                <c:pt idx="0">
                  <c:v>0.14168741606112117</c:v>
                </c:pt>
                <c:pt idx="1">
                  <c:v>0.24481877542709304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F57-4B6E-9191-D5B6C87697CB}"/>
            </c:ext>
          </c:extLst>
        </c:ser>
        <c:ser>
          <c:idx val="2"/>
          <c:order val="2"/>
          <c:tx>
            <c:strRef>
              <c:f>Grafy_BES!$A$261</c:f>
              <c:strCache>
                <c:ptCount val="1"/>
                <c:pt idx="0">
                  <c:v> Profesní,
 VaT činn.
 (sekce M)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Grafy_BES!$B$258:$M$258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Grafy_BES!$B$261:$M$261</c:f>
              <c:numCache>
                <c:formatCode>0%</c:formatCode>
                <c:ptCount val="2"/>
                <c:pt idx="0">
                  <c:v>0.27294458818046335</c:v>
                </c:pt>
                <c:pt idx="1">
                  <c:v>0.21008232392161777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5F57-4B6E-9191-D5B6C87697CB}"/>
            </c:ext>
          </c:extLst>
        </c:ser>
        <c:ser>
          <c:idx val="3"/>
          <c:order val="3"/>
          <c:tx>
            <c:strRef>
              <c:f>Grafy_BES!$A$262</c:f>
              <c:strCache>
                <c:ptCount val="1"/>
                <c:pt idx="0">
                  <c:v> Ostatní
 činnosti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Grafy_BES!$B$258:$M$258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Grafy_BES!$B$262:$M$262</c:f>
              <c:numCache>
                <c:formatCode>0%</c:formatCode>
                <c:ptCount val="2"/>
                <c:pt idx="0">
                  <c:v>7.0292853837974567E-2</c:v>
                </c:pt>
                <c:pt idx="1">
                  <c:v>8.6441664466889029E-2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5F57-4B6E-9191-D5B6C87697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7471767676767682"/>
          <c:y val="7.5112110986126732E-2"/>
          <c:w val="0.39795606060606059"/>
          <c:h val="0.8113145319966268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8888888888889E-2"/>
          <c:y val="4.3317732136629775E-2"/>
          <c:w val="0.45866161616161616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Grafy_BES!$A$267</c:f>
              <c:strCache>
                <c:ptCount val="1"/>
                <c:pt idx="0">
                  <c:v> Praha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Grafy_BES!$B$266:$M$266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Grafy_BES!$B$267:$M$267</c:f>
              <c:numCache>
                <c:formatCode>0%</c:formatCode>
                <c:ptCount val="2"/>
                <c:pt idx="0">
                  <c:v>0.23052566856239221</c:v>
                </c:pt>
                <c:pt idx="1">
                  <c:v>0.2733517109559131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273-4712-BFAA-3C028FED7EAE}"/>
            </c:ext>
          </c:extLst>
        </c:ser>
        <c:ser>
          <c:idx val="1"/>
          <c:order val="1"/>
          <c:tx>
            <c:strRef>
              <c:f>Grafy_BES!$A$268</c:f>
              <c:strCache>
                <c:ptCount val="1"/>
                <c:pt idx="0">
                  <c:v> Jihomoravský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Grafy_BES!$B$266:$M$266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Grafy_BES!$B$268:$M$268</c:f>
              <c:numCache>
                <c:formatCode>0%</c:formatCode>
                <c:ptCount val="2"/>
                <c:pt idx="0">
                  <c:v>0.15375381069888083</c:v>
                </c:pt>
                <c:pt idx="1">
                  <c:v>0.20098342293858146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273-4712-BFAA-3C028FED7EAE}"/>
            </c:ext>
          </c:extLst>
        </c:ser>
        <c:ser>
          <c:idx val="2"/>
          <c:order val="2"/>
          <c:tx>
            <c:strRef>
              <c:f>Grafy_BES!$A$269</c:f>
              <c:strCache>
                <c:ptCount val="1"/>
                <c:pt idx="0">
                  <c:v> Středočeský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Grafy_BES!$B$266:$M$266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Grafy_BES!$B$269:$M$269</c:f>
              <c:numCache>
                <c:formatCode>0%</c:formatCode>
                <c:ptCount val="2"/>
                <c:pt idx="0">
                  <c:v>0.15025996884985493</c:v>
                </c:pt>
                <c:pt idx="1">
                  <c:v>0.12414809224951985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7273-4712-BFAA-3C028FED7EAE}"/>
            </c:ext>
          </c:extLst>
        </c:ser>
        <c:ser>
          <c:idx val="3"/>
          <c:order val="3"/>
          <c:tx>
            <c:strRef>
              <c:f>Grafy_BES!$A$270</c:f>
              <c:strCache>
                <c:ptCount val="1"/>
                <c:pt idx="0">
                  <c:v> ostatní kraje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Grafy_BES!$B$266:$M$266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Grafy_BES!$B$270:$M$270</c:f>
              <c:numCache>
                <c:formatCode>0%</c:formatCode>
                <c:ptCount val="2"/>
                <c:pt idx="0">
                  <c:v>0.46546055188887203</c:v>
                </c:pt>
                <c:pt idx="1">
                  <c:v>0.40151677385598555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7273-4712-BFAA-3C028FED7E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1057626262626266"/>
          <c:y val="8.0579895533525209E-2"/>
          <c:w val="0.46788989898989891"/>
          <c:h val="0.78035852609885226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28681124831378E-2"/>
          <c:y val="5.8892428964571267E-2"/>
          <c:w val="0.95434263775033723"/>
          <c:h val="0.62109543280937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Grafy_GOV!$A$4</c:f>
              <c:strCache>
                <c:ptCount val="1"/>
                <c:pt idx="0">
                  <c:v> Výdaje na VaV (GOVERD) - mld. Kč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Grafy_GOV!$C$3:$M$3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Grafy_GOV!$C$4:$M$4</c:f>
              <c:numCache>
                <c:formatCode>0.0</c:formatCode>
                <c:ptCount val="11"/>
                <c:pt idx="0">
                  <c:v>12.971688390000002</c:v>
                </c:pt>
                <c:pt idx="1">
                  <c:v>13.884387999999996</c:v>
                </c:pt>
                <c:pt idx="2">
                  <c:v>14.875443690000003</c:v>
                </c:pt>
                <c:pt idx="3">
                  <c:v>16.145349639999996</c:v>
                </c:pt>
                <c:pt idx="4">
                  <c:v>18.090630999999988</c:v>
                </c:pt>
                <c:pt idx="5">
                  <c:v>14.549474000000004</c:v>
                </c:pt>
                <c:pt idx="6">
                  <c:v>15.58229800000001</c:v>
                </c:pt>
                <c:pt idx="7">
                  <c:v>16.800322000000001</c:v>
                </c:pt>
                <c:pt idx="8">
                  <c:v>18.170614999999998</c:v>
                </c:pt>
                <c:pt idx="9">
                  <c:v>19.436507000000002</c:v>
                </c:pt>
                <c:pt idx="10">
                  <c:v>20.306262999999998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43-4C4E-9C1B-8690D0082067}"/>
            </c:ext>
          </c:extLst>
        </c:ser>
        <c:ser>
          <c:idx val="1"/>
          <c:order val="1"/>
          <c:tx>
            <c:strRef>
              <c:f>Grafy_GOV!$A$5</c:f>
              <c:strCache>
                <c:ptCount val="1"/>
                <c:pt idx="0">
                  <c:v> Pracovníci ve VaV - tis. přepočtených osob (FTE)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Grafy_GOV!$C$3:$M$3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Grafy_GOV!$C$5:$M$5</c:f>
              <c:numCache>
                <c:formatCode>0.0</c:formatCode>
                <c:ptCount val="11"/>
                <c:pt idx="0">
                  <c:v>11.627284345000007</c:v>
                </c:pt>
                <c:pt idx="1">
                  <c:v>11.864140000000001</c:v>
                </c:pt>
                <c:pt idx="2">
                  <c:v>12.275075000000012</c:v>
                </c:pt>
                <c:pt idx="3">
                  <c:v>12.379623670000003</c:v>
                </c:pt>
                <c:pt idx="4">
                  <c:v>12.953131000000003</c:v>
                </c:pt>
                <c:pt idx="5">
                  <c:v>13.098984500000004</c:v>
                </c:pt>
                <c:pt idx="6">
                  <c:v>13.6893505</c:v>
                </c:pt>
                <c:pt idx="7">
                  <c:v>14.1627825</c:v>
                </c:pt>
                <c:pt idx="8">
                  <c:v>14.530082999999999</c:v>
                </c:pt>
                <c:pt idx="9">
                  <c:v>14.438153499999999</c:v>
                </c:pt>
                <c:pt idx="10">
                  <c:v>14.445694499999998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43-4C4E-9C1B-8690D0082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-10"/>
        <c:axId val="1426075151"/>
        <c:axId val="1426075567"/>
      </c:barChart>
      <c:lineChart>
        <c:grouping val="standard"/>
        <c:varyColors val="0"/>
        <c:ser>
          <c:idx val="2"/>
          <c:order val="2"/>
          <c:tx>
            <c:strRef>
              <c:f>Grafy_GOV!$A$6</c:f>
              <c:strCache>
                <c:ptCount val="1"/>
                <c:pt idx="0">
                  <c:v> Podíl výdajů na VaV na HDP (Intenzita VaV)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Grafy_GOV!$C$3:$M$3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Grafy_GOV!$C$6:$M$6</c:f>
              <c:numCache>
                <c:formatCode>0.00%</c:formatCode>
                <c:ptCount val="11"/>
                <c:pt idx="0">
                  <c:v>3.1931701122732002E-3</c:v>
                </c:pt>
                <c:pt idx="1">
                  <c:v>3.3956191769350863E-3</c:v>
                </c:pt>
                <c:pt idx="2">
                  <c:v>3.5906643315372104E-3</c:v>
                </c:pt>
                <c:pt idx="3">
                  <c:v>3.7151907488806343E-3</c:v>
                </c:pt>
                <c:pt idx="4">
                  <c:v>3.9111681250699956E-3</c:v>
                </c:pt>
                <c:pt idx="5">
                  <c:v>3.0331163655990057E-3</c:v>
                </c:pt>
                <c:pt idx="6">
                  <c:v>3.0489300675068188E-3</c:v>
                </c:pt>
                <c:pt idx="7">
                  <c:v>3.10498319922096E-3</c:v>
                </c:pt>
                <c:pt idx="8">
                  <c:v>3.1374637442678904E-3</c:v>
                </c:pt>
                <c:pt idx="9">
                  <c:v>3.4044598030768601E-3</c:v>
                </c:pt>
                <c:pt idx="10">
                  <c:v>3.3243025865247163E-3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43-4C4E-9C1B-8690D0082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133519"/>
        <c:axId val="1426076399"/>
        <c:extLst/>
      </c:lineChart>
      <c:catAx>
        <c:axId val="1426075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26075567"/>
        <c:crosses val="autoZero"/>
        <c:auto val="1"/>
        <c:lblAlgn val="ctr"/>
        <c:lblOffset val="100"/>
        <c:noMultiLvlLbl val="0"/>
      </c:catAx>
      <c:valAx>
        <c:axId val="1426075567"/>
        <c:scaling>
          <c:orientation val="minMax"/>
          <c:max val="26"/>
        </c:scaling>
        <c:delete val="0"/>
        <c:axPos val="l"/>
        <c:numFmt formatCode="0.0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26075151"/>
        <c:crosses val="autoZero"/>
        <c:crossBetween val="between"/>
        <c:majorUnit val="2"/>
        <c:minorUnit val="1"/>
      </c:valAx>
      <c:valAx>
        <c:axId val="1426076399"/>
        <c:scaling>
          <c:orientation val="minMax"/>
          <c:max val="4.2000000000000006E-3"/>
        </c:scaling>
        <c:delete val="0"/>
        <c:axPos val="r"/>
        <c:numFmt formatCode="0.00%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953133519"/>
        <c:crosses val="max"/>
        <c:crossBetween val="between"/>
        <c:majorUnit val="1.0000000000000003E-4"/>
      </c:valAx>
      <c:catAx>
        <c:axId val="95313351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607639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349157079138069"/>
          <c:y val="0.7680983058935813"/>
          <c:w val="0.83055775027187684"/>
          <c:h val="0.19949435025478601"/>
        </c:manualLayout>
      </c:layout>
      <c:overlay val="0"/>
      <c:spPr>
        <a:noFill/>
        <a:ln>
          <a:solidFill>
            <a:schemeClr val="bg1">
              <a:lumMod val="7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6770222222222233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Grafy_GOV!$A$31</c:f>
              <c:strCache>
                <c:ptCount val="1"/>
                <c:pt idx="0">
                  <c:v> mzdové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Grafy_GOV!$B$30:$M$30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Grafy_GOV!$B$31:$M$31</c:f>
              <c:numCache>
                <c:formatCode>0%</c:formatCode>
                <c:ptCount val="2"/>
                <c:pt idx="0">
                  <c:v>0.40958294558600594</c:v>
                </c:pt>
                <c:pt idx="1">
                  <c:v>0.52461809442732021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D21F-4A32-85F5-3A40DE27926A}"/>
            </c:ext>
          </c:extLst>
        </c:ser>
        <c:ser>
          <c:idx val="1"/>
          <c:order val="1"/>
          <c:tx>
            <c:strRef>
              <c:f>Grafy_GOV!$A$32</c:f>
              <c:strCache>
                <c:ptCount val="1"/>
                <c:pt idx="0">
                  <c:v> ostatní běžné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Grafy_GOV!$B$30:$M$30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Grafy_GOV!$B$32:$M$32</c:f>
              <c:numCache>
                <c:formatCode>0%</c:formatCode>
                <c:ptCount val="2"/>
                <c:pt idx="0">
                  <c:v>0.39707152185144362</c:v>
                </c:pt>
                <c:pt idx="1">
                  <c:v>0.3395777450533366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D21F-4A32-85F5-3A40DE27926A}"/>
            </c:ext>
          </c:extLst>
        </c:ser>
        <c:ser>
          <c:idx val="2"/>
          <c:order val="2"/>
          <c:tx>
            <c:strRef>
              <c:f>Grafy_GOV!$A$33</c:f>
              <c:strCache>
                <c:ptCount val="1"/>
                <c:pt idx="0">
                  <c:v> investiční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Grafy_GOV!$B$30:$M$30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Grafy_GOV!$B$33:$M$33</c:f>
              <c:numCache>
                <c:formatCode>0%</c:formatCode>
                <c:ptCount val="2"/>
                <c:pt idx="0">
                  <c:v>0.19334553256255016</c:v>
                </c:pt>
                <c:pt idx="1">
                  <c:v>0.13580416051934327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D21F-4A32-85F5-3A40DE279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2603055555555553"/>
          <c:y val="7.5112110986126732E-2"/>
          <c:w val="0.34785388888888891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6770222222222233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Grafy_GOV!$A$38</c:f>
              <c:strCache>
                <c:ptCount val="1"/>
                <c:pt idx="0">
                  <c:v> veřejné domácí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Grafy_GOV!$B$37:$M$37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Grafy_GOV!$B$38:$M$38</c:f>
              <c:numCache>
                <c:formatCode>0%</c:formatCode>
                <c:ptCount val="2"/>
                <c:pt idx="0">
                  <c:v>0.77558784080535559</c:v>
                </c:pt>
                <c:pt idx="1">
                  <c:v>0.78303324447240719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959-4F8A-9F76-00C8D5350691}"/>
            </c:ext>
          </c:extLst>
        </c:ser>
        <c:ser>
          <c:idx val="1"/>
          <c:order val="1"/>
          <c:tx>
            <c:strRef>
              <c:f>Grafy_GOV!$A$39</c:f>
              <c:strCache>
                <c:ptCount val="1"/>
                <c:pt idx="0">
                  <c:v> veřejné zahraniční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Grafy_GOV!$B$37:$M$37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Grafy_GOV!$B$39:$M$39</c:f>
              <c:numCache>
                <c:formatCode>0%</c:formatCode>
                <c:ptCount val="2"/>
                <c:pt idx="0">
                  <c:v>8.5438541744063609E-2</c:v>
                </c:pt>
                <c:pt idx="1">
                  <c:v>0.10056188083449921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3959-4F8A-9F76-00C8D5350691}"/>
            </c:ext>
          </c:extLst>
        </c:ser>
        <c:ser>
          <c:idx val="2"/>
          <c:order val="2"/>
          <c:tx>
            <c:strRef>
              <c:f>Grafy_GOV!$A$40</c:f>
              <c:strCache>
                <c:ptCount val="1"/>
                <c:pt idx="0">
                  <c:v> podnikové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Grafy_GOV!$B$37:$M$37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Grafy_GOV!$B$40:$M$40</c:f>
              <c:numCache>
                <c:formatCode>0%</c:formatCode>
                <c:ptCount val="2"/>
                <c:pt idx="0">
                  <c:v>0.13755475820522697</c:v>
                </c:pt>
                <c:pt idx="1">
                  <c:v>0.10828959518548539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3959-4F8A-9F76-00C8D53506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2603055555555553"/>
          <c:y val="7.5112110986126732E-2"/>
          <c:w val="0.34785388888888891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38805244550409E-2"/>
          <c:y val="4.750165077502938E-2"/>
          <c:w val="0.67580631313131312"/>
          <c:h val="0.83821788538836173"/>
        </c:manualLayout>
      </c:layout>
      <c:lineChart>
        <c:grouping val="standard"/>
        <c:varyColors val="0"/>
        <c:ser>
          <c:idx val="0"/>
          <c:order val="0"/>
          <c:tx>
            <c:strRef>
              <c:f>Grafy_GOV!$A$47</c:f>
              <c:strCache>
                <c:ptCount val="1"/>
                <c:pt idx="0">
                  <c:v> Přírodní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Grafy_GOV!$C$46:$M$46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Grafy_GOV!$C$47:$M$47</c:f>
              <c:numCache>
                <c:formatCode>0.0</c:formatCode>
                <c:ptCount val="11"/>
                <c:pt idx="0">
                  <c:v>6.8434074599999999</c:v>
                </c:pt>
                <c:pt idx="1">
                  <c:v>7.5853299999999999</c:v>
                </c:pt>
                <c:pt idx="2">
                  <c:v>7.3474700000000022</c:v>
                </c:pt>
                <c:pt idx="3">
                  <c:v>7.5967759999999993</c:v>
                </c:pt>
                <c:pt idx="4">
                  <c:v>8.134466999999999</c:v>
                </c:pt>
                <c:pt idx="5">
                  <c:v>8.2041979999999999</c:v>
                </c:pt>
                <c:pt idx="6">
                  <c:v>8.6086170000000006</c:v>
                </c:pt>
                <c:pt idx="7">
                  <c:v>9.2122529999999969</c:v>
                </c:pt>
                <c:pt idx="8">
                  <c:v>10.133103999999998</c:v>
                </c:pt>
                <c:pt idx="9">
                  <c:v>11.404297000000001</c:v>
                </c:pt>
                <c:pt idx="10">
                  <c:v>12.238599000000001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93-4B7F-B921-732216058E4D}"/>
            </c:ext>
          </c:extLst>
        </c:ser>
        <c:ser>
          <c:idx val="1"/>
          <c:order val="1"/>
          <c:tx>
            <c:strRef>
              <c:f>Grafy_GOV!$A$48</c:f>
              <c:strCache>
                <c:ptCount val="1"/>
                <c:pt idx="0">
                  <c:v> Sociální a
 Humanitní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tar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Grafy_GOV!$C$46:$M$46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Grafy_GOV!$C$48:$M$48</c:f>
              <c:numCache>
                <c:formatCode>0.0</c:formatCode>
                <c:ptCount val="11"/>
                <c:pt idx="0">
                  <c:v>1.72528657</c:v>
                </c:pt>
                <c:pt idx="1">
                  <c:v>1.7859100000000003</c:v>
                </c:pt>
                <c:pt idx="2">
                  <c:v>1.8061040000000002</c:v>
                </c:pt>
                <c:pt idx="3">
                  <c:v>1.9239343899999999</c:v>
                </c:pt>
                <c:pt idx="4">
                  <c:v>2.0007230000000007</c:v>
                </c:pt>
                <c:pt idx="5">
                  <c:v>1.9783269999999997</c:v>
                </c:pt>
                <c:pt idx="6">
                  <c:v>2.0356109999999998</c:v>
                </c:pt>
                <c:pt idx="7">
                  <c:v>2.4909880000000002</c:v>
                </c:pt>
                <c:pt idx="8">
                  <c:v>2.725511</c:v>
                </c:pt>
                <c:pt idx="9">
                  <c:v>2.6886899999999998</c:v>
                </c:pt>
                <c:pt idx="10">
                  <c:v>2.8301949999999998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93-4B7F-B921-732216058E4D}"/>
            </c:ext>
          </c:extLst>
        </c:ser>
        <c:ser>
          <c:idx val="2"/>
          <c:order val="2"/>
          <c:tx>
            <c:strRef>
              <c:f>Grafy_GOV!$A$49</c:f>
              <c:strCache>
                <c:ptCount val="1"/>
                <c:pt idx="0">
                  <c:v> Lékařské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Grafy_GOV!$C$46:$M$46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Grafy_GOV!$C$49:$M$49</c:f>
              <c:numCache>
                <c:formatCode>0.0</c:formatCode>
                <c:ptCount val="11"/>
                <c:pt idx="0">
                  <c:v>1.0542723599999999</c:v>
                </c:pt>
                <c:pt idx="1">
                  <c:v>0.78159899999999993</c:v>
                </c:pt>
                <c:pt idx="2">
                  <c:v>0.85613769000000006</c:v>
                </c:pt>
                <c:pt idx="3">
                  <c:v>0.71019318999999992</c:v>
                </c:pt>
                <c:pt idx="4">
                  <c:v>0.86603500000000011</c:v>
                </c:pt>
                <c:pt idx="5">
                  <c:v>0.87629899999999994</c:v>
                </c:pt>
                <c:pt idx="6">
                  <c:v>1.0032160000000001</c:v>
                </c:pt>
                <c:pt idx="7">
                  <c:v>1.1575820000000001</c:v>
                </c:pt>
                <c:pt idx="8">
                  <c:v>1.2507559999999995</c:v>
                </c:pt>
                <c:pt idx="9">
                  <c:v>1.0040739999999999</c:v>
                </c:pt>
                <c:pt idx="10">
                  <c:v>0.98045000000000004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993-4B7F-B921-732216058E4D}"/>
            </c:ext>
          </c:extLst>
        </c:ser>
        <c:ser>
          <c:idx val="3"/>
          <c:order val="3"/>
          <c:tx>
            <c:strRef>
              <c:f>Grafy_GOV!$A$50</c:f>
              <c:strCache>
                <c:ptCount val="1"/>
                <c:pt idx="0">
                  <c:v> Zemědělské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Grafy_GOV!$C$46:$M$46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Grafy_GOV!$C$50:$M$50</c:f>
              <c:numCache>
                <c:formatCode>0.0</c:formatCode>
                <c:ptCount val="11"/>
                <c:pt idx="0">
                  <c:v>0.61047400000000007</c:v>
                </c:pt>
                <c:pt idx="1">
                  <c:v>0.44861099999999993</c:v>
                </c:pt>
                <c:pt idx="2">
                  <c:v>0.39498899999999998</c:v>
                </c:pt>
                <c:pt idx="3">
                  <c:v>0.62328700000000004</c:v>
                </c:pt>
                <c:pt idx="4">
                  <c:v>0.70755899999999983</c:v>
                </c:pt>
                <c:pt idx="5">
                  <c:v>0.75552400000000008</c:v>
                </c:pt>
                <c:pt idx="6">
                  <c:v>0.78700200000000009</c:v>
                </c:pt>
                <c:pt idx="7">
                  <c:v>0.78704300000000005</c:v>
                </c:pt>
                <c:pt idx="8">
                  <c:v>0.91653899999999988</c:v>
                </c:pt>
                <c:pt idx="9">
                  <c:v>0.88185399999999969</c:v>
                </c:pt>
                <c:pt idx="10">
                  <c:v>0.93003800000000003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993-4B7F-B921-732216058E4D}"/>
            </c:ext>
          </c:extLst>
        </c:ser>
        <c:ser>
          <c:idx val="4"/>
          <c:order val="4"/>
          <c:tx>
            <c:strRef>
              <c:f>Grafy_GOV!$A$51</c:f>
              <c:strCache>
                <c:ptCount val="1"/>
                <c:pt idx="0">
                  <c:v> Technické</c:v>
                </c:pt>
              </c:strCache>
            </c:strRef>
          </c:tx>
          <c:marker>
            <c:symbol val="dash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Grafy_GOV!$C$46:$M$46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Grafy_GOV!$C$51:$M$51</c:f>
              <c:numCache>
                <c:formatCode>0.0</c:formatCode>
                <c:ptCount val="11"/>
                <c:pt idx="0">
                  <c:v>0.23022999999999999</c:v>
                </c:pt>
                <c:pt idx="1">
                  <c:v>0.25506499999999999</c:v>
                </c:pt>
                <c:pt idx="2">
                  <c:v>0.380384</c:v>
                </c:pt>
                <c:pt idx="3">
                  <c:v>0.45261199999999996</c:v>
                </c:pt>
                <c:pt idx="4">
                  <c:v>0.48054599999999992</c:v>
                </c:pt>
                <c:pt idx="5">
                  <c:v>0.45907800000000004</c:v>
                </c:pt>
                <c:pt idx="6">
                  <c:v>0.48082799999999998</c:v>
                </c:pt>
                <c:pt idx="7">
                  <c:v>0.56088199999999999</c:v>
                </c:pt>
                <c:pt idx="8">
                  <c:v>0.54142499999999993</c:v>
                </c:pt>
                <c:pt idx="9">
                  <c:v>0.54166499999999995</c:v>
                </c:pt>
                <c:pt idx="10">
                  <c:v>0.56930599999999998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993-4B7F-B921-732216058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339200"/>
        <c:axId val="154340736"/>
      </c:lineChart>
      <c:catAx>
        <c:axId val="15433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54340736"/>
        <c:crosses val="autoZero"/>
        <c:auto val="0"/>
        <c:lblAlgn val="ctr"/>
        <c:lblOffset val="100"/>
        <c:tickLblSkip val="2"/>
        <c:noMultiLvlLbl val="0"/>
      </c:catAx>
      <c:valAx>
        <c:axId val="154340736"/>
        <c:scaling>
          <c:orientation val="minMax"/>
          <c:max val="13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b="1"/>
                </a:pPr>
                <a:r>
                  <a:rPr lang="cs-CZ" b="1"/>
                  <a:t>Mld. Kč</a:t>
                </a:r>
              </a:p>
            </c:rich>
          </c:tx>
          <c:layout>
            <c:manualLayout>
              <c:xMode val="edge"/>
              <c:yMode val="edge"/>
              <c:x val="8.017676767676768E-2"/>
              <c:y val="5.8928518518518519E-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spPr>
          <a:ln>
            <a:noFill/>
          </a:ln>
        </c:spPr>
        <c:crossAx val="154339200"/>
        <c:crosses val="autoZero"/>
        <c:crossBetween val="between"/>
        <c:majorUnit val="1"/>
        <c:minorUnit val="1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499580808080808"/>
          <c:y val="0.12597185185185186"/>
          <c:w val="0.23400656565656566"/>
          <c:h val="0.6702555555555556"/>
        </c:manualLayout>
      </c:layout>
      <c:overlay val="0"/>
      <c:spPr>
        <a:solidFill>
          <a:schemeClr val="bg1"/>
        </a:solidFill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099747474747474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Grafy_GOV!$A$57</c:f>
              <c:strCache>
                <c:ptCount val="1"/>
                <c:pt idx="0">
                  <c:v> Přírodní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Grafy_GOV!$B$56:$M$56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Grafy_GOV!$B$57:$M$57</c:f>
              <c:numCache>
                <c:formatCode>0%</c:formatCode>
                <c:ptCount val="2"/>
                <c:pt idx="0">
                  <c:v>0.65401596236633752</c:v>
                </c:pt>
                <c:pt idx="1">
                  <c:v>0.69741217925909493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4EC-4CA4-AB66-04F2965D45FA}"/>
            </c:ext>
          </c:extLst>
        </c:ser>
        <c:ser>
          <c:idx val="1"/>
          <c:order val="1"/>
          <c:tx>
            <c:strRef>
              <c:f>Grafy_GOV!$A$58</c:f>
              <c:strCache>
                <c:ptCount val="1"/>
                <c:pt idx="0">
                  <c:v> Sociální a
 Humanitní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Grafy_GOV!$B$56:$M$56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Grafy_GOV!$B$58:$M$58</c:f>
              <c:numCache>
                <c:formatCode>0%</c:formatCode>
                <c:ptCount val="2"/>
                <c:pt idx="0">
                  <c:v>0.16488349744357728</c:v>
                </c:pt>
                <c:pt idx="1">
                  <c:v>0.16127764809339645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4EC-4CA4-AB66-04F2965D45FA}"/>
            </c:ext>
          </c:extLst>
        </c:ser>
        <c:ser>
          <c:idx val="2"/>
          <c:order val="2"/>
          <c:tx>
            <c:strRef>
              <c:f>Grafy_GOV!$A$59</c:f>
              <c:strCache>
                <c:ptCount val="1"/>
                <c:pt idx="0">
                  <c:v> Lékařské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Grafy_GOV!$B$56:$M$56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Grafy_GOV!$B$59:$M$59</c:f>
              <c:numCache>
                <c:formatCode>0%</c:formatCode>
                <c:ptCount val="2"/>
                <c:pt idx="0">
                  <c:v>0.10075550172218298</c:v>
                </c:pt>
                <c:pt idx="1">
                  <c:v>5.5870591981531513E-2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04EC-4CA4-AB66-04F2965D45FA}"/>
            </c:ext>
          </c:extLst>
        </c:ser>
        <c:ser>
          <c:idx val="3"/>
          <c:order val="3"/>
          <c:tx>
            <c:strRef>
              <c:f>Grafy_GOV!$A$60</c:f>
              <c:strCache>
                <c:ptCount val="1"/>
                <c:pt idx="0">
                  <c:v> Zemědělské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Grafy_GOV!$B$56:$M$56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Grafy_GOV!$B$60:$M$60</c:f>
              <c:numCache>
                <c:formatCode>0%</c:formatCode>
                <c:ptCount val="2"/>
                <c:pt idx="0">
                  <c:v>5.8342242945976446E-2</c:v>
                </c:pt>
                <c:pt idx="1">
                  <c:v>5.299788222277485E-2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04EC-4CA4-AB66-04F2965D45FA}"/>
            </c:ext>
          </c:extLst>
        </c:ser>
        <c:ser>
          <c:idx val="4"/>
          <c:order val="4"/>
          <c:tx>
            <c:strRef>
              <c:f>Grafy_GOV!$A$61</c:f>
              <c:strCache>
                <c:ptCount val="1"/>
                <c:pt idx="0">
                  <c:v> Technické</c:v>
                </c:pt>
              </c:strCache>
            </c:strRef>
          </c:tx>
          <c:invertIfNegative val="0"/>
          <c:cat>
            <c:numRef>
              <c:f>Grafy_GOV!$B$56:$M$56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Grafy_GOV!$B$61:$M$61</c:f>
              <c:numCache>
                <c:formatCode>0%</c:formatCode>
                <c:ptCount val="2"/>
                <c:pt idx="0">
                  <c:v>2.2002795521925841E-2</c:v>
                </c:pt>
                <c:pt idx="1">
                  <c:v>3.2441698443202382E-2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04EC-4CA4-AB66-04F2965D4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6894494949494945"/>
          <c:y val="7.5112110986126732E-2"/>
          <c:w val="0.37950303030303029"/>
          <c:h val="0.76521666666666666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099747474747474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Grafy_GOV!$A$94</c:f>
              <c:strCache>
                <c:ptCount val="1"/>
                <c:pt idx="0">
                  <c:v> Pracoviště
 AV ČR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Grafy_GOV!$B$93:$M$93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Grafy_GOV!$B$94:$M$94</c:f>
              <c:numCache>
                <c:formatCode>0%</c:formatCode>
                <c:ptCount val="2"/>
                <c:pt idx="0">
                  <c:v>0.74363234067789663</c:v>
                </c:pt>
                <c:pt idx="1">
                  <c:v>0.74236071895651101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B68-4FFA-98AA-DA275A622489}"/>
            </c:ext>
          </c:extLst>
        </c:ser>
        <c:ser>
          <c:idx val="1"/>
          <c:order val="1"/>
          <c:tx>
            <c:strRef>
              <c:f>Grafy_GOV!$A$95</c:f>
              <c:strCache>
                <c:ptCount val="1"/>
                <c:pt idx="0">
                  <c:v> ostatní veřejné 
 výzkumné instituce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Grafy_GOV!$B$93:$M$93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Grafy_GOV!$B$95:$M$95</c:f>
              <c:numCache>
                <c:formatCode>0%</c:formatCode>
                <c:ptCount val="2"/>
                <c:pt idx="0">
                  <c:v>0.10821779076054414</c:v>
                </c:pt>
                <c:pt idx="1">
                  <c:v>8.2584717828189255E-2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B68-4FFA-98AA-DA275A622489}"/>
            </c:ext>
          </c:extLst>
        </c:ser>
        <c:ser>
          <c:idx val="2"/>
          <c:order val="2"/>
          <c:tx>
            <c:strRef>
              <c:f>Grafy_GOV!$A$96</c:f>
              <c:strCache>
                <c:ptCount val="1"/>
                <c:pt idx="0">
                  <c:v> Knihovny, archívy 
 a muzea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68-4FFA-98AA-DA275A6224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Grafy_GOV!$B$93:$M$93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Grafy_GOV!$B$96:$M$96</c:f>
              <c:numCache>
                <c:formatCode>0%</c:formatCode>
                <c:ptCount val="2"/>
                <c:pt idx="0">
                  <c:v>2.8734622571364429E-2</c:v>
                </c:pt>
                <c:pt idx="1">
                  <c:v>6.7542609883463042E-2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5B68-4FFA-98AA-DA275A622489}"/>
            </c:ext>
          </c:extLst>
        </c:ser>
        <c:ser>
          <c:idx val="3"/>
          <c:order val="3"/>
          <c:tx>
            <c:strRef>
              <c:f>Grafy_GOV!$A$97</c:f>
              <c:strCache>
                <c:ptCount val="1"/>
                <c:pt idx="0">
                  <c:v> Zdravotnická
 zařízení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Grafy_GOV!$B$93:$M$93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Grafy_GOV!$B$97:$M$97</c:f>
              <c:numCache>
                <c:formatCode>0%</c:formatCode>
                <c:ptCount val="2"/>
                <c:pt idx="0">
                  <c:v>4.3054253479488637E-2</c:v>
                </c:pt>
                <c:pt idx="1">
                  <c:v>4.0670604926174747E-2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5B68-4FFA-98AA-DA275A622489}"/>
            </c:ext>
          </c:extLst>
        </c:ser>
        <c:ser>
          <c:idx val="4"/>
          <c:order val="4"/>
          <c:tx>
            <c:strRef>
              <c:f>Grafy_GOV!$A$98</c:f>
              <c:strCache>
                <c:ptCount val="1"/>
                <c:pt idx="0">
                  <c:v> ostatní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numRef>
              <c:f>Grafy_GOV!$B$93:$M$93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Grafy_GOV!$B$98:$M$98</c:f>
              <c:numCache>
                <c:formatCode>0%</c:formatCode>
                <c:ptCount val="2"/>
                <c:pt idx="0">
                  <c:v>7.6360992510705827E-2</c:v>
                </c:pt>
                <c:pt idx="1">
                  <c:v>6.6841348405661832E-2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5B68-4FFA-98AA-DA275A6224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6894494949494945"/>
          <c:y val="5.4953571428571428E-2"/>
          <c:w val="0.37950303030303029"/>
          <c:h val="0.83073253968253957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099747474747474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Grafy_GOV!$A$103</c:f>
              <c:strCache>
                <c:ptCount val="1"/>
                <c:pt idx="0">
                  <c:v> Praha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Grafy_GOV!$B$102:$M$102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Grafy_GOV!$B$103:$M$103</c:f>
              <c:numCache>
                <c:formatCode>0%</c:formatCode>
                <c:ptCount val="2"/>
                <c:pt idx="0">
                  <c:v>0.74644014787345658</c:v>
                </c:pt>
                <c:pt idx="1">
                  <c:v>0.66867591540600058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D38-4899-83FF-4856530D833A}"/>
            </c:ext>
          </c:extLst>
        </c:ser>
        <c:ser>
          <c:idx val="1"/>
          <c:order val="1"/>
          <c:tx>
            <c:strRef>
              <c:f>Grafy_GOV!$A$104</c:f>
              <c:strCache>
                <c:ptCount val="1"/>
                <c:pt idx="0">
                  <c:v> Středočeský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Grafy_GOV!$B$102:$M$102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Grafy_GOV!$B$104:$M$104</c:f>
              <c:numCache>
                <c:formatCode>0%</c:formatCode>
                <c:ptCount val="2"/>
                <c:pt idx="0">
                  <c:v>8.1443522865877305E-2</c:v>
                </c:pt>
                <c:pt idx="1">
                  <c:v>0.15974564103695499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D38-4899-83FF-4856530D833A}"/>
            </c:ext>
          </c:extLst>
        </c:ser>
        <c:ser>
          <c:idx val="2"/>
          <c:order val="2"/>
          <c:tx>
            <c:strRef>
              <c:f>Grafy_GOV!$A$105</c:f>
              <c:strCache>
                <c:ptCount val="1"/>
                <c:pt idx="0">
                  <c:v> Jihomoravský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Grafy_GOV!$B$102:$M$102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Grafy_GOV!$B$105:$M$105</c:f>
              <c:numCache>
                <c:formatCode>0%</c:formatCode>
                <c:ptCount val="2"/>
                <c:pt idx="0">
                  <c:v>0.1050923333196104</c:v>
                </c:pt>
                <c:pt idx="1">
                  <c:v>0.10702471449325759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0D38-4899-83FF-4856530D833A}"/>
            </c:ext>
          </c:extLst>
        </c:ser>
        <c:ser>
          <c:idx val="3"/>
          <c:order val="3"/>
          <c:tx>
            <c:strRef>
              <c:f>Grafy_GOV!$A$106</c:f>
              <c:strCache>
                <c:ptCount val="1"/>
                <c:pt idx="0">
                  <c:v> Jihočeský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Grafy_GOV!$B$102:$M$102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Grafy_GOV!$B$106:$M$106</c:f>
              <c:numCache>
                <c:formatCode>0%</c:formatCode>
                <c:ptCount val="2"/>
                <c:pt idx="0">
                  <c:v>3.5909198247399465E-2</c:v>
                </c:pt>
                <c:pt idx="1">
                  <c:v>4.0562066983964515E-2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0D38-4899-83FF-4856530D833A}"/>
            </c:ext>
          </c:extLst>
        </c:ser>
        <c:ser>
          <c:idx val="4"/>
          <c:order val="4"/>
          <c:tx>
            <c:strRef>
              <c:f>Grafy_GOV!$A$107</c:f>
              <c:strCache>
                <c:ptCount val="1"/>
                <c:pt idx="0">
                  <c:v> ostatní kraje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numRef>
              <c:f>Grafy_GOV!$B$102:$M$102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Grafy_GOV!$B$107:$M$107</c:f>
              <c:numCache>
                <c:formatCode>0%</c:formatCode>
                <c:ptCount val="2"/>
                <c:pt idx="0">
                  <c:v>3.1114797693656215E-2</c:v>
                </c:pt>
                <c:pt idx="1">
                  <c:v>2.3991662079822396E-2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0D38-4899-83FF-4856530D8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6894494949494945"/>
          <c:y val="5.4953571428571428E-2"/>
          <c:w val="0.37950303030303029"/>
          <c:h val="0.83073253968253957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274837999323202E-2"/>
          <c:y val="4.3317732136629775E-2"/>
          <c:w val="0.49073098543887911"/>
          <c:h val="0.7795162037037036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Grafy_celkem!$B$20</c:f>
              <c:strCache>
                <c:ptCount val="1"/>
                <c:pt idx="0">
                  <c:v>Podni
-katelský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Grafy_celkem!$A$21:$A$22</c:f>
              <c:strCache>
                <c:ptCount val="2"/>
                <c:pt idx="0">
                  <c:v>
Celkem</c:v>
                </c:pt>
                <c:pt idx="1">
                  <c:v>100+ 
mil. Kč</c:v>
                </c:pt>
              </c:strCache>
            </c:strRef>
          </c:cat>
          <c:val>
            <c:numRef>
              <c:f>Grafy_celkem!$B$21:$B$22</c:f>
              <c:numCache>
                <c:formatCode>#,##0</c:formatCode>
                <c:ptCount val="2"/>
                <c:pt idx="0">
                  <c:v>2706</c:v>
                </c:pt>
                <c:pt idx="1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60-448C-9E4C-0D91424880A6}"/>
            </c:ext>
          </c:extLst>
        </c:ser>
        <c:ser>
          <c:idx val="1"/>
          <c:order val="1"/>
          <c:tx>
            <c:strRef>
              <c:f>Grafy_celkem!$C$20</c:f>
              <c:strCache>
                <c:ptCount val="1"/>
                <c:pt idx="0">
                  <c:v>Vysoko
-školský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Grafy_celkem!$A$21:$A$22</c:f>
              <c:strCache>
                <c:ptCount val="2"/>
                <c:pt idx="0">
                  <c:v>
Celkem</c:v>
                </c:pt>
                <c:pt idx="1">
                  <c:v>100+ 
mil. Kč</c:v>
                </c:pt>
              </c:strCache>
            </c:strRef>
          </c:cat>
          <c:val>
            <c:numRef>
              <c:f>Grafy_celkem!$C$21:$C$22</c:f>
              <c:numCache>
                <c:formatCode>#,##0</c:formatCode>
                <c:ptCount val="2"/>
                <c:pt idx="0">
                  <c:v>230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60-448C-9E4C-0D91424880A6}"/>
            </c:ext>
          </c:extLst>
        </c:ser>
        <c:ser>
          <c:idx val="2"/>
          <c:order val="2"/>
          <c:tx>
            <c:strRef>
              <c:f>Grafy_celkem!$D$20</c:f>
              <c:strCache>
                <c:ptCount val="1"/>
                <c:pt idx="0">
                  <c:v>Vládní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Grafy_celkem!$A$21:$A$22</c:f>
              <c:strCache>
                <c:ptCount val="2"/>
                <c:pt idx="0">
                  <c:v>
Celkem</c:v>
                </c:pt>
                <c:pt idx="1">
                  <c:v>100+ 
mil. Kč</c:v>
                </c:pt>
              </c:strCache>
            </c:strRef>
          </c:cat>
          <c:val>
            <c:numRef>
              <c:f>Grafy_celkem!$D$21:$D$22</c:f>
              <c:numCache>
                <c:formatCode>#,##0</c:formatCode>
                <c:ptCount val="2"/>
                <c:pt idx="0">
                  <c:v>209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60-448C-9E4C-0D91424880A6}"/>
            </c:ext>
          </c:extLst>
        </c:ser>
        <c:ser>
          <c:idx val="3"/>
          <c:order val="3"/>
          <c:tx>
            <c:strRef>
              <c:f>Grafy_celkem!$E$20</c:f>
              <c:strCache>
                <c:ptCount val="1"/>
                <c:pt idx="0">
                  <c:v>Soukromý neziskový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Grafy_celkem!$A$21:$A$22</c:f>
              <c:strCache>
                <c:ptCount val="2"/>
                <c:pt idx="0">
                  <c:v>
Celkem</c:v>
                </c:pt>
                <c:pt idx="1">
                  <c:v>100+ 
mil. Kč</c:v>
                </c:pt>
              </c:strCache>
            </c:strRef>
          </c:cat>
          <c:val>
            <c:numRef>
              <c:f>Grafy_celkem!$E$21:$E$22</c:f>
              <c:numCache>
                <c:formatCode>#,##0</c:formatCode>
                <c:ptCount val="2"/>
                <c:pt idx="0">
                  <c:v>82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60-448C-9E4C-0D91424880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95000"/>
                  <a:lumOff val="5000"/>
                </a:schemeClr>
              </a:solidFill>
              <a:prstDash val="solid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1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3308753339764534"/>
          <c:y val="7.5112110986126732E-2"/>
          <c:w val="0.32106892667922604"/>
          <c:h val="0.7471600529100529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920447074293226E-2"/>
          <c:y val="5.0529513888888891E-2"/>
          <c:w val="0.96248027613412224"/>
          <c:h val="0.745936388888888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70C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930D-4339-B435-447118BCC332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0D-4339-B435-447118BCC332}"/>
              </c:ext>
            </c:extLst>
          </c:dPt>
          <c:dPt>
            <c:idx val="7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4-930D-4339-B435-447118BCC3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MS!$A$70:$A$97</c:f>
              <c:strCache>
                <c:ptCount val="28"/>
                <c:pt idx="0">
                  <c:v>Německo</c:v>
                </c:pt>
                <c:pt idx="1">
                  <c:v>Česko</c:v>
                </c:pt>
                <c:pt idx="2">
                  <c:v>Řecko</c:v>
                </c:pt>
                <c:pt idx="3">
                  <c:v>Lucembursko</c:v>
                </c:pt>
                <c:pt idx="4">
                  <c:v>Slovinsko</c:v>
                </c:pt>
                <c:pt idx="5">
                  <c:v>Belgie</c:v>
                </c:pt>
                <c:pt idx="6">
                  <c:v>Francie</c:v>
                </c:pt>
                <c:pt idx="7">
                  <c:v>EU27</c:v>
                </c:pt>
                <c:pt idx="8">
                  <c:v>Chorvatsko</c:v>
                </c:pt>
                <c:pt idx="9">
                  <c:v>Španělsko</c:v>
                </c:pt>
                <c:pt idx="10">
                  <c:v>Rakousko</c:v>
                </c:pt>
                <c:pt idx="11">
                  <c:v>Finsko</c:v>
                </c:pt>
                <c:pt idx="12">
                  <c:v>Bulharsko</c:v>
                </c:pt>
                <c:pt idx="13">
                  <c:v>Itálie</c:v>
                </c:pt>
                <c:pt idx="14">
                  <c:v>Litva</c:v>
                </c:pt>
                <c:pt idx="15">
                  <c:v>Slovensko</c:v>
                </c:pt>
                <c:pt idx="16">
                  <c:v>Maďarsko</c:v>
                </c:pt>
                <c:pt idx="17">
                  <c:v>Estonsko</c:v>
                </c:pt>
                <c:pt idx="18">
                  <c:v>Švédsko</c:v>
                </c:pt>
                <c:pt idx="19">
                  <c:v>Rumunsko</c:v>
                </c:pt>
                <c:pt idx="20">
                  <c:v>Lotyšsko</c:v>
                </c:pt>
                <c:pt idx="21">
                  <c:v>Nizozemsko</c:v>
                </c:pt>
                <c:pt idx="22">
                  <c:v>Dánsko</c:v>
                </c:pt>
                <c:pt idx="23">
                  <c:v>Portugalsko</c:v>
                </c:pt>
                <c:pt idx="24">
                  <c:v>Kypr</c:v>
                </c:pt>
                <c:pt idx="25">
                  <c:v>Irsko</c:v>
                </c:pt>
                <c:pt idx="26">
                  <c:v>Polsko</c:v>
                </c:pt>
                <c:pt idx="27">
                  <c:v>Malta</c:v>
                </c:pt>
              </c:strCache>
            </c:strRef>
          </c:cat>
          <c:val>
            <c:numRef>
              <c:f>MS!$B$70:$B$97</c:f>
              <c:numCache>
                <c:formatCode>0.00</c:formatCode>
                <c:ptCount val="28"/>
                <c:pt idx="0">
                  <c:v>0.47332546678697857</c:v>
                </c:pt>
                <c:pt idx="1">
                  <c:v>0.33243025865247161</c:v>
                </c:pt>
                <c:pt idx="2">
                  <c:v>0.31870388045439485</c:v>
                </c:pt>
                <c:pt idx="3">
                  <c:v>0.29063005740369319</c:v>
                </c:pt>
                <c:pt idx="4">
                  <c:v>0.28731173898303142</c:v>
                </c:pt>
                <c:pt idx="5">
                  <c:v>0.2770579058894917</c:v>
                </c:pt>
                <c:pt idx="6">
                  <c:v>0.27053913238193111</c:v>
                </c:pt>
                <c:pt idx="7">
                  <c:v>0.26815891286297167</c:v>
                </c:pt>
                <c:pt idx="8">
                  <c:v>0.26313383274037017</c:v>
                </c:pt>
                <c:pt idx="9">
                  <c:v>0.24112725609483263</c:v>
                </c:pt>
                <c:pt idx="10">
                  <c:v>0.24071971669489522</c:v>
                </c:pt>
                <c:pt idx="11">
                  <c:v>0.21835404010868573</c:v>
                </c:pt>
                <c:pt idx="12">
                  <c:v>0.209333994186126</c:v>
                </c:pt>
                <c:pt idx="13">
                  <c:v>0.20040880998651892</c:v>
                </c:pt>
                <c:pt idx="14">
                  <c:v>0.1748390415652796</c:v>
                </c:pt>
                <c:pt idx="15">
                  <c:v>0.17239629325132202</c:v>
                </c:pt>
                <c:pt idx="16">
                  <c:v>0.16783323075841353</c:v>
                </c:pt>
                <c:pt idx="17">
                  <c:v>0.16331424173713385</c:v>
                </c:pt>
                <c:pt idx="18">
                  <c:v>0.15110090900036374</c:v>
                </c:pt>
                <c:pt idx="19">
                  <c:v>0.14276879976181087</c:v>
                </c:pt>
                <c:pt idx="20">
                  <c:v>0.13562480895301804</c:v>
                </c:pt>
                <c:pt idx="21">
                  <c:v>0.12658286974108898</c:v>
                </c:pt>
                <c:pt idx="22">
                  <c:v>9.5640177611996127E-2</c:v>
                </c:pt>
                <c:pt idx="23">
                  <c:v>7.710144089612242E-2</c:v>
                </c:pt>
                <c:pt idx="24">
                  <c:v>4.7878961984104178E-2</c:v>
                </c:pt>
                <c:pt idx="25">
                  <c:v>3.9601588989859798E-2</c:v>
                </c:pt>
                <c:pt idx="26">
                  <c:v>2.9345093728991578E-2</c:v>
                </c:pt>
                <c:pt idx="27">
                  <c:v>6.6070443353109061E-3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0D-4339-B435-447118BCC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765568"/>
        <c:axId val="132767744"/>
      </c:barChart>
      <c:catAx>
        <c:axId val="13276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32767744"/>
        <c:crosses val="autoZero"/>
        <c:auto val="1"/>
        <c:lblAlgn val="ctr"/>
        <c:lblOffset val="100"/>
        <c:noMultiLvlLbl val="0"/>
      </c:catAx>
      <c:valAx>
        <c:axId val="132767744"/>
        <c:scaling>
          <c:orientation val="minMax"/>
          <c:max val="0.55000000000000004"/>
          <c:min val="0"/>
        </c:scaling>
        <c:delete val="0"/>
        <c:axPos val="l"/>
        <c:numFmt formatCode="#,##0.0" sourceLinked="0"/>
        <c:majorTickMark val="none"/>
        <c:minorTickMark val="none"/>
        <c:tickLblPos val="none"/>
        <c:spPr>
          <a:ln>
            <a:solidFill>
              <a:schemeClr val="bg1">
                <a:lumMod val="65000"/>
              </a:schemeClr>
            </a:solidFill>
          </a:ln>
        </c:spPr>
        <c:crossAx val="132765568"/>
        <c:crosses val="autoZero"/>
        <c:crossBetween val="between"/>
        <c:majorUnit val="5.000000000000001E-2"/>
      </c:valAx>
      <c:spPr>
        <a:ln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099747474747474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Grafy_GOV!$A$139</c:f>
              <c:strCache>
                <c:ptCount val="1"/>
                <c:pt idx="0">
                  <c:v> Pracoviště
 AV ČR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Grafy_GOV!$B$138:$M$138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Grafy_GOV!$B$139:$M$139</c:f>
              <c:numCache>
                <c:formatCode>0%</c:formatCode>
                <c:ptCount val="2"/>
                <c:pt idx="0">
                  <c:v>0.63895551872306078</c:v>
                </c:pt>
                <c:pt idx="1">
                  <c:v>0.66091135320631345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635-41B0-98ED-B94D9F2ADF24}"/>
            </c:ext>
          </c:extLst>
        </c:ser>
        <c:ser>
          <c:idx val="1"/>
          <c:order val="1"/>
          <c:tx>
            <c:strRef>
              <c:f>Grafy_GOV!$A$140</c:f>
              <c:strCache>
                <c:ptCount val="1"/>
                <c:pt idx="0">
                  <c:v> ostatní veřejné 
 výzkumné instituce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Grafy_GOV!$B$138:$M$138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Grafy_GOV!$B$140:$M$140</c:f>
              <c:numCache>
                <c:formatCode>0%</c:formatCode>
                <c:ptCount val="2"/>
                <c:pt idx="0">
                  <c:v>0.15221383149205173</c:v>
                </c:pt>
                <c:pt idx="1">
                  <c:v>0.13485931742499466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3635-41B0-98ED-B94D9F2ADF24}"/>
            </c:ext>
          </c:extLst>
        </c:ser>
        <c:ser>
          <c:idx val="2"/>
          <c:order val="2"/>
          <c:tx>
            <c:strRef>
              <c:f>Grafy_GOV!$A$141</c:f>
              <c:strCache>
                <c:ptCount val="1"/>
                <c:pt idx="0">
                  <c:v> Knihovny, archívy 
 a muzea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Grafy_GOV!$B$138:$M$138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Grafy_GOV!$B$141:$M$141</c:f>
              <c:numCache>
                <c:formatCode>0%</c:formatCode>
                <c:ptCount val="2"/>
                <c:pt idx="0">
                  <c:v>5.9526152407000418E-2</c:v>
                </c:pt>
                <c:pt idx="1">
                  <c:v>8.8376609376586229E-2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3635-41B0-98ED-B94D9F2ADF24}"/>
            </c:ext>
          </c:extLst>
        </c:ser>
        <c:ser>
          <c:idx val="3"/>
          <c:order val="3"/>
          <c:tx>
            <c:strRef>
              <c:f>Grafy_GOV!$A$142</c:f>
              <c:strCache>
                <c:ptCount val="1"/>
                <c:pt idx="0">
                  <c:v> Zdravotnická
 zařízení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Grafy_GOV!$B$138:$M$138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Grafy_GOV!$B$142:$M$142</c:f>
              <c:numCache>
                <c:formatCode>0%</c:formatCode>
                <c:ptCount val="2"/>
                <c:pt idx="0">
                  <c:v>5.1282683669503067E-2</c:v>
                </c:pt>
                <c:pt idx="1">
                  <c:v>5.7257821699053656E-2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3635-41B0-98ED-B94D9F2ADF24}"/>
            </c:ext>
          </c:extLst>
        </c:ser>
        <c:ser>
          <c:idx val="4"/>
          <c:order val="4"/>
          <c:tx>
            <c:strRef>
              <c:f>Grafy_GOV!$A$143</c:f>
              <c:strCache>
                <c:ptCount val="1"/>
                <c:pt idx="0">
                  <c:v> ostatní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numRef>
              <c:f>Grafy_GOV!$B$138:$M$138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Grafy_GOV!$B$143:$M$143</c:f>
              <c:numCache>
                <c:formatCode>0%</c:formatCode>
                <c:ptCount val="2"/>
                <c:pt idx="0">
                  <c:v>9.8021813708384017E-2</c:v>
                </c:pt>
                <c:pt idx="1">
                  <c:v>5.859489829305195E-2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3635-41B0-98ED-B94D9F2AD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6894494949494945"/>
          <c:y val="5.4953571428571428E-2"/>
          <c:w val="0.37950303030303029"/>
          <c:h val="0.83073253968253957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099747474747474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Grafy_GOV!$A$148</c:f>
              <c:strCache>
                <c:ptCount val="1"/>
                <c:pt idx="0">
                  <c:v> Praha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Grafy_GOV!$B$147:$M$147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Grafy_GOV!$B$148:$M$148</c:f>
              <c:numCache>
                <c:formatCode>0%</c:formatCode>
                <c:ptCount val="2"/>
                <c:pt idx="0">
                  <c:v>0.70816308053400423</c:v>
                </c:pt>
                <c:pt idx="1">
                  <c:v>0.6341941192235514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6EA-4BB8-BF33-9228397C476C}"/>
            </c:ext>
          </c:extLst>
        </c:ser>
        <c:ser>
          <c:idx val="1"/>
          <c:order val="1"/>
          <c:tx>
            <c:strRef>
              <c:f>Grafy_GOV!$A$149</c:f>
              <c:strCache>
                <c:ptCount val="1"/>
                <c:pt idx="0">
                  <c:v> Středočeský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Grafy_GOV!$B$147:$M$147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Grafy_GOV!$B$149:$M$149</c:f>
              <c:numCache>
                <c:formatCode>0%</c:formatCode>
                <c:ptCount val="2"/>
                <c:pt idx="0">
                  <c:v>9.2006522611621913E-2</c:v>
                </c:pt>
                <c:pt idx="1">
                  <c:v>0.14199718815872783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26EA-4BB8-BF33-9228397C476C}"/>
            </c:ext>
          </c:extLst>
        </c:ser>
        <c:ser>
          <c:idx val="2"/>
          <c:order val="2"/>
          <c:tx>
            <c:strRef>
              <c:f>Grafy_GOV!$A$150</c:f>
              <c:strCache>
                <c:ptCount val="1"/>
                <c:pt idx="0">
                  <c:v> Jihomoravský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Grafy_GOV!$B$147:$M$147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Grafy_GOV!$B$150:$M$150</c:f>
              <c:numCache>
                <c:formatCode>0%</c:formatCode>
                <c:ptCount val="2"/>
                <c:pt idx="0">
                  <c:v>0.1159210921490542</c:v>
                </c:pt>
                <c:pt idx="1">
                  <c:v>0.13124879527252908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26EA-4BB8-BF33-9228397C476C}"/>
            </c:ext>
          </c:extLst>
        </c:ser>
        <c:ser>
          <c:idx val="3"/>
          <c:order val="3"/>
          <c:tx>
            <c:strRef>
              <c:f>Grafy_GOV!$A$151</c:f>
              <c:strCache>
                <c:ptCount val="1"/>
                <c:pt idx="0">
                  <c:v> Jihočeský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Grafy_GOV!$B$147:$M$147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Grafy_GOV!$B$151:$M$151</c:f>
              <c:numCache>
                <c:formatCode>0%</c:formatCode>
                <c:ptCount val="2"/>
                <c:pt idx="0">
                  <c:v>4.0700892053397192E-2</c:v>
                </c:pt>
                <c:pt idx="1">
                  <c:v>5.2217600199145835E-2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26EA-4BB8-BF33-9228397C476C}"/>
            </c:ext>
          </c:extLst>
        </c:ser>
        <c:ser>
          <c:idx val="4"/>
          <c:order val="4"/>
          <c:tx>
            <c:strRef>
              <c:f>Grafy_GOV!$A$152</c:f>
              <c:strCache>
                <c:ptCount val="1"/>
                <c:pt idx="0">
                  <c:v> ostatní kraje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numRef>
              <c:f>Grafy_GOV!$B$147:$M$147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Grafy_GOV!$B$152:$M$152</c:f>
              <c:numCache>
                <c:formatCode>0%</c:formatCode>
                <c:ptCount val="2"/>
                <c:pt idx="0">
                  <c:v>4.3208412651922434E-2</c:v>
                </c:pt>
                <c:pt idx="1">
                  <c:v>4.0342297146045869E-2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26EA-4BB8-BF33-9228397C4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6894494949494945"/>
          <c:y val="5.4953571428571428E-2"/>
          <c:w val="0.37950303030303029"/>
          <c:h val="0.83073253968253957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539743589743586E-2"/>
          <c:y val="7.7059553544779044E-2"/>
          <c:w val="0.92145198412698415"/>
          <c:h val="0.71668487654320989"/>
        </c:manualLayout>
      </c:layout>
      <c:doughnutChart>
        <c:varyColors val="1"/>
        <c:ser>
          <c:idx val="0"/>
          <c:order val="0"/>
          <c:tx>
            <c:strRef>
              <c:f>Grafy_GOV!$M$200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effectLst/>
          </c:spPr>
          <c:dPt>
            <c:idx val="1"/>
            <c:bubble3D val="0"/>
            <c:spPr>
              <a:solidFill>
                <a:srgbClr val="C00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1-4C5A-420A-BF8A-08348FFB85E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2-4C5A-420A-BF8A-08348FFB85E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BB71595-9CF0-42DA-97A0-6E25EDF0A6FA}" type="VALUE">
                      <a:rPr lang="en-US"/>
                      <a:pPr/>
                      <a:t>[HODNOTA]</a:t>
                    </a:fld>
                    <a:r>
                      <a:rPr lang="en-US" baseline="0"/>
                      <a:t> </a:t>
                    </a:r>
                    <a:fld id="{F9EB58FA-A584-41A3-82FE-33EE0A351B86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C5A-420A-BF8A-08348FFB85E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2E35BBB-5412-4F0B-A035-19B319653E01}" type="VALUE">
                      <a:rPr lang="en-US"/>
                      <a:pPr/>
                      <a:t>[HODNOTA]</a:t>
                    </a:fld>
                    <a:r>
                      <a:rPr lang="en-US" baseline="0"/>
                      <a:t> </a:t>
                    </a:r>
                    <a:fld id="{FD3721C9-E9D2-438B-823C-DE5771C8A648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C5A-420A-BF8A-08348FFB85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Grafy_GOV!$A$201:$A$202</c:f>
              <c:strCache>
                <c:ptCount val="2"/>
                <c:pt idx="0">
                  <c:v> muži</c:v>
                </c:pt>
                <c:pt idx="1">
                  <c:v> ženy</c:v>
                </c:pt>
              </c:strCache>
            </c:strRef>
          </c:cat>
          <c:val>
            <c:numRef>
              <c:f>Grafy_GOV!$M$201:$M$202</c:f>
              <c:numCache>
                <c:formatCode>#,##0</c:formatCode>
                <c:ptCount val="2"/>
                <c:pt idx="0">
                  <c:v>7500.3684999999969</c:v>
                </c:pt>
                <c:pt idx="1">
                  <c:v>6945.3260000000009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5A-420A-BF8A-08348FFB8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</c:spPr>
    </c:plotArea>
    <c:legend>
      <c:legendPos val="b"/>
      <c:layout>
        <c:manualLayout>
          <c:xMode val="edge"/>
          <c:yMode val="edge"/>
          <c:x val="0.11467613081211564"/>
          <c:y val="0.8326005683261366"/>
          <c:w val="0.76031388888888884"/>
          <c:h val="0.11987464065224562"/>
        </c:manualLayout>
      </c:layout>
      <c:overlay val="0"/>
      <c:spPr>
        <a:ln w="6350">
          <a:solidFill>
            <a:schemeClr val="bg1">
              <a:lumMod val="85000"/>
            </a:schemeClr>
          </a:solidFill>
        </a:ln>
      </c:spPr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539743589743586E-2"/>
          <c:y val="7.7059553544779044E-2"/>
          <c:w val="0.92145198412698415"/>
          <c:h val="0.71668487654320989"/>
        </c:manualLayout>
      </c:layout>
      <c:doughnutChart>
        <c:varyColors val="1"/>
        <c:ser>
          <c:idx val="0"/>
          <c:order val="0"/>
          <c:tx>
            <c:strRef>
              <c:f>Grafy_GOV!$M$206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effectLst/>
          </c:spPr>
          <c:dPt>
            <c:idx val="0"/>
            <c:bubble3D val="0"/>
            <c:spPr>
              <a:solidFill>
                <a:srgbClr val="0070C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1-0C3D-46C7-93B1-C21F3E41BA65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3-0C3D-46C7-93B1-C21F3E41BA65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0C3D-46C7-93B1-C21F3E41BA6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01A3A612-3F57-425A-8C76-ADEE9EC2B8BE}" type="VALUE">
                      <a:rPr lang="en-US"/>
                      <a:pPr/>
                      <a:t>[HODNOTA]</a:t>
                    </a:fld>
                    <a:r>
                      <a:rPr lang="en-US" baseline="0"/>
                      <a:t> </a:t>
                    </a:r>
                    <a:fld id="{6F7A7F45-5244-41F9-BAF8-C80B623611A4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3D-46C7-93B1-C21F3E41BA6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0F4144B-D783-4759-9CC2-CC41CB5C692E}" type="VALUE">
                      <a:rPr lang="en-US"/>
                      <a:pPr/>
                      <a:t>[HODNOTA]</a:t>
                    </a:fld>
                    <a:r>
                      <a:rPr lang="en-US" baseline="0"/>
                      <a:t> </a:t>
                    </a:r>
                    <a:fld id="{D5D59ABC-3290-422F-BE60-98D6A643D170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3D-46C7-93B1-C21F3E41BA65}"/>
                </c:ext>
              </c:extLst>
            </c:dLbl>
            <c:dLbl>
              <c:idx val="2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fld id="{E2A11582-B28E-4843-B653-366D942C422D}" type="VALU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[HODNOTA]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D0EE2774-32F4-404F-9B5A-31ABD0C22802}" type="PERCENTAG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[PROCENTO]</a:t>
                    </a:fld>
                    <a:endParaRPr 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3D-46C7-93B1-C21F3E41BA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Grafy_GOV!$A$207:$A$209</c:f>
              <c:strCache>
                <c:ptCount val="3"/>
                <c:pt idx="0">
                  <c:v> výzkumní </c:v>
                </c:pt>
                <c:pt idx="1">
                  <c:v> techničtí </c:v>
                </c:pt>
                <c:pt idx="2">
                  <c:v> ostatní</c:v>
                </c:pt>
              </c:strCache>
            </c:strRef>
          </c:cat>
          <c:val>
            <c:numRef>
              <c:f>Grafy_GOV!$M$207:$M$209</c:f>
              <c:numCache>
                <c:formatCode>#,##0</c:formatCode>
                <c:ptCount val="3"/>
                <c:pt idx="0">
                  <c:v>8326.4519999999993</c:v>
                </c:pt>
                <c:pt idx="1">
                  <c:v>3640.2114999999994</c:v>
                </c:pt>
                <c:pt idx="2">
                  <c:v>2479.0309999999995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3D-46C7-93B1-C21F3E41BA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</c:spPr>
    </c:plotArea>
    <c:legend>
      <c:legendPos val="b"/>
      <c:layout>
        <c:manualLayout>
          <c:xMode val="edge"/>
          <c:yMode val="edge"/>
          <c:x val="3.7065000000000001E-2"/>
          <c:y val="0.82717307692307696"/>
          <c:w val="0.92765722222222224"/>
          <c:h val="0.11987464065224562"/>
        </c:manualLayout>
      </c:layout>
      <c:overlay val="0"/>
      <c:spPr>
        <a:ln w="6350">
          <a:solidFill>
            <a:schemeClr val="bg1">
              <a:lumMod val="85000"/>
            </a:schemeClr>
          </a:solidFill>
        </a:ln>
      </c:spPr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539743589743586E-2"/>
          <c:y val="7.7059553544779044E-2"/>
          <c:w val="0.92145198412698415"/>
          <c:h val="0.71668487654320989"/>
        </c:manualLayout>
      </c:layout>
      <c:doughnutChart>
        <c:varyColors val="1"/>
        <c:ser>
          <c:idx val="0"/>
          <c:order val="0"/>
          <c:tx>
            <c:strRef>
              <c:f>Grafy_GOV!$M$213</c:f>
              <c:strCache>
                <c:ptCount val="1"/>
                <c:pt idx="0">
                  <c:v>2021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70C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1-DA23-43E5-802E-9C7700C60609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3-DA23-43E5-802E-9C7700C60609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5-DA23-43E5-802E-9C7700C60609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7-DA23-43E5-802E-9C7700C60609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9-DA23-43E5-802E-9C7700C60609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B-DA23-43E5-802E-9C7700C60609}"/>
              </c:ext>
            </c:extLst>
          </c:dPt>
          <c:dLbls>
            <c:dLbl>
              <c:idx val="0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fld id="{E3E20C25-A8AD-4DF9-9AA2-A9B6CCCF3099}" type="VALUE">
                      <a:rPr lang="en-US" b="1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[HODNOTA]</a:t>
                    </a:fld>
                    <a:r>
                      <a:rPr lang="en-US" b="1" baseline="0">
                        <a:solidFill>
                          <a:schemeClr val="bg1"/>
                        </a:solidFill>
                      </a:rPr>
                      <a:t> </a:t>
                    </a:r>
                    <a:fld id="{08F0C9AF-E02B-4F2D-B3A5-87620B7EC8F6}" type="PERCENTAGE">
                      <a:rPr lang="en-US" b="1" baseline="0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[PROCENTO]</a:t>
                    </a:fld>
                    <a:endParaRPr lang="en-US" b="1" baseline="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A23-43E5-802E-9C7700C60609}"/>
                </c:ext>
              </c:extLst>
            </c:dLbl>
            <c:dLbl>
              <c:idx val="1"/>
              <c:layout>
                <c:manualLayout>
                  <c:x val="-1.0854816824966078E-2"/>
                  <c:y val="3.528374007644810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fld id="{89C8888F-82BB-4AAA-86AA-61F1DBD19439}" type="VALUE">
                      <a:rPr lang="en-US" b="1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[HODNOTA]</a:t>
                    </a:fld>
                    <a:r>
                      <a:rPr lang="en-US" b="1" baseline="0">
                        <a:solidFill>
                          <a:schemeClr val="bg1"/>
                        </a:solidFill>
                      </a:rPr>
                      <a:t> </a:t>
                    </a:r>
                    <a:fld id="{2CF39E3A-C480-46CA-BAA2-1082F12E8B54}" type="PERCENTAGE">
                      <a:rPr lang="en-US" b="1" baseline="0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[PROCENTO]</a:t>
                    </a:fld>
                    <a:endParaRPr lang="en-US" b="1" baseline="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1473541383989146"/>
                      <c:h val="0.1540431600710305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A23-43E5-802E-9C7700C60609}"/>
                </c:ext>
              </c:extLst>
            </c:dLbl>
            <c:dLbl>
              <c:idx val="2"/>
              <c:layout>
                <c:manualLayout>
                  <c:x val="-1.0854816824966078E-2"/>
                  <c:y val="1.5665796344647518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fld id="{2BCF179E-4439-424A-90C0-1391B12BDB03}" type="VALUE">
                      <a:rPr lang="en-US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[HODNOTA]</a:t>
                    </a:fld>
                    <a:r>
                      <a:rPr lang="en-US" b="1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D1B397DD-B0B0-4C12-89B2-E23AB6E06AE7}" type="PERCENTAGE">
                      <a:rPr lang="en-US" b="1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[PROCENTO]</a:t>
                    </a:fld>
                    <a:endParaRPr lang="en-US" b="1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A23-43E5-802E-9C7700C60609}"/>
                </c:ext>
              </c:extLst>
            </c:dLbl>
            <c:dLbl>
              <c:idx val="3"/>
              <c:layout>
                <c:manualLayout>
                  <c:x val="-2.1709401709401735E-2"/>
                  <c:y val="0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fld id="{1919C197-3326-488F-BA57-9706EAB4EF3C}" type="VALUE">
                      <a:rPr lang="en-US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[HODNOTA]</a:t>
                    </a:fld>
                    <a:r>
                      <a:rPr lang="en-US" b="1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54BB9B45-401D-40FA-992A-65C7BE4D9CE8}" type="PERCENTAGE">
                      <a:rPr lang="en-US" b="1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[PROCENTO]</a:t>
                    </a:fld>
                    <a:endParaRPr lang="en-US" b="1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80170940170941"/>
                      <c:h val="0.1421696581196581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A23-43E5-802E-9C7700C60609}"/>
                </c:ext>
              </c:extLst>
            </c:dLbl>
            <c:dLbl>
              <c:idx val="4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fld id="{CE630AB1-3D17-4709-BAAE-DF5752693862}" type="VALUE">
                      <a:rPr lang="en-US" b="1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[HODNOTA]</a:t>
                    </a:fld>
                    <a:r>
                      <a:rPr lang="en-US" b="1" baseline="0">
                        <a:solidFill>
                          <a:schemeClr val="bg1"/>
                        </a:solidFill>
                      </a:rPr>
                      <a:t> </a:t>
                    </a:r>
                    <a:fld id="{0E0F1F3F-8389-4E2E-93C7-D820D69E108F}" type="PERCENTAGE">
                      <a:rPr lang="en-US" b="1" baseline="0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[PROCENTO]</a:t>
                    </a:fld>
                    <a:endParaRPr lang="en-US" b="1" baseline="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A23-43E5-802E-9C7700C60609}"/>
                </c:ext>
              </c:extLst>
            </c:dLbl>
            <c:dLbl>
              <c:idx val="5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fld id="{663B4F5A-9FC3-43A0-A8FF-EB286E1D257A}" type="VALUE">
                      <a:rPr lang="en-US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[HODNOTA]</a:t>
                    </a:fld>
                    <a:r>
                      <a:rPr lang="en-US" b="1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0409D470-47DF-403D-87D8-56E51B21E809}" type="PERCENTAGE">
                      <a:rPr lang="en-US" b="1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[PROCENTO]</a:t>
                    </a:fld>
                    <a:endParaRPr lang="en-US" b="1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3644504748982358"/>
                      <c:h val="0.1305206666867317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DA23-43E5-802E-9C7700C606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Grafy_GOV!$A$214:$A$219</c:f>
              <c:strCache>
                <c:ptCount val="6"/>
                <c:pt idx="0">
                  <c:v> Přírodní</c:v>
                </c:pt>
                <c:pt idx="1">
                  <c:v> Lékařské</c:v>
                </c:pt>
                <c:pt idx="2">
                  <c:v> Zemědělské</c:v>
                </c:pt>
                <c:pt idx="3">
                  <c:v> Technické</c:v>
                </c:pt>
                <c:pt idx="4">
                  <c:v> Humanitní </c:v>
                </c:pt>
                <c:pt idx="5">
                  <c:v> Sociální </c:v>
                </c:pt>
              </c:strCache>
            </c:strRef>
          </c:cat>
          <c:val>
            <c:numRef>
              <c:f>Grafy_GOV!$M$214:$M$219</c:f>
              <c:numCache>
                <c:formatCode>#,##0</c:formatCode>
                <c:ptCount val="6"/>
                <c:pt idx="0">
                  <c:v>8917.3469999999979</c:v>
                </c:pt>
                <c:pt idx="1">
                  <c:v>986.99099999999999</c:v>
                </c:pt>
                <c:pt idx="2">
                  <c:v>1161.8510000000001</c:v>
                </c:pt>
                <c:pt idx="3">
                  <c:v>419.14749999999998</c:v>
                </c:pt>
                <c:pt idx="4">
                  <c:v>2361.8650000000002</c:v>
                </c:pt>
                <c:pt idx="5">
                  <c:v>598.49300000000005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A23-43E5-802E-9C7700C606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</c:spPr>
    </c:plotArea>
    <c:legend>
      <c:legendPos val="b"/>
      <c:layout>
        <c:manualLayout>
          <c:xMode val="edge"/>
          <c:yMode val="edge"/>
          <c:x val="3.7065000000000001E-2"/>
          <c:y val="0.81631837606837609"/>
          <c:w val="0.92765722222222224"/>
          <c:h val="0.13072948717948718"/>
        </c:manualLayout>
      </c:layout>
      <c:overlay val="0"/>
      <c:spPr>
        <a:ln w="6350">
          <a:solidFill>
            <a:schemeClr val="bg1">
              <a:lumMod val="85000"/>
            </a:schemeClr>
          </a:solidFill>
        </a:ln>
      </c:spPr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28681124831378E-2"/>
          <c:y val="5.8892428964571267E-2"/>
          <c:w val="0.95434263775033723"/>
          <c:h val="0.62109543280937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Grafy_HES!$A$4</c:f>
              <c:strCache>
                <c:ptCount val="1"/>
                <c:pt idx="0">
                  <c:v> Výdaje na VaV (HERD) - mld. Kč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Grafy_HES!$C$3:$M$3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Grafy_HES!$C$4:$M$4</c:f>
              <c:numCache>
                <c:formatCode>0.0</c:formatCode>
                <c:ptCount val="11"/>
                <c:pt idx="0">
                  <c:v>15.288401</c:v>
                </c:pt>
                <c:pt idx="1">
                  <c:v>19.878533000000015</c:v>
                </c:pt>
                <c:pt idx="2">
                  <c:v>21.197760999999993</c:v>
                </c:pt>
                <c:pt idx="3">
                  <c:v>21.627737000000003</c:v>
                </c:pt>
                <c:pt idx="4">
                  <c:v>22.082697000000014</c:v>
                </c:pt>
                <c:pt idx="5">
                  <c:v>16.382228999999995</c:v>
                </c:pt>
                <c:pt idx="6">
                  <c:v>17.74125200000001</c:v>
                </c:pt>
                <c:pt idx="7">
                  <c:v>22.07265884095089</c:v>
                </c:pt>
                <c:pt idx="8">
                  <c:v>24.326299999999996</c:v>
                </c:pt>
                <c:pt idx="9">
                  <c:v>24.502345999999974</c:v>
                </c:pt>
                <c:pt idx="10">
                  <c:v>24.747975073566501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D8-4CBA-97A0-793553AFDBC0}"/>
            </c:ext>
          </c:extLst>
        </c:ser>
        <c:ser>
          <c:idx val="1"/>
          <c:order val="1"/>
          <c:tx>
            <c:strRef>
              <c:f>Grafy_HES!$A$5</c:f>
              <c:strCache>
                <c:ptCount val="1"/>
                <c:pt idx="0">
                  <c:v> Pracovníci ve VaV - tis. přepočtených osob (FTE)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Grafy_HES!$C$3:$M$3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Grafy_HES!$C$5:$M$5</c:f>
              <c:numCache>
                <c:formatCode>0.0</c:formatCode>
                <c:ptCount val="11"/>
                <c:pt idx="0">
                  <c:v>14.723644499999994</c:v>
                </c:pt>
                <c:pt idx="1">
                  <c:v>16.4412445</c:v>
                </c:pt>
                <c:pt idx="2">
                  <c:v>16.240071</c:v>
                </c:pt>
                <c:pt idx="3">
                  <c:v>16.525383500000011</c:v>
                </c:pt>
                <c:pt idx="4">
                  <c:v>16.86785600000001</c:v>
                </c:pt>
                <c:pt idx="5">
                  <c:v>15.200775499999999</c:v>
                </c:pt>
                <c:pt idx="6">
                  <c:v>15.802936500000005</c:v>
                </c:pt>
                <c:pt idx="7">
                  <c:v>18.225543236944272</c:v>
                </c:pt>
                <c:pt idx="8">
                  <c:v>19.646888000000004</c:v>
                </c:pt>
                <c:pt idx="9">
                  <c:v>20.00707950000001</c:v>
                </c:pt>
                <c:pt idx="10">
                  <c:v>20.9108365768104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D8-4CBA-97A0-793553AFDB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-10"/>
        <c:axId val="1426075151"/>
        <c:axId val="1426075567"/>
      </c:barChart>
      <c:lineChart>
        <c:grouping val="standard"/>
        <c:varyColors val="0"/>
        <c:ser>
          <c:idx val="2"/>
          <c:order val="2"/>
          <c:tx>
            <c:strRef>
              <c:f>Grafy_HES!$A$6</c:f>
              <c:strCache>
                <c:ptCount val="1"/>
                <c:pt idx="0">
                  <c:v> Podíl výdajů na VaV na HDP (Intenzita VaV)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Grafy_HES!$C$3:$M$3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Grafy_HES!$C$6:$M$6</c:f>
              <c:numCache>
                <c:formatCode>0.00%</c:formatCode>
                <c:ptCount val="11"/>
                <c:pt idx="0">
                  <c:v>3.7634626788662548E-3</c:v>
                </c:pt>
                <c:pt idx="1">
                  <c:v>4.8615702661245867E-3</c:v>
                </c:pt>
                <c:pt idx="2">
                  <c:v>5.116757921131327E-3</c:v>
                </c:pt>
                <c:pt idx="3">
                  <c:v>4.9767375878038544E-3</c:v>
                </c:pt>
                <c:pt idx="4">
                  <c:v>4.7742469912729311E-3</c:v>
                </c:pt>
                <c:pt idx="5">
                  <c:v>3.4151892284828055E-3</c:v>
                </c:pt>
                <c:pt idx="6">
                  <c:v>3.4713645354501306E-3</c:v>
                </c:pt>
                <c:pt idx="7">
                  <c:v>4.0794000771704544E-3</c:v>
                </c:pt>
                <c:pt idx="8">
                  <c:v>4.2003467841998741E-3</c:v>
                </c:pt>
                <c:pt idx="9">
                  <c:v>4.2917820593011431E-3</c:v>
                </c:pt>
                <c:pt idx="10">
                  <c:v>4.0514474548224945E-3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FD8-4CBA-97A0-793553AFDB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133519"/>
        <c:axId val="1426076399"/>
        <c:extLst/>
      </c:lineChart>
      <c:catAx>
        <c:axId val="1426075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26075567"/>
        <c:crosses val="autoZero"/>
        <c:auto val="1"/>
        <c:lblAlgn val="ctr"/>
        <c:lblOffset val="100"/>
        <c:noMultiLvlLbl val="0"/>
      </c:catAx>
      <c:valAx>
        <c:axId val="1426075567"/>
        <c:scaling>
          <c:orientation val="minMax"/>
          <c:max val="34"/>
        </c:scaling>
        <c:delete val="0"/>
        <c:axPos val="l"/>
        <c:numFmt formatCode="0.0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26075151"/>
        <c:crosses val="autoZero"/>
        <c:crossBetween val="between"/>
        <c:majorUnit val="2"/>
        <c:minorUnit val="1"/>
      </c:valAx>
      <c:valAx>
        <c:axId val="1426076399"/>
        <c:scaling>
          <c:orientation val="minMax"/>
          <c:max val="5.5000000000000014E-3"/>
        </c:scaling>
        <c:delete val="0"/>
        <c:axPos val="r"/>
        <c:numFmt formatCode="0.00%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953133519"/>
        <c:crosses val="max"/>
        <c:crossBetween val="between"/>
        <c:majorUnit val="1.0000000000000003E-4"/>
      </c:valAx>
      <c:catAx>
        <c:axId val="95313351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607639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349157079138069"/>
          <c:y val="0.7680983058935813"/>
          <c:w val="0.83055775027187684"/>
          <c:h val="0.19949435025478601"/>
        </c:manualLayout>
      </c:layout>
      <c:overlay val="0"/>
      <c:spPr>
        <a:noFill/>
        <a:ln>
          <a:solidFill>
            <a:schemeClr val="bg1">
              <a:lumMod val="7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6770222222222233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Grafy_HES!$A$31</c:f>
              <c:strCache>
                <c:ptCount val="1"/>
                <c:pt idx="0">
                  <c:v> mzdové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Grafy_HES!$B$30:$M$30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Grafy_HES!$B$31:$M$31</c:f>
              <c:numCache>
                <c:formatCode>0%</c:formatCode>
                <c:ptCount val="2"/>
                <c:pt idx="0">
                  <c:v>0.39226338974232822</c:v>
                </c:pt>
                <c:pt idx="1">
                  <c:v>0.55153945312613917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774-4555-AA55-6A14E55683A9}"/>
            </c:ext>
          </c:extLst>
        </c:ser>
        <c:ser>
          <c:idx val="1"/>
          <c:order val="1"/>
          <c:tx>
            <c:strRef>
              <c:f>Grafy_HES!$A$32</c:f>
              <c:strCache>
                <c:ptCount val="1"/>
                <c:pt idx="0">
                  <c:v> ostatní běžné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Grafy_HES!$B$30:$M$30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Grafy_HES!$B$32:$M$32</c:f>
              <c:numCache>
                <c:formatCode>0%</c:formatCode>
                <c:ptCount val="2"/>
                <c:pt idx="0">
                  <c:v>0.36074119196638016</c:v>
                </c:pt>
                <c:pt idx="1">
                  <c:v>0.37442139843633399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2774-4555-AA55-6A14E55683A9}"/>
            </c:ext>
          </c:extLst>
        </c:ser>
        <c:ser>
          <c:idx val="2"/>
          <c:order val="2"/>
          <c:tx>
            <c:strRef>
              <c:f>Grafy_HES!$A$33</c:f>
              <c:strCache>
                <c:ptCount val="1"/>
                <c:pt idx="0">
                  <c:v> investiční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Grafy_HES!$B$30:$M$30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Grafy_HES!$B$33:$M$33</c:f>
              <c:numCache>
                <c:formatCode>0%</c:formatCode>
                <c:ptCount val="2"/>
                <c:pt idx="0">
                  <c:v>0.24699541829129157</c:v>
                </c:pt>
                <c:pt idx="1">
                  <c:v>7.4039148437526778E-2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2774-4555-AA55-6A14E5568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2603055555555553"/>
          <c:y val="7.5112110986126732E-2"/>
          <c:w val="0.34785388888888891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6770222222222233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Grafy_HES!$A$38</c:f>
              <c:strCache>
                <c:ptCount val="1"/>
                <c:pt idx="0">
                  <c:v> veřejné domácí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Grafy_HES!$B$37:$M$37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Grafy_HES!$B$38:$M$38</c:f>
              <c:numCache>
                <c:formatCode>0%</c:formatCode>
                <c:ptCount val="2"/>
                <c:pt idx="0">
                  <c:v>0.71602216608525626</c:v>
                </c:pt>
                <c:pt idx="1">
                  <c:v>0.7602026136033746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BA8-4716-87C5-44CFBA9AF915}"/>
            </c:ext>
          </c:extLst>
        </c:ser>
        <c:ser>
          <c:idx val="1"/>
          <c:order val="1"/>
          <c:tx>
            <c:strRef>
              <c:f>Grafy_HES!$A$39</c:f>
              <c:strCache>
                <c:ptCount val="1"/>
                <c:pt idx="0">
                  <c:v> veřejné zahraniční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Grafy_HES!$B$37:$M$37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Grafy_HES!$B$39:$M$39</c:f>
              <c:numCache>
                <c:formatCode>0%</c:formatCode>
                <c:ptCount val="2"/>
                <c:pt idx="0">
                  <c:v>0.23785914563596286</c:v>
                </c:pt>
                <c:pt idx="1">
                  <c:v>0.15195845271465458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BA8-4716-87C5-44CFBA9AF915}"/>
            </c:ext>
          </c:extLst>
        </c:ser>
        <c:ser>
          <c:idx val="2"/>
          <c:order val="2"/>
          <c:tx>
            <c:strRef>
              <c:f>Grafy_HES!$A$40</c:f>
              <c:strCache>
                <c:ptCount val="1"/>
                <c:pt idx="0">
                  <c:v> podnikové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A8-4716-87C5-44CFBA9AF9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Grafy_HES!$B$37:$M$37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Grafy_HES!$B$40:$M$40</c:f>
              <c:numCache>
                <c:formatCode>0%</c:formatCode>
                <c:ptCount val="2"/>
                <c:pt idx="0">
                  <c:v>1.0497500686958698E-2</c:v>
                </c:pt>
                <c:pt idx="1">
                  <c:v>4.3242091122109319E-2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9BA8-4716-87C5-44CFBA9AF915}"/>
            </c:ext>
          </c:extLst>
        </c:ser>
        <c:ser>
          <c:idx val="3"/>
          <c:order val="3"/>
          <c:tx>
            <c:strRef>
              <c:f>Grafy_HES!$A$41</c:f>
              <c:strCache>
                <c:ptCount val="1"/>
                <c:pt idx="0">
                  <c:v> ostatní</c:v>
                </c:pt>
              </c:strCache>
            </c:strRef>
          </c:tx>
          <c:invertIfNegative val="0"/>
          <c:cat>
            <c:numRef>
              <c:f>Grafy_HES!$B$37:$M$37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Grafy_HES!$B$41:$M$41</c:f>
              <c:numCache>
                <c:formatCode>0%</c:formatCode>
                <c:ptCount val="2"/>
                <c:pt idx="0">
                  <c:v>3.5621187591822076E-2</c:v>
                </c:pt>
                <c:pt idx="1">
                  <c:v>4.4596842559861981E-2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9BA8-4716-87C5-44CFBA9AF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2603055555555553"/>
          <c:y val="7.5112110986126732E-2"/>
          <c:w val="0.35256363636363636"/>
          <c:h val="0.79863608353303672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38805244550409E-2"/>
          <c:y val="4.750165077502938E-2"/>
          <c:w val="0.67580631313131312"/>
          <c:h val="0.83821788538836173"/>
        </c:manualLayout>
      </c:layout>
      <c:lineChart>
        <c:grouping val="standard"/>
        <c:varyColors val="0"/>
        <c:ser>
          <c:idx val="0"/>
          <c:order val="0"/>
          <c:tx>
            <c:strRef>
              <c:f>Grafy_HES!$A$61</c:f>
              <c:strCache>
                <c:ptCount val="1"/>
                <c:pt idx="0">
                  <c:v> Přírodní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Grafy_HES!$C$60:$M$60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Grafy_HES!$C$61:$M$61</c:f>
              <c:numCache>
                <c:formatCode>0.0</c:formatCode>
                <c:ptCount val="11"/>
                <c:pt idx="0">
                  <c:v>3.8593770000000003</c:v>
                </c:pt>
                <c:pt idx="1">
                  <c:v>4.5071319999999986</c:v>
                </c:pt>
                <c:pt idx="2">
                  <c:v>5.1891810000000005</c:v>
                </c:pt>
                <c:pt idx="3">
                  <c:v>5.5162070000000005</c:v>
                </c:pt>
                <c:pt idx="4">
                  <c:v>5.4452349999999985</c:v>
                </c:pt>
                <c:pt idx="5">
                  <c:v>5.2530610000000006</c:v>
                </c:pt>
                <c:pt idx="6">
                  <c:v>5.6853810000000005</c:v>
                </c:pt>
                <c:pt idx="7">
                  <c:v>6.5599169999999987</c:v>
                </c:pt>
                <c:pt idx="8">
                  <c:v>7.7445809999999993</c:v>
                </c:pt>
                <c:pt idx="9">
                  <c:v>7.6791800000000006</c:v>
                </c:pt>
                <c:pt idx="10">
                  <c:v>8.8571489999999997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4E-44B0-83FA-D280A2115153}"/>
            </c:ext>
          </c:extLst>
        </c:ser>
        <c:ser>
          <c:idx val="1"/>
          <c:order val="1"/>
          <c:tx>
            <c:strRef>
              <c:f>Grafy_HES!$A$62</c:f>
              <c:strCache>
                <c:ptCount val="1"/>
                <c:pt idx="0">
                  <c:v> Technické 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ymbol val="star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Grafy_HES!$C$60:$M$60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Grafy_HES!$C$62:$M$62</c:f>
              <c:numCache>
                <c:formatCode>0.0</c:formatCode>
                <c:ptCount val="11"/>
                <c:pt idx="0">
                  <c:v>3.3598919999999994</c:v>
                </c:pt>
                <c:pt idx="1">
                  <c:v>3.6882040000000003</c:v>
                </c:pt>
                <c:pt idx="2">
                  <c:v>4.6867480000000006</c:v>
                </c:pt>
                <c:pt idx="3">
                  <c:v>4.9179769999999987</c:v>
                </c:pt>
                <c:pt idx="4">
                  <c:v>4.9445959999999998</c:v>
                </c:pt>
                <c:pt idx="5">
                  <c:v>5.2883110000000002</c:v>
                </c:pt>
                <c:pt idx="6">
                  <c:v>5.6654170000000006</c:v>
                </c:pt>
                <c:pt idx="7">
                  <c:v>6.7358459999999996</c:v>
                </c:pt>
                <c:pt idx="8">
                  <c:v>7.1619660000000014</c:v>
                </c:pt>
                <c:pt idx="9">
                  <c:v>6.9701529999999963</c:v>
                </c:pt>
                <c:pt idx="10">
                  <c:v>7.115551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4E-44B0-83FA-D280A2115153}"/>
            </c:ext>
          </c:extLst>
        </c:ser>
        <c:ser>
          <c:idx val="2"/>
          <c:order val="2"/>
          <c:tx>
            <c:strRef>
              <c:f>Grafy_HES!$A$63</c:f>
              <c:strCache>
                <c:ptCount val="1"/>
                <c:pt idx="0">
                  <c:v> Sociální a
 Humanitní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Grafy_HES!$C$60:$M$60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Grafy_HES!$C$63:$M$63</c:f>
              <c:numCache>
                <c:formatCode>0.0</c:formatCode>
                <c:ptCount val="11"/>
                <c:pt idx="0">
                  <c:v>1.886339</c:v>
                </c:pt>
                <c:pt idx="1">
                  <c:v>1.9676800000000001</c:v>
                </c:pt>
                <c:pt idx="2">
                  <c:v>2.1871669999999996</c:v>
                </c:pt>
                <c:pt idx="3">
                  <c:v>2.4910280000000005</c:v>
                </c:pt>
                <c:pt idx="4">
                  <c:v>2.5049200000000003</c:v>
                </c:pt>
                <c:pt idx="5">
                  <c:v>2.3573140000000006</c:v>
                </c:pt>
                <c:pt idx="6">
                  <c:v>2.584015</c:v>
                </c:pt>
                <c:pt idx="7">
                  <c:v>3.0610738409508693</c:v>
                </c:pt>
                <c:pt idx="8">
                  <c:v>3.3538939999999999</c:v>
                </c:pt>
                <c:pt idx="9">
                  <c:v>3.3737649999999997</c:v>
                </c:pt>
                <c:pt idx="10">
                  <c:v>3.5457610735664602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74E-44B0-83FA-D280A2115153}"/>
            </c:ext>
          </c:extLst>
        </c:ser>
        <c:ser>
          <c:idx val="3"/>
          <c:order val="3"/>
          <c:tx>
            <c:strRef>
              <c:f>Grafy_HES!$A$64</c:f>
              <c:strCache>
                <c:ptCount val="1"/>
                <c:pt idx="0">
                  <c:v> Lékařské 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Grafy_HES!$C$60:$M$60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Grafy_HES!$C$64:$M$64</c:f>
              <c:numCache>
                <c:formatCode>0.0</c:formatCode>
                <c:ptCount val="11"/>
                <c:pt idx="0">
                  <c:v>1.8136070000000002</c:v>
                </c:pt>
                <c:pt idx="1">
                  <c:v>1.8662439999999996</c:v>
                </c:pt>
                <c:pt idx="2">
                  <c:v>2.3537509999999999</c:v>
                </c:pt>
                <c:pt idx="3">
                  <c:v>2.6018460000000005</c:v>
                </c:pt>
                <c:pt idx="4">
                  <c:v>2.357351</c:v>
                </c:pt>
                <c:pt idx="5">
                  <c:v>2.1857219999999997</c:v>
                </c:pt>
                <c:pt idx="6">
                  <c:v>2.5343230000000001</c:v>
                </c:pt>
                <c:pt idx="7">
                  <c:v>2.7095090000000002</c:v>
                </c:pt>
                <c:pt idx="8">
                  <c:v>2.8510250000000004</c:v>
                </c:pt>
                <c:pt idx="9">
                  <c:v>3.1784119999999993</c:v>
                </c:pt>
                <c:pt idx="10">
                  <c:v>3.544235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74E-44B0-83FA-D280A2115153}"/>
            </c:ext>
          </c:extLst>
        </c:ser>
        <c:ser>
          <c:idx val="4"/>
          <c:order val="4"/>
          <c:tx>
            <c:strRef>
              <c:f>Grafy_HES!$A$65</c:f>
              <c:strCache>
                <c:ptCount val="1"/>
                <c:pt idx="0">
                  <c:v> Zemědělské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dash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Grafy_HES!$C$60:$M$60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Grafy_HES!$C$65:$M$65</c:f>
              <c:numCache>
                <c:formatCode>0.0</c:formatCode>
                <c:ptCount val="11"/>
                <c:pt idx="0">
                  <c:v>0.59302100000000002</c:v>
                </c:pt>
                <c:pt idx="1">
                  <c:v>0.57054700000000003</c:v>
                </c:pt>
                <c:pt idx="2">
                  <c:v>0.56449700000000003</c:v>
                </c:pt>
                <c:pt idx="3">
                  <c:v>0.65127199999999996</c:v>
                </c:pt>
                <c:pt idx="4">
                  <c:v>0.59693300000000005</c:v>
                </c:pt>
                <c:pt idx="5">
                  <c:v>0.64810999999999985</c:v>
                </c:pt>
                <c:pt idx="6">
                  <c:v>0.68585200000000013</c:v>
                </c:pt>
                <c:pt idx="7">
                  <c:v>0.83946699999999996</c:v>
                </c:pt>
                <c:pt idx="8">
                  <c:v>0.94267999999999996</c:v>
                </c:pt>
                <c:pt idx="9">
                  <c:v>1.368212</c:v>
                </c:pt>
                <c:pt idx="10">
                  <c:v>1.685279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74E-44B0-83FA-D280A21151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339200"/>
        <c:axId val="154340736"/>
      </c:lineChart>
      <c:catAx>
        <c:axId val="15433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54340736"/>
        <c:crosses val="autoZero"/>
        <c:auto val="0"/>
        <c:lblAlgn val="ctr"/>
        <c:lblOffset val="100"/>
        <c:tickLblSkip val="2"/>
        <c:noMultiLvlLbl val="0"/>
      </c:catAx>
      <c:valAx>
        <c:axId val="154340736"/>
        <c:scaling>
          <c:orientation val="minMax"/>
          <c:max val="9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b="1"/>
                </a:pPr>
                <a:r>
                  <a:rPr lang="cs-CZ" b="1"/>
                  <a:t>Mld. Kč</a:t>
                </a:r>
              </a:p>
            </c:rich>
          </c:tx>
          <c:layout>
            <c:manualLayout>
              <c:xMode val="edge"/>
              <c:yMode val="edge"/>
              <c:x val="8.017676767676768E-2"/>
              <c:y val="5.8928518518518519E-2"/>
            </c:manualLayout>
          </c:layout>
          <c:overlay val="0"/>
        </c:title>
        <c:numFmt formatCode="0.0" sourceLinked="0"/>
        <c:majorTickMark val="none"/>
        <c:minorTickMark val="none"/>
        <c:tickLblPos val="nextTo"/>
        <c:spPr>
          <a:ln>
            <a:noFill/>
          </a:ln>
        </c:spPr>
        <c:crossAx val="154339200"/>
        <c:crosses val="autoZero"/>
        <c:crossBetween val="between"/>
        <c:majorUnit val="1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499580808080808"/>
          <c:y val="0.12597185185185186"/>
          <c:w val="0.23400656565656566"/>
          <c:h val="0.6702555555555556"/>
        </c:manualLayout>
      </c:layout>
      <c:overlay val="0"/>
      <c:spPr>
        <a:solidFill>
          <a:schemeClr val="bg1"/>
        </a:solidFill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348419213555755E-2"/>
          <c:y val="4.3091614650704491E-2"/>
          <c:w val="0.76557046004428597"/>
          <c:h val="0.83821788538836173"/>
        </c:manualLayout>
      </c:layout>
      <c:lineChart>
        <c:grouping val="standard"/>
        <c:varyColors val="0"/>
        <c:ser>
          <c:idx val="0"/>
          <c:order val="0"/>
          <c:tx>
            <c:strRef>
              <c:f>Grafy_celkem!$A$57</c:f>
              <c:strCache>
                <c:ptCount val="1"/>
                <c:pt idx="0">
                  <c:v> podnikové 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Grafy_celkem!$C$56:$M$56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Grafy_celkem!$C$57:$M$57</c:f>
              <c:numCache>
                <c:formatCode>0.0</c:formatCode>
                <c:ptCount val="11"/>
                <c:pt idx="0">
                  <c:v>29.890071499999966</c:v>
                </c:pt>
                <c:pt idx="1">
                  <c:v>33.464307599999898</c:v>
                </c:pt>
                <c:pt idx="2">
                  <c:v>37.832045329999993</c:v>
                </c:pt>
                <c:pt idx="3">
                  <c:v>43.262481299999948</c:v>
                </c:pt>
                <c:pt idx="4">
                  <c:v>45.60693126999994</c:v>
                </c:pt>
                <c:pt idx="5">
                  <c:v>48.216793418811534</c:v>
                </c:pt>
                <c:pt idx="6">
                  <c:v>53.838753012773843</c:v>
                </c:pt>
                <c:pt idx="7">
                  <c:v>59.946624939610963</c:v>
                </c:pt>
                <c:pt idx="8">
                  <c:v>64.735662536227537</c:v>
                </c:pt>
                <c:pt idx="9">
                  <c:v>66.086176781938121</c:v>
                </c:pt>
                <c:pt idx="10">
                  <c:v>72.833366280904158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12-46AF-BE68-B57B830FDDB2}"/>
            </c:ext>
          </c:extLst>
        </c:ser>
        <c:ser>
          <c:idx val="1"/>
          <c:order val="1"/>
          <c:tx>
            <c:strRef>
              <c:f>Grafy_celkem!$A$58</c:f>
              <c:strCache>
                <c:ptCount val="1"/>
                <c:pt idx="0">
                  <c:v>veřejné 
domácí 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tar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dLbl>
              <c:idx val="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12-46AF-BE68-B57B830FDDB2}"/>
                </c:ext>
              </c:extLst>
            </c:dLbl>
            <c:dLbl>
              <c:idx val="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12-46AF-BE68-B57B830FDD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Grafy_celkem!$C$56:$M$56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Grafy_celkem!$C$58:$M$58</c:f>
              <c:numCache>
                <c:formatCode>0.0</c:formatCode>
                <c:ptCount val="11"/>
                <c:pt idx="0">
                  <c:v>26.179053030000031</c:v>
                </c:pt>
                <c:pt idx="1">
                  <c:v>26.616461850000025</c:v>
                </c:pt>
                <c:pt idx="2">
                  <c:v>27.045283730000069</c:v>
                </c:pt>
                <c:pt idx="3">
                  <c:v>28.03448045000005</c:v>
                </c:pt>
                <c:pt idx="4">
                  <c:v>28.562501869999998</c:v>
                </c:pt>
                <c:pt idx="5">
                  <c:v>28.534980418193335</c:v>
                </c:pt>
                <c:pt idx="6">
                  <c:v>31.232402071476429</c:v>
                </c:pt>
                <c:pt idx="7">
                  <c:v>35.036515198448662</c:v>
                </c:pt>
                <c:pt idx="8">
                  <c:v>37.580898000000005</c:v>
                </c:pt>
                <c:pt idx="9">
                  <c:v>38.568942999999983</c:v>
                </c:pt>
                <c:pt idx="10">
                  <c:v>39.406282332316373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A12-46AF-BE68-B57B830FDDB2}"/>
            </c:ext>
          </c:extLst>
        </c:ser>
        <c:ser>
          <c:idx val="2"/>
          <c:order val="2"/>
          <c:tx>
            <c:strRef>
              <c:f>Grafy_celkem!$A$59</c:f>
              <c:strCache>
                <c:ptCount val="1"/>
                <c:pt idx="0">
                  <c:v> veřejné 
 zahraniční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Grafy_celkem!$C$56:$M$56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Grafy_celkem!$C$59:$M$59</c:f>
              <c:numCache>
                <c:formatCode>0.0</c:formatCode>
                <c:ptCount val="11"/>
                <c:pt idx="0">
                  <c:v>6.0931831399999998</c:v>
                </c:pt>
                <c:pt idx="1">
                  <c:v>11.622015259999994</c:v>
                </c:pt>
                <c:pt idx="2">
                  <c:v>12.575684980000002</c:v>
                </c:pt>
                <c:pt idx="3">
                  <c:v>13.251651590000002</c:v>
                </c:pt>
                <c:pt idx="4">
                  <c:v>13.819510729999998</c:v>
                </c:pt>
                <c:pt idx="5">
                  <c:v>2.6665532901295328</c:v>
                </c:pt>
                <c:pt idx="6">
                  <c:v>4.3073332370686916</c:v>
                </c:pt>
                <c:pt idx="7">
                  <c:v>6.6206036794058356</c:v>
                </c:pt>
                <c:pt idx="8">
                  <c:v>8.0642760516075409</c:v>
                </c:pt>
                <c:pt idx="9">
                  <c:v>7.2361107984393538</c:v>
                </c:pt>
                <c:pt idx="10">
                  <c:v>8.3719220644168253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A12-46AF-BE68-B57B830FD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339200"/>
        <c:axId val="154340736"/>
      </c:lineChart>
      <c:catAx>
        <c:axId val="15433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>
                <a:alpha val="97000"/>
              </a:schemeClr>
            </a:solidFill>
          </a:ln>
        </c:spPr>
        <c:txPr>
          <a:bodyPr rot="0" vert="horz"/>
          <a:lstStyle/>
          <a:p>
            <a:pPr>
              <a:defRPr sz="800"/>
            </a:pPr>
            <a:endParaRPr lang="cs-CZ"/>
          </a:p>
        </c:txPr>
        <c:crossAx val="154340736"/>
        <c:crosses val="autoZero"/>
        <c:auto val="0"/>
        <c:lblAlgn val="ctr"/>
        <c:lblOffset val="100"/>
        <c:tickLblSkip val="1"/>
        <c:noMultiLvlLbl val="0"/>
      </c:catAx>
      <c:valAx>
        <c:axId val="154340736"/>
        <c:scaling>
          <c:orientation val="minMax"/>
          <c:max val="75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0" sourceLinked="0"/>
        <c:majorTickMark val="none"/>
        <c:minorTickMark val="none"/>
        <c:tickLblPos val="none"/>
        <c:spPr>
          <a:ln>
            <a:noFill/>
          </a:ln>
        </c:spPr>
        <c:crossAx val="154339200"/>
        <c:crosses val="autoZero"/>
        <c:crossBetween val="between"/>
        <c:majorUnit val="10"/>
        <c:minorUnit val="1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315278668342353"/>
          <c:y val="3.6307980796777467E-2"/>
          <c:w val="0.13965323552796943"/>
          <c:h val="0.85965882158886697"/>
        </c:manualLayout>
      </c:layout>
      <c:overlay val="0"/>
      <c:spPr>
        <a:solidFill>
          <a:schemeClr val="bg1"/>
        </a:solidFill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8888888888889E-2"/>
          <c:y val="4.3317732136629775E-2"/>
          <c:w val="0.53563131313131318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Grafy_HES!$A$71</c:f>
              <c:strCache>
                <c:ptCount val="1"/>
                <c:pt idx="0">
                  <c:v> Přírodní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Grafy_HES!$B$70:$M$70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Grafy_HES!$B$71:$M$71</c:f>
              <c:numCache>
                <c:formatCode>0%</c:formatCode>
                <c:ptCount val="2"/>
                <c:pt idx="0">
                  <c:v>0.33524130325333845</c:v>
                </c:pt>
                <c:pt idx="1">
                  <c:v>0.35789388722394455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191-47C7-9B9F-73F178A5C110}"/>
            </c:ext>
          </c:extLst>
        </c:ser>
        <c:ser>
          <c:idx val="1"/>
          <c:order val="1"/>
          <c:tx>
            <c:strRef>
              <c:f>Grafy_HES!$A$72</c:f>
              <c:strCache>
                <c:ptCount val="1"/>
                <c:pt idx="0">
                  <c:v> Technické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Grafy_HES!$B$70:$M$70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Grafy_HES!$B$72:$M$72</c:f>
              <c:numCache>
                <c:formatCode>0%</c:formatCode>
                <c:ptCount val="2"/>
                <c:pt idx="0">
                  <c:v>0.29185398909473353</c:v>
                </c:pt>
                <c:pt idx="1">
                  <c:v>0.28752053365368763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191-47C7-9B9F-73F178A5C110}"/>
            </c:ext>
          </c:extLst>
        </c:ser>
        <c:ser>
          <c:idx val="2"/>
          <c:order val="2"/>
          <c:tx>
            <c:strRef>
              <c:f>Grafy_HES!$A$73</c:f>
              <c:strCache>
                <c:ptCount val="1"/>
                <c:pt idx="0">
                  <c:v> Sociální a
 Humanitní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Grafy_HES!$B$70:$M$70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Grafy_HES!$B$73:$M$73</c:f>
              <c:numCache>
                <c:formatCode>0%</c:formatCode>
                <c:ptCount val="2"/>
                <c:pt idx="0">
                  <c:v>0.16385513639574448</c:v>
                </c:pt>
                <c:pt idx="1">
                  <c:v>0.1432747957368728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5191-47C7-9B9F-73F178A5C110}"/>
            </c:ext>
          </c:extLst>
        </c:ser>
        <c:ser>
          <c:idx val="3"/>
          <c:order val="3"/>
          <c:tx>
            <c:strRef>
              <c:f>Grafy_HES!$A$74</c:f>
              <c:strCache>
                <c:ptCount val="1"/>
                <c:pt idx="0">
                  <c:v> Lékařské 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Grafy_HES!$B$70:$M$70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Grafy_HES!$B$74:$M$74</c:f>
              <c:numCache>
                <c:formatCode>0%</c:formatCode>
                <c:ptCount val="2"/>
                <c:pt idx="0">
                  <c:v>0.15753733679538884</c:v>
                </c:pt>
                <c:pt idx="1">
                  <c:v>0.14321313115373324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5191-47C7-9B9F-73F178A5C110}"/>
            </c:ext>
          </c:extLst>
        </c:ser>
        <c:ser>
          <c:idx val="4"/>
          <c:order val="4"/>
          <c:tx>
            <c:strRef>
              <c:f>Grafy_HES!$A$75</c:f>
              <c:strCache>
                <c:ptCount val="1"/>
                <c:pt idx="0">
                  <c:v> Zemědělské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91-47C7-9B9F-73F178A5C1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Grafy_HES!$B$70:$M$70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Grafy_HES!$B$75:$M$75</c:f>
              <c:numCache>
                <c:formatCode>0%</c:formatCode>
                <c:ptCount val="2"/>
                <c:pt idx="0">
                  <c:v>5.151223446079458E-2</c:v>
                </c:pt>
                <c:pt idx="1">
                  <c:v>6.8097652231760133E-2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5191-47C7-9B9F-73F178A5C1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9460151515151516"/>
          <c:y val="7.5112110986126732E-2"/>
          <c:w val="0.35384646464646463"/>
          <c:h val="0.76521666666666666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099747474747474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Grafy_HES!$A$116</c:f>
              <c:strCache>
                <c:ptCount val="1"/>
                <c:pt idx="0">
                  <c:v> Veřejné VŠ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Grafy_HES!$B$115:$M$115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Grafy_HES!$B$116:$M$116</c:f>
              <c:numCache>
                <c:formatCode>0%</c:formatCode>
                <c:ptCount val="2"/>
                <c:pt idx="0">
                  <c:v>0.96161469077112771</c:v>
                </c:pt>
                <c:pt idx="1">
                  <c:v>0.93737180238144235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AB7-464A-AC76-E8074D6889E6}"/>
            </c:ext>
          </c:extLst>
        </c:ser>
        <c:ser>
          <c:idx val="1"/>
          <c:order val="1"/>
          <c:tx>
            <c:strRef>
              <c:f>Grafy_HES!$A$117</c:f>
              <c:strCache>
                <c:ptCount val="1"/>
                <c:pt idx="0">
                  <c:v> Fakultní
 nemocnice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Grafy_HES!$B$115:$M$115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Grafy_HES!$B$117:$M$117</c:f>
              <c:numCache>
                <c:formatCode>0%</c:formatCode>
                <c:ptCount val="2"/>
                <c:pt idx="0">
                  <c:v>3.2385270375888224E-2</c:v>
                </c:pt>
                <c:pt idx="1">
                  <c:v>5.3539895529281054E-2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4AB7-464A-AC76-E8074D6889E6}"/>
            </c:ext>
          </c:extLst>
        </c:ser>
        <c:ser>
          <c:idx val="2"/>
          <c:order val="2"/>
          <c:tx>
            <c:strRef>
              <c:f>Grafy_HES!$A$118</c:f>
              <c:strCache>
                <c:ptCount val="1"/>
                <c:pt idx="0">
                  <c:v> Soukromé VŠ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Grafy_HES!$B$115:$M$115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Grafy_HES!$B$118:$M$118</c:f>
              <c:numCache>
                <c:formatCode>0%</c:formatCode>
                <c:ptCount val="2"/>
                <c:pt idx="0">
                  <c:v>6.000038852984035E-3</c:v>
                </c:pt>
                <c:pt idx="1">
                  <c:v>9.088302089276603E-3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4AB7-464A-AC76-E8074D688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6894494949494945"/>
          <c:y val="5.4953571428571428E-2"/>
          <c:w val="0.37950303030303029"/>
          <c:h val="0.83073253968253957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099747474747474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Grafy_HES!$A$123</c:f>
              <c:strCache>
                <c:ptCount val="1"/>
                <c:pt idx="0">
                  <c:v> Praha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Grafy_HES!$B$122:$M$122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Grafy_HES!$B$123:$M$123</c:f>
              <c:numCache>
                <c:formatCode>0%</c:formatCode>
                <c:ptCount val="2"/>
                <c:pt idx="0">
                  <c:v>0.34547595919285479</c:v>
                </c:pt>
                <c:pt idx="1">
                  <c:v>0.40067296475412967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AC4-4DEC-A798-77C382E57636}"/>
            </c:ext>
          </c:extLst>
        </c:ser>
        <c:ser>
          <c:idx val="1"/>
          <c:order val="1"/>
          <c:tx>
            <c:strRef>
              <c:f>Grafy_HES!$A$124</c:f>
              <c:strCache>
                <c:ptCount val="1"/>
                <c:pt idx="0">
                  <c:v> Jihomoravský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Grafy_HES!$B$122:$M$122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Grafy_HES!$B$124:$M$124</c:f>
              <c:numCache>
                <c:formatCode>0%</c:formatCode>
                <c:ptCount val="2"/>
                <c:pt idx="0">
                  <c:v>0.28558683148093772</c:v>
                </c:pt>
                <c:pt idx="1">
                  <c:v>0.26325919517184554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1AC4-4DEC-A798-77C382E57636}"/>
            </c:ext>
          </c:extLst>
        </c:ser>
        <c:ser>
          <c:idx val="2"/>
          <c:order val="2"/>
          <c:tx>
            <c:strRef>
              <c:f>Grafy_HES!$A$125</c:f>
              <c:strCache>
                <c:ptCount val="1"/>
                <c:pt idx="0">
                  <c:v> Moravskoslezský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Grafy_HES!$B$122:$M$122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Grafy_HES!$B$125:$M$125</c:f>
              <c:numCache>
                <c:formatCode>0%</c:formatCode>
                <c:ptCount val="2"/>
                <c:pt idx="0">
                  <c:v>0.11147810683406327</c:v>
                </c:pt>
                <c:pt idx="1">
                  <c:v>8.2004284955324039E-2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1AC4-4DEC-A798-77C382E57636}"/>
            </c:ext>
          </c:extLst>
        </c:ser>
        <c:ser>
          <c:idx val="3"/>
          <c:order val="3"/>
          <c:tx>
            <c:strRef>
              <c:f>Grafy_HES!$A$126</c:f>
              <c:strCache>
                <c:ptCount val="1"/>
                <c:pt idx="0">
                  <c:v> Olomoucký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Grafy_HES!$B$122:$M$122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Grafy_HES!$B$126:$M$126</c:f>
              <c:numCache>
                <c:formatCode>0%</c:formatCode>
                <c:ptCount val="2"/>
                <c:pt idx="0">
                  <c:v>6.8082136254798642E-2</c:v>
                </c:pt>
                <c:pt idx="1">
                  <c:v>7.0233382522536844E-2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1AC4-4DEC-A798-77C382E57636}"/>
            </c:ext>
          </c:extLst>
        </c:ser>
        <c:ser>
          <c:idx val="4"/>
          <c:order val="4"/>
          <c:tx>
            <c:strRef>
              <c:f>Grafy_HES!$A$127</c:f>
              <c:strCache>
                <c:ptCount val="1"/>
                <c:pt idx="0">
                  <c:v> Plzeňský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Grafy_HES!$B$122:$M$122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Grafy_HES!$B$127:$M$127</c:f>
              <c:numCache>
                <c:formatCode>0%</c:formatCode>
                <c:ptCount val="2"/>
                <c:pt idx="0">
                  <c:v>4.4844454302317149E-2</c:v>
                </c:pt>
                <c:pt idx="1">
                  <c:v>3.8439104499344748E-2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1AC4-4DEC-A798-77C382E57636}"/>
            </c:ext>
          </c:extLst>
        </c:ser>
        <c:ser>
          <c:idx val="5"/>
          <c:order val="5"/>
          <c:tx>
            <c:strRef>
              <c:f>Grafy_HES!$A$128</c:f>
              <c:strCache>
                <c:ptCount val="1"/>
                <c:pt idx="0">
                  <c:v> ostatní kraje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Grafy_HES!$B$122:$M$122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Grafy_HES!$B$128:$M$128</c:f>
              <c:numCache>
                <c:formatCode>0%</c:formatCode>
                <c:ptCount val="2"/>
                <c:pt idx="0">
                  <c:v>0.14453251193502847</c:v>
                </c:pt>
                <c:pt idx="1">
                  <c:v>0.14539106809681912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1AC4-4DEC-A798-77C382E576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6894494949494945"/>
          <c:y val="5.4953571428571428E-2"/>
          <c:w val="0.34684684684684686"/>
          <c:h val="0.86324671142269682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920447074293226E-2"/>
          <c:y val="5.0529513888888891E-2"/>
          <c:w val="0.96248027613412224"/>
          <c:h val="0.745936388888888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MS!$B$103</c:f>
              <c:strCache>
                <c:ptCount val="1"/>
                <c:pt idx="0">
                  <c:v>%HDP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89C-414C-AA4F-259B69679E51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2-C89C-414C-AA4F-259B69679E51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4-C89C-414C-AA4F-259B69679E5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-5400000" vert="horz"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9C-414C-AA4F-259B69679E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MS!$A$104:$A$131</c:f>
              <c:strCache>
                <c:ptCount val="28"/>
                <c:pt idx="0">
                  <c:v>Dánsko</c:v>
                </c:pt>
                <c:pt idx="1">
                  <c:v>Švédsko</c:v>
                </c:pt>
                <c:pt idx="2">
                  <c:v>Rakousko</c:v>
                </c:pt>
                <c:pt idx="3">
                  <c:v>Finsko</c:v>
                </c:pt>
                <c:pt idx="4">
                  <c:v>Nizozemsko</c:v>
                </c:pt>
                <c:pt idx="5">
                  <c:v>Estonsko</c:v>
                </c:pt>
                <c:pt idx="6">
                  <c:v>Německo</c:v>
                </c:pt>
                <c:pt idx="7">
                  <c:v>Portugalsko</c:v>
                </c:pt>
                <c:pt idx="8">
                  <c:v>Polsko</c:v>
                </c:pt>
                <c:pt idx="9">
                  <c:v>Belgie</c:v>
                </c:pt>
                <c:pt idx="10">
                  <c:v>EU27</c:v>
                </c:pt>
                <c:pt idx="11">
                  <c:v>Francie</c:v>
                </c:pt>
                <c:pt idx="12">
                  <c:v>Řecko</c:v>
                </c:pt>
                <c:pt idx="13">
                  <c:v>Česko</c:v>
                </c:pt>
                <c:pt idx="14">
                  <c:v>Chorvatsko</c:v>
                </c:pt>
                <c:pt idx="15">
                  <c:v>Litva</c:v>
                </c:pt>
                <c:pt idx="16">
                  <c:v>Španělsko</c:v>
                </c:pt>
                <c:pt idx="17">
                  <c:v>Itálie</c:v>
                </c:pt>
                <c:pt idx="18">
                  <c:v>Lotyšsko</c:v>
                </c:pt>
                <c:pt idx="19">
                  <c:v>Kypr</c:v>
                </c:pt>
                <c:pt idx="20">
                  <c:v>Slovinsko</c:v>
                </c:pt>
                <c:pt idx="21">
                  <c:v>Lucembursko</c:v>
                </c:pt>
                <c:pt idx="22">
                  <c:v>Slovensko</c:v>
                </c:pt>
                <c:pt idx="23">
                  <c:v>Malta</c:v>
                </c:pt>
                <c:pt idx="24">
                  <c:v>Maďarsko</c:v>
                </c:pt>
                <c:pt idx="25">
                  <c:v>Irsko</c:v>
                </c:pt>
                <c:pt idx="26">
                  <c:v>Bulharsko</c:v>
                </c:pt>
                <c:pt idx="27">
                  <c:v>Rumunsko</c:v>
                </c:pt>
              </c:strCache>
            </c:strRef>
          </c:cat>
          <c:val>
            <c:numRef>
              <c:f>MS!$B$104:$B$131</c:f>
              <c:numCache>
                <c:formatCode>0.00</c:formatCode>
                <c:ptCount val="28"/>
                <c:pt idx="0">
                  <c:v>0.95915717163362646</c:v>
                </c:pt>
                <c:pt idx="1">
                  <c:v>0.7883799205878852</c:v>
                </c:pt>
                <c:pt idx="2">
                  <c:v>0.71278081155990403</c:v>
                </c:pt>
                <c:pt idx="3">
                  <c:v>0.68876901104759181</c:v>
                </c:pt>
                <c:pt idx="4">
                  <c:v>0.60722409838898783</c:v>
                </c:pt>
                <c:pt idx="5">
                  <c:v>0.5890080744413243</c:v>
                </c:pt>
                <c:pt idx="6">
                  <c:v>0.57230512945096135</c:v>
                </c:pt>
                <c:pt idx="7">
                  <c:v>0.56171635566070333</c:v>
                </c:pt>
                <c:pt idx="8">
                  <c:v>0.49768516754142994</c:v>
                </c:pt>
                <c:pt idx="9">
                  <c:v>0.49329858199571741</c:v>
                </c:pt>
                <c:pt idx="10">
                  <c:v>0.48775775945620276</c:v>
                </c:pt>
                <c:pt idx="11">
                  <c:v>0.44822749683110275</c:v>
                </c:pt>
                <c:pt idx="12">
                  <c:v>0.43805132913461753</c:v>
                </c:pt>
                <c:pt idx="13">
                  <c:v>0.40514474427790587</c:v>
                </c:pt>
                <c:pt idx="14">
                  <c:v>0.40245339236287109</c:v>
                </c:pt>
                <c:pt idx="15">
                  <c:v>0.38965914370290733</c:v>
                </c:pt>
                <c:pt idx="16">
                  <c:v>0.38008231400630743</c:v>
                </c:pt>
                <c:pt idx="17">
                  <c:v>0.34738142086217089</c:v>
                </c:pt>
                <c:pt idx="18">
                  <c:v>0.32763629996527771</c:v>
                </c:pt>
                <c:pt idx="19">
                  <c:v>0.29143715990324287</c:v>
                </c:pt>
                <c:pt idx="20">
                  <c:v>0.26241138827116867</c:v>
                </c:pt>
                <c:pt idx="21">
                  <c:v>0.25775641468981259</c:v>
                </c:pt>
                <c:pt idx="22">
                  <c:v>0.23691929803193162</c:v>
                </c:pt>
                <c:pt idx="23">
                  <c:v>0.23206391804540474</c:v>
                </c:pt>
                <c:pt idx="24">
                  <c:v>0.22677287583522282</c:v>
                </c:pt>
                <c:pt idx="25">
                  <c:v>0.17465892408665221</c:v>
                </c:pt>
                <c:pt idx="26">
                  <c:v>4.9635895528669038E-2</c:v>
                </c:pt>
                <c:pt idx="27">
                  <c:v>4.3586191562036587E-2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89C-414C-AA4F-259B69679E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765568"/>
        <c:axId val="132767744"/>
      </c:barChart>
      <c:catAx>
        <c:axId val="13276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32767744"/>
        <c:crosses val="autoZero"/>
        <c:auto val="1"/>
        <c:lblAlgn val="ctr"/>
        <c:lblOffset val="100"/>
        <c:noMultiLvlLbl val="0"/>
      </c:catAx>
      <c:valAx>
        <c:axId val="132767744"/>
        <c:scaling>
          <c:orientation val="minMax"/>
          <c:max val="1.1000000000000001"/>
          <c:min val="0"/>
        </c:scaling>
        <c:delete val="0"/>
        <c:axPos val="l"/>
        <c:numFmt formatCode="#,##0.0" sourceLinked="0"/>
        <c:majorTickMark val="none"/>
        <c:minorTickMark val="none"/>
        <c:tickLblPos val="none"/>
        <c:spPr>
          <a:ln>
            <a:solidFill>
              <a:schemeClr val="bg1">
                <a:lumMod val="65000"/>
              </a:schemeClr>
            </a:solidFill>
          </a:ln>
        </c:spPr>
        <c:crossAx val="132765568"/>
        <c:crosses val="autoZero"/>
        <c:crossBetween val="between"/>
        <c:majorUnit val="5.000000000000001E-2"/>
      </c:valAx>
      <c:spPr>
        <a:ln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099747474747474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Grafy_HES!$A$158</c:f>
              <c:strCache>
                <c:ptCount val="1"/>
                <c:pt idx="0">
                  <c:v> Veřejné VŠ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Grafy_HES!$B$157:$M$157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Grafy_HES!$B$158:$M$158</c:f>
              <c:numCache>
                <c:formatCode>0%</c:formatCode>
                <c:ptCount val="2"/>
                <c:pt idx="0">
                  <c:v>0.9560639351214979</c:v>
                </c:pt>
                <c:pt idx="1">
                  <c:v>0.93536857926051875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FFB-46D0-ABFE-2BE490F218A8}"/>
            </c:ext>
          </c:extLst>
        </c:ser>
        <c:ser>
          <c:idx val="1"/>
          <c:order val="1"/>
          <c:tx>
            <c:strRef>
              <c:f>Grafy_HES!$A$159</c:f>
              <c:strCache>
                <c:ptCount val="1"/>
                <c:pt idx="0">
                  <c:v> Fakultní
 nemocnice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Grafy_HES!$B$157:$M$157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Grafy_HES!$B$159:$M$159</c:f>
              <c:numCache>
                <c:formatCode>0%</c:formatCode>
                <c:ptCount val="2"/>
                <c:pt idx="0">
                  <c:v>3.0016854862259138E-2</c:v>
                </c:pt>
                <c:pt idx="1">
                  <c:v>4.879623042588202E-2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1FFB-46D0-ABFE-2BE490F218A8}"/>
            </c:ext>
          </c:extLst>
        </c:ser>
        <c:ser>
          <c:idx val="2"/>
          <c:order val="2"/>
          <c:tx>
            <c:strRef>
              <c:f>Grafy_HES!$A$160</c:f>
              <c:strCache>
                <c:ptCount val="1"/>
                <c:pt idx="0">
                  <c:v> Soukromé VŠ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Grafy_HES!$B$157:$M$157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Grafy_HES!$B$160:$M$160</c:f>
              <c:numCache>
                <c:formatCode>0%</c:formatCode>
                <c:ptCount val="2"/>
                <c:pt idx="0">
                  <c:v>1.3919210016242923E-2</c:v>
                </c:pt>
                <c:pt idx="1">
                  <c:v>1.5835190313598917E-2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1FFB-46D0-ABFE-2BE490F218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6894494949494945"/>
          <c:y val="5.4953571428571428E-2"/>
          <c:w val="0.37950303030303029"/>
          <c:h val="0.83073253968253957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50997474747474747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Grafy_HES!$A$165</c:f>
              <c:strCache>
                <c:ptCount val="1"/>
                <c:pt idx="0">
                  <c:v> Praha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Grafy_HES!$B$164:$M$164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Grafy_HES!$B$165:$M$165</c:f>
              <c:numCache>
                <c:formatCode>0%</c:formatCode>
                <c:ptCount val="2"/>
                <c:pt idx="0">
                  <c:v>0.40157122783017463</c:v>
                </c:pt>
                <c:pt idx="1">
                  <c:v>0.35959977368404994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FFBC-4AAA-82C5-737D60651A48}"/>
            </c:ext>
          </c:extLst>
        </c:ser>
        <c:ser>
          <c:idx val="1"/>
          <c:order val="1"/>
          <c:tx>
            <c:strRef>
              <c:f>Grafy_HES!$A$166</c:f>
              <c:strCache>
                <c:ptCount val="1"/>
                <c:pt idx="0">
                  <c:v> Jihomoravský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Grafy_HES!$B$164:$M$164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Grafy_HES!$B$166:$M$166</c:f>
              <c:numCache>
                <c:formatCode>0%</c:formatCode>
                <c:ptCount val="2"/>
                <c:pt idx="0">
                  <c:v>0.20448561495762826</c:v>
                </c:pt>
                <c:pt idx="1">
                  <c:v>0.27605648290521539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FFBC-4AAA-82C5-737D60651A48}"/>
            </c:ext>
          </c:extLst>
        </c:ser>
        <c:ser>
          <c:idx val="2"/>
          <c:order val="2"/>
          <c:tx>
            <c:strRef>
              <c:f>Grafy_HES!$A$167</c:f>
              <c:strCache>
                <c:ptCount val="1"/>
                <c:pt idx="0">
                  <c:v> Moravskoslezský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Grafy_HES!$B$164:$M$164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Grafy_HES!$B$167:$M$167</c:f>
              <c:numCache>
                <c:formatCode>0%</c:formatCode>
                <c:ptCount val="2"/>
                <c:pt idx="0">
                  <c:v>0.1022212944627942</c:v>
                </c:pt>
                <c:pt idx="1">
                  <c:v>7.847273321526288E-2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FFBC-4AAA-82C5-737D60651A48}"/>
            </c:ext>
          </c:extLst>
        </c:ser>
        <c:ser>
          <c:idx val="3"/>
          <c:order val="3"/>
          <c:tx>
            <c:strRef>
              <c:f>Grafy_HES!$A$168</c:f>
              <c:strCache>
                <c:ptCount val="1"/>
                <c:pt idx="0">
                  <c:v> Olomoucký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Grafy_HES!$B$164:$M$164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Grafy_HES!$B$168:$M$168</c:f>
              <c:numCache>
                <c:formatCode>0%</c:formatCode>
                <c:ptCount val="2"/>
                <c:pt idx="0">
                  <c:v>7.5179484264239066E-2</c:v>
                </c:pt>
                <c:pt idx="1">
                  <c:v>8.8073688168095465E-2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FFBC-4AAA-82C5-737D60651A48}"/>
            </c:ext>
          </c:extLst>
        </c:ser>
        <c:ser>
          <c:idx val="4"/>
          <c:order val="4"/>
          <c:tx>
            <c:strRef>
              <c:f>Grafy_HES!$A$169</c:f>
              <c:strCache>
                <c:ptCount val="1"/>
                <c:pt idx="0">
                  <c:v> Plzeňský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Grafy_HES!$B$164:$M$164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Grafy_HES!$B$169:$M$169</c:f>
              <c:numCache>
                <c:formatCode>0%</c:formatCode>
                <c:ptCount val="2"/>
                <c:pt idx="0">
                  <c:v>5.4580304489150092E-2</c:v>
                </c:pt>
                <c:pt idx="1">
                  <c:v>5.3036017756931189E-2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FFBC-4AAA-82C5-737D60651A48}"/>
            </c:ext>
          </c:extLst>
        </c:ser>
        <c:ser>
          <c:idx val="5"/>
          <c:order val="5"/>
          <c:tx>
            <c:strRef>
              <c:f>Grafy_HES!$A$170</c:f>
              <c:strCache>
                <c:ptCount val="1"/>
                <c:pt idx="0">
                  <c:v> ostatní kraje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Grafy_HES!$B$164:$M$164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Grafy_HES!$B$170:$M$170</c:f>
              <c:numCache>
                <c:formatCode>0%</c:formatCode>
                <c:ptCount val="2"/>
                <c:pt idx="0">
                  <c:v>0.16196207399601381</c:v>
                </c:pt>
                <c:pt idx="1">
                  <c:v>0.14476130427044509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FFBC-4AAA-82C5-737D60651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0422609797810567"/>
          <c:y val="3.7311860569031345E-2"/>
          <c:w val="0.33811421299610273"/>
          <c:h val="0.911903629970782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539743589743586E-2"/>
          <c:y val="7.7059553544779044E-2"/>
          <c:w val="0.92145198412698415"/>
          <c:h val="0.71668487654320989"/>
        </c:manualLayout>
      </c:layout>
      <c:doughnutChart>
        <c:varyColors val="1"/>
        <c:ser>
          <c:idx val="0"/>
          <c:order val="0"/>
          <c:tx>
            <c:strRef>
              <c:f>Grafy_HES!$M$217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effectLst/>
          </c:spPr>
          <c:dPt>
            <c:idx val="1"/>
            <c:bubble3D val="0"/>
            <c:spPr>
              <a:solidFill>
                <a:srgbClr val="C00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1-DE07-425E-9393-47F4D0E7A5D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2-DE07-425E-9393-47F4D0E7A5D1}"/>
              </c:ext>
            </c:extLst>
          </c:dPt>
          <c:dLbls>
            <c:dLbl>
              <c:idx val="0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fld id="{32248F8A-8E50-45EB-8FD6-E598A1E3A5D3}" type="VALUE">
                      <a:rPr lang="en-US" b="1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[HODNOTA]</a:t>
                    </a:fld>
                    <a:r>
                      <a:rPr lang="en-US" b="1" baseline="0">
                        <a:solidFill>
                          <a:schemeClr val="bg1"/>
                        </a:solidFill>
                      </a:rPr>
                      <a:t> </a:t>
                    </a:r>
                    <a:fld id="{B828E115-EE39-45C6-A17E-E0FCEBF6D6DE}" type="PERCENTAGE">
                      <a:rPr lang="en-US" b="1" baseline="0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[PROCENTO]</a:t>
                    </a:fld>
                    <a:endParaRPr lang="en-US" b="1" baseline="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E07-425E-9393-47F4D0E7A5D1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fld id="{E30F99AA-94D5-41B7-AD17-21C0F4418F4E}" type="VALUE">
                      <a:rPr lang="en-US" b="1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[HODNOTA]</a:t>
                    </a:fld>
                    <a:r>
                      <a:rPr lang="en-US" b="1" baseline="0">
                        <a:solidFill>
                          <a:schemeClr val="bg1"/>
                        </a:solidFill>
                      </a:rPr>
                      <a:t> </a:t>
                    </a:r>
                    <a:fld id="{FD290BF8-DB0E-4F4C-83E7-E1A7A9248A54}" type="PERCENTAGE">
                      <a:rPr lang="en-US" b="1" baseline="0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</a:defRPr>
                      </a:pPr>
                      <a:t>[PROCENTO]</a:t>
                    </a:fld>
                    <a:endParaRPr lang="en-US" b="1" baseline="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E07-425E-9393-47F4D0E7A5D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Grafy_HES!$A$218:$A$219</c:f>
              <c:strCache>
                <c:ptCount val="2"/>
                <c:pt idx="0">
                  <c:v> muži</c:v>
                </c:pt>
                <c:pt idx="1">
                  <c:v> ženy</c:v>
                </c:pt>
              </c:strCache>
            </c:strRef>
          </c:cat>
          <c:val>
            <c:numRef>
              <c:f>Grafy_HES!$M$218:$M$219</c:f>
              <c:numCache>
                <c:formatCode>#,##0</c:formatCode>
                <c:ptCount val="2"/>
                <c:pt idx="0">
                  <c:v>12423.249165626909</c:v>
                </c:pt>
                <c:pt idx="1">
                  <c:v>8487.5874111834455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07-425E-9393-47F4D0E7A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</c:spPr>
    </c:plotArea>
    <c:legend>
      <c:legendPos val="b"/>
      <c:layout>
        <c:manualLayout>
          <c:xMode val="edge"/>
          <c:yMode val="edge"/>
          <c:x val="0.11467613081211564"/>
          <c:y val="0.8326005683261366"/>
          <c:w val="0.76031388888888884"/>
          <c:h val="0.11987464065224562"/>
        </c:manualLayout>
      </c:layout>
      <c:overlay val="0"/>
      <c:spPr>
        <a:ln w="6350">
          <a:solidFill>
            <a:schemeClr val="bg1">
              <a:lumMod val="85000"/>
            </a:schemeClr>
          </a:solidFill>
        </a:ln>
      </c:spPr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539743589743586E-2"/>
          <c:y val="7.7059553544779044E-2"/>
          <c:w val="0.92145198412698415"/>
          <c:h val="0.71668487654320989"/>
        </c:manualLayout>
      </c:layout>
      <c:doughnutChart>
        <c:varyColors val="1"/>
        <c:ser>
          <c:idx val="0"/>
          <c:order val="0"/>
          <c:tx>
            <c:strRef>
              <c:f>Grafy_HES!$M$223</c:f>
              <c:strCache>
                <c:ptCount val="1"/>
                <c:pt idx="0">
                  <c:v>2021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70C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1-6D9C-4F29-AE75-6414B0BEBAE2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3-6D9C-4F29-AE75-6414B0BEBAE2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5-6D9C-4F29-AE75-6414B0BEBAE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6-6D9C-4F29-AE75-6414B0BEBAE2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129118299168141"/>
                      <c:h val="0.1664491938507686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D9C-4F29-AE75-6414B0BEBAE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9C-4F29-AE75-6414B0BEBA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Grafy_HES!$A$224:$A$226</c:f>
              <c:strCache>
                <c:ptCount val="3"/>
                <c:pt idx="0">
                  <c:v> výzkumní </c:v>
                </c:pt>
                <c:pt idx="1">
                  <c:v> techničtí </c:v>
                </c:pt>
                <c:pt idx="2">
                  <c:v> ostatní</c:v>
                </c:pt>
              </c:strCache>
            </c:strRef>
          </c:cat>
          <c:val>
            <c:numRef>
              <c:f>Grafy_HES!$M$224:$M$226</c:f>
              <c:numCache>
                <c:formatCode>#,##0</c:formatCode>
                <c:ptCount val="3"/>
                <c:pt idx="0">
                  <c:v>13963.631073699571</c:v>
                </c:pt>
                <c:pt idx="1">
                  <c:v>4451.0476068057633</c:v>
                </c:pt>
                <c:pt idx="2">
                  <c:v>2496.1578963050192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D9C-4F29-AE75-6414B0BEBA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</c:spPr>
    </c:plotArea>
    <c:legend>
      <c:legendPos val="b"/>
      <c:layout>
        <c:manualLayout>
          <c:xMode val="edge"/>
          <c:yMode val="edge"/>
          <c:x val="3.7065000000000001E-2"/>
          <c:y val="0.82717307692307696"/>
          <c:w val="0.92765722222222224"/>
          <c:h val="0.11987464065224562"/>
        </c:manualLayout>
      </c:layout>
      <c:overlay val="0"/>
      <c:spPr>
        <a:ln w="6350">
          <a:solidFill>
            <a:schemeClr val="bg1">
              <a:lumMod val="85000"/>
            </a:schemeClr>
          </a:solidFill>
        </a:ln>
      </c:spPr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02149595615338"/>
          <c:y val="7.1602625388061142E-2"/>
          <c:w val="0.92145198412698415"/>
          <c:h val="0.71668487654320989"/>
        </c:manualLayout>
      </c:layout>
      <c:doughnutChart>
        <c:varyColors val="1"/>
        <c:ser>
          <c:idx val="0"/>
          <c:order val="0"/>
          <c:tx>
            <c:strRef>
              <c:f>Grafy_HES!$M$230</c:f>
              <c:strCache>
                <c:ptCount val="1"/>
                <c:pt idx="0">
                  <c:v>2021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70C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1-7086-4AC9-8151-001314539058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3-7086-4AC9-8151-001314539058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5-7086-4AC9-8151-001314539058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7-7086-4AC9-8151-001314539058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9-7086-4AC9-8151-001314539058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effectLst/>
            </c:spPr>
            <c:extLst>
              <c:ext xmlns:c16="http://schemas.microsoft.com/office/drawing/2014/chart" uri="{C3380CC4-5D6E-409C-BE32-E72D297353CC}">
                <c16:uniqueId val="{0000000B-7086-4AC9-8151-00131453905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5019D23-1243-49CC-9ABC-41B380007E6A}" type="VALUE">
                      <a:rPr lang="en-US"/>
                      <a:pPr/>
                      <a:t>[HODNOTA]</a:t>
                    </a:fld>
                    <a:r>
                      <a:rPr lang="en-US" baseline="0"/>
                      <a:t> </a:t>
                    </a:r>
                    <a:fld id="{82B7E770-A102-49B2-9A0B-02673D264F95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086-4AC9-8151-00131453905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4037CE4-474B-4E67-A021-71BC79197B9F}" type="VALUE">
                      <a:rPr lang="en-US"/>
                      <a:pPr/>
                      <a:t>[HODNOTA]</a:t>
                    </a:fld>
                    <a:r>
                      <a:rPr lang="en-US" baseline="0"/>
                      <a:t> </a:t>
                    </a:r>
                    <a:fld id="{EFFA6A96-4ADA-478B-9B97-1ED27A3F2930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086-4AC9-8151-001314539058}"/>
                </c:ext>
              </c:extLst>
            </c:dLbl>
            <c:dLbl>
              <c:idx val="2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fld id="{4A2EF025-D42D-4DCA-BB51-F6773D34850D}" type="VALU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[HODNOTA]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A4A458D5-96C2-4D20-B10C-A0A897825B3F}" type="PERCENTAG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[PROCENTO]</a:t>
                    </a:fld>
                    <a:endParaRPr 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086-4AC9-8151-001314539058}"/>
                </c:ext>
              </c:extLst>
            </c:dLbl>
            <c:dLbl>
              <c:idx val="3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>
                        <a:solidFill>
                          <a:schemeClr val="tx1"/>
                        </a:solidFill>
                      </a:defRPr>
                    </a:pPr>
                    <a:fld id="{D4CAF453-BEC1-4466-BF7E-A2F079054ABD}" type="VALUE">
                      <a:rPr lang="en-US">
                        <a:solidFill>
                          <a:schemeClr val="tx1"/>
                        </a:solidFill>
                      </a:rPr>
                      <a:pPr>
                        <a:defRPr b="1">
                          <a:solidFill>
                            <a:schemeClr val="tx1"/>
                          </a:solidFill>
                        </a:defRPr>
                      </a:pPr>
                      <a:t>[HODNOTA]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 </a:t>
                    </a:r>
                    <a:fld id="{0202C6A5-0766-4C04-94B3-320A0AD8ACF9}" type="PERCENTAGE">
                      <a:rPr lang="en-US" baseline="0">
                        <a:solidFill>
                          <a:schemeClr val="tx1"/>
                        </a:solidFill>
                      </a:rPr>
                      <a:pPr>
                        <a:defRPr b="1">
                          <a:solidFill>
                            <a:schemeClr val="tx1"/>
                          </a:solidFill>
                        </a:defRPr>
                      </a:pPr>
                      <a:t>[PROCENTO]</a:t>
                    </a:fld>
                    <a:endParaRPr lang="en-US" baseline="0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086-4AC9-8151-00131453905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E7F32770-D2B8-4CB6-B739-9778C9FCE26F}" type="VALUE">
                      <a:rPr lang="en-US">
                        <a:solidFill>
                          <a:schemeClr val="bg1"/>
                        </a:solidFill>
                      </a:rPr>
                      <a:pPr/>
                      <a:t>[HODNOTA]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 </a:t>
                    </a:r>
                    <a:fld id="{2A218EBC-D51E-4192-9905-1F5A2A022E89}" type="PERCENTAGE">
                      <a:rPr lang="en-US" baseline="0">
                        <a:solidFill>
                          <a:schemeClr val="bg1"/>
                        </a:solidFill>
                      </a:rPr>
                      <a:pPr/>
                      <a:t>[PROCENTO]</a:t>
                    </a:fld>
                    <a:endParaRPr lang="en-US" baseline="0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086-4AC9-8151-001314539058}"/>
                </c:ext>
              </c:extLst>
            </c:dLbl>
            <c:dLbl>
              <c:idx val="5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fld id="{E0DEE2C0-66CD-4C43-AC19-0671F281E904}" type="VALU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[HODNOTA]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fld id="{6C2C7ADF-C564-4188-8FD8-932FAC0653FC}" type="PERCENTAG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[PROCENTO]</a:t>
                    </a:fld>
                    <a:endParaRPr 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086-4AC9-8151-0013145390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Grafy_HES!$A$231:$A$236</c:f>
              <c:strCache>
                <c:ptCount val="6"/>
                <c:pt idx="0">
                  <c:v> Přírodní</c:v>
                </c:pt>
                <c:pt idx="1">
                  <c:v> Technické </c:v>
                </c:pt>
                <c:pt idx="2">
                  <c:v> Lékařské </c:v>
                </c:pt>
                <c:pt idx="3">
                  <c:v> Sociální </c:v>
                </c:pt>
                <c:pt idx="4">
                  <c:v> Zemědělské</c:v>
                </c:pt>
                <c:pt idx="5">
                  <c:v> Humanitní</c:v>
                </c:pt>
              </c:strCache>
            </c:strRef>
          </c:cat>
          <c:val>
            <c:numRef>
              <c:f>Grafy_HES!$M$231:$M$236</c:f>
              <c:numCache>
                <c:formatCode>#,##0</c:formatCode>
                <c:ptCount val="6"/>
                <c:pt idx="0">
                  <c:v>6570.3235000000013</c:v>
                </c:pt>
                <c:pt idx="1">
                  <c:v>5222.6620000000003</c:v>
                </c:pt>
                <c:pt idx="2">
                  <c:v>3355.4580000000005</c:v>
                </c:pt>
                <c:pt idx="3">
                  <c:v>2067.6615768103566</c:v>
                </c:pt>
                <c:pt idx="4">
                  <c:v>2082.1510000000003</c:v>
                </c:pt>
                <c:pt idx="5">
                  <c:v>1612.5804999999998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086-4AC9-8151-0013145390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</c:spPr>
    </c:plotArea>
    <c:legend>
      <c:legendPos val="b"/>
      <c:layout>
        <c:manualLayout>
          <c:xMode val="edge"/>
          <c:yMode val="edge"/>
          <c:x val="4.791974273229415E-2"/>
          <c:y val="0.81631837606837609"/>
          <c:w val="0.9168025299415592"/>
          <c:h val="0.18150459775221003"/>
        </c:manualLayout>
      </c:layout>
      <c:overlay val="0"/>
      <c:spPr>
        <a:ln w="6350">
          <a:solidFill>
            <a:schemeClr val="bg1">
              <a:lumMod val="85000"/>
            </a:schemeClr>
          </a:solidFill>
        </a:ln>
      </c:spPr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55984848484849E-2"/>
          <c:y val="4.750165077502938E-2"/>
          <c:w val="0.73994772727272728"/>
          <c:h val="0.83821788538836173"/>
        </c:manualLayout>
      </c:layout>
      <c:lineChart>
        <c:grouping val="standard"/>
        <c:varyColors val="0"/>
        <c:ser>
          <c:idx val="0"/>
          <c:order val="0"/>
          <c:tx>
            <c:strRef>
              <c:f>Grafy_celkem!$A$85</c:f>
              <c:strCache>
                <c:ptCount val="1"/>
                <c:pt idx="0">
                  <c:v> vysoko-
 školský 
 sektor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triang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Grafy_celkem!$C$84:$M$84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Grafy_celkem!$C$85:$M$85</c:f>
              <c:numCache>
                <c:formatCode>0.0</c:formatCode>
                <c:ptCount val="11"/>
                <c:pt idx="0">
                  <c:v>10.946834000000003</c:v>
                </c:pt>
                <c:pt idx="1">
                  <c:v>11.640232999999993</c:v>
                </c:pt>
                <c:pt idx="2">
                  <c:v>12.587671999999992</c:v>
                </c:pt>
                <c:pt idx="3">
                  <c:v>13.357968000000005</c:v>
                </c:pt>
                <c:pt idx="4">
                  <c:v>13.629428000000008</c:v>
                </c:pt>
                <c:pt idx="5">
                  <c:v>14.180638999999999</c:v>
                </c:pt>
                <c:pt idx="6">
                  <c:v>14.974321999999999</c:v>
                </c:pt>
                <c:pt idx="7">
                  <c:v>16.833950000000002</c:v>
                </c:pt>
                <c:pt idx="8">
                  <c:v>18.201638999999997</c:v>
                </c:pt>
                <c:pt idx="9">
                  <c:v>18.722678999999996</c:v>
                </c:pt>
                <c:pt idx="10">
                  <c:v>18.81347533231639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C0-4452-B509-F76DCA98CFEE}"/>
            </c:ext>
          </c:extLst>
        </c:ser>
        <c:ser>
          <c:idx val="1"/>
          <c:order val="1"/>
          <c:tx>
            <c:strRef>
              <c:f>Grafy_celkem!$A$86</c:f>
              <c:strCache>
                <c:ptCount val="1"/>
                <c:pt idx="0">
                  <c:v> vládní 
 sektor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tar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Grafy_celkem!$C$84:$M$84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Grafy_celkem!$C$86:$M$86</c:f>
              <c:numCache>
                <c:formatCode>0.0</c:formatCode>
                <c:ptCount val="11"/>
                <c:pt idx="0">
                  <c:v>10.060683790000002</c:v>
                </c:pt>
                <c:pt idx="1">
                  <c:v>9.8432079999999988</c:v>
                </c:pt>
                <c:pt idx="2">
                  <c:v>9.8806766899999996</c:v>
                </c:pt>
                <c:pt idx="3">
                  <c:v>10.209347010000002</c:v>
                </c:pt>
                <c:pt idx="4">
                  <c:v>11.099890000000002</c:v>
                </c:pt>
                <c:pt idx="5">
                  <c:v>11.242382000000001</c:v>
                </c:pt>
                <c:pt idx="6">
                  <c:v>12.141389999999999</c:v>
                </c:pt>
                <c:pt idx="7">
                  <c:v>13.632542999999998</c:v>
                </c:pt>
                <c:pt idx="8">
                  <c:v>14.556724000000003</c:v>
                </c:pt>
                <c:pt idx="9">
                  <c:v>15.004120999999996</c:v>
                </c:pt>
                <c:pt idx="10">
                  <c:v>15.900478999999986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C0-4452-B509-F76DCA98CFEE}"/>
            </c:ext>
          </c:extLst>
        </c:ser>
        <c:ser>
          <c:idx val="2"/>
          <c:order val="2"/>
          <c:tx>
            <c:strRef>
              <c:f>Grafy_celkem!$A$87</c:f>
              <c:strCache>
                <c:ptCount val="1"/>
                <c:pt idx="0">
                  <c:v> podnika-
 telský
 sektor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Grafy_celkem!$C$84:$M$84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Grafy_celkem!$C$87:$M$87</c:f>
              <c:numCache>
                <c:formatCode>0.0</c:formatCode>
                <c:ptCount val="11"/>
                <c:pt idx="0">
                  <c:v>5.0120190399999975</c:v>
                </c:pt>
                <c:pt idx="1">
                  <c:v>4.9676750599999941</c:v>
                </c:pt>
                <c:pt idx="2">
                  <c:v>4.4474872900000024</c:v>
                </c:pt>
                <c:pt idx="3">
                  <c:v>4.3312892300000012</c:v>
                </c:pt>
                <c:pt idx="4">
                  <c:v>3.658127900000002</c:v>
                </c:pt>
                <c:pt idx="5">
                  <c:v>2.9955557007866398</c:v>
                </c:pt>
                <c:pt idx="6">
                  <c:v>3.9913647810149073</c:v>
                </c:pt>
                <c:pt idx="7">
                  <c:v>4.4472211984487133</c:v>
                </c:pt>
                <c:pt idx="8">
                  <c:v>4.6834640000000016</c:v>
                </c:pt>
                <c:pt idx="9">
                  <c:v>4.6988830000000021</c:v>
                </c:pt>
                <c:pt idx="10">
                  <c:v>4.5375440000000005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C0-4452-B509-F76DCA98CF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339200"/>
        <c:axId val="154340736"/>
      </c:lineChart>
      <c:catAx>
        <c:axId val="15433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/>
            </a:pPr>
            <a:endParaRPr lang="cs-CZ"/>
          </a:p>
        </c:txPr>
        <c:crossAx val="154340736"/>
        <c:crosses val="autoZero"/>
        <c:auto val="0"/>
        <c:lblAlgn val="ctr"/>
        <c:lblOffset val="100"/>
        <c:tickLblSkip val="2"/>
        <c:noMultiLvlLbl val="0"/>
      </c:catAx>
      <c:valAx>
        <c:axId val="154340736"/>
        <c:scaling>
          <c:orientation val="minMax"/>
          <c:max val="2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b="1"/>
                </a:pPr>
                <a:r>
                  <a:rPr lang="cs-CZ" b="1"/>
                  <a:t>Mld. Kč</a:t>
                </a:r>
              </a:p>
            </c:rich>
          </c:tx>
          <c:layout>
            <c:manualLayout>
              <c:xMode val="edge"/>
              <c:yMode val="edge"/>
              <c:x val="4.8106060606060604E-2"/>
              <c:y val="5.8928518518518505E-2"/>
            </c:manualLayout>
          </c:layout>
          <c:overlay val="0"/>
        </c:title>
        <c:numFmt formatCode="0" sourceLinked="0"/>
        <c:majorTickMark val="none"/>
        <c:minorTickMark val="none"/>
        <c:tickLblPos val="none"/>
        <c:spPr>
          <a:ln>
            <a:noFill/>
          </a:ln>
        </c:spPr>
        <c:crossAx val="154339200"/>
        <c:crosses val="autoZero"/>
        <c:crossBetween val="between"/>
        <c:majorUnit val="2"/>
        <c:minorUnit val="1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7240757575757579"/>
          <c:y val="3.1897837467119258E-2"/>
          <c:w val="0.20858535353535354"/>
          <c:h val="0.85965882158886697"/>
        </c:manualLayout>
      </c:layout>
      <c:overlay val="0"/>
      <c:spPr>
        <a:solidFill>
          <a:schemeClr val="bg1"/>
        </a:solidFill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49027601486093175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Grafy_celkem!$A$92</c:f>
              <c:strCache>
                <c:ptCount val="1"/>
                <c:pt idx="0">
                  <c:v> vysoko-
 školský 
 sektor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Grafy_celkem!$B$91:$M$91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Grafy_celkem!$B$92:$M$92</c:f>
              <c:numCache>
                <c:formatCode>0%</c:formatCode>
                <c:ptCount val="2"/>
                <c:pt idx="0">
                  <c:v>0.41815240556850658</c:v>
                </c:pt>
                <c:pt idx="1">
                  <c:v>0.47742324875157793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CB0-4721-B77A-D0078C922EF9}"/>
            </c:ext>
          </c:extLst>
        </c:ser>
        <c:ser>
          <c:idx val="1"/>
          <c:order val="1"/>
          <c:tx>
            <c:strRef>
              <c:f>Grafy_celkem!$A$93</c:f>
              <c:strCache>
                <c:ptCount val="1"/>
                <c:pt idx="0">
                  <c:v> vládní 
 sektor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Grafy_celkem!$B$91:$M$91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Grafy_celkem!$B$93:$M$93</c:f>
              <c:numCache>
                <c:formatCode>0%</c:formatCode>
                <c:ptCount val="2"/>
                <c:pt idx="0">
                  <c:v>0.38430281563167762</c:v>
                </c:pt>
                <c:pt idx="1">
                  <c:v>0.4035011185757123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CB0-4721-B77A-D0078C922EF9}"/>
            </c:ext>
          </c:extLst>
        </c:ser>
        <c:ser>
          <c:idx val="2"/>
          <c:order val="2"/>
          <c:tx>
            <c:strRef>
              <c:f>Grafy_celkem!$A$94</c:f>
              <c:strCache>
                <c:ptCount val="1"/>
                <c:pt idx="0">
                  <c:v> podnika-
 telský
 sektor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Grafy_celkem!$B$91:$M$91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Grafy_celkem!$B$94:$M$94</c:f>
              <c:numCache>
                <c:formatCode>0%</c:formatCode>
                <c:ptCount val="2"/>
                <c:pt idx="0">
                  <c:v>0.19145150262908486</c:v>
                </c:pt>
                <c:pt idx="1">
                  <c:v>0.11514773105807151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7CB0-4721-B77A-D0078C922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2754642840908514"/>
          <c:y val="7.5112110986126732E-2"/>
          <c:w val="0.34633850691691115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49584002057613158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Grafy_celkem!$A$120</c:f>
              <c:strCache>
                <c:ptCount val="1"/>
                <c:pt idx="0">
                  <c:v> mzdové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Grafy_celkem!$B$119:$M$119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Grafy_celkem!$B$120:$M$120</c:f>
              <c:numCache>
                <c:formatCode>0%</c:formatCode>
                <c:ptCount val="2"/>
                <c:pt idx="0">
                  <c:v>0.43053002300482773</c:v>
                </c:pt>
                <c:pt idx="1">
                  <c:v>0.57003814772544426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3A1-4753-9D92-AF7C12363E95}"/>
            </c:ext>
          </c:extLst>
        </c:ser>
        <c:ser>
          <c:idx val="1"/>
          <c:order val="1"/>
          <c:tx>
            <c:strRef>
              <c:f>Grafy_celkem!$A$121</c:f>
              <c:strCache>
                <c:ptCount val="1"/>
                <c:pt idx="0">
                  <c:v> ostatní běžné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Grafy_celkem!$B$119:$M$119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Grafy_celkem!$B$121:$M$121</c:f>
              <c:numCache>
                <c:formatCode>0%</c:formatCode>
                <c:ptCount val="2"/>
                <c:pt idx="0">
                  <c:v>0.38337107591336311</c:v>
                </c:pt>
                <c:pt idx="1">
                  <c:v>0.33969143706717381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13A1-4753-9D92-AF7C12363E95}"/>
            </c:ext>
          </c:extLst>
        </c:ser>
        <c:ser>
          <c:idx val="2"/>
          <c:order val="2"/>
          <c:tx>
            <c:strRef>
              <c:f>Grafy_celkem!$A$122</c:f>
              <c:strCache>
                <c:ptCount val="1"/>
                <c:pt idx="0">
                  <c:v> investiční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Grafy_celkem!$B$119:$M$119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Grafy_celkem!$B$122:$M$122</c:f>
              <c:numCache>
                <c:formatCode>0%</c:formatCode>
                <c:ptCount val="2"/>
                <c:pt idx="0">
                  <c:v>0.1860989037908265</c:v>
                </c:pt>
                <c:pt idx="1">
                  <c:v>9.0270415207381563E-2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13A1-4753-9D92-AF7C12363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9336574074074078"/>
          <c:y val="7.5112110986126732E-2"/>
          <c:w val="0.38051851851851853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02966186721007E-2"/>
          <c:y val="4.3317732136629775E-2"/>
          <c:w val="0.48431818181818181"/>
          <c:h val="0.8509116650595881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Grafy_celkem!$A$127</c:f>
              <c:strCache>
                <c:ptCount val="1"/>
                <c:pt idx="0">
                  <c:v> podnikové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Grafy_celkem!$B$126:$M$126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Grafy_celkem!$B$127:$M$127</c:f>
              <c:numCache>
                <c:formatCode>0%</c:formatCode>
                <c:ptCount val="2"/>
                <c:pt idx="0">
                  <c:v>0.4763099702983814</c:v>
                </c:pt>
                <c:pt idx="1">
                  <c:v>0.59733574543965384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D3F-4CEB-A085-4D91C8573A8F}"/>
            </c:ext>
          </c:extLst>
        </c:ser>
        <c:ser>
          <c:idx val="1"/>
          <c:order val="1"/>
          <c:tx>
            <c:strRef>
              <c:f>Grafy_celkem!$A$128</c:f>
              <c:strCache>
                <c:ptCount val="1"/>
                <c:pt idx="0">
                  <c:v> veřejné domácí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Grafy_celkem!$B$126:$M$126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Grafy_celkem!$B$128:$M$128</c:f>
              <c:numCache>
                <c:formatCode>0%</c:formatCode>
                <c:ptCount val="2"/>
                <c:pt idx="0">
                  <c:v>0.4171734407245925</c:v>
                </c:pt>
                <c:pt idx="1">
                  <c:v>0.32318677872439888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D3F-4CEB-A085-4D91C8573A8F}"/>
            </c:ext>
          </c:extLst>
        </c:ser>
        <c:ser>
          <c:idx val="2"/>
          <c:order val="2"/>
          <c:tx>
            <c:strRef>
              <c:f>Grafy_celkem!$A$129</c:f>
              <c:strCache>
                <c:ptCount val="1"/>
                <c:pt idx="0">
                  <c:v> veřejné zahraniční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Grafy_celkem!$B$126:$M$126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Grafy_celkem!$B$129:$M$129</c:f>
              <c:numCache>
                <c:formatCode>0%</c:formatCode>
                <c:ptCount val="2"/>
                <c:pt idx="0">
                  <c:v>9.7097254532696645E-2</c:v>
                </c:pt>
                <c:pt idx="1">
                  <c:v>6.8661501760385601E-2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9D3F-4CEB-A085-4D91C8573A8F}"/>
            </c:ext>
          </c:extLst>
        </c:ser>
        <c:ser>
          <c:idx val="3"/>
          <c:order val="3"/>
          <c:tx>
            <c:strRef>
              <c:f>Grafy_celkem!$A$130</c:f>
              <c:strCache>
                <c:ptCount val="1"/>
                <c:pt idx="0">
                  <c:v> ostatní</c:v>
                </c:pt>
              </c:strCache>
            </c:strRef>
          </c:tx>
          <c:invertIfNegative val="0"/>
          <c:cat>
            <c:numRef>
              <c:f>Grafy_celkem!$B$126:$M$126</c:f>
              <c:numCache>
                <c:formatCode>General</c:formatCode>
                <c:ptCount val="2"/>
                <c:pt idx="0">
                  <c:v>2011</c:v>
                </c:pt>
                <c:pt idx="1">
                  <c:v>2021</c:v>
                </c:pt>
              </c:numCache>
              <c:extLst/>
            </c:numRef>
          </c:cat>
          <c:val>
            <c:numRef>
              <c:f>Grafy_celkem!$B$130:$M$130</c:f>
              <c:numCache>
                <c:formatCode>0%</c:formatCode>
                <c:ptCount val="2"/>
                <c:pt idx="0">
                  <c:v>9.4193344443294323E-3</c:v>
                </c:pt>
                <c:pt idx="1">
                  <c:v>1.0815974075560491E-2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9D3F-4CEB-A085-4D91C8573A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36885632"/>
        <c:axId val="36887168"/>
      </c:barChart>
      <c:catAx>
        <c:axId val="368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36887168"/>
        <c:crosses val="autoZero"/>
        <c:auto val="1"/>
        <c:lblAlgn val="ctr"/>
        <c:lblOffset val="100"/>
        <c:tickLblSkip val="1"/>
        <c:noMultiLvlLbl val="0"/>
      </c:catAx>
      <c:valAx>
        <c:axId val="36887168"/>
        <c:scaling>
          <c:orientation val="minMax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36885632"/>
        <c:crosses val="autoZero"/>
        <c:crossBetween val="between"/>
        <c:majorUnit val="0.25"/>
        <c:minorUnit val="5.000000000000001E-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58113181818181803"/>
          <c:y val="7.5112110986126732E-2"/>
          <c:w val="0.39275303030303033"/>
          <c:h val="0.7752804316981774"/>
        </c:manualLayout>
      </c:layout>
      <c:overlay val="0"/>
      <c:spPr>
        <a:ln w="6350"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0.3576</cdr:x>
      <cdr:y>0.37203</cdr:y>
    </cdr:from>
    <cdr:to>
      <cdr:x>0.67672</cdr:x>
      <cdr:y>0.57729</cdr:y>
    </cdr:to>
    <cdr:sp macro="" textlink="">
      <cdr:nvSpPr>
        <cdr:cNvPr id="2" name="TextovéPole 14"/>
        <cdr:cNvSpPr txBox="1"/>
      </cdr:nvSpPr>
      <cdr:spPr>
        <a:xfrm xmlns:a="http://schemas.openxmlformats.org/drawingml/2006/main">
          <a:off x="708025" y="736600"/>
          <a:ext cx="631825" cy="406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0">
              <a:latin typeface="Arial" pitchFamily="34" charset="0"/>
              <a:cs typeface="Arial" pitchFamily="34" charset="0"/>
            </a:rPr>
            <a:t>3 366</a:t>
          </a:r>
          <a:r>
            <a:rPr lang="cs-CZ" sz="800" b="0" baseline="0">
              <a:latin typeface="Arial" pitchFamily="34" charset="0"/>
              <a:cs typeface="Arial" pitchFamily="34" charset="0"/>
            </a:rPr>
            <a:t> </a:t>
          </a:r>
        </a:p>
        <a:p xmlns:a="http://schemas.openxmlformats.org/drawingml/2006/main">
          <a:pPr algn="ctr"/>
          <a:r>
            <a:rPr lang="cs-CZ" sz="800" b="0" baseline="0">
              <a:latin typeface="Arial" pitchFamily="34" charset="0"/>
              <a:cs typeface="Arial" pitchFamily="34" charset="0"/>
            </a:rPr>
            <a:t>celkem</a:t>
          </a:r>
          <a:endParaRPr lang="cs-CZ" sz="800" b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0.37449</cdr:x>
      <cdr:y>0.36176</cdr:y>
    </cdr:from>
    <cdr:to>
      <cdr:x>0.6445</cdr:x>
      <cdr:y>0.52886</cdr:y>
    </cdr:to>
    <cdr:sp macro="" textlink="">
      <cdr:nvSpPr>
        <cdr:cNvPr id="2" name="TextovéPole 14"/>
        <cdr:cNvSpPr txBox="1"/>
      </cdr:nvSpPr>
      <cdr:spPr>
        <a:xfrm xmlns:a="http://schemas.openxmlformats.org/drawingml/2006/main">
          <a:off x="876300" y="781269"/>
          <a:ext cx="631825" cy="3608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0">
              <a:latin typeface="Arial" pitchFamily="34" charset="0"/>
              <a:cs typeface="Arial" pitchFamily="34" charset="0"/>
            </a:rPr>
            <a:t>14 446</a:t>
          </a:r>
          <a:r>
            <a:rPr lang="cs-CZ" sz="800" b="0" baseline="0">
              <a:latin typeface="Arial" pitchFamily="34" charset="0"/>
              <a:cs typeface="Arial" pitchFamily="34" charset="0"/>
            </a:rPr>
            <a:t> </a:t>
          </a:r>
        </a:p>
        <a:p xmlns:a="http://schemas.openxmlformats.org/drawingml/2006/main">
          <a:pPr algn="ctr"/>
          <a:r>
            <a:rPr lang="cs-CZ" sz="800" b="0" baseline="0">
              <a:latin typeface="Arial" pitchFamily="34" charset="0"/>
              <a:cs typeface="Arial" pitchFamily="34" charset="0"/>
            </a:rPr>
            <a:t>celkem</a:t>
          </a:r>
          <a:endParaRPr lang="cs-CZ" sz="800" b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0.7657</cdr:x>
      <cdr:y>0.04677</cdr:y>
    </cdr:from>
    <cdr:to>
      <cdr:x>0.78834</cdr:x>
      <cdr:y>0.08302</cdr:y>
    </cdr:to>
    <cdr:grpSp>
      <cdr:nvGrpSpPr>
        <cdr:cNvPr id="5" name="Skupina 4"/>
        <cdr:cNvGrpSpPr/>
      </cdr:nvGrpSpPr>
      <cdr:grpSpPr>
        <a:xfrm xmlns:a="http://schemas.openxmlformats.org/drawingml/2006/main">
          <a:off x="4658519" y="174015"/>
          <a:ext cx="137742" cy="134873"/>
          <a:chOff x="6660203" y="2675856"/>
          <a:chExt cx="216024" cy="208773"/>
        </a:xfrm>
      </cdr:grpSpPr>
      <cdr:cxnSp macro="">
        <cdr:nvCxnSpPr>
          <cdr:cNvPr id="6" name="Přímá spojnice 5"/>
          <cdr:cNvCxnSpPr/>
        </cdr:nvCxnSpPr>
        <cdr:spPr>
          <a:xfrm xmlns:a="http://schemas.openxmlformats.org/drawingml/2006/main" flipV="1">
            <a:off x="6660203" y="2675856"/>
            <a:ext cx="216024" cy="144016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chemeClr val="bg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7" name="Přímá spojnice 6"/>
          <cdr:cNvCxnSpPr/>
        </cdr:nvCxnSpPr>
        <cdr:spPr>
          <a:xfrm xmlns:a="http://schemas.openxmlformats.org/drawingml/2006/main" flipV="1">
            <a:off x="6660203" y="2740613"/>
            <a:ext cx="216024" cy="144016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chemeClr val="bg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0.34404</cdr:x>
      <cdr:y>0.36667</cdr:y>
    </cdr:from>
    <cdr:to>
      <cdr:x>0.69513</cdr:x>
      <cdr:y>0.52091</cdr:y>
    </cdr:to>
    <cdr:sp macro="" textlink="">
      <cdr:nvSpPr>
        <cdr:cNvPr id="2" name="TextovéPole 14"/>
        <cdr:cNvSpPr txBox="1"/>
      </cdr:nvSpPr>
      <cdr:spPr>
        <a:xfrm xmlns:a="http://schemas.openxmlformats.org/drawingml/2006/main">
          <a:off x="619125" y="855673"/>
          <a:ext cx="631825" cy="3599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0">
              <a:latin typeface="Arial" pitchFamily="34" charset="0"/>
              <a:cs typeface="Arial" pitchFamily="34" charset="0"/>
            </a:rPr>
            <a:t>20 911</a:t>
          </a:r>
          <a:r>
            <a:rPr lang="cs-CZ" sz="800" b="0" baseline="0">
              <a:latin typeface="Arial" pitchFamily="34" charset="0"/>
              <a:cs typeface="Arial" pitchFamily="34" charset="0"/>
            </a:rPr>
            <a:t> </a:t>
          </a:r>
        </a:p>
        <a:p xmlns:a="http://schemas.openxmlformats.org/drawingml/2006/main">
          <a:pPr algn="ctr"/>
          <a:r>
            <a:rPr lang="cs-CZ" sz="800" b="0" baseline="0">
              <a:latin typeface="Arial" pitchFamily="34" charset="0"/>
              <a:cs typeface="Arial" pitchFamily="34" charset="0"/>
            </a:rPr>
            <a:t>celkem</a:t>
          </a:r>
          <a:endParaRPr lang="cs-CZ" sz="800" b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0.33522</cdr:x>
      <cdr:y>0.37619</cdr:y>
    </cdr:from>
    <cdr:to>
      <cdr:x>0.68631</cdr:x>
      <cdr:y>0.53044</cdr:y>
    </cdr:to>
    <cdr:sp macro="" textlink="">
      <cdr:nvSpPr>
        <cdr:cNvPr id="3" name="TextovéPole 14"/>
        <cdr:cNvSpPr txBox="1"/>
      </cdr:nvSpPr>
      <cdr:spPr>
        <a:xfrm xmlns:a="http://schemas.openxmlformats.org/drawingml/2006/main">
          <a:off x="603250" y="877898"/>
          <a:ext cx="631825" cy="3599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0">
              <a:latin typeface="Arial" pitchFamily="34" charset="0"/>
              <a:cs typeface="Arial" pitchFamily="34" charset="0"/>
            </a:rPr>
            <a:t>20 911</a:t>
          </a:r>
          <a:r>
            <a:rPr lang="cs-CZ" sz="800" b="0" baseline="0">
              <a:latin typeface="Arial" pitchFamily="34" charset="0"/>
              <a:cs typeface="Arial" pitchFamily="34" charset="0"/>
            </a:rPr>
            <a:t> </a:t>
          </a:r>
        </a:p>
        <a:p xmlns:a="http://schemas.openxmlformats.org/drawingml/2006/main">
          <a:pPr algn="ctr"/>
          <a:r>
            <a:rPr lang="cs-CZ" sz="800" b="0" baseline="0">
              <a:latin typeface="Arial" pitchFamily="34" charset="0"/>
              <a:cs typeface="Arial" pitchFamily="34" charset="0"/>
            </a:rPr>
            <a:t>celkem</a:t>
          </a:r>
          <a:endParaRPr lang="cs-CZ" sz="800" b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0.41962</cdr:x>
      <cdr:y>0.36803</cdr:y>
    </cdr:from>
    <cdr:to>
      <cdr:x>0.68963</cdr:x>
      <cdr:y>0.52269</cdr:y>
    </cdr:to>
    <cdr:sp macro="" textlink="">
      <cdr:nvSpPr>
        <cdr:cNvPr id="2" name="TextovéPole 14"/>
        <cdr:cNvSpPr txBox="1"/>
      </cdr:nvSpPr>
      <cdr:spPr>
        <a:xfrm xmlns:a="http://schemas.openxmlformats.org/drawingml/2006/main">
          <a:off x="981899" y="856498"/>
          <a:ext cx="631825" cy="3599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0">
              <a:latin typeface="Arial" pitchFamily="34" charset="0"/>
              <a:cs typeface="Arial" pitchFamily="34" charset="0"/>
            </a:rPr>
            <a:t>20 911</a:t>
          </a:r>
          <a:r>
            <a:rPr lang="cs-CZ" sz="800" b="0" baseline="0">
              <a:latin typeface="Arial" pitchFamily="34" charset="0"/>
              <a:cs typeface="Arial" pitchFamily="34" charset="0"/>
            </a:rPr>
            <a:t> </a:t>
          </a:r>
        </a:p>
        <a:p xmlns:a="http://schemas.openxmlformats.org/drawingml/2006/main">
          <a:pPr algn="ctr"/>
          <a:r>
            <a:rPr lang="cs-CZ" sz="800" b="0" baseline="0">
              <a:latin typeface="Arial" pitchFamily="34" charset="0"/>
              <a:cs typeface="Arial" pitchFamily="34" charset="0"/>
            </a:rPr>
            <a:t>celkem</a:t>
          </a:r>
          <a:endParaRPr lang="cs-CZ" sz="800" b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0.35279</cdr:x>
      <cdr:y>0.35279</cdr:y>
    </cdr:from>
    <cdr:to>
      <cdr:x>0.67191</cdr:x>
      <cdr:y>0.55805</cdr:y>
    </cdr:to>
    <cdr:sp macro="" textlink="">
      <cdr:nvSpPr>
        <cdr:cNvPr id="2" name="TextovéPole 14"/>
        <cdr:cNvSpPr txBox="1"/>
      </cdr:nvSpPr>
      <cdr:spPr>
        <a:xfrm xmlns:a="http://schemas.openxmlformats.org/drawingml/2006/main">
          <a:off x="698500" y="698500"/>
          <a:ext cx="631825" cy="406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0">
              <a:latin typeface="Arial" pitchFamily="34" charset="0"/>
              <a:cs typeface="Arial" pitchFamily="34" charset="0"/>
            </a:rPr>
            <a:t>3 366</a:t>
          </a:r>
          <a:r>
            <a:rPr lang="cs-CZ" sz="800" b="0" baseline="0">
              <a:latin typeface="Arial" pitchFamily="34" charset="0"/>
              <a:cs typeface="Arial" pitchFamily="34" charset="0"/>
            </a:rPr>
            <a:t> </a:t>
          </a:r>
        </a:p>
        <a:p xmlns:a="http://schemas.openxmlformats.org/drawingml/2006/main">
          <a:pPr algn="ctr"/>
          <a:r>
            <a:rPr lang="cs-CZ" sz="800" b="0" baseline="0">
              <a:latin typeface="Arial" pitchFamily="34" charset="0"/>
              <a:cs typeface="Arial" pitchFamily="34" charset="0"/>
            </a:rPr>
            <a:t>celkem</a:t>
          </a:r>
          <a:endParaRPr lang="cs-CZ" sz="800" b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0.7657</cdr:x>
      <cdr:y>0.04677</cdr:y>
    </cdr:from>
    <cdr:to>
      <cdr:x>0.78834</cdr:x>
      <cdr:y>0.08302</cdr:y>
    </cdr:to>
    <cdr:grpSp>
      <cdr:nvGrpSpPr>
        <cdr:cNvPr id="5" name="Skupina 4"/>
        <cdr:cNvGrpSpPr/>
      </cdr:nvGrpSpPr>
      <cdr:grpSpPr>
        <a:xfrm xmlns:a="http://schemas.openxmlformats.org/drawingml/2006/main">
          <a:off x="4658519" y="174015"/>
          <a:ext cx="137742" cy="134873"/>
          <a:chOff x="6660203" y="2675856"/>
          <a:chExt cx="216024" cy="208773"/>
        </a:xfrm>
      </cdr:grpSpPr>
      <cdr:cxnSp macro="">
        <cdr:nvCxnSpPr>
          <cdr:cNvPr id="6" name="Přímá spojnice 5"/>
          <cdr:cNvCxnSpPr/>
        </cdr:nvCxnSpPr>
        <cdr:spPr>
          <a:xfrm xmlns:a="http://schemas.openxmlformats.org/drawingml/2006/main" flipV="1">
            <a:off x="6660203" y="2675856"/>
            <a:ext cx="216024" cy="144016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chemeClr val="bg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7" name="Přímá spojnice 6"/>
          <cdr:cNvCxnSpPr/>
        </cdr:nvCxnSpPr>
        <cdr:spPr>
          <a:xfrm xmlns:a="http://schemas.openxmlformats.org/drawingml/2006/main" flipV="1">
            <a:off x="6660203" y="2740613"/>
            <a:ext cx="216024" cy="144016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chemeClr val="bg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0.35736</cdr:x>
      <cdr:y>0.37457</cdr:y>
    </cdr:from>
    <cdr:to>
      <cdr:x>0.65998</cdr:x>
      <cdr:y>0.53075</cdr:y>
    </cdr:to>
    <cdr:sp macro="" textlink="">
      <cdr:nvSpPr>
        <cdr:cNvPr id="2" name="TextovéPole 14"/>
        <cdr:cNvSpPr txBox="1"/>
      </cdr:nvSpPr>
      <cdr:spPr>
        <a:xfrm xmlns:a="http://schemas.openxmlformats.org/drawingml/2006/main">
          <a:off x="746125" y="974725"/>
          <a:ext cx="631825" cy="406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0">
              <a:latin typeface="Arial" pitchFamily="34" charset="0"/>
              <a:cs typeface="Arial" pitchFamily="34" charset="0"/>
            </a:rPr>
            <a:t>2 802</a:t>
          </a:r>
          <a:r>
            <a:rPr lang="cs-CZ" sz="800" b="0" baseline="0">
              <a:latin typeface="Arial" pitchFamily="34" charset="0"/>
              <a:cs typeface="Arial" pitchFamily="34" charset="0"/>
            </a:rPr>
            <a:t> </a:t>
          </a:r>
        </a:p>
        <a:p xmlns:a="http://schemas.openxmlformats.org/drawingml/2006/main">
          <a:pPr algn="ctr"/>
          <a:r>
            <a:rPr lang="cs-CZ" sz="800" b="0" baseline="0">
              <a:latin typeface="Arial" pitchFamily="34" charset="0"/>
              <a:cs typeface="Arial" pitchFamily="34" charset="0"/>
            </a:rPr>
            <a:t>celkem</a:t>
          </a:r>
          <a:endParaRPr lang="cs-CZ" sz="800" b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0.36313</cdr:x>
      <cdr:y>0.34163</cdr:y>
    </cdr:from>
    <cdr:to>
      <cdr:x>0.65569</cdr:x>
      <cdr:y>0.4978</cdr:y>
    </cdr:to>
    <cdr:sp macro="" textlink="">
      <cdr:nvSpPr>
        <cdr:cNvPr id="2" name="TextovéPole 14"/>
        <cdr:cNvSpPr txBox="1"/>
      </cdr:nvSpPr>
      <cdr:spPr>
        <a:xfrm xmlns:a="http://schemas.openxmlformats.org/drawingml/2006/main">
          <a:off x="784225" y="889000"/>
          <a:ext cx="631825" cy="406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0">
              <a:latin typeface="Arial" pitchFamily="34" charset="0"/>
              <a:cs typeface="Arial" pitchFamily="34" charset="0"/>
            </a:rPr>
            <a:t>2 802</a:t>
          </a:r>
          <a:r>
            <a:rPr lang="cs-CZ" sz="800" b="0" baseline="0">
              <a:latin typeface="Arial" pitchFamily="34" charset="0"/>
              <a:cs typeface="Arial" pitchFamily="34" charset="0"/>
            </a:rPr>
            <a:t> </a:t>
          </a:r>
        </a:p>
        <a:p xmlns:a="http://schemas.openxmlformats.org/drawingml/2006/main">
          <a:pPr algn="ctr"/>
          <a:r>
            <a:rPr lang="cs-CZ" sz="800" b="0" baseline="0">
              <a:latin typeface="Arial" pitchFamily="34" charset="0"/>
              <a:cs typeface="Arial" pitchFamily="34" charset="0"/>
            </a:rPr>
            <a:t>celkem</a:t>
          </a:r>
          <a:endParaRPr lang="cs-CZ" sz="800" b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0.7657</cdr:x>
      <cdr:y>0.04677</cdr:y>
    </cdr:from>
    <cdr:to>
      <cdr:x>0.78834</cdr:x>
      <cdr:y>0.08302</cdr:y>
    </cdr:to>
    <cdr:grpSp>
      <cdr:nvGrpSpPr>
        <cdr:cNvPr id="5" name="Skupina 4"/>
        <cdr:cNvGrpSpPr/>
      </cdr:nvGrpSpPr>
      <cdr:grpSpPr>
        <a:xfrm xmlns:a="http://schemas.openxmlformats.org/drawingml/2006/main">
          <a:off x="4658519" y="174015"/>
          <a:ext cx="137742" cy="134873"/>
          <a:chOff x="6660203" y="2675856"/>
          <a:chExt cx="216024" cy="208773"/>
        </a:xfrm>
      </cdr:grpSpPr>
      <cdr:cxnSp macro="">
        <cdr:nvCxnSpPr>
          <cdr:cNvPr id="6" name="Přímá spojnice 5"/>
          <cdr:cNvCxnSpPr/>
        </cdr:nvCxnSpPr>
        <cdr:spPr>
          <a:xfrm xmlns:a="http://schemas.openxmlformats.org/drawingml/2006/main" flipV="1">
            <a:off x="6660203" y="2675856"/>
            <a:ext cx="216024" cy="144016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chemeClr val="bg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7" name="Přímá spojnice 6"/>
          <cdr:cNvCxnSpPr/>
        </cdr:nvCxnSpPr>
        <cdr:spPr>
          <a:xfrm xmlns:a="http://schemas.openxmlformats.org/drawingml/2006/main" flipV="1">
            <a:off x="6660203" y="2740613"/>
            <a:ext cx="216024" cy="144016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chemeClr val="bg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0.7657</cdr:x>
      <cdr:y>0.04677</cdr:y>
    </cdr:from>
    <cdr:to>
      <cdr:x>0.78834</cdr:x>
      <cdr:y>0.08302</cdr:y>
    </cdr:to>
    <cdr:grpSp>
      <cdr:nvGrpSpPr>
        <cdr:cNvPr id="5" name="Skupina 4"/>
        <cdr:cNvGrpSpPr/>
      </cdr:nvGrpSpPr>
      <cdr:grpSpPr>
        <a:xfrm xmlns:a="http://schemas.openxmlformats.org/drawingml/2006/main">
          <a:off x="4658519" y="174015"/>
          <a:ext cx="137742" cy="134873"/>
          <a:chOff x="6660203" y="2675856"/>
          <a:chExt cx="216024" cy="208773"/>
        </a:xfrm>
      </cdr:grpSpPr>
      <cdr:cxnSp macro="">
        <cdr:nvCxnSpPr>
          <cdr:cNvPr id="6" name="Přímá spojnice 5"/>
          <cdr:cNvCxnSpPr/>
        </cdr:nvCxnSpPr>
        <cdr:spPr>
          <a:xfrm xmlns:a="http://schemas.openxmlformats.org/drawingml/2006/main" flipV="1">
            <a:off x="6660203" y="2675856"/>
            <a:ext cx="216024" cy="144016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chemeClr val="bg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7" name="Přímá spojnice 6"/>
          <cdr:cNvCxnSpPr/>
        </cdr:nvCxnSpPr>
        <cdr:spPr>
          <a:xfrm xmlns:a="http://schemas.openxmlformats.org/drawingml/2006/main" flipV="1">
            <a:off x="6660203" y="2740613"/>
            <a:ext cx="216024" cy="144016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chemeClr val="bg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0.34227</cdr:x>
      <cdr:y>0.36387</cdr:y>
    </cdr:from>
    <cdr:to>
      <cdr:x>0.69337</cdr:x>
      <cdr:y>0.53054</cdr:y>
    </cdr:to>
    <cdr:sp macro="" textlink="">
      <cdr:nvSpPr>
        <cdr:cNvPr id="2" name="TextovéPole 14"/>
        <cdr:cNvSpPr txBox="1"/>
      </cdr:nvSpPr>
      <cdr:spPr>
        <a:xfrm xmlns:a="http://schemas.openxmlformats.org/drawingml/2006/main">
          <a:off x="615950" y="785823"/>
          <a:ext cx="631825" cy="3599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0">
              <a:latin typeface="Arial" pitchFamily="34" charset="0"/>
              <a:cs typeface="Arial" pitchFamily="34" charset="0"/>
            </a:rPr>
            <a:t>14 446</a:t>
          </a:r>
          <a:r>
            <a:rPr lang="cs-CZ" sz="800" b="0" baseline="0">
              <a:latin typeface="Arial" pitchFamily="34" charset="0"/>
              <a:cs typeface="Arial" pitchFamily="34" charset="0"/>
            </a:rPr>
            <a:t> </a:t>
          </a:r>
        </a:p>
        <a:p xmlns:a="http://schemas.openxmlformats.org/drawingml/2006/main">
          <a:pPr algn="ctr"/>
          <a:r>
            <a:rPr lang="cs-CZ" sz="800" b="0" baseline="0">
              <a:latin typeface="Arial" pitchFamily="34" charset="0"/>
              <a:cs typeface="Arial" pitchFamily="34" charset="0"/>
            </a:rPr>
            <a:t>celkem</a:t>
          </a:r>
          <a:endParaRPr lang="cs-CZ" sz="800" b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0.33345</cdr:x>
      <cdr:y>0.35786</cdr:y>
    </cdr:from>
    <cdr:to>
      <cdr:x>0.68454</cdr:x>
      <cdr:y>0.52453</cdr:y>
    </cdr:to>
    <cdr:sp macro="" textlink="">
      <cdr:nvSpPr>
        <cdr:cNvPr id="2" name="TextovéPole 14"/>
        <cdr:cNvSpPr txBox="1"/>
      </cdr:nvSpPr>
      <cdr:spPr>
        <a:xfrm xmlns:a="http://schemas.openxmlformats.org/drawingml/2006/main">
          <a:off x="600075" y="772852"/>
          <a:ext cx="631825" cy="3599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0">
              <a:latin typeface="Arial" pitchFamily="34" charset="0"/>
              <a:cs typeface="Arial" pitchFamily="34" charset="0"/>
            </a:rPr>
            <a:t>14 446</a:t>
          </a:r>
          <a:r>
            <a:rPr lang="cs-CZ" sz="800" b="0" baseline="0">
              <a:latin typeface="Arial" pitchFamily="34" charset="0"/>
              <a:cs typeface="Arial" pitchFamily="34" charset="0"/>
            </a:rPr>
            <a:t> </a:t>
          </a:r>
        </a:p>
        <a:p xmlns:a="http://schemas.openxmlformats.org/drawingml/2006/main">
          <a:pPr algn="ctr"/>
          <a:r>
            <a:rPr lang="cs-CZ" sz="800" b="0" baseline="0">
              <a:latin typeface="Arial" pitchFamily="34" charset="0"/>
              <a:cs typeface="Arial" pitchFamily="34" charset="0"/>
            </a:rPr>
            <a:t>celkem</a:t>
          </a:r>
          <a:endParaRPr lang="cs-CZ" sz="800" b="0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E07A-8CD7-4274-8E90-6F1B5146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3786</TotalTime>
  <Pages>21</Pages>
  <Words>6491</Words>
  <Characters>38298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Štampach</dc:creator>
  <cp:lastModifiedBy>Štampach Marek</cp:lastModifiedBy>
  <cp:revision>180</cp:revision>
  <cp:lastPrinted>2018-01-19T13:29:00Z</cp:lastPrinted>
  <dcterms:created xsi:type="dcterms:W3CDTF">2022-01-20T14:32:00Z</dcterms:created>
  <dcterms:modified xsi:type="dcterms:W3CDTF">2023-01-30T09:18:00Z</dcterms:modified>
</cp:coreProperties>
</file>