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drawings/drawing15.xml" ContentType="application/vnd.openxmlformats-officedocument.drawingml.chartshapes+xml"/>
  <Override PartName="/word/charts/chart16.xml" ContentType="application/vnd.openxmlformats-officedocument.drawingml.chart+xml"/>
  <Override PartName="/word/drawings/drawing16.xml" ContentType="application/vnd.openxmlformats-officedocument.drawingml.chartshapes+xml"/>
  <Override PartName="/word/charts/chart17.xml" ContentType="application/vnd.openxmlformats-officedocument.drawingml.chart+xml"/>
  <Override PartName="/word/drawings/drawing17.xml" ContentType="application/vnd.openxmlformats-officedocument.drawingml.chartshapes+xml"/>
  <Override PartName="/word/charts/chart18.xml" ContentType="application/vnd.openxmlformats-officedocument.drawingml.chart+xml"/>
  <Override PartName="/word/drawings/drawing18.xml" ContentType="application/vnd.openxmlformats-officedocument.drawingml.chartshapes+xml"/>
  <Override PartName="/word/charts/chart19.xml" ContentType="application/vnd.openxmlformats-officedocument.drawingml.chart+xml"/>
  <Override PartName="/word/drawings/drawing19.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214" w:rsidRPr="00457214" w:rsidRDefault="00457214" w:rsidP="00457214">
      <w:pPr>
        <w:pStyle w:val="Nadpis1"/>
      </w:pPr>
      <w:bookmarkStart w:id="0" w:name="_Toc533697487"/>
      <w:bookmarkStart w:id="1" w:name="_Toc534711986"/>
      <w:bookmarkStart w:id="2" w:name="_Toc526839141"/>
      <w:bookmarkStart w:id="3" w:name="_Toc527107102"/>
      <w:r w:rsidRPr="00457214">
        <w:t>Chapter B Households and ICT</w:t>
      </w:r>
      <w:bookmarkEnd w:id="0"/>
      <w:bookmarkEnd w:id="1"/>
    </w:p>
    <w:p w:rsidR="00457214" w:rsidRPr="00970B85" w:rsidRDefault="00457214" w:rsidP="00457214">
      <w:pPr>
        <w:pStyle w:val="Zkladntext"/>
        <w:spacing w:before="0" w:after="80" w:line="264" w:lineRule="auto"/>
        <w:rPr>
          <w:i/>
          <w:sz w:val="20"/>
          <w:lang w:val="en-GB"/>
        </w:rPr>
      </w:pPr>
      <w:r w:rsidRPr="00970B85">
        <w:rPr>
          <w:i/>
          <w:sz w:val="20"/>
          <w:lang w:val="en-GB"/>
        </w:rPr>
        <w:t>In recent years, we have witnessed some significant changes in the use of information and communication technologies (hereinafter referred to as the “ICT”) not only in the Czech Republic, but also abroad. This mainly concerns the switch-over from non-portable devices, such as desktop computer or a fixed telephone line, to portable and mobile devices and connection. Whereas the percentage of households equipped with a</w:t>
      </w:r>
      <w:r>
        <w:rPr>
          <w:i/>
          <w:sz w:val="20"/>
          <w:lang w:val="en-GB"/>
        </w:rPr>
        <w:t> </w:t>
      </w:r>
      <w:r w:rsidRPr="00970B85">
        <w:rPr>
          <w:i/>
          <w:sz w:val="20"/>
          <w:lang w:val="en-GB"/>
        </w:rPr>
        <w:t>computer in the Czech Republic has not been increasing dramatically</w:t>
      </w:r>
      <w:r>
        <w:rPr>
          <w:i/>
          <w:sz w:val="20"/>
          <w:lang w:val="en-GB"/>
        </w:rPr>
        <w:t xml:space="preserve"> any more</w:t>
      </w:r>
      <w:r w:rsidRPr="00970B85">
        <w:rPr>
          <w:i/>
          <w:sz w:val="20"/>
          <w:lang w:val="en-GB"/>
        </w:rPr>
        <w:t xml:space="preserve">, the percentage of households equipped with several ICT devices is </w:t>
      </w:r>
      <w:r>
        <w:rPr>
          <w:i/>
          <w:sz w:val="20"/>
          <w:lang w:val="en-GB"/>
        </w:rPr>
        <w:t xml:space="preserve">still </w:t>
      </w:r>
      <w:r w:rsidRPr="00970B85">
        <w:rPr>
          <w:i/>
          <w:sz w:val="20"/>
          <w:lang w:val="en-GB"/>
        </w:rPr>
        <w:t xml:space="preserve">on the </w:t>
      </w:r>
      <w:r>
        <w:rPr>
          <w:i/>
          <w:sz w:val="20"/>
          <w:lang w:val="en-GB"/>
        </w:rPr>
        <w:t>rise</w:t>
      </w:r>
      <w:r w:rsidRPr="00970B85">
        <w:rPr>
          <w:i/>
          <w:sz w:val="20"/>
          <w:lang w:val="en-GB"/>
        </w:rPr>
        <w:t>. Also</w:t>
      </w:r>
      <w:r>
        <w:rPr>
          <w:i/>
          <w:sz w:val="20"/>
          <w:lang w:val="en-GB"/>
        </w:rPr>
        <w:t>,</w:t>
      </w:r>
      <w:r w:rsidRPr="00970B85">
        <w:rPr>
          <w:i/>
          <w:sz w:val="20"/>
          <w:lang w:val="en-GB"/>
        </w:rPr>
        <w:t xml:space="preserve"> the character of usage of these digital devices has been changing from </w:t>
      </w:r>
      <w:r>
        <w:rPr>
          <w:i/>
          <w:sz w:val="20"/>
          <w:lang w:val="en-GB"/>
        </w:rPr>
        <w:t>shared usage to individual</w:t>
      </w:r>
      <w:r w:rsidRPr="00970B85">
        <w:rPr>
          <w:i/>
          <w:sz w:val="20"/>
          <w:lang w:val="en-GB"/>
        </w:rPr>
        <w:t xml:space="preserve">. </w:t>
      </w:r>
    </w:p>
    <w:p w:rsidR="00457214" w:rsidRDefault="00457214" w:rsidP="00457214">
      <w:pPr>
        <w:pStyle w:val="Zkladntext"/>
        <w:spacing w:before="0" w:after="80" w:line="264" w:lineRule="auto"/>
        <w:rPr>
          <w:i/>
          <w:sz w:val="20"/>
          <w:lang w:val="en-GB"/>
        </w:rPr>
      </w:pPr>
      <w:r w:rsidRPr="00970B85">
        <w:rPr>
          <w:i/>
          <w:sz w:val="20"/>
          <w:lang w:val="en-GB"/>
        </w:rPr>
        <w:t xml:space="preserve">On a long-term scale, </w:t>
      </w:r>
      <w:r>
        <w:rPr>
          <w:i/>
          <w:sz w:val="20"/>
          <w:lang w:val="en-GB"/>
        </w:rPr>
        <w:t xml:space="preserve">the </w:t>
      </w:r>
      <w:r w:rsidRPr="00970B85">
        <w:rPr>
          <w:i/>
          <w:sz w:val="20"/>
          <w:lang w:val="en-GB"/>
        </w:rPr>
        <w:t xml:space="preserve">Czech Statistical Office has been recording these changes by means of a yearly </w:t>
      </w:r>
      <w:r>
        <w:rPr>
          <w:i/>
          <w:sz w:val="20"/>
          <w:lang w:val="en-GB"/>
        </w:rPr>
        <w:t xml:space="preserve">harmonised </w:t>
      </w:r>
      <w:r w:rsidRPr="00970B85">
        <w:rPr>
          <w:i/>
          <w:sz w:val="20"/>
          <w:lang w:val="en-GB"/>
        </w:rPr>
        <w:t xml:space="preserve">survey </w:t>
      </w:r>
      <w:r>
        <w:rPr>
          <w:i/>
          <w:sz w:val="20"/>
          <w:lang w:val="en-GB"/>
        </w:rPr>
        <w:t xml:space="preserve">in all EU countries </w:t>
      </w:r>
      <w:r w:rsidRPr="00970B85">
        <w:rPr>
          <w:i/>
          <w:sz w:val="20"/>
          <w:lang w:val="en-GB"/>
        </w:rPr>
        <w:t xml:space="preserve">on </w:t>
      </w:r>
      <w:r>
        <w:rPr>
          <w:i/>
          <w:sz w:val="20"/>
          <w:lang w:val="en-GB"/>
        </w:rPr>
        <w:t>the usage of ICT</w:t>
      </w:r>
      <w:r w:rsidRPr="00970B85">
        <w:rPr>
          <w:i/>
          <w:sz w:val="20"/>
          <w:lang w:val="en-GB"/>
        </w:rPr>
        <w:t xml:space="preserve"> in households</w:t>
      </w:r>
      <w:r w:rsidRPr="00970B85">
        <w:rPr>
          <w:rStyle w:val="Znakapoznpodarou"/>
          <w:i/>
          <w:sz w:val="20"/>
          <w:lang w:val="en-GB"/>
        </w:rPr>
        <w:footnoteReference w:id="1"/>
      </w:r>
      <w:r w:rsidRPr="00970B85">
        <w:rPr>
          <w:i/>
          <w:sz w:val="20"/>
          <w:lang w:val="en-GB"/>
        </w:rPr>
        <w:t>. The results from this survey</w:t>
      </w:r>
      <w:r>
        <w:rPr>
          <w:i/>
          <w:sz w:val="20"/>
          <w:lang w:val="en-GB"/>
        </w:rPr>
        <w:t>,</w:t>
      </w:r>
      <w:r w:rsidRPr="00970B85">
        <w:rPr>
          <w:i/>
          <w:sz w:val="20"/>
          <w:lang w:val="en-GB"/>
        </w:rPr>
        <w:t xml:space="preserve"> on the expansion of selected digital technologies to Czech and European households</w:t>
      </w:r>
      <w:r>
        <w:rPr>
          <w:i/>
          <w:sz w:val="20"/>
          <w:lang w:val="en-GB"/>
        </w:rPr>
        <w:t>,</w:t>
      </w:r>
      <w:r w:rsidRPr="00970B85">
        <w:rPr>
          <w:i/>
          <w:sz w:val="20"/>
          <w:lang w:val="en-GB"/>
        </w:rPr>
        <w:t xml:space="preserve"> provide interesting data, especially if monitoring the individual types of households. They confirm how great the difference may be between the households with or without children, households of younger generation compared to households of pensioners, and between the households of various income groups.</w:t>
      </w:r>
      <w:r w:rsidRPr="00970B85">
        <w:rPr>
          <w:lang w:val="en-GB"/>
        </w:rPr>
        <w:t xml:space="preserve"> </w:t>
      </w:r>
    </w:p>
    <w:p w:rsidR="00457214" w:rsidRPr="00C650A6" w:rsidRDefault="00457214" w:rsidP="00457214">
      <w:pPr>
        <w:pStyle w:val="Nadpis2"/>
      </w:pPr>
      <w:bookmarkStart w:id="4" w:name="_Toc533697488"/>
      <w:bookmarkStart w:id="5" w:name="_Toc534711987"/>
      <w:r w:rsidRPr="00C650A6">
        <w:rPr>
          <w:bCs w:val="0"/>
        </w:rPr>
        <w:t xml:space="preserve">B.1 Households </w:t>
      </w:r>
      <w:r>
        <w:rPr>
          <w:bCs w:val="0"/>
        </w:rPr>
        <w:t>and telephone</w:t>
      </w:r>
      <w:bookmarkEnd w:id="4"/>
      <w:bookmarkEnd w:id="5"/>
    </w:p>
    <w:p w:rsidR="00457214" w:rsidRPr="00970B85" w:rsidRDefault="00457214" w:rsidP="00457214">
      <w:pPr>
        <w:spacing w:after="80" w:line="264" w:lineRule="auto"/>
        <w:jc w:val="both"/>
        <w:rPr>
          <w:i/>
        </w:rPr>
      </w:pPr>
      <w:r w:rsidRPr="00970B85">
        <w:rPr>
          <w:i/>
        </w:rPr>
        <w:t>With some exceptions, all households in the Czech Republic currently have access to a telephone</w:t>
      </w:r>
      <w:r w:rsidRPr="00970B85">
        <w:rPr>
          <w:rStyle w:val="Znakapoznpodarou"/>
          <w:i/>
        </w:rPr>
        <w:footnoteReference w:id="2"/>
      </w:r>
      <w:r w:rsidRPr="00970B85">
        <w:rPr>
          <w:i/>
        </w:rPr>
        <w:t>. Compared to the past</w:t>
      </w:r>
      <w:r>
        <w:rPr>
          <w:i/>
        </w:rPr>
        <w:t>,</w:t>
      </w:r>
      <w:r w:rsidRPr="00970B85">
        <w:rPr>
          <w:i/>
        </w:rPr>
        <w:t xml:space="preserve"> when mainly the fixed telephone line was used, nowadays all households prefer the usage of mobile phones. Whereas Czech households changed fixed telephone lines to mobile phones, both types of devices are </w:t>
      </w:r>
      <w:r>
        <w:rPr>
          <w:i/>
        </w:rPr>
        <w:t xml:space="preserve">to some extent still </w:t>
      </w:r>
      <w:r w:rsidRPr="00970B85">
        <w:rPr>
          <w:i/>
        </w:rPr>
        <w:t>commonly used in some EU countries.</w:t>
      </w:r>
    </w:p>
    <w:p w:rsidR="00457214" w:rsidRDefault="00457214" w:rsidP="00457214">
      <w:pPr>
        <w:pStyle w:val="Nadpis3"/>
      </w:pPr>
      <w:bookmarkStart w:id="7" w:name="_Toc533697489"/>
      <w:bookmarkStart w:id="8" w:name="_Toc534711988"/>
      <w:r w:rsidRPr="00970B85">
        <w:t>Households with a fixed telephone</w:t>
      </w:r>
      <w:bookmarkEnd w:id="7"/>
      <w:bookmarkEnd w:id="8"/>
    </w:p>
    <w:p w:rsidR="00457214" w:rsidRPr="004D1EC1" w:rsidRDefault="00457214" w:rsidP="00457214">
      <w:pPr>
        <w:spacing w:after="80" w:line="264" w:lineRule="auto"/>
        <w:jc w:val="both"/>
        <w:rPr>
          <w:i/>
        </w:rPr>
      </w:pPr>
      <w:r w:rsidRPr="004D1EC1">
        <w:rPr>
          <w:i/>
        </w:rPr>
        <w:t>The way in which the Czech population is using telephony is changing rapidly. Fewer households have a fixed telephone connection. Telephone calls are more often routed via internet applications and the number of mobile subscriptions is growing. In addition, the function of the mobile telephone is changing. Many people are now using their smartphone for internet browsing and to communicate via internet applications, such as WhatsApp and social media. These changes have drastic consequences for the telecom market.</w:t>
      </w:r>
    </w:p>
    <w:p w:rsidR="00457214" w:rsidRPr="00970B85" w:rsidRDefault="00457214" w:rsidP="00457214">
      <w:pPr>
        <w:pStyle w:val="Zkladntext"/>
        <w:numPr>
          <w:ilvl w:val="0"/>
          <w:numId w:val="15"/>
        </w:numPr>
        <w:tabs>
          <w:tab w:val="clear" w:pos="360"/>
        </w:tabs>
        <w:spacing w:before="0" w:after="80" w:line="264" w:lineRule="auto"/>
        <w:ind w:left="284" w:hanging="284"/>
        <w:rPr>
          <w:sz w:val="20"/>
          <w:szCs w:val="20"/>
          <w:lang w:val="en-GB"/>
        </w:rPr>
      </w:pPr>
      <w:r w:rsidRPr="00970B85">
        <w:rPr>
          <w:bCs/>
          <w:sz w:val="20"/>
          <w:szCs w:val="20"/>
          <w:lang w:val="en-GB"/>
        </w:rPr>
        <w:t>Since 2000</w:t>
      </w:r>
      <w:r>
        <w:rPr>
          <w:bCs/>
          <w:sz w:val="20"/>
          <w:szCs w:val="20"/>
          <w:lang w:val="en-GB"/>
        </w:rPr>
        <w:t>,</w:t>
      </w:r>
      <w:r w:rsidRPr="00970B85">
        <w:rPr>
          <w:bCs/>
          <w:sz w:val="20"/>
          <w:szCs w:val="20"/>
          <w:lang w:val="en-GB"/>
        </w:rPr>
        <w:t xml:space="preserve"> the percentage of Czech households using </w:t>
      </w:r>
      <w:r w:rsidRPr="00970B85">
        <w:rPr>
          <w:b/>
          <w:bCs/>
          <w:sz w:val="20"/>
          <w:szCs w:val="20"/>
          <w:lang w:val="en-GB"/>
        </w:rPr>
        <w:t>fixed telephone lines</w:t>
      </w:r>
      <w:r>
        <w:rPr>
          <w:bCs/>
          <w:sz w:val="20"/>
          <w:szCs w:val="20"/>
          <w:lang w:val="en-GB"/>
        </w:rPr>
        <w:t xml:space="preserve"> has been</w:t>
      </w:r>
      <w:r w:rsidRPr="00970B85">
        <w:rPr>
          <w:bCs/>
          <w:sz w:val="20"/>
          <w:szCs w:val="20"/>
          <w:lang w:val="en-GB"/>
        </w:rPr>
        <w:t xml:space="preserve"> decreasing. At the end of 2016</w:t>
      </w:r>
      <w:r>
        <w:rPr>
          <w:bCs/>
          <w:sz w:val="20"/>
          <w:szCs w:val="20"/>
          <w:lang w:val="en-GB"/>
        </w:rPr>
        <w:t>,</w:t>
      </w:r>
      <w:r w:rsidRPr="00970B85">
        <w:rPr>
          <w:bCs/>
          <w:sz w:val="20"/>
          <w:szCs w:val="20"/>
          <w:lang w:val="en-GB"/>
        </w:rPr>
        <w:t xml:space="preserve"> a fixed telephone was used by less than 14% of households, whereas in 2000 </w:t>
      </w:r>
      <w:r>
        <w:rPr>
          <w:bCs/>
          <w:sz w:val="20"/>
          <w:szCs w:val="20"/>
          <w:lang w:val="en-GB"/>
        </w:rPr>
        <w:t>they</w:t>
      </w:r>
      <w:r w:rsidRPr="00970B85">
        <w:rPr>
          <w:bCs/>
          <w:sz w:val="20"/>
          <w:szCs w:val="20"/>
          <w:lang w:val="en-GB"/>
        </w:rPr>
        <w:t xml:space="preserve"> were used by three quarters of Czech households.</w:t>
      </w:r>
    </w:p>
    <w:p w:rsidR="00457214" w:rsidRPr="00970B85" w:rsidRDefault="00457214" w:rsidP="00457214">
      <w:pPr>
        <w:pStyle w:val="Zkladntext"/>
        <w:numPr>
          <w:ilvl w:val="0"/>
          <w:numId w:val="15"/>
        </w:numPr>
        <w:tabs>
          <w:tab w:val="clear" w:pos="360"/>
        </w:tabs>
        <w:spacing w:before="0" w:after="80" w:line="264" w:lineRule="auto"/>
        <w:ind w:left="284" w:hanging="284"/>
        <w:rPr>
          <w:sz w:val="20"/>
          <w:szCs w:val="20"/>
          <w:lang w:val="en-GB"/>
        </w:rPr>
      </w:pPr>
      <w:r w:rsidRPr="00970B85">
        <w:rPr>
          <w:bCs/>
          <w:sz w:val="20"/>
          <w:szCs w:val="20"/>
          <w:lang w:val="en-GB"/>
        </w:rPr>
        <w:t xml:space="preserve">A fixed telephone is most frequently used in the households of </w:t>
      </w:r>
      <w:r w:rsidRPr="00970B85">
        <w:rPr>
          <w:b/>
          <w:bCs/>
          <w:sz w:val="20"/>
          <w:szCs w:val="20"/>
          <w:lang w:val="en-GB"/>
        </w:rPr>
        <w:t>pensioners</w:t>
      </w:r>
      <w:r>
        <w:rPr>
          <w:b/>
          <w:bCs/>
          <w:sz w:val="20"/>
          <w:szCs w:val="20"/>
          <w:lang w:val="en-GB"/>
        </w:rPr>
        <w:t xml:space="preserve">. </w:t>
      </w:r>
      <w:r w:rsidRPr="0058273D">
        <w:rPr>
          <w:bCs/>
          <w:sz w:val="20"/>
          <w:szCs w:val="20"/>
          <w:lang w:val="en-GB"/>
        </w:rPr>
        <w:t>In</w:t>
      </w:r>
      <w:r>
        <w:rPr>
          <w:bCs/>
          <w:sz w:val="20"/>
          <w:szCs w:val="20"/>
          <w:lang w:val="en-GB"/>
        </w:rPr>
        <w:t xml:space="preserve"> 2016 a fixed telephone was still used by a fifth of these households</w:t>
      </w:r>
      <w:r w:rsidRPr="00970B85">
        <w:rPr>
          <w:bCs/>
          <w:sz w:val="20"/>
          <w:szCs w:val="20"/>
          <w:lang w:val="en-GB"/>
        </w:rPr>
        <w:t xml:space="preserve">. In the households of </w:t>
      </w:r>
      <w:r w:rsidRPr="00CA251B">
        <w:rPr>
          <w:b/>
          <w:bCs/>
          <w:sz w:val="20"/>
          <w:szCs w:val="20"/>
          <w:lang w:val="en-GB"/>
        </w:rPr>
        <w:t>“</w:t>
      </w:r>
      <w:r w:rsidRPr="00970B85">
        <w:rPr>
          <w:b/>
          <w:bCs/>
          <w:sz w:val="20"/>
          <w:szCs w:val="20"/>
          <w:lang w:val="en-GB"/>
        </w:rPr>
        <w:t>young</w:t>
      </w:r>
      <w:r w:rsidRPr="00FD1FE6">
        <w:rPr>
          <w:b/>
          <w:bCs/>
          <w:sz w:val="20"/>
          <w:szCs w:val="20"/>
          <w:lang w:val="en-GB"/>
        </w:rPr>
        <w:t>”</w:t>
      </w:r>
      <w:r w:rsidRPr="00970B85">
        <w:rPr>
          <w:bCs/>
          <w:sz w:val="20"/>
          <w:szCs w:val="20"/>
          <w:lang w:val="en-GB"/>
        </w:rPr>
        <w:t xml:space="preserve"> families</w:t>
      </w:r>
      <w:r>
        <w:rPr>
          <w:bCs/>
          <w:sz w:val="20"/>
          <w:szCs w:val="20"/>
          <w:lang w:val="en-GB"/>
        </w:rPr>
        <w:t>,</w:t>
      </w:r>
      <w:r w:rsidRPr="00970B85">
        <w:rPr>
          <w:bCs/>
          <w:sz w:val="20"/>
          <w:szCs w:val="20"/>
          <w:lang w:val="en-GB"/>
        </w:rPr>
        <w:t xml:space="preserve"> the use of fixed telephone lines</w:t>
      </w:r>
      <w:r>
        <w:rPr>
          <w:bCs/>
          <w:sz w:val="20"/>
          <w:szCs w:val="20"/>
          <w:lang w:val="en-GB"/>
        </w:rPr>
        <w:t>,</w:t>
      </w:r>
      <w:r w:rsidRPr="00970B85">
        <w:rPr>
          <w:bCs/>
          <w:sz w:val="20"/>
          <w:szCs w:val="20"/>
          <w:lang w:val="en-GB"/>
        </w:rPr>
        <w:t xml:space="preserve"> in order to mak</w:t>
      </w:r>
      <w:r>
        <w:rPr>
          <w:bCs/>
          <w:sz w:val="20"/>
          <w:szCs w:val="20"/>
          <w:lang w:val="en-GB"/>
        </w:rPr>
        <w:t>e</w:t>
      </w:r>
      <w:r w:rsidRPr="00970B85">
        <w:rPr>
          <w:bCs/>
          <w:sz w:val="20"/>
          <w:szCs w:val="20"/>
          <w:lang w:val="en-GB"/>
        </w:rPr>
        <w:t xml:space="preserve"> phone calls</w:t>
      </w:r>
      <w:r>
        <w:rPr>
          <w:bCs/>
          <w:sz w:val="20"/>
          <w:szCs w:val="20"/>
          <w:lang w:val="en-GB"/>
        </w:rPr>
        <w:t>,</w:t>
      </w:r>
      <w:r w:rsidRPr="00970B85">
        <w:rPr>
          <w:bCs/>
          <w:sz w:val="20"/>
          <w:szCs w:val="20"/>
          <w:lang w:val="en-GB"/>
        </w:rPr>
        <w:t xml:space="preserve"> is rather exceptional. In 2016, a fixed telephone was used by 1.5% of households with a leading person aged up to 29.</w:t>
      </w:r>
    </w:p>
    <w:p w:rsidR="00457214" w:rsidRPr="00970B85" w:rsidRDefault="00457214" w:rsidP="00457214">
      <w:pPr>
        <w:pStyle w:val="Zkladntext"/>
        <w:spacing w:after="120" w:line="264" w:lineRule="auto"/>
        <w:rPr>
          <w:b/>
          <w:i/>
          <w:color w:val="009BB4"/>
          <w:sz w:val="22"/>
          <w:lang w:val="en-GB"/>
        </w:rPr>
      </w:pPr>
      <w:bookmarkStart w:id="9" w:name="_Toc528845439"/>
      <w:bookmarkEnd w:id="2"/>
      <w:bookmarkEnd w:id="3"/>
      <w:r w:rsidRPr="00970B85">
        <w:rPr>
          <w:noProof/>
        </w:rPr>
        <w:lastRenderedPageBreak/>
        <w:drawing>
          <wp:inline distT="0" distB="0" distL="0" distR="0" wp14:anchorId="0159A0D2" wp14:editId="667B3B34">
            <wp:extent cx="6120000" cy="2700000"/>
            <wp:effectExtent l="0" t="0" r="0" b="5715"/>
            <wp:docPr id="27" name="Graf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57214" w:rsidRPr="00970B85" w:rsidRDefault="00457214" w:rsidP="00457214">
      <w:pPr>
        <w:pStyle w:val="Zkladntext"/>
        <w:numPr>
          <w:ilvl w:val="0"/>
          <w:numId w:val="15"/>
        </w:numPr>
        <w:tabs>
          <w:tab w:val="clear" w:pos="360"/>
        </w:tabs>
        <w:spacing w:before="0" w:after="80" w:line="264" w:lineRule="auto"/>
        <w:ind w:left="284" w:hanging="284"/>
        <w:rPr>
          <w:sz w:val="20"/>
          <w:szCs w:val="20"/>
          <w:lang w:val="en-GB"/>
        </w:rPr>
      </w:pPr>
      <w:r w:rsidRPr="00970B85">
        <w:rPr>
          <w:b/>
          <w:bCs/>
          <w:sz w:val="20"/>
          <w:szCs w:val="20"/>
          <w:lang w:val="en-GB"/>
        </w:rPr>
        <w:t>Among the EU countries</w:t>
      </w:r>
      <w:r w:rsidRPr="00970B85">
        <w:rPr>
          <w:bCs/>
          <w:sz w:val="20"/>
          <w:szCs w:val="20"/>
          <w:lang w:val="en-GB"/>
        </w:rPr>
        <w:t xml:space="preserve">, the least frequent usage of a fixed telephone line </w:t>
      </w:r>
      <w:r>
        <w:rPr>
          <w:bCs/>
          <w:sz w:val="20"/>
          <w:szCs w:val="20"/>
          <w:lang w:val="en-GB"/>
        </w:rPr>
        <w:t>with</w:t>
      </w:r>
      <w:r w:rsidRPr="00970B85">
        <w:rPr>
          <w:bCs/>
          <w:sz w:val="20"/>
          <w:szCs w:val="20"/>
          <w:lang w:val="en-GB"/>
        </w:rPr>
        <w:t>in households is in the Czech Republic. In 2015 – new data for international comparison is not available – only 13% of households claimed to be using a fixed telephone line for voice services. A similar percentage (14%) was recorded in Finland.</w:t>
      </w:r>
    </w:p>
    <w:p w:rsidR="00457214" w:rsidRPr="00970B85" w:rsidRDefault="00457214" w:rsidP="00457214">
      <w:pPr>
        <w:pStyle w:val="Zkladntext"/>
        <w:numPr>
          <w:ilvl w:val="0"/>
          <w:numId w:val="15"/>
        </w:numPr>
        <w:tabs>
          <w:tab w:val="clear" w:pos="360"/>
        </w:tabs>
        <w:spacing w:before="0" w:after="80" w:line="264" w:lineRule="auto"/>
        <w:ind w:left="284" w:hanging="284"/>
        <w:rPr>
          <w:sz w:val="20"/>
          <w:szCs w:val="20"/>
          <w:lang w:val="en-GB"/>
        </w:rPr>
      </w:pPr>
      <w:r>
        <w:rPr>
          <w:bCs/>
          <w:sz w:val="20"/>
          <w:szCs w:val="20"/>
          <w:lang w:val="en-GB"/>
        </w:rPr>
        <w:t>O</w:t>
      </w:r>
      <w:r w:rsidRPr="00970B85">
        <w:rPr>
          <w:bCs/>
          <w:sz w:val="20"/>
          <w:szCs w:val="20"/>
          <w:lang w:val="en-GB"/>
        </w:rPr>
        <w:t>pposed to th</w:t>
      </w:r>
      <w:r>
        <w:rPr>
          <w:bCs/>
          <w:sz w:val="20"/>
          <w:szCs w:val="20"/>
          <w:lang w:val="en-GB"/>
        </w:rPr>
        <w:t>is</w:t>
      </w:r>
      <w:r w:rsidRPr="00970B85">
        <w:rPr>
          <w:bCs/>
          <w:sz w:val="20"/>
          <w:szCs w:val="20"/>
          <w:lang w:val="en-GB"/>
        </w:rPr>
        <w:t>, the</w:t>
      </w:r>
      <w:r w:rsidRPr="00970B85">
        <w:rPr>
          <w:b/>
          <w:bCs/>
          <w:sz w:val="20"/>
          <w:szCs w:val="20"/>
          <w:lang w:val="en-GB"/>
        </w:rPr>
        <w:t xml:space="preserve"> EU28 average</w:t>
      </w:r>
      <w:r w:rsidRPr="00970B85">
        <w:rPr>
          <w:bCs/>
          <w:sz w:val="20"/>
          <w:szCs w:val="20"/>
          <w:lang w:val="en-GB"/>
        </w:rPr>
        <w:t xml:space="preserve"> still reached a relatively high number (65%)</w:t>
      </w:r>
      <w:r>
        <w:rPr>
          <w:bCs/>
          <w:sz w:val="20"/>
          <w:szCs w:val="20"/>
          <w:lang w:val="en-GB"/>
        </w:rPr>
        <w:t>,</w:t>
      </w:r>
      <w:r w:rsidRPr="00970B85">
        <w:rPr>
          <w:bCs/>
          <w:sz w:val="20"/>
          <w:szCs w:val="20"/>
          <w:lang w:val="en-GB"/>
        </w:rPr>
        <w:t xml:space="preserve"> which was due to the high percentage of households using a fixed telephone line within its largest countries: 85% in Germany, 81% in France, and 78% in Great Britain. However, the highest percentage </w:t>
      </w:r>
      <w:r>
        <w:rPr>
          <w:bCs/>
          <w:sz w:val="20"/>
          <w:szCs w:val="20"/>
          <w:lang w:val="en-GB"/>
        </w:rPr>
        <w:t>over</w:t>
      </w:r>
      <w:r w:rsidRPr="00970B85">
        <w:rPr>
          <w:bCs/>
          <w:sz w:val="20"/>
          <w:szCs w:val="20"/>
          <w:lang w:val="en-GB"/>
        </w:rPr>
        <w:t xml:space="preserve">all was recorded in Malta (93%). </w:t>
      </w:r>
    </w:p>
    <w:p w:rsidR="00457214" w:rsidRDefault="00457214" w:rsidP="00457214">
      <w:pPr>
        <w:pStyle w:val="Zkladntext"/>
        <w:spacing w:before="0" w:after="120" w:line="288" w:lineRule="auto"/>
        <w:rPr>
          <w:sz w:val="20"/>
          <w:szCs w:val="20"/>
          <w:lang w:val="en-GB"/>
        </w:rPr>
      </w:pPr>
      <w:r w:rsidRPr="00970B85">
        <w:rPr>
          <w:noProof/>
        </w:rPr>
        <w:drawing>
          <wp:inline distT="0" distB="0" distL="0" distR="0" wp14:anchorId="209B2C76" wp14:editId="7C055F63">
            <wp:extent cx="5972175" cy="3060000"/>
            <wp:effectExtent l="0" t="0" r="0" b="7620"/>
            <wp:docPr id="28" name="Graf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57214" w:rsidRPr="00970B85" w:rsidRDefault="00457214" w:rsidP="00457214">
      <w:pPr>
        <w:pStyle w:val="Nadpis3"/>
      </w:pPr>
      <w:bookmarkStart w:id="10" w:name="_Toc533697490"/>
      <w:bookmarkStart w:id="11" w:name="_Toc534711989"/>
      <w:bookmarkStart w:id="12" w:name="_Toc526839145"/>
      <w:bookmarkStart w:id="13" w:name="_Toc527107106"/>
      <w:bookmarkEnd w:id="9"/>
      <w:r w:rsidRPr="00970B85">
        <w:t xml:space="preserve">Households </w:t>
      </w:r>
      <w:r>
        <w:t xml:space="preserve">with a </w:t>
      </w:r>
      <w:r w:rsidRPr="00970B85">
        <w:t>mobile telephone</w:t>
      </w:r>
      <w:bookmarkEnd w:id="10"/>
      <w:bookmarkEnd w:id="11"/>
    </w:p>
    <w:p w:rsidR="00457214" w:rsidRPr="00970B85" w:rsidRDefault="00457214" w:rsidP="00457214">
      <w:pPr>
        <w:pStyle w:val="Zkladntext"/>
        <w:numPr>
          <w:ilvl w:val="0"/>
          <w:numId w:val="15"/>
        </w:numPr>
        <w:tabs>
          <w:tab w:val="clear" w:pos="360"/>
        </w:tabs>
        <w:spacing w:before="0" w:after="80" w:line="264" w:lineRule="auto"/>
        <w:ind w:left="284" w:hanging="284"/>
        <w:rPr>
          <w:bCs/>
          <w:sz w:val="20"/>
          <w:szCs w:val="20"/>
          <w:lang w:val="en-GB"/>
        </w:rPr>
      </w:pPr>
      <w:r w:rsidRPr="00970B85">
        <w:rPr>
          <w:bCs/>
          <w:sz w:val="20"/>
          <w:szCs w:val="20"/>
          <w:lang w:val="en-GB"/>
        </w:rPr>
        <w:t>In the past few years, the most commonly used information technology in Czech households has been a</w:t>
      </w:r>
      <w:r>
        <w:rPr>
          <w:bCs/>
          <w:sz w:val="20"/>
          <w:szCs w:val="20"/>
          <w:lang w:val="en-GB"/>
        </w:rPr>
        <w:t> </w:t>
      </w:r>
      <w:r w:rsidRPr="00970B85">
        <w:rPr>
          <w:b/>
          <w:bCs/>
          <w:sz w:val="20"/>
          <w:szCs w:val="20"/>
          <w:lang w:val="en-GB"/>
        </w:rPr>
        <w:t>mobile phone</w:t>
      </w:r>
      <w:r w:rsidRPr="00970B85">
        <w:rPr>
          <w:bCs/>
          <w:sz w:val="20"/>
          <w:szCs w:val="20"/>
          <w:lang w:val="en-GB"/>
        </w:rPr>
        <w:t>. In 2016 a mobile phone was owned nearly by all Czech households (99%), whereas in</w:t>
      </w:r>
      <w:r>
        <w:rPr>
          <w:bCs/>
          <w:sz w:val="20"/>
          <w:szCs w:val="20"/>
          <w:lang w:val="en-GB"/>
        </w:rPr>
        <w:t xml:space="preserve"> 2000 it was only a third</w:t>
      </w:r>
      <w:r w:rsidRPr="00970B85">
        <w:rPr>
          <w:bCs/>
          <w:sz w:val="20"/>
          <w:szCs w:val="20"/>
          <w:lang w:val="en-GB"/>
        </w:rPr>
        <w:t>.</w:t>
      </w:r>
    </w:p>
    <w:p w:rsidR="00457214" w:rsidRPr="00970B85" w:rsidRDefault="00457214" w:rsidP="00457214">
      <w:pPr>
        <w:pStyle w:val="Zkladntext"/>
        <w:numPr>
          <w:ilvl w:val="0"/>
          <w:numId w:val="15"/>
        </w:numPr>
        <w:tabs>
          <w:tab w:val="clear" w:pos="360"/>
        </w:tabs>
        <w:spacing w:before="0" w:after="80" w:line="264" w:lineRule="auto"/>
        <w:ind w:left="284" w:hanging="284"/>
        <w:rPr>
          <w:bCs/>
          <w:sz w:val="20"/>
          <w:szCs w:val="20"/>
          <w:lang w:val="en-GB"/>
        </w:rPr>
      </w:pPr>
      <w:r w:rsidRPr="00970B85">
        <w:rPr>
          <w:bCs/>
          <w:sz w:val="20"/>
          <w:szCs w:val="20"/>
          <w:lang w:val="en-GB"/>
        </w:rPr>
        <w:t>In 2016</w:t>
      </w:r>
      <w:r>
        <w:rPr>
          <w:bCs/>
          <w:sz w:val="20"/>
          <w:szCs w:val="20"/>
          <w:lang w:val="en-GB"/>
        </w:rPr>
        <w:t>,</w:t>
      </w:r>
      <w:r w:rsidRPr="00970B85">
        <w:rPr>
          <w:bCs/>
          <w:sz w:val="20"/>
          <w:szCs w:val="20"/>
          <w:lang w:val="en-GB"/>
        </w:rPr>
        <w:t xml:space="preserve"> the average </w:t>
      </w:r>
      <w:r w:rsidRPr="00970B85">
        <w:rPr>
          <w:b/>
          <w:bCs/>
          <w:sz w:val="20"/>
          <w:szCs w:val="20"/>
          <w:lang w:val="en-GB"/>
        </w:rPr>
        <w:t>number of mobile phones</w:t>
      </w:r>
      <w:r w:rsidRPr="00970B85">
        <w:rPr>
          <w:bCs/>
          <w:sz w:val="20"/>
          <w:szCs w:val="20"/>
          <w:lang w:val="en-GB"/>
        </w:rPr>
        <w:t xml:space="preserve"> used in Cz</w:t>
      </w:r>
      <w:r>
        <w:rPr>
          <w:bCs/>
          <w:sz w:val="20"/>
          <w:szCs w:val="20"/>
          <w:lang w:val="en-GB"/>
        </w:rPr>
        <w:t xml:space="preserve">ech households, </w:t>
      </w:r>
      <w:r w:rsidRPr="00970B85">
        <w:rPr>
          <w:bCs/>
          <w:sz w:val="20"/>
          <w:szCs w:val="20"/>
          <w:lang w:val="en-GB"/>
        </w:rPr>
        <w:t xml:space="preserve">was one device (0.99) per each household member over the age of 6; eleven </w:t>
      </w:r>
      <w:r>
        <w:rPr>
          <w:bCs/>
          <w:sz w:val="20"/>
          <w:szCs w:val="20"/>
          <w:lang w:val="en-GB"/>
        </w:rPr>
        <w:t>years ago, it was only 0.64 of a device</w:t>
      </w:r>
      <w:r w:rsidRPr="00970B85">
        <w:rPr>
          <w:bCs/>
          <w:sz w:val="20"/>
          <w:szCs w:val="20"/>
          <w:lang w:val="en-GB"/>
        </w:rPr>
        <w:t>.</w:t>
      </w:r>
    </w:p>
    <w:p w:rsidR="00457214" w:rsidRDefault="00457214" w:rsidP="00457214">
      <w:pPr>
        <w:pStyle w:val="Zkladntext"/>
        <w:numPr>
          <w:ilvl w:val="0"/>
          <w:numId w:val="15"/>
        </w:numPr>
        <w:tabs>
          <w:tab w:val="clear" w:pos="360"/>
        </w:tabs>
        <w:spacing w:before="0" w:after="80" w:line="264" w:lineRule="auto"/>
        <w:ind w:left="284" w:hanging="284"/>
        <w:rPr>
          <w:bCs/>
          <w:sz w:val="20"/>
          <w:szCs w:val="20"/>
          <w:lang w:val="en-GB"/>
        </w:rPr>
      </w:pPr>
      <w:r w:rsidRPr="00970B85">
        <w:rPr>
          <w:bCs/>
          <w:sz w:val="20"/>
          <w:szCs w:val="20"/>
          <w:lang w:val="en-GB"/>
        </w:rPr>
        <w:t xml:space="preserve">The difference in household </w:t>
      </w:r>
      <w:r w:rsidRPr="00970B85">
        <w:rPr>
          <w:b/>
          <w:bCs/>
          <w:sz w:val="20"/>
          <w:szCs w:val="20"/>
          <w:lang w:val="en-GB"/>
        </w:rPr>
        <w:t>equipment by mobile phones</w:t>
      </w:r>
      <w:r w:rsidRPr="00970B85">
        <w:rPr>
          <w:bCs/>
          <w:sz w:val="20"/>
          <w:szCs w:val="20"/>
          <w:lang w:val="en-GB"/>
        </w:rPr>
        <w:t xml:space="preserve"> is recorded within various income categories of households. While in 2016</w:t>
      </w:r>
      <w:r>
        <w:rPr>
          <w:bCs/>
          <w:sz w:val="20"/>
          <w:szCs w:val="20"/>
          <w:lang w:val="en-GB"/>
        </w:rPr>
        <w:t>,</w:t>
      </w:r>
      <w:r w:rsidRPr="00970B85">
        <w:rPr>
          <w:bCs/>
          <w:sz w:val="20"/>
          <w:szCs w:val="20"/>
          <w:lang w:val="en-GB"/>
        </w:rPr>
        <w:t xml:space="preserve"> households with the highest income (the fifth income quintile) </w:t>
      </w:r>
      <w:r>
        <w:rPr>
          <w:bCs/>
          <w:sz w:val="20"/>
          <w:szCs w:val="20"/>
          <w:lang w:val="en-GB"/>
        </w:rPr>
        <w:t xml:space="preserve">had </w:t>
      </w:r>
      <w:r w:rsidRPr="00970B85">
        <w:rPr>
          <w:bCs/>
          <w:sz w:val="20"/>
          <w:szCs w:val="20"/>
          <w:lang w:val="en-GB"/>
        </w:rPr>
        <w:t xml:space="preserve">one </w:t>
      </w:r>
      <w:r w:rsidRPr="00970B85">
        <w:rPr>
          <w:bCs/>
          <w:sz w:val="20"/>
          <w:szCs w:val="20"/>
          <w:lang w:val="en-GB"/>
        </w:rPr>
        <w:lastRenderedPageBreak/>
        <w:t>member over the age of 6 us</w:t>
      </w:r>
      <w:r>
        <w:rPr>
          <w:bCs/>
          <w:sz w:val="20"/>
          <w:szCs w:val="20"/>
          <w:lang w:val="en-GB"/>
        </w:rPr>
        <w:t>ing</w:t>
      </w:r>
      <w:r w:rsidRPr="00970B85">
        <w:rPr>
          <w:bCs/>
          <w:sz w:val="20"/>
          <w:szCs w:val="20"/>
          <w:lang w:val="en-GB"/>
        </w:rPr>
        <w:t xml:space="preserve"> 1.16 mobile phone</w:t>
      </w:r>
      <w:r>
        <w:rPr>
          <w:bCs/>
          <w:sz w:val="20"/>
          <w:szCs w:val="20"/>
          <w:lang w:val="en-GB"/>
        </w:rPr>
        <w:t>s</w:t>
      </w:r>
      <w:r w:rsidRPr="00970B85">
        <w:rPr>
          <w:bCs/>
          <w:sz w:val="20"/>
          <w:szCs w:val="20"/>
          <w:lang w:val="en-GB"/>
        </w:rPr>
        <w:t xml:space="preserve">, in households with the lowest income (the first </w:t>
      </w:r>
      <w:r w:rsidRPr="00970B85">
        <w:rPr>
          <w:noProof/>
        </w:rPr>
        <w:drawing>
          <wp:anchor distT="0" distB="0" distL="114300" distR="114300" simplePos="0" relativeHeight="251654656" behindDoc="1" locked="0" layoutInCell="1" allowOverlap="1">
            <wp:simplePos x="0" y="0"/>
            <wp:positionH relativeFrom="column">
              <wp:posOffset>3051810</wp:posOffset>
            </wp:positionH>
            <wp:positionV relativeFrom="paragraph">
              <wp:posOffset>441960</wp:posOffset>
            </wp:positionV>
            <wp:extent cx="3059430" cy="2879725"/>
            <wp:effectExtent l="0" t="0" r="7620" b="0"/>
            <wp:wrapTight wrapText="bothSides">
              <wp:wrapPolygon edited="0">
                <wp:start x="0" y="0"/>
                <wp:lineTo x="0" y="21433"/>
                <wp:lineTo x="21519" y="21433"/>
                <wp:lineTo x="21519" y="0"/>
                <wp:lineTo x="0" y="0"/>
              </wp:wrapPolygon>
            </wp:wrapTight>
            <wp:docPr id="32" name="Graf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970B85">
        <w:rPr>
          <w:bCs/>
          <w:sz w:val="20"/>
          <w:szCs w:val="20"/>
          <w:lang w:val="en-GB"/>
        </w:rPr>
        <w:t xml:space="preserve">income quintile) it was 0.88 </w:t>
      </w:r>
      <w:r>
        <w:rPr>
          <w:bCs/>
          <w:sz w:val="20"/>
          <w:szCs w:val="20"/>
          <w:lang w:val="en-GB"/>
        </w:rPr>
        <w:t xml:space="preserve">of a </w:t>
      </w:r>
      <w:r w:rsidRPr="00970B85">
        <w:rPr>
          <w:bCs/>
          <w:sz w:val="20"/>
          <w:szCs w:val="20"/>
          <w:lang w:val="en-GB"/>
        </w:rPr>
        <w:t>mobile phone.</w:t>
      </w:r>
    </w:p>
    <w:p w:rsidR="00457214" w:rsidRPr="00970B85" w:rsidRDefault="00457214" w:rsidP="00457214">
      <w:pPr>
        <w:pStyle w:val="Zkladntext"/>
        <w:numPr>
          <w:ilvl w:val="0"/>
          <w:numId w:val="15"/>
        </w:numPr>
        <w:spacing w:before="0" w:after="120" w:line="288" w:lineRule="auto"/>
        <w:ind w:left="284" w:hanging="284"/>
        <w:rPr>
          <w:bCs/>
          <w:sz w:val="20"/>
          <w:szCs w:val="20"/>
          <w:lang w:val="en-GB"/>
        </w:rPr>
      </w:pPr>
      <w:r w:rsidRPr="00970B85">
        <w:rPr>
          <w:noProof/>
        </w:rPr>
        <w:drawing>
          <wp:anchor distT="0" distB="0" distL="114300" distR="114300" simplePos="0" relativeHeight="251658752" behindDoc="1" locked="0" layoutInCell="1" allowOverlap="1">
            <wp:simplePos x="0" y="0"/>
            <wp:positionH relativeFrom="column">
              <wp:posOffset>184785</wp:posOffset>
            </wp:positionH>
            <wp:positionV relativeFrom="paragraph">
              <wp:posOffset>69850</wp:posOffset>
            </wp:positionV>
            <wp:extent cx="2952000" cy="2880000"/>
            <wp:effectExtent l="0" t="0" r="1270" b="0"/>
            <wp:wrapTight wrapText="bothSides">
              <wp:wrapPolygon edited="0">
                <wp:start x="0" y="0"/>
                <wp:lineTo x="0" y="21433"/>
                <wp:lineTo x="21470" y="21433"/>
                <wp:lineTo x="21470" y="0"/>
                <wp:lineTo x="0" y="0"/>
              </wp:wrapPolygon>
            </wp:wrapTight>
            <wp:docPr id="31" name="Graf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970B85">
        <w:rPr>
          <w:bCs/>
          <w:sz w:val="20"/>
          <w:szCs w:val="20"/>
          <w:lang w:val="en-GB"/>
        </w:rPr>
        <w:t>The Czech Republic</w:t>
      </w:r>
      <w:r>
        <w:rPr>
          <w:bCs/>
          <w:sz w:val="20"/>
          <w:szCs w:val="20"/>
          <w:lang w:val="en-GB"/>
        </w:rPr>
        <w:t>,</w:t>
      </w:r>
      <w:r w:rsidRPr="00970B85">
        <w:rPr>
          <w:bCs/>
          <w:sz w:val="20"/>
          <w:szCs w:val="20"/>
          <w:lang w:val="en-GB"/>
        </w:rPr>
        <w:t xml:space="preserve"> together with Finland</w:t>
      </w:r>
      <w:r>
        <w:rPr>
          <w:bCs/>
          <w:sz w:val="20"/>
          <w:szCs w:val="20"/>
          <w:lang w:val="en-GB"/>
        </w:rPr>
        <w:t>,</w:t>
      </w:r>
      <w:r w:rsidRPr="00970B85">
        <w:rPr>
          <w:bCs/>
          <w:sz w:val="20"/>
          <w:szCs w:val="20"/>
          <w:lang w:val="en-GB"/>
        </w:rPr>
        <w:t xml:space="preserve"> belongs </w:t>
      </w:r>
      <w:r>
        <w:rPr>
          <w:bCs/>
          <w:sz w:val="20"/>
          <w:szCs w:val="20"/>
          <w:lang w:val="en-GB"/>
        </w:rPr>
        <w:t xml:space="preserve">to </w:t>
      </w:r>
      <w:r w:rsidRPr="00970B85">
        <w:rPr>
          <w:bCs/>
          <w:sz w:val="20"/>
          <w:szCs w:val="20"/>
          <w:lang w:val="en-GB"/>
        </w:rPr>
        <w:t>the two</w:t>
      </w:r>
      <w:r w:rsidRPr="00970B85">
        <w:rPr>
          <w:b/>
          <w:bCs/>
          <w:sz w:val="20"/>
          <w:szCs w:val="20"/>
          <w:lang w:val="en-GB"/>
        </w:rPr>
        <w:t xml:space="preserve"> </w:t>
      </w:r>
      <w:r w:rsidRPr="00970B85">
        <w:rPr>
          <w:bCs/>
          <w:sz w:val="20"/>
          <w:szCs w:val="20"/>
          <w:lang w:val="en-GB"/>
        </w:rPr>
        <w:t xml:space="preserve">EU countries with </w:t>
      </w:r>
      <w:r w:rsidRPr="00970B85">
        <w:rPr>
          <w:b/>
          <w:bCs/>
          <w:sz w:val="20"/>
          <w:szCs w:val="20"/>
          <w:lang w:val="en-GB"/>
        </w:rPr>
        <w:t>only mobile phone access</w:t>
      </w:r>
      <w:r w:rsidRPr="00970B85">
        <w:rPr>
          <w:bCs/>
          <w:sz w:val="20"/>
          <w:szCs w:val="20"/>
          <w:lang w:val="en-GB"/>
        </w:rPr>
        <w:t xml:space="preserve">, i.e. households do not have a fixed telephone, but only a mobile phone. In 2015 there were 84% of such households in the Czech Republic and in Finland the number was even higher – 87% – whereas the EU28 average in the same year was 33%. </w:t>
      </w:r>
    </w:p>
    <w:p w:rsidR="00457214" w:rsidRPr="00970B85" w:rsidRDefault="00457214" w:rsidP="00457214">
      <w:pPr>
        <w:pStyle w:val="Nadpis3"/>
      </w:pPr>
      <w:bookmarkStart w:id="14" w:name="_Toc533697491"/>
      <w:bookmarkStart w:id="15" w:name="_Toc534711990"/>
      <w:r w:rsidRPr="00970B85">
        <w:t>Household</w:t>
      </w:r>
      <w:r>
        <w:t>s</w:t>
      </w:r>
      <w:r w:rsidRPr="00970B85">
        <w:t xml:space="preserve"> telecommunication expenditure</w:t>
      </w:r>
      <w:r>
        <w:t>s</w:t>
      </w:r>
      <w:bookmarkEnd w:id="14"/>
      <w:bookmarkEnd w:id="15"/>
    </w:p>
    <w:p w:rsidR="00457214" w:rsidRPr="00970B85" w:rsidRDefault="00457214" w:rsidP="00457214">
      <w:pPr>
        <w:pStyle w:val="Zkladntext"/>
        <w:spacing w:before="0" w:after="80" w:line="264" w:lineRule="auto"/>
        <w:rPr>
          <w:i/>
          <w:sz w:val="20"/>
          <w:lang w:val="en-GB"/>
        </w:rPr>
      </w:pPr>
      <w:r w:rsidRPr="00970B85">
        <w:rPr>
          <w:i/>
          <w:sz w:val="20"/>
          <w:lang w:val="en-GB"/>
        </w:rPr>
        <w:t>Along with the expansion of mobile phone usage betwe</w:t>
      </w:r>
      <w:r>
        <w:rPr>
          <w:i/>
          <w:sz w:val="20"/>
          <w:lang w:val="en-GB"/>
        </w:rPr>
        <w:t>en the years 1995 and 2005,</w:t>
      </w:r>
      <w:r w:rsidRPr="00970B85">
        <w:rPr>
          <w:i/>
          <w:sz w:val="20"/>
          <w:lang w:val="en-GB"/>
        </w:rPr>
        <w:t xml:space="preserve"> the percentage of household expenditure on telecommunication services has</w:t>
      </w:r>
      <w:r>
        <w:rPr>
          <w:i/>
          <w:sz w:val="20"/>
          <w:lang w:val="en-GB"/>
        </w:rPr>
        <w:t xml:space="preserve"> also</w:t>
      </w:r>
      <w:r w:rsidRPr="00970B85">
        <w:rPr>
          <w:i/>
          <w:sz w:val="20"/>
          <w:lang w:val="en-GB"/>
        </w:rPr>
        <w:t xml:space="preserve"> increased with respect to the total expenditure. Subsequently, despite further expansion of mobile phone usage, the increase slowed down significantly; in the Czech Republic as well as the EU it has even been </w:t>
      </w:r>
      <w:r>
        <w:rPr>
          <w:i/>
          <w:sz w:val="20"/>
          <w:lang w:val="en-GB"/>
        </w:rPr>
        <w:t>decreasing</w:t>
      </w:r>
      <w:r w:rsidRPr="00970B85">
        <w:rPr>
          <w:i/>
          <w:sz w:val="20"/>
          <w:lang w:val="en-GB"/>
        </w:rPr>
        <w:t xml:space="preserve"> in recent years. Despite this fact, however, Czech citizens spend a higher percentage of their total income on telecommunication services than the EU average.</w:t>
      </w:r>
    </w:p>
    <w:p w:rsidR="00457214" w:rsidRDefault="00457214" w:rsidP="00457214">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bCs/>
          <w:sz w:val="20"/>
          <w:szCs w:val="20"/>
          <w:lang w:val="en-GB"/>
        </w:rPr>
        <w:t xml:space="preserve">In 2016, the </w:t>
      </w:r>
      <w:r w:rsidRPr="00970B85">
        <w:rPr>
          <w:b/>
          <w:bCs/>
          <w:sz w:val="20"/>
          <w:szCs w:val="20"/>
          <w:lang w:val="en-GB"/>
        </w:rPr>
        <w:t>total</w:t>
      </w:r>
      <w:r w:rsidRPr="00970B85">
        <w:rPr>
          <w:bCs/>
          <w:sz w:val="20"/>
          <w:szCs w:val="20"/>
          <w:lang w:val="en-GB"/>
        </w:rPr>
        <w:t xml:space="preserve"> expenditure of Czech households </w:t>
      </w:r>
      <w:r w:rsidRPr="00970B85">
        <w:rPr>
          <w:b/>
          <w:bCs/>
          <w:sz w:val="20"/>
          <w:szCs w:val="20"/>
          <w:lang w:val="en-GB"/>
        </w:rPr>
        <w:t>on telecommunication services</w:t>
      </w:r>
      <w:r w:rsidRPr="00970B85">
        <w:rPr>
          <w:bCs/>
          <w:sz w:val="20"/>
          <w:szCs w:val="20"/>
          <w:lang w:val="en-GB"/>
        </w:rPr>
        <w:t xml:space="preserve"> amounted</w:t>
      </w:r>
      <w:r w:rsidRPr="00FD1FE6">
        <w:rPr>
          <w:rStyle w:val="Znakapoznpodarou"/>
          <w:bCs/>
          <w:sz w:val="20"/>
          <w:szCs w:val="20"/>
          <w:lang w:val="en-GB"/>
        </w:rPr>
        <w:footnoteReference w:id="3"/>
      </w:r>
      <w:r>
        <w:rPr>
          <w:bCs/>
          <w:sz w:val="20"/>
          <w:szCs w:val="20"/>
          <w:lang w:val="en-GB"/>
        </w:rPr>
        <w:t xml:space="preserve"> to nearly </w:t>
      </w:r>
      <w:r w:rsidRPr="00970B85">
        <w:rPr>
          <w:bCs/>
          <w:sz w:val="20"/>
          <w:szCs w:val="20"/>
          <w:lang w:val="en-GB"/>
        </w:rPr>
        <w:t>60 billion</w:t>
      </w:r>
      <w:r>
        <w:rPr>
          <w:bCs/>
          <w:sz w:val="20"/>
          <w:szCs w:val="20"/>
          <w:lang w:val="en-GB"/>
        </w:rPr>
        <w:t xml:space="preserve"> CZK</w:t>
      </w:r>
      <w:r w:rsidRPr="00970B85">
        <w:rPr>
          <w:bCs/>
          <w:sz w:val="20"/>
          <w:szCs w:val="20"/>
          <w:lang w:val="en-GB"/>
        </w:rPr>
        <w:t>. The share of this expenditure was 2.5% of total household expenditure – ten year</w:t>
      </w:r>
      <w:r>
        <w:rPr>
          <w:bCs/>
          <w:sz w:val="20"/>
          <w:szCs w:val="20"/>
          <w:lang w:val="en-GB"/>
        </w:rPr>
        <w:t>s ago (in 2006), it was 3%, and</w:t>
      </w:r>
      <w:r w:rsidRPr="00970B85">
        <w:rPr>
          <w:bCs/>
          <w:sz w:val="20"/>
          <w:szCs w:val="20"/>
          <w:lang w:val="en-GB"/>
        </w:rPr>
        <w:t xml:space="preserve"> 20 years ago it was only 1.5%.</w:t>
      </w:r>
      <w:r w:rsidRPr="00D23D5F">
        <w:rPr>
          <w:sz w:val="20"/>
          <w:szCs w:val="20"/>
          <w:lang w:val="en-GB"/>
        </w:rPr>
        <w:t xml:space="preserve"> </w:t>
      </w:r>
    </w:p>
    <w:p w:rsidR="00457214" w:rsidRPr="00D23D5F" w:rsidRDefault="00457214" w:rsidP="00457214">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In 2016, the amount spent on telecommunication services </w:t>
      </w:r>
      <w:r w:rsidRPr="00970B85">
        <w:rPr>
          <w:b/>
          <w:sz w:val="20"/>
          <w:szCs w:val="20"/>
          <w:lang w:val="en-GB"/>
        </w:rPr>
        <w:t>per one household member</w:t>
      </w:r>
      <w:r w:rsidRPr="00970B85">
        <w:rPr>
          <w:rStyle w:val="Znakapoznpodarou"/>
          <w:sz w:val="20"/>
          <w:szCs w:val="20"/>
          <w:lang w:val="en-GB"/>
        </w:rPr>
        <w:footnoteReference w:id="4"/>
      </w:r>
      <w:r w:rsidRPr="00970B85">
        <w:rPr>
          <w:b/>
          <w:sz w:val="20"/>
          <w:szCs w:val="20"/>
          <w:lang w:val="en-GB"/>
        </w:rPr>
        <w:t xml:space="preserve"> </w:t>
      </w:r>
      <w:r>
        <w:rPr>
          <w:sz w:val="20"/>
          <w:szCs w:val="20"/>
          <w:lang w:val="en-GB"/>
        </w:rPr>
        <w:t>was</w:t>
      </w:r>
      <w:r w:rsidRPr="00970B85">
        <w:rPr>
          <w:b/>
          <w:sz w:val="20"/>
          <w:szCs w:val="20"/>
          <w:lang w:val="en-GB"/>
        </w:rPr>
        <w:t xml:space="preserve"> </w:t>
      </w:r>
      <w:r w:rsidRPr="00970B85">
        <w:rPr>
          <w:sz w:val="20"/>
          <w:szCs w:val="20"/>
          <w:lang w:val="en-GB"/>
        </w:rPr>
        <w:t>4.7 thousand</w:t>
      </w:r>
      <w:r>
        <w:rPr>
          <w:sz w:val="20"/>
          <w:szCs w:val="20"/>
          <w:lang w:val="en-GB"/>
        </w:rPr>
        <w:t xml:space="preserve"> CZK</w:t>
      </w:r>
      <w:r w:rsidRPr="00970B85">
        <w:rPr>
          <w:sz w:val="20"/>
          <w:szCs w:val="20"/>
          <w:lang w:val="en-GB"/>
        </w:rPr>
        <w:t>; in households with the highest income (the fifth income quintile</w:t>
      </w:r>
      <w:r>
        <w:rPr>
          <w:sz w:val="20"/>
          <w:szCs w:val="20"/>
          <w:lang w:val="en-GB"/>
        </w:rPr>
        <w:t xml:space="preserve">), the average amount spent was </w:t>
      </w:r>
      <w:r w:rsidRPr="00970B85">
        <w:rPr>
          <w:sz w:val="20"/>
          <w:szCs w:val="20"/>
          <w:lang w:val="en-GB"/>
        </w:rPr>
        <w:t xml:space="preserve">6.3 thousand </w:t>
      </w:r>
      <w:r>
        <w:rPr>
          <w:sz w:val="20"/>
          <w:szCs w:val="20"/>
          <w:lang w:val="en-GB"/>
        </w:rPr>
        <w:t xml:space="preserve">CZK, </w:t>
      </w:r>
      <w:r w:rsidRPr="00970B85">
        <w:rPr>
          <w:sz w:val="20"/>
          <w:szCs w:val="20"/>
          <w:lang w:val="en-GB"/>
        </w:rPr>
        <w:t>and in households with the lowest income (the first income quintile)</w:t>
      </w:r>
      <w:r>
        <w:rPr>
          <w:sz w:val="20"/>
          <w:szCs w:val="20"/>
          <w:lang w:val="en-GB"/>
        </w:rPr>
        <w:t>,</w:t>
      </w:r>
      <w:r w:rsidRPr="00970B85">
        <w:rPr>
          <w:sz w:val="20"/>
          <w:szCs w:val="20"/>
          <w:lang w:val="en-GB"/>
        </w:rPr>
        <w:t xml:space="preserve"> the amount spent was 3.7 thousand</w:t>
      </w:r>
      <w:r>
        <w:rPr>
          <w:sz w:val="20"/>
          <w:szCs w:val="20"/>
          <w:lang w:val="en-GB"/>
        </w:rPr>
        <w:t xml:space="preserve"> CZK</w:t>
      </w:r>
      <w:r w:rsidRPr="00970B85">
        <w:rPr>
          <w:sz w:val="20"/>
          <w:szCs w:val="20"/>
          <w:lang w:val="en-GB"/>
        </w:rPr>
        <w:t xml:space="preserve">. </w:t>
      </w:r>
    </w:p>
    <w:p w:rsidR="00457214" w:rsidRPr="00970B85" w:rsidRDefault="00457214" w:rsidP="00457214">
      <w:pPr>
        <w:pStyle w:val="Zkladntext"/>
        <w:spacing w:before="0" w:after="120" w:line="288" w:lineRule="auto"/>
        <w:rPr>
          <w:lang w:val="en-GB"/>
        </w:rPr>
      </w:pPr>
      <w:bookmarkStart w:id="16" w:name="_Toc526839147"/>
      <w:bookmarkStart w:id="17" w:name="_Toc527107108"/>
      <w:bookmarkEnd w:id="12"/>
      <w:bookmarkEnd w:id="13"/>
      <w:r w:rsidRPr="00970B85">
        <w:rPr>
          <w:noProof/>
        </w:rPr>
        <w:lastRenderedPageBreak/>
        <w:drawing>
          <wp:inline distT="0" distB="0" distL="0" distR="0" wp14:anchorId="7B4AFF0D" wp14:editId="07279135">
            <wp:extent cx="2981326" cy="2520000"/>
            <wp:effectExtent l="0" t="0" r="0" b="0"/>
            <wp:docPr id="17" name="Graf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70B85">
        <w:rPr>
          <w:lang w:val="en-GB"/>
        </w:rPr>
        <w:t xml:space="preserve"> </w:t>
      </w:r>
      <w:r w:rsidRPr="00970B85">
        <w:rPr>
          <w:noProof/>
        </w:rPr>
        <w:drawing>
          <wp:inline distT="0" distB="0" distL="0" distR="0" wp14:anchorId="13FA5EEC" wp14:editId="07182DD9">
            <wp:extent cx="3060000" cy="2520000"/>
            <wp:effectExtent l="0" t="0" r="7620" b="13970"/>
            <wp:docPr id="19" name="Graf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57214" w:rsidRPr="00970B85" w:rsidRDefault="00457214" w:rsidP="00457214">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Since the beginning of the new decade, there is a decrease in household consumption expenditures on telecommunication services per 1 household member from 5.0 thousand in 2010 to the aforementioned 4.7</w:t>
      </w:r>
      <w:r>
        <w:rPr>
          <w:sz w:val="20"/>
          <w:szCs w:val="20"/>
          <w:lang w:val="en-GB"/>
        </w:rPr>
        <w:t> </w:t>
      </w:r>
      <w:r w:rsidRPr="00970B85">
        <w:rPr>
          <w:sz w:val="20"/>
          <w:szCs w:val="20"/>
          <w:lang w:val="en-GB"/>
        </w:rPr>
        <w:t>thousand</w:t>
      </w:r>
      <w:r>
        <w:rPr>
          <w:sz w:val="20"/>
          <w:szCs w:val="20"/>
          <w:lang w:val="en-GB"/>
        </w:rPr>
        <w:t xml:space="preserve"> CZK</w:t>
      </w:r>
      <w:r w:rsidRPr="00970B85">
        <w:rPr>
          <w:sz w:val="20"/>
          <w:szCs w:val="20"/>
          <w:lang w:val="en-GB"/>
        </w:rPr>
        <w:t xml:space="preserve"> in 2016.</w:t>
      </w:r>
    </w:p>
    <w:p w:rsidR="00457214" w:rsidRPr="00970B85" w:rsidRDefault="00457214" w:rsidP="00457214">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Despite the fact that the households with the lowest income spend, on average, approximately 2.5 thousand </w:t>
      </w:r>
      <w:r>
        <w:rPr>
          <w:sz w:val="20"/>
          <w:szCs w:val="20"/>
          <w:lang w:val="en-GB"/>
        </w:rPr>
        <w:t xml:space="preserve">CZK </w:t>
      </w:r>
      <w:r w:rsidRPr="00970B85">
        <w:rPr>
          <w:sz w:val="20"/>
          <w:szCs w:val="20"/>
          <w:lang w:val="en-GB"/>
        </w:rPr>
        <w:t xml:space="preserve">less on telecommunication services per one household member than the households with the highest income, the percentage of this expenditure with respect to the </w:t>
      </w:r>
      <w:r w:rsidRPr="00970B85">
        <w:rPr>
          <w:b/>
          <w:sz w:val="20"/>
          <w:szCs w:val="20"/>
          <w:lang w:val="en-GB"/>
        </w:rPr>
        <w:t>total consumption expenditure</w:t>
      </w:r>
      <w:r w:rsidRPr="00970B85">
        <w:rPr>
          <w:sz w:val="20"/>
          <w:szCs w:val="20"/>
          <w:lang w:val="en-GB"/>
        </w:rPr>
        <w:t xml:space="preserve"> is higher (4.4% vs. 3.2% in 2016).</w:t>
      </w:r>
    </w:p>
    <w:bookmarkEnd w:id="16"/>
    <w:bookmarkEnd w:id="17"/>
    <w:p w:rsidR="00457214" w:rsidRPr="00970B85" w:rsidRDefault="00457214" w:rsidP="00457214">
      <w:pPr>
        <w:pStyle w:val="Zkladntext"/>
        <w:spacing w:before="0" w:after="120" w:line="288" w:lineRule="auto"/>
        <w:rPr>
          <w:sz w:val="20"/>
          <w:szCs w:val="20"/>
          <w:lang w:val="en-GB"/>
        </w:rPr>
      </w:pPr>
      <w:r w:rsidRPr="00970B85">
        <w:rPr>
          <w:noProof/>
        </w:rPr>
        <w:drawing>
          <wp:inline distT="0" distB="0" distL="0" distR="0" wp14:anchorId="45A39474" wp14:editId="2F830FF1">
            <wp:extent cx="5972810" cy="2880000"/>
            <wp:effectExtent l="0" t="0" r="0" b="0"/>
            <wp:docPr id="34" name="Graf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57214" w:rsidRPr="00970B85" w:rsidRDefault="00457214" w:rsidP="00457214">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bCs/>
          <w:sz w:val="20"/>
          <w:szCs w:val="20"/>
          <w:lang w:val="en-GB"/>
        </w:rPr>
        <w:t xml:space="preserve">Most households spend money on the </w:t>
      </w:r>
      <w:r w:rsidRPr="00970B85">
        <w:rPr>
          <w:b/>
          <w:bCs/>
          <w:sz w:val="20"/>
          <w:szCs w:val="20"/>
          <w:lang w:val="en-GB"/>
        </w:rPr>
        <w:t xml:space="preserve">operation of mobile phones </w:t>
      </w:r>
      <w:r w:rsidRPr="00970B85">
        <w:rPr>
          <w:bCs/>
          <w:sz w:val="20"/>
          <w:szCs w:val="20"/>
          <w:lang w:val="en-GB"/>
        </w:rPr>
        <w:t xml:space="preserve">(67% of total household expenditure on telecommunication services </w:t>
      </w:r>
      <w:r>
        <w:rPr>
          <w:bCs/>
          <w:sz w:val="20"/>
          <w:szCs w:val="20"/>
          <w:lang w:val="en-GB"/>
        </w:rPr>
        <w:t>–</w:t>
      </w:r>
      <w:r w:rsidRPr="00970B85">
        <w:rPr>
          <w:bCs/>
          <w:sz w:val="20"/>
          <w:szCs w:val="20"/>
          <w:lang w:val="en-GB"/>
        </w:rPr>
        <w:t xml:space="preserve"> data for 2016)</w:t>
      </w:r>
      <w:r>
        <w:rPr>
          <w:bCs/>
          <w:sz w:val="20"/>
          <w:szCs w:val="20"/>
          <w:lang w:val="en-GB"/>
        </w:rPr>
        <w:t>. A</w:t>
      </w:r>
      <w:r w:rsidRPr="00970B85">
        <w:rPr>
          <w:bCs/>
          <w:sz w:val="20"/>
          <w:szCs w:val="20"/>
          <w:lang w:val="en-GB"/>
        </w:rPr>
        <w:t xml:space="preserve">nother, yet less significant item, is expenditure on </w:t>
      </w:r>
      <w:r w:rsidRPr="00970B85">
        <w:rPr>
          <w:b/>
          <w:bCs/>
          <w:sz w:val="20"/>
          <w:szCs w:val="20"/>
          <w:lang w:val="en-GB"/>
        </w:rPr>
        <w:t>internet connection</w:t>
      </w:r>
      <w:r w:rsidRPr="00970B85">
        <w:rPr>
          <w:bCs/>
          <w:sz w:val="20"/>
          <w:szCs w:val="20"/>
          <w:lang w:val="en-GB"/>
        </w:rPr>
        <w:t xml:space="preserve"> (29%)</w:t>
      </w:r>
      <w:r>
        <w:rPr>
          <w:bCs/>
          <w:sz w:val="20"/>
          <w:szCs w:val="20"/>
          <w:lang w:val="en-GB"/>
        </w:rPr>
        <w:t>,</w:t>
      </w:r>
      <w:r w:rsidRPr="00970B85">
        <w:rPr>
          <w:bCs/>
          <w:sz w:val="20"/>
          <w:szCs w:val="20"/>
          <w:lang w:val="en-GB"/>
        </w:rPr>
        <w:t xml:space="preserve"> which has been increasing as time goes</w:t>
      </w:r>
      <w:r>
        <w:rPr>
          <w:bCs/>
          <w:sz w:val="20"/>
          <w:szCs w:val="20"/>
          <w:lang w:val="en-GB"/>
        </w:rPr>
        <w:t xml:space="preserve"> on</w:t>
      </w:r>
      <w:r w:rsidRPr="00970B85">
        <w:rPr>
          <w:bCs/>
          <w:sz w:val="20"/>
          <w:szCs w:val="20"/>
          <w:lang w:val="en-GB"/>
        </w:rPr>
        <w:t xml:space="preserve">. </w:t>
      </w:r>
    </w:p>
    <w:p w:rsidR="00457214" w:rsidRDefault="00457214" w:rsidP="00457214">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bCs/>
          <w:sz w:val="20"/>
          <w:szCs w:val="20"/>
          <w:lang w:val="en-GB"/>
        </w:rPr>
        <w:t xml:space="preserve">In comparison with the situation 10 years ago, Czech households spend a significantly </w:t>
      </w:r>
      <w:r w:rsidRPr="00327120">
        <w:rPr>
          <w:bCs/>
          <w:sz w:val="20"/>
          <w:szCs w:val="20"/>
          <w:lang w:val="en-GB"/>
        </w:rPr>
        <w:t>lower amount on the operation of a fixed telephone</w:t>
      </w:r>
      <w:r w:rsidRPr="00970B85">
        <w:rPr>
          <w:bCs/>
          <w:sz w:val="20"/>
          <w:szCs w:val="20"/>
          <w:lang w:val="en-GB"/>
        </w:rPr>
        <w:t>.</w:t>
      </w:r>
      <w:r>
        <w:rPr>
          <w:sz w:val="20"/>
          <w:szCs w:val="20"/>
          <w:lang w:val="en-GB"/>
        </w:rPr>
        <w:t xml:space="preserve"> Whereas in 1995</w:t>
      </w:r>
      <w:r w:rsidRPr="00970B85">
        <w:rPr>
          <w:sz w:val="20"/>
          <w:szCs w:val="20"/>
          <w:lang w:val="en-GB"/>
        </w:rPr>
        <w:t xml:space="preserve"> nearly the whole amount spent by households on telecommunication services was used for the </w:t>
      </w:r>
      <w:r w:rsidRPr="00970B85">
        <w:rPr>
          <w:b/>
          <w:sz w:val="20"/>
          <w:szCs w:val="20"/>
          <w:lang w:val="en-GB"/>
        </w:rPr>
        <w:t>operation of fixed telephone lines</w:t>
      </w:r>
      <w:r w:rsidRPr="00970B85">
        <w:rPr>
          <w:sz w:val="20"/>
          <w:szCs w:val="20"/>
          <w:lang w:val="en-GB"/>
        </w:rPr>
        <w:t>, in 2010</w:t>
      </w:r>
      <w:r>
        <w:rPr>
          <w:sz w:val="20"/>
          <w:szCs w:val="20"/>
          <w:lang w:val="en-GB"/>
        </w:rPr>
        <w:t>,</w:t>
      </w:r>
      <w:r w:rsidRPr="00970B85">
        <w:rPr>
          <w:sz w:val="20"/>
          <w:szCs w:val="20"/>
          <w:lang w:val="en-GB"/>
        </w:rPr>
        <w:t xml:space="preserve"> it was only ten per cent</w:t>
      </w:r>
      <w:r>
        <w:rPr>
          <w:sz w:val="20"/>
          <w:szCs w:val="20"/>
          <w:lang w:val="en-GB"/>
        </w:rPr>
        <w:t>,</w:t>
      </w:r>
      <w:r w:rsidRPr="00970B85">
        <w:rPr>
          <w:sz w:val="20"/>
          <w:szCs w:val="20"/>
          <w:lang w:val="en-GB"/>
        </w:rPr>
        <w:t xml:space="preserve"> and in 2016</w:t>
      </w:r>
      <w:r>
        <w:rPr>
          <w:sz w:val="20"/>
          <w:szCs w:val="20"/>
          <w:lang w:val="en-GB"/>
        </w:rPr>
        <w:t>,</w:t>
      </w:r>
      <w:r w:rsidRPr="00970B85">
        <w:rPr>
          <w:sz w:val="20"/>
          <w:szCs w:val="20"/>
          <w:lang w:val="en-GB"/>
        </w:rPr>
        <w:t xml:space="preserve"> only 4%.</w:t>
      </w:r>
    </w:p>
    <w:p w:rsidR="00457214" w:rsidRPr="00DA3469" w:rsidRDefault="00457214" w:rsidP="00457214">
      <w:pPr>
        <w:pStyle w:val="Zkladntext"/>
        <w:numPr>
          <w:ilvl w:val="0"/>
          <w:numId w:val="15"/>
        </w:numPr>
        <w:tabs>
          <w:tab w:val="clear" w:pos="360"/>
          <w:tab w:val="num" w:pos="284"/>
        </w:tabs>
        <w:spacing w:before="0" w:after="80" w:line="264" w:lineRule="auto"/>
        <w:ind w:left="284" w:hanging="284"/>
        <w:rPr>
          <w:b/>
          <w:i/>
          <w:sz w:val="20"/>
          <w:szCs w:val="20"/>
          <w:lang w:val="en-GB"/>
        </w:rPr>
      </w:pPr>
      <w:r w:rsidRPr="00970B85">
        <w:rPr>
          <w:bCs/>
          <w:sz w:val="20"/>
          <w:szCs w:val="20"/>
          <w:lang w:val="en-GB"/>
        </w:rPr>
        <w:t xml:space="preserve">Since 2002, the percentage of telecommunication services in total household expenditure in the Czech Republic is higher than the EU average. In 2016, the EU average amounted to 2.1%, </w:t>
      </w:r>
      <w:r>
        <w:rPr>
          <w:bCs/>
          <w:sz w:val="20"/>
          <w:szCs w:val="20"/>
          <w:lang w:val="en-GB"/>
        </w:rPr>
        <w:t xml:space="preserve">compare to </w:t>
      </w:r>
      <w:r w:rsidRPr="00970B85">
        <w:rPr>
          <w:bCs/>
          <w:sz w:val="20"/>
          <w:szCs w:val="20"/>
          <w:lang w:val="en-GB"/>
        </w:rPr>
        <w:t>2.5% in the Czech Republic</w:t>
      </w:r>
      <w:r>
        <w:rPr>
          <w:bCs/>
          <w:sz w:val="20"/>
          <w:szCs w:val="20"/>
          <w:lang w:val="en-GB"/>
        </w:rPr>
        <w:t>.</w:t>
      </w:r>
      <w:r w:rsidRPr="00970B85">
        <w:rPr>
          <w:bCs/>
          <w:sz w:val="20"/>
          <w:szCs w:val="20"/>
          <w:lang w:val="en-GB"/>
        </w:rPr>
        <w:t xml:space="preserve"> This expenditure is of </w:t>
      </w:r>
      <w:r w:rsidRPr="00970B85">
        <w:rPr>
          <w:b/>
          <w:bCs/>
          <w:sz w:val="20"/>
          <w:szCs w:val="20"/>
          <w:lang w:val="en-GB"/>
        </w:rPr>
        <w:t>the highest percentage</w:t>
      </w:r>
      <w:r w:rsidRPr="00970B85">
        <w:rPr>
          <w:bCs/>
          <w:sz w:val="20"/>
          <w:szCs w:val="20"/>
          <w:lang w:val="en-GB"/>
        </w:rPr>
        <w:t xml:space="preserve"> in </w:t>
      </w:r>
      <w:r>
        <w:rPr>
          <w:bCs/>
          <w:sz w:val="20"/>
          <w:szCs w:val="20"/>
          <w:lang w:val="en-GB"/>
        </w:rPr>
        <w:t xml:space="preserve">Greek households (4.3%), </w:t>
      </w:r>
      <w:r w:rsidRPr="00970B85">
        <w:rPr>
          <w:bCs/>
          <w:sz w:val="20"/>
          <w:szCs w:val="20"/>
          <w:lang w:val="en-GB"/>
        </w:rPr>
        <w:t>Romania</w:t>
      </w:r>
      <w:r>
        <w:rPr>
          <w:bCs/>
          <w:sz w:val="20"/>
          <w:szCs w:val="20"/>
          <w:lang w:val="en-GB"/>
        </w:rPr>
        <w:t xml:space="preserve">n (4.0%), </w:t>
      </w:r>
      <w:r w:rsidRPr="00970B85">
        <w:rPr>
          <w:bCs/>
          <w:sz w:val="20"/>
          <w:szCs w:val="20"/>
          <w:lang w:val="en-GB"/>
        </w:rPr>
        <w:t>Bulgaria</w:t>
      </w:r>
      <w:r>
        <w:rPr>
          <w:bCs/>
          <w:sz w:val="20"/>
          <w:szCs w:val="20"/>
          <w:lang w:val="en-GB"/>
        </w:rPr>
        <w:t>n</w:t>
      </w:r>
      <w:r w:rsidRPr="00970B85">
        <w:rPr>
          <w:bCs/>
          <w:sz w:val="20"/>
          <w:szCs w:val="20"/>
          <w:lang w:val="en-GB"/>
        </w:rPr>
        <w:t xml:space="preserve"> (3.6%), in Hungar</w:t>
      </w:r>
      <w:r>
        <w:rPr>
          <w:bCs/>
          <w:sz w:val="20"/>
          <w:szCs w:val="20"/>
          <w:lang w:val="en-GB"/>
        </w:rPr>
        <w:t>ian</w:t>
      </w:r>
      <w:r w:rsidRPr="00970B85">
        <w:rPr>
          <w:bCs/>
          <w:sz w:val="20"/>
          <w:szCs w:val="20"/>
          <w:lang w:val="en-GB"/>
        </w:rPr>
        <w:t xml:space="preserve"> (3.6%), and Slovakia</w:t>
      </w:r>
      <w:r>
        <w:rPr>
          <w:bCs/>
          <w:sz w:val="20"/>
          <w:szCs w:val="20"/>
          <w:lang w:val="en-GB"/>
        </w:rPr>
        <w:t>n</w:t>
      </w:r>
      <w:r w:rsidRPr="00970B85">
        <w:rPr>
          <w:bCs/>
          <w:sz w:val="20"/>
          <w:szCs w:val="20"/>
          <w:lang w:val="en-GB"/>
        </w:rPr>
        <w:t xml:space="preserve"> (3.1%), </w:t>
      </w:r>
      <w:r>
        <w:rPr>
          <w:bCs/>
          <w:sz w:val="20"/>
          <w:szCs w:val="20"/>
          <w:lang w:val="en-GB"/>
        </w:rPr>
        <w:t xml:space="preserve">and </w:t>
      </w:r>
      <w:r w:rsidRPr="00970B85">
        <w:rPr>
          <w:b/>
          <w:bCs/>
          <w:sz w:val="20"/>
          <w:szCs w:val="20"/>
          <w:lang w:val="en-GB"/>
        </w:rPr>
        <w:t>of the lowest</w:t>
      </w:r>
      <w:r>
        <w:rPr>
          <w:bCs/>
          <w:sz w:val="20"/>
          <w:szCs w:val="20"/>
          <w:lang w:val="en-GB"/>
        </w:rPr>
        <w:t xml:space="preserve"> in</w:t>
      </w:r>
      <w:r w:rsidRPr="00970B85">
        <w:rPr>
          <w:bCs/>
          <w:sz w:val="20"/>
          <w:szCs w:val="20"/>
          <w:lang w:val="en-GB"/>
        </w:rPr>
        <w:t xml:space="preserve"> Luxembourg and Austria</w:t>
      </w:r>
      <w:r>
        <w:rPr>
          <w:bCs/>
          <w:sz w:val="20"/>
          <w:szCs w:val="20"/>
          <w:lang w:val="en-GB"/>
        </w:rPr>
        <w:t>n</w:t>
      </w:r>
      <w:r w:rsidRPr="00970B85">
        <w:rPr>
          <w:bCs/>
          <w:sz w:val="20"/>
          <w:szCs w:val="20"/>
          <w:lang w:val="en-GB"/>
        </w:rPr>
        <w:t xml:space="preserve"> </w:t>
      </w:r>
      <w:r>
        <w:rPr>
          <w:bCs/>
          <w:sz w:val="20"/>
          <w:szCs w:val="20"/>
          <w:lang w:val="en-GB"/>
        </w:rPr>
        <w:t>households</w:t>
      </w:r>
      <w:r w:rsidRPr="00970B85">
        <w:rPr>
          <w:bCs/>
          <w:sz w:val="20"/>
          <w:szCs w:val="20"/>
          <w:lang w:val="en-GB"/>
        </w:rPr>
        <w:t xml:space="preserve"> (equal percentage of 1.4% in total household expenditure).</w:t>
      </w:r>
    </w:p>
    <w:p w:rsidR="00457214" w:rsidRPr="00970B85" w:rsidRDefault="00457214" w:rsidP="00457214">
      <w:pPr>
        <w:pStyle w:val="Nadpis2"/>
      </w:pPr>
      <w:bookmarkStart w:id="18" w:name="_Toc533697492"/>
      <w:bookmarkStart w:id="19" w:name="_Toc534711991"/>
      <w:r w:rsidRPr="00970B85">
        <w:lastRenderedPageBreak/>
        <w:t>B.2 Households and computers</w:t>
      </w:r>
      <w:bookmarkEnd w:id="18"/>
      <w:bookmarkEnd w:id="19"/>
    </w:p>
    <w:p w:rsidR="00457214" w:rsidRDefault="00457214" w:rsidP="00457214">
      <w:pPr>
        <w:pStyle w:val="Zkladntext"/>
        <w:spacing w:before="0" w:after="80" w:line="264" w:lineRule="auto"/>
        <w:rPr>
          <w:i/>
          <w:sz w:val="20"/>
          <w:lang w:val="en-GB"/>
        </w:rPr>
      </w:pPr>
      <w:r>
        <w:rPr>
          <w:i/>
          <w:sz w:val="20"/>
          <w:lang w:val="en-GB"/>
        </w:rPr>
        <w:t>In the 1990s</w:t>
      </w:r>
      <w:r w:rsidRPr="00970B85">
        <w:rPr>
          <w:i/>
          <w:sz w:val="20"/>
          <w:lang w:val="en-GB"/>
        </w:rPr>
        <w:t xml:space="preserve">, it was not typical </w:t>
      </w:r>
      <w:r>
        <w:rPr>
          <w:i/>
          <w:sz w:val="20"/>
          <w:lang w:val="en-GB"/>
        </w:rPr>
        <w:t>for</w:t>
      </w:r>
      <w:r w:rsidRPr="00970B85">
        <w:rPr>
          <w:i/>
          <w:sz w:val="20"/>
          <w:lang w:val="en-GB"/>
        </w:rPr>
        <w:t xml:space="preserve"> Czech households to own a private computer, and at the beginning of the new millennium having a computer in </w:t>
      </w:r>
      <w:r>
        <w:rPr>
          <w:i/>
          <w:sz w:val="20"/>
          <w:lang w:val="en-GB"/>
        </w:rPr>
        <w:t>one’s household</w:t>
      </w:r>
      <w:r w:rsidRPr="00970B85">
        <w:rPr>
          <w:i/>
          <w:sz w:val="20"/>
          <w:lang w:val="en-GB"/>
        </w:rPr>
        <w:t xml:space="preserve"> was rather rare. However, since 2005</w:t>
      </w:r>
      <w:r>
        <w:rPr>
          <w:i/>
          <w:sz w:val="20"/>
          <w:lang w:val="en-GB"/>
        </w:rPr>
        <w:t>, the</w:t>
      </w:r>
      <w:r w:rsidRPr="00970B85">
        <w:rPr>
          <w:i/>
          <w:sz w:val="20"/>
          <w:lang w:val="en-GB"/>
        </w:rPr>
        <w:t xml:space="preserve"> number </w:t>
      </w:r>
      <w:r>
        <w:rPr>
          <w:i/>
          <w:sz w:val="20"/>
          <w:lang w:val="en-GB"/>
        </w:rPr>
        <w:t xml:space="preserve">of private computers </w:t>
      </w:r>
      <w:r w:rsidRPr="00970B85">
        <w:rPr>
          <w:i/>
          <w:sz w:val="20"/>
          <w:lang w:val="en-GB"/>
        </w:rPr>
        <w:t>is growing</w:t>
      </w:r>
      <w:r>
        <w:rPr>
          <w:i/>
          <w:sz w:val="20"/>
          <w:lang w:val="en-GB"/>
        </w:rPr>
        <w:t>.</w:t>
      </w:r>
      <w:r w:rsidRPr="00970B85">
        <w:rPr>
          <w:i/>
          <w:sz w:val="20"/>
          <w:lang w:val="en-GB"/>
        </w:rPr>
        <w:t xml:space="preserve"> </w:t>
      </w:r>
      <w:r>
        <w:rPr>
          <w:i/>
          <w:sz w:val="20"/>
          <w:lang w:val="en-GB"/>
        </w:rPr>
        <w:t>A</w:t>
      </w:r>
      <w:r w:rsidRPr="00970B85">
        <w:rPr>
          <w:i/>
          <w:sz w:val="20"/>
          <w:lang w:val="en-GB"/>
        </w:rPr>
        <w:t xml:space="preserve"> computer</w:t>
      </w:r>
      <w:r>
        <w:rPr>
          <w:i/>
          <w:sz w:val="20"/>
          <w:lang w:val="en-GB"/>
        </w:rPr>
        <w:t>,</w:t>
      </w:r>
      <w:r w:rsidRPr="00970B85">
        <w:rPr>
          <w:i/>
          <w:sz w:val="20"/>
          <w:lang w:val="en-GB"/>
        </w:rPr>
        <w:t xml:space="preserve"> as well as TV or other consumer electronics</w:t>
      </w:r>
      <w:r>
        <w:rPr>
          <w:i/>
          <w:sz w:val="20"/>
          <w:lang w:val="en-GB"/>
        </w:rPr>
        <w:t xml:space="preserve">, are owned </w:t>
      </w:r>
      <w:r w:rsidRPr="00970B85">
        <w:rPr>
          <w:i/>
          <w:sz w:val="20"/>
          <w:lang w:val="en-GB"/>
        </w:rPr>
        <w:t xml:space="preserve">by </w:t>
      </w:r>
      <w:r>
        <w:rPr>
          <w:i/>
          <w:sz w:val="20"/>
          <w:lang w:val="en-GB"/>
        </w:rPr>
        <w:t xml:space="preserve">nearly </w:t>
      </w:r>
      <w:r w:rsidRPr="00970B85">
        <w:rPr>
          <w:i/>
          <w:sz w:val="20"/>
          <w:lang w:val="en-GB"/>
        </w:rPr>
        <w:t>all households which have this equ</w:t>
      </w:r>
      <w:r>
        <w:rPr>
          <w:i/>
          <w:sz w:val="20"/>
          <w:lang w:val="en-GB"/>
        </w:rPr>
        <w:t>ipment at home or are willing/</w:t>
      </w:r>
      <w:r w:rsidRPr="00970B85">
        <w:rPr>
          <w:i/>
          <w:sz w:val="20"/>
          <w:lang w:val="en-GB"/>
        </w:rPr>
        <w:t xml:space="preserve">able to use it. </w:t>
      </w:r>
    </w:p>
    <w:p w:rsidR="00457214" w:rsidRPr="00970B85" w:rsidRDefault="00457214" w:rsidP="00457214">
      <w:pPr>
        <w:pStyle w:val="Nadpis3"/>
      </w:pPr>
      <w:bookmarkStart w:id="20" w:name="_Toc533697493"/>
      <w:bookmarkStart w:id="21" w:name="_Toc534711992"/>
      <w:r w:rsidRPr="00970B85">
        <w:t>Households with a computer</w:t>
      </w:r>
      <w:r>
        <w:t xml:space="preserve"> – Main figures</w:t>
      </w:r>
      <w:bookmarkEnd w:id="20"/>
      <w:bookmarkEnd w:id="21"/>
    </w:p>
    <w:p w:rsidR="00457214" w:rsidRPr="00DA3469" w:rsidRDefault="00457214" w:rsidP="00457214">
      <w:pPr>
        <w:pStyle w:val="Zkladntext"/>
        <w:numPr>
          <w:ilvl w:val="0"/>
          <w:numId w:val="15"/>
        </w:numPr>
        <w:tabs>
          <w:tab w:val="clear" w:pos="360"/>
          <w:tab w:val="num" w:pos="284"/>
        </w:tabs>
        <w:spacing w:before="0" w:after="80" w:line="264" w:lineRule="auto"/>
        <w:ind w:left="284" w:hanging="284"/>
        <w:rPr>
          <w:bCs/>
          <w:sz w:val="20"/>
          <w:szCs w:val="20"/>
          <w:lang w:val="en-GB"/>
        </w:rPr>
      </w:pPr>
      <w:bookmarkStart w:id="22" w:name="_Toc526839148"/>
      <w:bookmarkStart w:id="23" w:name="_Toc527107109"/>
      <w:r w:rsidRPr="00970B85">
        <w:rPr>
          <w:bCs/>
          <w:sz w:val="20"/>
          <w:szCs w:val="20"/>
          <w:lang w:val="en-GB"/>
        </w:rPr>
        <w:t xml:space="preserve">Since 2005, the number of </w:t>
      </w:r>
      <w:r w:rsidRPr="00970B85">
        <w:rPr>
          <w:b/>
          <w:bCs/>
          <w:sz w:val="20"/>
          <w:szCs w:val="20"/>
          <w:lang w:val="en-GB"/>
        </w:rPr>
        <w:t>households with a computer</w:t>
      </w:r>
      <w:r w:rsidRPr="00970B85">
        <w:rPr>
          <w:bCs/>
          <w:sz w:val="20"/>
          <w:szCs w:val="20"/>
          <w:lang w:val="en-GB"/>
        </w:rPr>
        <w:t xml:space="preserve"> has been increasing in the Czech Republic</w:t>
      </w:r>
      <w:r w:rsidRPr="003A427E">
        <w:rPr>
          <w:rStyle w:val="Znakapoznpodarou"/>
          <w:bCs/>
          <w:sz w:val="20"/>
          <w:szCs w:val="20"/>
          <w:lang w:val="en-GB"/>
        </w:rPr>
        <w:footnoteReference w:id="5"/>
      </w:r>
      <w:r w:rsidRPr="00970B85">
        <w:rPr>
          <w:bCs/>
          <w:sz w:val="20"/>
          <w:szCs w:val="20"/>
          <w:lang w:val="en-GB"/>
        </w:rPr>
        <w:t xml:space="preserve">. Only in the past ten years </w:t>
      </w:r>
      <w:r>
        <w:rPr>
          <w:bCs/>
          <w:sz w:val="20"/>
          <w:szCs w:val="20"/>
          <w:lang w:val="en-GB"/>
        </w:rPr>
        <w:t xml:space="preserve">has </w:t>
      </w:r>
      <w:r w:rsidRPr="00970B85">
        <w:rPr>
          <w:bCs/>
          <w:sz w:val="20"/>
          <w:szCs w:val="20"/>
          <w:lang w:val="en-GB"/>
        </w:rPr>
        <w:t>the number nearly doubled</w:t>
      </w:r>
      <w:r>
        <w:rPr>
          <w:bCs/>
          <w:sz w:val="20"/>
          <w:szCs w:val="20"/>
          <w:lang w:val="en-GB"/>
        </w:rPr>
        <w:t>,</w:t>
      </w:r>
      <w:r w:rsidRPr="00970B85">
        <w:rPr>
          <w:bCs/>
          <w:sz w:val="20"/>
          <w:szCs w:val="20"/>
          <w:lang w:val="en-GB"/>
        </w:rPr>
        <w:t xml:space="preserve"> and in Q2 of </w:t>
      </w:r>
      <w:r>
        <w:rPr>
          <w:bCs/>
          <w:sz w:val="20"/>
          <w:szCs w:val="20"/>
          <w:lang w:val="en-GB"/>
        </w:rPr>
        <w:t>2017 there were 3.3 million</w:t>
      </w:r>
      <w:r w:rsidRPr="00970B85">
        <w:rPr>
          <w:bCs/>
          <w:sz w:val="20"/>
          <w:szCs w:val="20"/>
          <w:lang w:val="en-GB"/>
        </w:rPr>
        <w:t>, meaning 76% of all households.</w:t>
      </w:r>
      <w:bookmarkEnd w:id="22"/>
      <w:bookmarkEnd w:id="23"/>
    </w:p>
    <w:p w:rsidR="00457214" w:rsidRPr="00970B85" w:rsidRDefault="00457214" w:rsidP="00457214">
      <w:pPr>
        <w:pStyle w:val="Zkladntext"/>
        <w:spacing w:before="0" w:after="120" w:line="288" w:lineRule="auto"/>
        <w:rPr>
          <w:lang w:val="en-GB"/>
        </w:rPr>
      </w:pPr>
      <w:r w:rsidRPr="00970B85">
        <w:rPr>
          <w:noProof/>
        </w:rPr>
        <w:drawing>
          <wp:inline distT="0" distB="0" distL="0" distR="0" wp14:anchorId="5207564F" wp14:editId="7E86F2A8">
            <wp:extent cx="2880000" cy="3060000"/>
            <wp:effectExtent l="0" t="0" r="0" b="7620"/>
            <wp:docPr id="35" name="Graf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970B85">
        <w:rPr>
          <w:lang w:val="en-GB"/>
        </w:rPr>
        <w:t xml:space="preserve"> </w:t>
      </w:r>
      <w:r w:rsidRPr="00970B85">
        <w:rPr>
          <w:noProof/>
        </w:rPr>
        <w:drawing>
          <wp:inline distT="0" distB="0" distL="0" distR="0" wp14:anchorId="1A180EB2" wp14:editId="27F8794A">
            <wp:extent cx="3204000" cy="3060000"/>
            <wp:effectExtent l="0" t="0" r="0" b="7620"/>
            <wp:docPr id="36" name="Graf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57214" w:rsidRPr="00970B85" w:rsidRDefault="00457214" w:rsidP="00457214">
      <w:pPr>
        <w:pStyle w:val="Zkladntext"/>
        <w:numPr>
          <w:ilvl w:val="0"/>
          <w:numId w:val="15"/>
        </w:numPr>
        <w:tabs>
          <w:tab w:val="clear" w:pos="360"/>
        </w:tabs>
        <w:spacing w:before="0" w:after="80" w:line="264" w:lineRule="auto"/>
        <w:ind w:left="284" w:hanging="284"/>
        <w:rPr>
          <w:sz w:val="20"/>
          <w:szCs w:val="20"/>
          <w:lang w:val="en-GB"/>
        </w:rPr>
      </w:pPr>
      <w:bookmarkStart w:id="24" w:name="_Toc528845443"/>
      <w:r w:rsidRPr="00970B85">
        <w:rPr>
          <w:sz w:val="20"/>
          <w:szCs w:val="20"/>
          <w:lang w:val="en-GB"/>
        </w:rPr>
        <w:t xml:space="preserve">Much better equipment with a computer is found in </w:t>
      </w:r>
      <w:r w:rsidRPr="00970B85">
        <w:rPr>
          <w:b/>
          <w:sz w:val="20"/>
          <w:szCs w:val="20"/>
          <w:lang w:val="en-GB"/>
        </w:rPr>
        <w:t>households with children</w:t>
      </w:r>
      <w:r w:rsidRPr="00970B85">
        <w:rPr>
          <w:sz w:val="20"/>
          <w:szCs w:val="20"/>
          <w:lang w:val="en-GB"/>
        </w:rPr>
        <w:t xml:space="preserve"> and in </w:t>
      </w:r>
      <w:r w:rsidRPr="00970B85">
        <w:rPr>
          <w:b/>
          <w:sz w:val="20"/>
          <w:szCs w:val="20"/>
          <w:lang w:val="en-GB"/>
        </w:rPr>
        <w:t>young households</w:t>
      </w:r>
      <w:r w:rsidRPr="00970B85">
        <w:rPr>
          <w:sz w:val="20"/>
          <w:szCs w:val="20"/>
          <w:lang w:val="en-GB"/>
        </w:rPr>
        <w:t xml:space="preserve"> (persons up to the age of 40 with no children). With respect to those categories, a computer may be found nearly in all such </w:t>
      </w:r>
      <w:r>
        <w:rPr>
          <w:sz w:val="20"/>
          <w:szCs w:val="20"/>
          <w:lang w:val="en-GB"/>
        </w:rPr>
        <w:t>families – in 95% of cases. Opposed to this</w:t>
      </w:r>
      <w:r w:rsidRPr="00970B85">
        <w:rPr>
          <w:sz w:val="20"/>
          <w:szCs w:val="20"/>
          <w:lang w:val="en-GB"/>
        </w:rPr>
        <w:t xml:space="preserve">, just under a third of </w:t>
      </w:r>
      <w:r w:rsidRPr="00970B85">
        <w:rPr>
          <w:b/>
          <w:sz w:val="20"/>
          <w:szCs w:val="20"/>
          <w:lang w:val="en-GB"/>
        </w:rPr>
        <w:t>pensioners</w:t>
      </w:r>
      <w:r w:rsidRPr="00970B85">
        <w:rPr>
          <w:sz w:val="20"/>
          <w:szCs w:val="20"/>
          <w:lang w:val="en-GB"/>
        </w:rPr>
        <w:t xml:space="preserve"> (persons over the age of 65) is equipped with a computer. Out of the million households having no computer in 2017, nearly two thirds were the households of pensioners.</w:t>
      </w:r>
    </w:p>
    <w:p w:rsidR="00457214" w:rsidRDefault="00457214" w:rsidP="00457214">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It may not come as a surprise that households with</w:t>
      </w:r>
      <w:r>
        <w:rPr>
          <w:sz w:val="20"/>
          <w:szCs w:val="20"/>
          <w:lang w:val="en-GB"/>
        </w:rPr>
        <w:t xml:space="preserve"> a</w:t>
      </w:r>
      <w:r w:rsidRPr="00970B85">
        <w:rPr>
          <w:sz w:val="20"/>
          <w:szCs w:val="20"/>
          <w:lang w:val="en-GB"/>
        </w:rPr>
        <w:t xml:space="preserve"> </w:t>
      </w:r>
      <w:r w:rsidRPr="00970B85">
        <w:rPr>
          <w:b/>
          <w:sz w:val="20"/>
          <w:szCs w:val="20"/>
          <w:lang w:val="en-GB"/>
        </w:rPr>
        <w:t xml:space="preserve">higher income </w:t>
      </w:r>
      <w:r w:rsidRPr="00970B85">
        <w:rPr>
          <w:sz w:val="20"/>
          <w:szCs w:val="20"/>
          <w:lang w:val="en-GB"/>
        </w:rPr>
        <w:t xml:space="preserve">are more frequently equipped with computers than households with </w:t>
      </w:r>
      <w:r w:rsidRPr="00970B85">
        <w:rPr>
          <w:b/>
          <w:sz w:val="20"/>
          <w:szCs w:val="20"/>
          <w:lang w:val="en-GB"/>
        </w:rPr>
        <w:t>lower income</w:t>
      </w:r>
      <w:r w:rsidRPr="00970B85">
        <w:rPr>
          <w:sz w:val="20"/>
          <w:szCs w:val="20"/>
          <w:lang w:val="en-GB"/>
        </w:rPr>
        <w:t>. Whereas in 2017 no computer could be found in more than a half of all households with the lowest income (59%) – these mainly include the aforementioned households of pensioners, the same applied only to 1.5% of households with the highest income.</w:t>
      </w:r>
    </w:p>
    <w:p w:rsidR="00457214" w:rsidRPr="00AB071F" w:rsidRDefault="00457214" w:rsidP="00457214">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In the past decade, the percentage of households equipped with a computer in the EU countries has increased from 64% in 2007 to 84% in 2017. Although we belong to EU countries where the past ten</w:t>
      </w:r>
      <w:r>
        <w:rPr>
          <w:sz w:val="20"/>
          <w:szCs w:val="20"/>
          <w:lang w:val="en-GB"/>
        </w:rPr>
        <w:t> </w:t>
      </w:r>
      <w:r w:rsidRPr="00970B85">
        <w:rPr>
          <w:sz w:val="20"/>
          <w:szCs w:val="20"/>
          <w:lang w:val="en-GB"/>
        </w:rPr>
        <w:t>years have meant the greatest development in the equipment of households with computers, we still lag behind the aforementioned</w:t>
      </w:r>
      <w:r w:rsidRPr="00970B85">
        <w:rPr>
          <w:b/>
          <w:sz w:val="20"/>
          <w:szCs w:val="20"/>
          <w:lang w:val="en-GB"/>
        </w:rPr>
        <w:t xml:space="preserve"> European average</w:t>
      </w:r>
      <w:r w:rsidRPr="00970B85">
        <w:rPr>
          <w:sz w:val="20"/>
          <w:szCs w:val="20"/>
          <w:lang w:val="en-GB"/>
        </w:rPr>
        <w:t>. In 2017 the number of Czech households with computer access was 82% (</w:t>
      </w:r>
      <w:r w:rsidRPr="00970B85">
        <w:rPr>
          <w:i/>
          <w:sz w:val="20"/>
          <w:szCs w:val="20"/>
          <w:lang w:val="en-GB"/>
        </w:rPr>
        <w:t>data solely involving households with at least one person aged 16–74</w:t>
      </w:r>
      <w:r w:rsidRPr="00970B85">
        <w:rPr>
          <w:sz w:val="20"/>
          <w:szCs w:val="20"/>
          <w:lang w:val="en-GB"/>
        </w:rPr>
        <w:t>), i.e. still two</w:t>
      </w:r>
      <w:r w:rsidRPr="00970B85">
        <w:rPr>
          <w:i/>
          <w:sz w:val="20"/>
          <w:szCs w:val="20"/>
          <w:lang w:val="en-GB"/>
        </w:rPr>
        <w:t xml:space="preserve"> </w:t>
      </w:r>
      <w:r w:rsidRPr="00970B85">
        <w:rPr>
          <w:sz w:val="20"/>
          <w:szCs w:val="20"/>
          <w:lang w:val="en-GB"/>
        </w:rPr>
        <w:t>per cent less than the EU28 average</w:t>
      </w:r>
      <w:r w:rsidRPr="00970B85">
        <w:rPr>
          <w:i/>
          <w:sz w:val="20"/>
          <w:szCs w:val="20"/>
          <w:lang w:val="en-GB"/>
        </w:rPr>
        <w:t>.</w:t>
      </w:r>
      <w:r w:rsidRPr="00970B85">
        <w:rPr>
          <w:sz w:val="20"/>
          <w:szCs w:val="20"/>
          <w:lang w:val="en-GB"/>
        </w:rPr>
        <w:t xml:space="preserve"> </w:t>
      </w:r>
    </w:p>
    <w:p w:rsidR="00457214" w:rsidRPr="00970B85" w:rsidRDefault="00457214" w:rsidP="00457214">
      <w:pPr>
        <w:pStyle w:val="Zkladntext"/>
        <w:spacing w:before="0" w:line="288" w:lineRule="auto"/>
        <w:rPr>
          <w:sz w:val="20"/>
          <w:szCs w:val="20"/>
          <w:lang w:val="en-GB"/>
        </w:rPr>
      </w:pPr>
      <w:r w:rsidRPr="00970B85">
        <w:rPr>
          <w:noProof/>
        </w:rPr>
        <w:lastRenderedPageBreak/>
        <w:drawing>
          <wp:inline distT="0" distB="0" distL="0" distR="0" wp14:anchorId="0251CF53" wp14:editId="178B428D">
            <wp:extent cx="6084000" cy="3456000"/>
            <wp:effectExtent l="0" t="0" r="0" b="0"/>
            <wp:docPr id="37" name="Graf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57214" w:rsidRPr="00970B85" w:rsidRDefault="00457214" w:rsidP="00457214">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 xml:space="preserve">Among the </w:t>
      </w:r>
      <w:r w:rsidRPr="00970B85">
        <w:rPr>
          <w:b/>
          <w:sz w:val="20"/>
          <w:szCs w:val="20"/>
          <w:lang w:val="en-GB"/>
        </w:rPr>
        <w:t>EU countries</w:t>
      </w:r>
      <w:r w:rsidRPr="00970B85">
        <w:rPr>
          <w:sz w:val="20"/>
          <w:szCs w:val="20"/>
          <w:lang w:val="en-GB"/>
        </w:rPr>
        <w:t>, computer usage is mostly expanded in the Netherlands</w:t>
      </w:r>
      <w:r>
        <w:rPr>
          <w:sz w:val="20"/>
          <w:szCs w:val="20"/>
          <w:lang w:val="en-GB"/>
        </w:rPr>
        <w:t>,</w:t>
      </w:r>
      <w:r w:rsidRPr="00970B85">
        <w:rPr>
          <w:sz w:val="20"/>
          <w:szCs w:val="20"/>
          <w:lang w:val="en-GB"/>
        </w:rPr>
        <w:t xml:space="preserve"> where 98% of households claim to have access to a computer. High equipment of households with computers – above 90% – is also found in Scandin</w:t>
      </w:r>
      <w:r>
        <w:rPr>
          <w:sz w:val="20"/>
          <w:szCs w:val="20"/>
          <w:lang w:val="en-GB"/>
        </w:rPr>
        <w:t>avia, Luxembourg, Great Britain, and in Germany. O</w:t>
      </w:r>
      <w:r w:rsidRPr="00970B85">
        <w:rPr>
          <w:sz w:val="20"/>
          <w:szCs w:val="20"/>
          <w:lang w:val="en-GB"/>
        </w:rPr>
        <w:t xml:space="preserve">pposed to </w:t>
      </w:r>
      <w:r>
        <w:rPr>
          <w:sz w:val="20"/>
          <w:szCs w:val="20"/>
          <w:lang w:val="en-GB"/>
        </w:rPr>
        <w:t>this</w:t>
      </w:r>
      <w:r w:rsidRPr="00970B85">
        <w:rPr>
          <w:sz w:val="20"/>
          <w:szCs w:val="20"/>
          <w:lang w:val="en-GB"/>
        </w:rPr>
        <w:t xml:space="preserve">, more than a third of Bulgarian households (37%) do not have any computers. </w:t>
      </w:r>
    </w:p>
    <w:p w:rsidR="00457214" w:rsidRPr="00970B85" w:rsidRDefault="00457214" w:rsidP="00457214">
      <w:pPr>
        <w:pStyle w:val="Nadpis3"/>
      </w:pPr>
      <w:bookmarkStart w:id="25" w:name="_Toc533697494"/>
      <w:bookmarkStart w:id="26" w:name="_Toc534711993"/>
      <w:bookmarkStart w:id="27" w:name="_Toc528845447"/>
      <w:bookmarkEnd w:id="24"/>
      <w:r w:rsidRPr="00970B85">
        <w:t>Type and number of computers used at home</w:t>
      </w:r>
      <w:bookmarkEnd w:id="25"/>
      <w:bookmarkEnd w:id="26"/>
    </w:p>
    <w:p w:rsidR="00457214" w:rsidRPr="00970B85" w:rsidRDefault="00457214" w:rsidP="00457214">
      <w:pPr>
        <w:spacing w:after="80" w:line="264" w:lineRule="auto"/>
        <w:jc w:val="both"/>
        <w:rPr>
          <w:i/>
        </w:rPr>
      </w:pPr>
      <w:r w:rsidRPr="00970B85">
        <w:rPr>
          <w:i/>
        </w:rPr>
        <w:t>In recent years, the size and mobility of computers used in our households has been changing significantly. Up to the year 2013, desktop computers were prevailing in Czech households; in 2014 portable computers became the prevailing ones (laptops or tablets). At the time when nearly all households wishing to have a</w:t>
      </w:r>
      <w:r>
        <w:rPr>
          <w:i/>
        </w:rPr>
        <w:t> </w:t>
      </w:r>
      <w:r w:rsidRPr="00970B85">
        <w:rPr>
          <w:i/>
        </w:rPr>
        <w:t>computer ha</w:t>
      </w:r>
      <w:r>
        <w:rPr>
          <w:i/>
        </w:rPr>
        <w:t>d</w:t>
      </w:r>
      <w:r w:rsidRPr="00970B85">
        <w:rPr>
          <w:i/>
        </w:rPr>
        <w:t xml:space="preserve"> at least one of them at home, the data concerning the type</w:t>
      </w:r>
      <w:r>
        <w:rPr>
          <w:i/>
        </w:rPr>
        <w:t>,</w:t>
      </w:r>
      <w:r w:rsidRPr="00970B85">
        <w:rPr>
          <w:i/>
        </w:rPr>
        <w:t xml:space="preserve"> and alternatively the number of used computers</w:t>
      </w:r>
      <w:r>
        <w:rPr>
          <w:i/>
        </w:rPr>
        <w:t>,</w:t>
      </w:r>
      <w:r w:rsidRPr="00970B85">
        <w:rPr>
          <w:i/>
        </w:rPr>
        <w:t xml:space="preserve"> indicates to be a better measurement method of so called digital imbalance with respect to the equipment with this technology</w:t>
      </w:r>
      <w:r>
        <w:rPr>
          <w:i/>
        </w:rPr>
        <w:t>,</w:t>
      </w:r>
      <w:r w:rsidRPr="00970B85">
        <w:rPr>
          <w:i/>
        </w:rPr>
        <w:t xml:space="preserve"> rather than the number of households equipped with a computer in general.</w:t>
      </w:r>
    </w:p>
    <w:p w:rsidR="00457214" w:rsidRPr="00970B85" w:rsidRDefault="00457214" w:rsidP="00457214">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Whereas in the past years the total number of Czech households equipped with a computer has not been increasing significantly, the percentage of households equipped with a </w:t>
      </w:r>
      <w:r w:rsidRPr="00970B85">
        <w:rPr>
          <w:b/>
          <w:sz w:val="20"/>
          <w:szCs w:val="20"/>
          <w:lang w:val="en-GB"/>
        </w:rPr>
        <w:t>portable computer (laptop or tablet)</w:t>
      </w:r>
      <w:r w:rsidRPr="00970B85">
        <w:rPr>
          <w:sz w:val="20"/>
          <w:szCs w:val="20"/>
          <w:lang w:val="en-GB"/>
        </w:rPr>
        <w:t xml:space="preserve"> has been gradually increasing</w:t>
      </w:r>
      <w:r w:rsidRPr="00970B85">
        <w:rPr>
          <w:b/>
          <w:sz w:val="20"/>
          <w:szCs w:val="20"/>
          <w:lang w:val="en-GB"/>
        </w:rPr>
        <w:t xml:space="preserve"> </w:t>
      </w:r>
      <w:r w:rsidRPr="00970B85">
        <w:rPr>
          <w:sz w:val="20"/>
          <w:szCs w:val="20"/>
          <w:lang w:val="en-GB"/>
        </w:rPr>
        <w:t xml:space="preserve">(62% of households in 2017). Ten years ago a portable computer was owned solely by a tenth of </w:t>
      </w:r>
      <w:r>
        <w:rPr>
          <w:sz w:val="20"/>
          <w:szCs w:val="20"/>
          <w:lang w:val="en-GB"/>
        </w:rPr>
        <w:t xml:space="preserve">all households. Only in 2011, </w:t>
      </w:r>
      <w:r w:rsidRPr="00970B85">
        <w:rPr>
          <w:sz w:val="20"/>
          <w:szCs w:val="20"/>
          <w:lang w:val="en-GB"/>
        </w:rPr>
        <w:t xml:space="preserve">half of all “computerised” households in the Czech Republic were equipped with </w:t>
      </w:r>
      <w:r>
        <w:rPr>
          <w:sz w:val="20"/>
          <w:szCs w:val="20"/>
          <w:lang w:val="en-GB"/>
        </w:rPr>
        <w:t xml:space="preserve">only </w:t>
      </w:r>
      <w:r w:rsidRPr="00970B85">
        <w:rPr>
          <w:sz w:val="20"/>
          <w:szCs w:val="20"/>
          <w:lang w:val="en-GB"/>
        </w:rPr>
        <w:t>a desktop computer</w:t>
      </w:r>
      <w:r>
        <w:rPr>
          <w:sz w:val="20"/>
          <w:szCs w:val="20"/>
          <w:lang w:val="en-GB"/>
        </w:rPr>
        <w:t>,</w:t>
      </w:r>
      <w:r w:rsidRPr="00970B85">
        <w:rPr>
          <w:sz w:val="20"/>
          <w:szCs w:val="20"/>
          <w:lang w:val="en-GB"/>
        </w:rPr>
        <w:t xml:space="preserve"> and a</w:t>
      </w:r>
      <w:r>
        <w:rPr>
          <w:sz w:val="20"/>
          <w:szCs w:val="20"/>
          <w:lang w:val="en-GB"/>
        </w:rPr>
        <w:t xml:space="preserve"> fifth had a portable computer. I</w:t>
      </w:r>
      <w:r w:rsidRPr="00970B85">
        <w:rPr>
          <w:sz w:val="20"/>
          <w:szCs w:val="20"/>
          <w:lang w:val="en-GB"/>
        </w:rPr>
        <w:t>n 2017</w:t>
      </w:r>
      <w:r>
        <w:rPr>
          <w:sz w:val="20"/>
          <w:szCs w:val="20"/>
          <w:lang w:val="en-GB"/>
        </w:rPr>
        <w:t>,</w:t>
      </w:r>
      <w:r w:rsidRPr="00970B85">
        <w:rPr>
          <w:sz w:val="20"/>
          <w:szCs w:val="20"/>
          <w:lang w:val="en-GB"/>
        </w:rPr>
        <w:t xml:space="preserve"> this ratio was exactly the opposite.</w:t>
      </w:r>
    </w:p>
    <w:p w:rsidR="00457214" w:rsidRPr="00970B85" w:rsidRDefault="00457214" w:rsidP="00457214">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b/>
          <w:sz w:val="20"/>
          <w:szCs w:val="20"/>
          <w:lang w:val="en-GB"/>
        </w:rPr>
        <w:t>Laptops</w:t>
      </w:r>
      <w:r w:rsidRPr="00970B85">
        <w:rPr>
          <w:sz w:val="20"/>
          <w:szCs w:val="20"/>
          <w:lang w:val="en-GB"/>
        </w:rPr>
        <w:t xml:space="preserve"> are mainly used in young families with no children (83%)</w:t>
      </w:r>
      <w:r>
        <w:rPr>
          <w:sz w:val="20"/>
          <w:szCs w:val="20"/>
          <w:lang w:val="en-GB"/>
        </w:rPr>
        <w:t>,</w:t>
      </w:r>
      <w:r w:rsidRPr="00970B85">
        <w:rPr>
          <w:sz w:val="20"/>
          <w:szCs w:val="20"/>
          <w:lang w:val="en-GB"/>
        </w:rPr>
        <w:t xml:space="preserve"> and for three quarters of those it is the sole type of computer they have at home. Similarly, laptops are used by three quarters of families with children.</w:t>
      </w:r>
    </w:p>
    <w:p w:rsidR="00457214" w:rsidRPr="00970B85" w:rsidRDefault="00457214" w:rsidP="00457214">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In 2017, a </w:t>
      </w:r>
      <w:r w:rsidRPr="00970B85">
        <w:rPr>
          <w:b/>
          <w:sz w:val="20"/>
          <w:szCs w:val="20"/>
          <w:lang w:val="en-GB"/>
        </w:rPr>
        <w:t>tablet</w:t>
      </w:r>
      <w:r w:rsidRPr="00970B85">
        <w:rPr>
          <w:sz w:val="20"/>
          <w:szCs w:val="20"/>
          <w:lang w:val="en-GB"/>
        </w:rPr>
        <w:t xml:space="preserve"> could be used in nearl</w:t>
      </w:r>
      <w:r>
        <w:rPr>
          <w:sz w:val="20"/>
          <w:szCs w:val="20"/>
          <w:lang w:val="en-GB"/>
        </w:rPr>
        <w:t>y a quarter of Czech households, mainly including</w:t>
      </w:r>
      <w:r w:rsidRPr="00970B85">
        <w:rPr>
          <w:sz w:val="20"/>
          <w:szCs w:val="20"/>
          <w:lang w:val="en-GB"/>
        </w:rPr>
        <w:t xml:space="preserve"> </w:t>
      </w:r>
      <w:r w:rsidRPr="00970B85">
        <w:rPr>
          <w:b/>
          <w:sz w:val="20"/>
          <w:szCs w:val="20"/>
          <w:lang w:val="en-GB"/>
        </w:rPr>
        <w:t>households with children</w:t>
      </w:r>
      <w:r w:rsidRPr="00970B85">
        <w:rPr>
          <w:sz w:val="20"/>
          <w:szCs w:val="20"/>
          <w:lang w:val="en-GB"/>
        </w:rPr>
        <w:t>; tablets were used</w:t>
      </w:r>
      <w:r w:rsidRPr="00970B85">
        <w:rPr>
          <w:b/>
          <w:sz w:val="20"/>
          <w:szCs w:val="20"/>
          <w:lang w:val="en-GB"/>
        </w:rPr>
        <w:t xml:space="preserve"> </w:t>
      </w:r>
      <w:r w:rsidRPr="00970B85">
        <w:rPr>
          <w:sz w:val="20"/>
          <w:szCs w:val="20"/>
          <w:lang w:val="en-GB"/>
        </w:rPr>
        <w:t xml:space="preserve">by 46% of such households. </w:t>
      </w:r>
      <w:r>
        <w:rPr>
          <w:sz w:val="20"/>
          <w:szCs w:val="20"/>
          <w:lang w:val="en-GB"/>
        </w:rPr>
        <w:t>O</w:t>
      </w:r>
      <w:r w:rsidRPr="00970B85">
        <w:rPr>
          <w:sz w:val="20"/>
          <w:szCs w:val="20"/>
          <w:lang w:val="en-GB"/>
        </w:rPr>
        <w:t>pposed to th</w:t>
      </w:r>
      <w:r>
        <w:rPr>
          <w:sz w:val="20"/>
          <w:szCs w:val="20"/>
          <w:lang w:val="en-GB"/>
        </w:rPr>
        <w:t>is</w:t>
      </w:r>
      <w:r w:rsidRPr="00970B85">
        <w:rPr>
          <w:sz w:val="20"/>
          <w:szCs w:val="20"/>
          <w:lang w:val="en-GB"/>
        </w:rPr>
        <w:t xml:space="preserve">, only 3% of households of persons over the age of 65 used a tablet. </w:t>
      </w:r>
    </w:p>
    <w:p w:rsidR="00457214" w:rsidRPr="00970B85" w:rsidRDefault="00457214" w:rsidP="00457214">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Until the year 2013, the prevailing type in Czech households was the </w:t>
      </w:r>
      <w:r w:rsidRPr="00970B85">
        <w:rPr>
          <w:b/>
          <w:sz w:val="20"/>
          <w:szCs w:val="20"/>
          <w:lang w:val="en-GB"/>
        </w:rPr>
        <w:t>desktop computer</w:t>
      </w:r>
      <w:r w:rsidRPr="00970B85">
        <w:rPr>
          <w:sz w:val="20"/>
          <w:szCs w:val="20"/>
          <w:lang w:val="en-GB"/>
        </w:rPr>
        <w:t>, however, nowadays (Q2 of 2017)</w:t>
      </w:r>
      <w:r>
        <w:rPr>
          <w:sz w:val="20"/>
          <w:szCs w:val="20"/>
          <w:lang w:val="en-GB"/>
        </w:rPr>
        <w:t>,</w:t>
      </w:r>
      <w:r w:rsidRPr="00970B85">
        <w:rPr>
          <w:sz w:val="20"/>
          <w:szCs w:val="20"/>
          <w:lang w:val="en-GB"/>
        </w:rPr>
        <w:t xml:space="preserve"> it is mainly used in the households of pensioners. The desktop version of a computer is owned by less than a half of all households of pensioners.</w:t>
      </w:r>
    </w:p>
    <w:p w:rsidR="00457214" w:rsidRPr="00970B85" w:rsidRDefault="00457214" w:rsidP="00457214">
      <w:pPr>
        <w:pStyle w:val="Zkladntext"/>
        <w:spacing w:before="0" w:after="120" w:line="288" w:lineRule="auto"/>
        <w:rPr>
          <w:lang w:val="en-GB"/>
        </w:rPr>
      </w:pPr>
      <w:r w:rsidRPr="00970B85">
        <w:rPr>
          <w:noProof/>
        </w:rPr>
        <w:lastRenderedPageBreak/>
        <w:drawing>
          <wp:inline distT="0" distB="0" distL="0" distR="0" wp14:anchorId="5484D2D2" wp14:editId="0698AA98">
            <wp:extent cx="2988000" cy="3060000"/>
            <wp:effectExtent l="0" t="0" r="3175" b="7620"/>
            <wp:docPr id="38" name="Graf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970B85">
        <w:rPr>
          <w:lang w:val="en-GB"/>
        </w:rPr>
        <w:t xml:space="preserve"> </w:t>
      </w:r>
      <w:r w:rsidRPr="00970B85">
        <w:rPr>
          <w:noProof/>
        </w:rPr>
        <w:drawing>
          <wp:inline distT="0" distB="0" distL="0" distR="0" wp14:anchorId="29D536B4" wp14:editId="73A054AE">
            <wp:extent cx="3096000" cy="3060000"/>
            <wp:effectExtent l="0" t="0" r="0" b="7620"/>
            <wp:docPr id="39" name="Graf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457214" w:rsidRPr="00970B85" w:rsidRDefault="00457214" w:rsidP="00457214">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Over the years, </w:t>
      </w:r>
      <w:r w:rsidRPr="00970B85">
        <w:rPr>
          <w:b/>
          <w:sz w:val="20"/>
          <w:szCs w:val="20"/>
          <w:lang w:val="en-GB"/>
        </w:rPr>
        <w:t>the number of computers</w:t>
      </w:r>
      <w:r w:rsidRPr="00970B85">
        <w:rPr>
          <w:sz w:val="20"/>
          <w:szCs w:val="20"/>
          <w:lang w:val="en-GB"/>
        </w:rPr>
        <w:t xml:space="preserve"> used in Czech households has been increasing. Whereas in 2010 a mere fifth of all households (a third of households owning a computer) owned two or more computers, in 2016</w:t>
      </w:r>
      <w:r>
        <w:rPr>
          <w:sz w:val="20"/>
          <w:szCs w:val="20"/>
          <w:lang w:val="en-GB"/>
        </w:rPr>
        <w:t>,</w:t>
      </w:r>
      <w:r w:rsidRPr="00970B85">
        <w:rPr>
          <w:sz w:val="20"/>
          <w:szCs w:val="20"/>
          <w:lang w:val="en-GB"/>
        </w:rPr>
        <w:t xml:space="preserve"> two or more computers could be found in 38% of all households, i.e. 50% of households equipped with a computer. With respect to households with children</w:t>
      </w:r>
      <w:r>
        <w:rPr>
          <w:sz w:val="20"/>
          <w:szCs w:val="20"/>
          <w:lang w:val="en-GB"/>
        </w:rPr>
        <w:t xml:space="preserve"> </w:t>
      </w:r>
      <w:r w:rsidRPr="00970B85">
        <w:rPr>
          <w:sz w:val="20"/>
          <w:szCs w:val="20"/>
          <w:lang w:val="en-GB"/>
        </w:rPr>
        <w:t>it was 61% of them</w:t>
      </w:r>
      <w:r>
        <w:rPr>
          <w:sz w:val="20"/>
          <w:szCs w:val="20"/>
          <w:lang w:val="en-GB"/>
        </w:rPr>
        <w:t>,</w:t>
      </w:r>
      <w:r w:rsidRPr="00970B85">
        <w:rPr>
          <w:sz w:val="20"/>
          <w:szCs w:val="20"/>
          <w:lang w:val="en-GB"/>
        </w:rPr>
        <w:t xml:space="preserve"> and with respect to households with a high income</w:t>
      </w:r>
      <w:r>
        <w:rPr>
          <w:sz w:val="20"/>
          <w:szCs w:val="20"/>
          <w:lang w:val="en-GB"/>
        </w:rPr>
        <w:t>,</w:t>
      </w:r>
      <w:r w:rsidRPr="00970B85">
        <w:rPr>
          <w:sz w:val="20"/>
          <w:szCs w:val="20"/>
          <w:lang w:val="en-GB"/>
        </w:rPr>
        <w:t xml:space="preserve"> it was even 80%.</w:t>
      </w:r>
    </w:p>
    <w:p w:rsidR="00457214" w:rsidRPr="00970B85" w:rsidRDefault="00457214" w:rsidP="00457214">
      <w:pPr>
        <w:pStyle w:val="Nadpis2"/>
      </w:pPr>
      <w:bookmarkStart w:id="28" w:name="_Toc533697495"/>
      <w:bookmarkStart w:id="29" w:name="_Toc534711994"/>
      <w:r w:rsidRPr="00970B85">
        <w:t>B.3 Households and the internet</w:t>
      </w:r>
      <w:bookmarkEnd w:id="28"/>
      <w:bookmarkEnd w:id="29"/>
    </w:p>
    <w:p w:rsidR="00457214" w:rsidRPr="00970B85" w:rsidRDefault="00457214" w:rsidP="00457214">
      <w:pPr>
        <w:pStyle w:val="Zkladntext"/>
        <w:spacing w:before="0" w:after="80" w:line="264" w:lineRule="auto"/>
        <w:rPr>
          <w:i/>
          <w:sz w:val="20"/>
          <w:lang w:val="en-GB"/>
        </w:rPr>
      </w:pPr>
      <w:r w:rsidRPr="00970B85">
        <w:rPr>
          <w:i/>
          <w:sz w:val="20"/>
          <w:lang w:val="en-GB"/>
        </w:rPr>
        <w:t xml:space="preserve">The </w:t>
      </w:r>
      <w:r>
        <w:rPr>
          <w:i/>
          <w:sz w:val="20"/>
          <w:lang w:val="en-GB"/>
        </w:rPr>
        <w:t>equipment of households with</w:t>
      </w:r>
      <w:r w:rsidRPr="00970B85">
        <w:rPr>
          <w:i/>
          <w:sz w:val="20"/>
          <w:lang w:val="en-GB"/>
        </w:rPr>
        <w:t xml:space="preserve"> </w:t>
      </w:r>
      <w:r>
        <w:rPr>
          <w:i/>
          <w:sz w:val="20"/>
          <w:lang w:val="en-GB"/>
        </w:rPr>
        <w:t xml:space="preserve">the </w:t>
      </w:r>
      <w:r w:rsidRPr="00970B85">
        <w:rPr>
          <w:i/>
          <w:sz w:val="20"/>
          <w:lang w:val="en-GB"/>
        </w:rPr>
        <w:t>internet contributes to digital literacy of inhabitants</w:t>
      </w:r>
      <w:r>
        <w:rPr>
          <w:i/>
          <w:sz w:val="20"/>
          <w:lang w:val="en-GB"/>
        </w:rPr>
        <w:t>,</w:t>
      </w:r>
      <w:r w:rsidRPr="00970B85">
        <w:rPr>
          <w:i/>
          <w:sz w:val="20"/>
          <w:lang w:val="en-GB"/>
        </w:rPr>
        <w:t xml:space="preserve"> and also serves as an important indicator of how people are willing to join the digital society</w:t>
      </w:r>
      <w:r>
        <w:rPr>
          <w:i/>
          <w:sz w:val="20"/>
          <w:lang w:val="en-GB"/>
        </w:rPr>
        <w:t>,</w:t>
      </w:r>
      <w:r w:rsidRPr="00970B85">
        <w:rPr>
          <w:i/>
          <w:sz w:val="20"/>
          <w:lang w:val="en-GB"/>
        </w:rPr>
        <w:t xml:space="preserve"> and whether they have sufficient funds to do so. In the Czech Republic, internet con</w:t>
      </w:r>
      <w:r>
        <w:rPr>
          <w:i/>
          <w:sz w:val="20"/>
          <w:lang w:val="en-GB"/>
        </w:rPr>
        <w:t xml:space="preserve">nection is currently owned </w:t>
      </w:r>
      <w:r w:rsidRPr="00970B85">
        <w:rPr>
          <w:i/>
          <w:sz w:val="20"/>
          <w:lang w:val="en-GB"/>
        </w:rPr>
        <w:t xml:space="preserve">by </w:t>
      </w:r>
      <w:r>
        <w:rPr>
          <w:i/>
          <w:sz w:val="20"/>
          <w:lang w:val="en-GB"/>
        </w:rPr>
        <w:t xml:space="preserve">even </w:t>
      </w:r>
      <w:r w:rsidRPr="00970B85">
        <w:rPr>
          <w:i/>
          <w:sz w:val="20"/>
          <w:lang w:val="en-GB"/>
        </w:rPr>
        <w:t>more households than the percentage of households actually owning a computer. Despite this fact, we still lag behind the current average percentage of households with access to the internet within the EU. At the same time, the manner in which Czech citizens get connected to the internet also differs from the one used in western EU countries.</w:t>
      </w:r>
    </w:p>
    <w:p w:rsidR="00457214" w:rsidRPr="00970B85" w:rsidRDefault="00457214" w:rsidP="00457214">
      <w:pPr>
        <w:pStyle w:val="Nadpis3"/>
      </w:pPr>
      <w:bookmarkStart w:id="30" w:name="_Toc533697496"/>
      <w:bookmarkStart w:id="31" w:name="_Toc534711995"/>
      <w:r w:rsidRPr="00970B85">
        <w:t xml:space="preserve">Households with </w:t>
      </w:r>
      <w:r>
        <w:t>the internet – Main figures</w:t>
      </w:r>
      <w:bookmarkEnd w:id="30"/>
      <w:bookmarkEnd w:id="31"/>
    </w:p>
    <w:p w:rsidR="00457214" w:rsidRDefault="00457214" w:rsidP="00457214">
      <w:pPr>
        <w:pStyle w:val="Zkladntext"/>
        <w:spacing w:before="0" w:after="80" w:line="264" w:lineRule="auto"/>
        <w:rPr>
          <w:i/>
          <w:sz w:val="20"/>
          <w:lang w:val="en-GB"/>
        </w:rPr>
      </w:pPr>
      <w:r>
        <w:rPr>
          <w:i/>
          <w:sz w:val="20"/>
          <w:lang w:val="en-GB"/>
        </w:rPr>
        <w:t>According to ITU estimation, worldwide, a</w:t>
      </w:r>
      <w:r w:rsidRPr="00A136E6">
        <w:rPr>
          <w:i/>
          <w:sz w:val="20"/>
          <w:lang w:val="en-GB"/>
        </w:rPr>
        <w:t>lmost</w:t>
      </w:r>
      <w:r>
        <w:rPr>
          <w:i/>
          <w:sz w:val="20"/>
          <w:lang w:val="en-GB"/>
        </w:rPr>
        <w:t xml:space="preserve"> 60 per cent of households had i</w:t>
      </w:r>
      <w:r w:rsidRPr="00A136E6">
        <w:rPr>
          <w:i/>
          <w:sz w:val="20"/>
          <w:lang w:val="en-GB"/>
        </w:rPr>
        <w:t>nternet access at home</w:t>
      </w:r>
      <w:r>
        <w:rPr>
          <w:i/>
          <w:sz w:val="20"/>
          <w:lang w:val="en-GB"/>
        </w:rPr>
        <w:t xml:space="preserve"> in 2018</w:t>
      </w:r>
      <w:r w:rsidRPr="00A136E6">
        <w:rPr>
          <w:i/>
          <w:sz w:val="20"/>
          <w:lang w:val="en-GB"/>
        </w:rPr>
        <w:t>, up from less than 20 per cent in 2005. Fewer than half of households had a computer at home, highlighting</w:t>
      </w:r>
      <w:r>
        <w:rPr>
          <w:i/>
          <w:sz w:val="20"/>
          <w:lang w:val="en-GB"/>
        </w:rPr>
        <w:t xml:space="preserve"> </w:t>
      </w:r>
      <w:r w:rsidRPr="00A136E6">
        <w:rPr>
          <w:i/>
          <w:sz w:val="20"/>
          <w:lang w:val="en-GB"/>
        </w:rPr>
        <w:t xml:space="preserve">that a substantial number of households accessed the </w:t>
      </w:r>
      <w:r>
        <w:rPr>
          <w:i/>
          <w:sz w:val="20"/>
          <w:lang w:val="en-GB"/>
        </w:rPr>
        <w:t>i</w:t>
      </w:r>
      <w:r w:rsidRPr="00A136E6">
        <w:rPr>
          <w:i/>
          <w:sz w:val="20"/>
          <w:lang w:val="en-GB"/>
        </w:rPr>
        <w:t>nternet (also) through other means, most importantly through mobile devices</w:t>
      </w:r>
      <w:r>
        <w:rPr>
          <w:i/>
          <w:sz w:val="20"/>
          <w:lang w:val="en-GB"/>
        </w:rPr>
        <w:t xml:space="preserve">. </w:t>
      </w:r>
    </w:p>
    <w:p w:rsidR="00457214" w:rsidRPr="00AB071F" w:rsidRDefault="00457214" w:rsidP="00457214">
      <w:pPr>
        <w:pStyle w:val="Zkladntext"/>
        <w:spacing w:before="0" w:after="80" w:line="264" w:lineRule="auto"/>
        <w:rPr>
          <w:i/>
          <w:sz w:val="20"/>
          <w:lang w:val="en-GB"/>
        </w:rPr>
      </w:pPr>
      <w:r w:rsidRPr="00AB071F">
        <w:rPr>
          <w:i/>
          <w:sz w:val="20"/>
          <w:lang w:val="en-GB"/>
        </w:rPr>
        <w:t>Age, education, financial situation and geographical location of households play a key role with respect to equipment with information technologies. In the Czech Republic, some of these differences are wiped off, along with the time, and it depends on whether the household members find ICT and internet useful or not, and whether they are willing to learn to work with it.</w:t>
      </w:r>
    </w:p>
    <w:p w:rsidR="00457214" w:rsidRPr="00970B85" w:rsidRDefault="00457214" w:rsidP="00457214">
      <w:pPr>
        <w:pStyle w:val="Zkladntext"/>
        <w:widowControl w:val="0"/>
        <w:numPr>
          <w:ilvl w:val="0"/>
          <w:numId w:val="15"/>
        </w:numPr>
        <w:tabs>
          <w:tab w:val="clear" w:pos="360"/>
        </w:tabs>
        <w:spacing w:before="0" w:after="80" w:line="264" w:lineRule="auto"/>
        <w:ind w:left="284" w:hanging="284"/>
        <w:rPr>
          <w:sz w:val="20"/>
          <w:szCs w:val="20"/>
          <w:lang w:val="en-GB"/>
        </w:rPr>
      </w:pPr>
      <w:r w:rsidRPr="00A136E6">
        <w:rPr>
          <w:i/>
          <w:sz w:val="20"/>
          <w:szCs w:val="20"/>
          <w:lang w:val="en-GB"/>
        </w:rPr>
        <w:t>S</w:t>
      </w:r>
      <w:r w:rsidRPr="00970B85">
        <w:rPr>
          <w:sz w:val="20"/>
          <w:szCs w:val="20"/>
          <w:lang w:val="en-GB"/>
        </w:rPr>
        <w:t>ince 2016</w:t>
      </w:r>
      <w:r>
        <w:rPr>
          <w:sz w:val="20"/>
          <w:szCs w:val="20"/>
          <w:lang w:val="en-GB"/>
        </w:rPr>
        <w:t>,</w:t>
      </w:r>
      <w:r w:rsidRPr="00970B85">
        <w:rPr>
          <w:sz w:val="20"/>
          <w:szCs w:val="20"/>
          <w:lang w:val="en-GB"/>
        </w:rPr>
        <w:t xml:space="preserve"> there are more households in the Czech Republic equipped with </w:t>
      </w:r>
      <w:r w:rsidRPr="00A136E6">
        <w:rPr>
          <w:b/>
          <w:sz w:val="20"/>
          <w:szCs w:val="20"/>
          <w:lang w:val="en-GB"/>
        </w:rPr>
        <w:t>internet access</w:t>
      </w:r>
      <w:r w:rsidRPr="00970B85">
        <w:rPr>
          <w:sz w:val="20"/>
          <w:szCs w:val="20"/>
          <w:lang w:val="en-GB"/>
        </w:rPr>
        <w:t xml:space="preserve"> rather than with a computer. In the Q2 of 2017 </w:t>
      </w:r>
      <w:r w:rsidRPr="00A136E6">
        <w:rPr>
          <w:sz w:val="20"/>
          <w:szCs w:val="20"/>
          <w:lang w:val="en-GB"/>
        </w:rPr>
        <w:t>internet access</w:t>
      </w:r>
      <w:r w:rsidRPr="00D3587A">
        <w:rPr>
          <w:sz w:val="20"/>
          <w:szCs w:val="20"/>
          <w:vertAlign w:val="superscript"/>
          <w:lang w:val="en-GB"/>
        </w:rPr>
        <w:footnoteReference w:id="6"/>
      </w:r>
      <w:r w:rsidRPr="00FE36EB">
        <w:rPr>
          <w:sz w:val="20"/>
          <w:szCs w:val="20"/>
          <w:lang w:val="en-GB"/>
        </w:rPr>
        <w:t xml:space="preserve"> </w:t>
      </w:r>
      <w:r w:rsidRPr="00970B85">
        <w:rPr>
          <w:sz w:val="20"/>
          <w:szCs w:val="20"/>
          <w:lang w:val="en-GB"/>
        </w:rPr>
        <w:t>was already used by 77% of households (3.4</w:t>
      </w:r>
      <w:r>
        <w:rPr>
          <w:sz w:val="20"/>
          <w:szCs w:val="20"/>
          <w:lang w:val="en-GB"/>
        </w:rPr>
        <w:t> </w:t>
      </w:r>
      <w:r w:rsidRPr="00970B85">
        <w:rPr>
          <w:sz w:val="20"/>
          <w:szCs w:val="20"/>
          <w:lang w:val="en-GB"/>
        </w:rPr>
        <w:t>million). In the past ten years, the number of households with internet access has increased by two</w:t>
      </w:r>
      <w:r>
        <w:rPr>
          <w:sz w:val="20"/>
          <w:szCs w:val="20"/>
          <w:lang w:val="en-GB"/>
        </w:rPr>
        <w:t> </w:t>
      </w:r>
      <w:r w:rsidRPr="00970B85">
        <w:rPr>
          <w:sz w:val="20"/>
          <w:szCs w:val="20"/>
          <w:lang w:val="en-GB"/>
        </w:rPr>
        <w:t xml:space="preserve">million – in 2007 internet access was used by a third of Czech households (1.4 million). </w:t>
      </w:r>
    </w:p>
    <w:p w:rsidR="00457214" w:rsidRPr="00970B85" w:rsidRDefault="00457214" w:rsidP="00457214">
      <w:pPr>
        <w:pStyle w:val="Titulek"/>
        <w:widowControl w:val="0"/>
        <w:spacing w:after="0"/>
        <w:jc w:val="both"/>
        <w:rPr>
          <w:color w:val="FFFFFF" w:themeColor="background1"/>
          <w:sz w:val="4"/>
          <w:szCs w:val="4"/>
          <w:lang w:val="en-GB"/>
        </w:rPr>
      </w:pPr>
      <w:bookmarkStart w:id="32" w:name="_Toc526839153"/>
      <w:bookmarkStart w:id="33" w:name="_Toc527107114"/>
      <w:r w:rsidRPr="00970B85">
        <w:rPr>
          <w:color w:val="FFFFFF" w:themeColor="background1"/>
          <w:sz w:val="4"/>
          <w:szCs w:val="4"/>
          <w:lang w:val="en-GB"/>
        </w:rPr>
        <w:t>Figure B</w:t>
      </w:r>
      <w:r w:rsidRPr="00970B85">
        <w:rPr>
          <w:color w:val="FFFFFF" w:themeColor="background1"/>
          <w:sz w:val="4"/>
          <w:szCs w:val="4"/>
          <w:lang w:val="en-GB"/>
        </w:rPr>
        <w:fldChar w:fldCharType="begin"/>
      </w:r>
      <w:r w:rsidRPr="00970B85">
        <w:rPr>
          <w:color w:val="FFFFFF" w:themeColor="background1"/>
          <w:sz w:val="4"/>
          <w:szCs w:val="4"/>
          <w:lang w:val="en-GB"/>
        </w:rPr>
        <w:instrText xml:space="preserve"> SEQ Figure_B \* ARABIC </w:instrText>
      </w:r>
      <w:r w:rsidRPr="00970B85">
        <w:rPr>
          <w:color w:val="FFFFFF" w:themeColor="background1"/>
          <w:sz w:val="4"/>
          <w:szCs w:val="4"/>
          <w:lang w:val="en-GB"/>
        </w:rPr>
        <w:fldChar w:fldCharType="separate"/>
      </w:r>
      <w:r>
        <w:rPr>
          <w:noProof/>
          <w:color w:val="FFFFFF" w:themeColor="background1"/>
          <w:sz w:val="4"/>
          <w:szCs w:val="4"/>
          <w:lang w:val="en-GB"/>
        </w:rPr>
        <w:t>1</w:t>
      </w:r>
      <w:r w:rsidRPr="00970B85">
        <w:rPr>
          <w:color w:val="FFFFFF" w:themeColor="background1"/>
          <w:sz w:val="4"/>
          <w:szCs w:val="4"/>
          <w:lang w:val="en-GB"/>
        </w:rPr>
        <w:fldChar w:fldCharType="end"/>
      </w:r>
      <w:r w:rsidRPr="00970B85">
        <w:rPr>
          <w:color w:val="FFFFFF" w:themeColor="background1"/>
          <w:sz w:val="4"/>
          <w:szCs w:val="4"/>
          <w:lang w:val="en-GB"/>
        </w:rPr>
        <w:t xml:space="preserve"> Households in the Czech Republic with access to the internet at home</w:t>
      </w:r>
      <w:bookmarkEnd w:id="32"/>
      <w:bookmarkEnd w:id="33"/>
    </w:p>
    <w:p w:rsidR="00457214" w:rsidRPr="00970B85" w:rsidRDefault="00457214" w:rsidP="00457214">
      <w:pPr>
        <w:pStyle w:val="Zkladntext"/>
        <w:spacing w:before="0" w:after="120" w:line="288" w:lineRule="auto"/>
        <w:rPr>
          <w:lang w:val="en-GB"/>
        </w:rPr>
      </w:pPr>
      <w:r w:rsidRPr="00970B85">
        <w:rPr>
          <w:noProof/>
        </w:rPr>
        <w:lastRenderedPageBreak/>
        <w:drawing>
          <wp:inline distT="0" distB="0" distL="0" distR="0" wp14:anchorId="68DD8760" wp14:editId="159F6AEF">
            <wp:extent cx="2952000" cy="3420000"/>
            <wp:effectExtent l="0" t="0" r="1270" b="0"/>
            <wp:docPr id="40" name="Graf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970B85">
        <w:rPr>
          <w:lang w:val="en-GB"/>
        </w:rPr>
        <w:t xml:space="preserve"> </w:t>
      </w:r>
      <w:r w:rsidRPr="00970B85">
        <w:rPr>
          <w:noProof/>
        </w:rPr>
        <w:drawing>
          <wp:inline distT="0" distB="0" distL="0" distR="0" wp14:anchorId="1FD60C5F" wp14:editId="71A55F2B">
            <wp:extent cx="3132000" cy="3420000"/>
            <wp:effectExtent l="0" t="0" r="0" b="0"/>
            <wp:docPr id="41" name="Graf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457214" w:rsidRPr="00970B85" w:rsidRDefault="00457214" w:rsidP="00457214">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Internet has become widely available to the general public, both in terms of accessibility as well as cost. A</w:t>
      </w:r>
      <w:r>
        <w:rPr>
          <w:sz w:val="20"/>
          <w:szCs w:val="20"/>
          <w:lang w:val="en-GB"/>
        </w:rPr>
        <w:t> </w:t>
      </w:r>
      <w:r w:rsidRPr="00970B85">
        <w:rPr>
          <w:sz w:val="20"/>
          <w:szCs w:val="20"/>
          <w:lang w:val="en-GB"/>
        </w:rPr>
        <w:t xml:space="preserve">boundary was crossed in 2007, when </w:t>
      </w:r>
      <w:r>
        <w:rPr>
          <w:sz w:val="20"/>
          <w:szCs w:val="20"/>
          <w:lang w:val="en-GB"/>
        </w:rPr>
        <w:t xml:space="preserve">for the first time </w:t>
      </w:r>
      <w:r w:rsidRPr="006D27EA">
        <w:rPr>
          <w:b/>
          <w:sz w:val="20"/>
          <w:szCs w:val="20"/>
          <w:lang w:val="en-GB"/>
        </w:rPr>
        <w:t>a majority (55%) of households in the EU28</w:t>
      </w:r>
      <w:r w:rsidRPr="00970B85">
        <w:rPr>
          <w:sz w:val="20"/>
          <w:szCs w:val="20"/>
          <w:lang w:val="en-GB"/>
        </w:rPr>
        <w:t xml:space="preserve"> had internet access. This proportion continued to increase, passing three quarters in 2012</w:t>
      </w:r>
      <w:r>
        <w:rPr>
          <w:sz w:val="20"/>
          <w:szCs w:val="20"/>
          <w:lang w:val="en-GB"/>
        </w:rPr>
        <w:t>,</w:t>
      </w:r>
      <w:r w:rsidRPr="00970B85">
        <w:rPr>
          <w:sz w:val="20"/>
          <w:szCs w:val="20"/>
          <w:lang w:val="en-GB"/>
        </w:rPr>
        <w:t xml:space="preserve"> and four fifths in 2014. By 2017, the share of EU28 households with internet access had risen to 87%, some 32 per cent higher than in 2007. </w:t>
      </w:r>
    </w:p>
    <w:p w:rsidR="00457214" w:rsidRPr="00970B85" w:rsidRDefault="00457214" w:rsidP="00457214">
      <w:pPr>
        <w:pStyle w:val="Zkladntext"/>
        <w:numPr>
          <w:ilvl w:val="0"/>
          <w:numId w:val="15"/>
        </w:numPr>
        <w:tabs>
          <w:tab w:val="clear" w:pos="360"/>
          <w:tab w:val="num" w:pos="284"/>
        </w:tabs>
        <w:spacing w:before="0" w:after="80" w:line="264" w:lineRule="auto"/>
        <w:ind w:left="284" w:hanging="284"/>
        <w:rPr>
          <w:sz w:val="20"/>
          <w:szCs w:val="20"/>
          <w:lang w:val="en-GB"/>
        </w:rPr>
      </w:pPr>
      <w:r w:rsidRPr="00970B85">
        <w:rPr>
          <w:sz w:val="20"/>
          <w:szCs w:val="20"/>
          <w:lang w:val="en-GB"/>
        </w:rPr>
        <w:t xml:space="preserve">Among the </w:t>
      </w:r>
      <w:r w:rsidRPr="00970B85">
        <w:rPr>
          <w:b/>
          <w:sz w:val="20"/>
          <w:szCs w:val="20"/>
          <w:lang w:val="en-GB"/>
        </w:rPr>
        <w:t>EU countries</w:t>
      </w:r>
      <w:r w:rsidRPr="00970B85">
        <w:rPr>
          <w:sz w:val="20"/>
          <w:szCs w:val="20"/>
          <w:lang w:val="en-GB"/>
        </w:rPr>
        <w:t>, internet access is mostly expanded in the Netherlands and in Luxembourg where only three households out of a hundred did not use it in 2017. High usage of internet access has also been recorded in Scandinavian countries, in Great Britain and in Germany. In these countries the percentage of households with internet access has reached above 90%. As opposed to th</w:t>
      </w:r>
      <w:r>
        <w:rPr>
          <w:sz w:val="20"/>
          <w:szCs w:val="20"/>
          <w:lang w:val="en-GB"/>
        </w:rPr>
        <w:t xml:space="preserve">is, internet access was </w:t>
      </w:r>
      <w:r w:rsidRPr="00970B85">
        <w:rPr>
          <w:sz w:val="20"/>
          <w:szCs w:val="20"/>
          <w:lang w:val="en-GB"/>
        </w:rPr>
        <w:t xml:space="preserve">“only” </w:t>
      </w:r>
      <w:r>
        <w:rPr>
          <w:sz w:val="20"/>
          <w:szCs w:val="20"/>
          <w:lang w:val="en-GB"/>
        </w:rPr>
        <w:t xml:space="preserve">used </w:t>
      </w:r>
      <w:r w:rsidRPr="00970B85">
        <w:rPr>
          <w:sz w:val="20"/>
          <w:szCs w:val="20"/>
          <w:lang w:val="en-GB"/>
        </w:rPr>
        <w:t>in 71% of Greek households</w:t>
      </w:r>
      <w:r>
        <w:rPr>
          <w:sz w:val="20"/>
          <w:szCs w:val="20"/>
          <w:lang w:val="en-GB"/>
        </w:rPr>
        <w:t>,</w:t>
      </w:r>
      <w:r w:rsidRPr="00970B85">
        <w:rPr>
          <w:sz w:val="20"/>
          <w:szCs w:val="20"/>
          <w:lang w:val="en-GB"/>
        </w:rPr>
        <w:t xml:space="preserve"> and 67% of Bulgarian households.</w:t>
      </w:r>
      <w:r>
        <w:rPr>
          <w:sz w:val="20"/>
          <w:szCs w:val="20"/>
          <w:lang w:val="en-GB"/>
        </w:rPr>
        <w:t xml:space="preserve"> O</w:t>
      </w:r>
      <w:r w:rsidRPr="00AB58B4">
        <w:rPr>
          <w:sz w:val="20"/>
          <w:szCs w:val="20"/>
          <w:lang w:val="en-GB"/>
        </w:rPr>
        <w:t xml:space="preserve">ver the last ten years, cross-country differences in </w:t>
      </w:r>
      <w:r>
        <w:rPr>
          <w:sz w:val="20"/>
          <w:szCs w:val="20"/>
          <w:lang w:val="en-GB"/>
        </w:rPr>
        <w:t>i</w:t>
      </w:r>
      <w:r w:rsidRPr="00AB58B4">
        <w:rPr>
          <w:sz w:val="20"/>
          <w:szCs w:val="20"/>
          <w:lang w:val="en-GB"/>
        </w:rPr>
        <w:t xml:space="preserve">nternet access have narrowed markedly across </w:t>
      </w:r>
      <w:r>
        <w:rPr>
          <w:sz w:val="20"/>
          <w:szCs w:val="20"/>
          <w:lang w:val="en-GB"/>
        </w:rPr>
        <w:t xml:space="preserve">EU </w:t>
      </w:r>
      <w:r w:rsidRPr="00AB58B4">
        <w:rPr>
          <w:sz w:val="20"/>
          <w:szCs w:val="20"/>
          <w:lang w:val="en-GB"/>
        </w:rPr>
        <w:t>countries</w:t>
      </w:r>
    </w:p>
    <w:p w:rsidR="00457214" w:rsidRPr="00970B85" w:rsidRDefault="00457214" w:rsidP="00457214">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 xml:space="preserve">To some extent, there is an </w:t>
      </w:r>
      <w:r w:rsidRPr="006D27EA">
        <w:rPr>
          <w:b/>
          <w:sz w:val="20"/>
          <w:szCs w:val="20"/>
          <w:lang w:val="en-GB"/>
        </w:rPr>
        <w:t>urban–rural divide within the EU28 in terms of internet access</w:t>
      </w:r>
      <w:r w:rsidRPr="00970B85">
        <w:rPr>
          <w:sz w:val="20"/>
          <w:szCs w:val="20"/>
          <w:lang w:val="en-GB"/>
        </w:rPr>
        <w:t>. Whereas households in cities</w:t>
      </w:r>
      <w:r>
        <w:rPr>
          <w:sz w:val="20"/>
          <w:szCs w:val="20"/>
          <w:lang w:val="en-GB"/>
        </w:rPr>
        <w:t>,</w:t>
      </w:r>
      <w:r w:rsidRPr="00970B85">
        <w:rPr>
          <w:sz w:val="20"/>
          <w:szCs w:val="20"/>
          <w:lang w:val="en-GB"/>
        </w:rPr>
        <w:t xml:space="preserve"> as well as towns and suburbs</w:t>
      </w:r>
      <w:r>
        <w:rPr>
          <w:sz w:val="20"/>
          <w:szCs w:val="20"/>
          <w:lang w:val="en-GB"/>
        </w:rPr>
        <w:t>,</w:t>
      </w:r>
      <w:r w:rsidRPr="00970B85">
        <w:rPr>
          <w:sz w:val="20"/>
          <w:szCs w:val="20"/>
          <w:lang w:val="en-GB"/>
        </w:rPr>
        <w:t xml:space="preserve"> had comparatively high access rates — 90% in cities and 87% in towns and suburbs — internet access was somewhat lower in rural areas (82%). The divide between rural areas</w:t>
      </w:r>
      <w:r>
        <w:rPr>
          <w:sz w:val="20"/>
          <w:szCs w:val="20"/>
          <w:lang w:val="en-GB"/>
        </w:rPr>
        <w:t>,</w:t>
      </w:r>
      <w:r w:rsidRPr="00970B85">
        <w:rPr>
          <w:sz w:val="20"/>
          <w:szCs w:val="20"/>
          <w:lang w:val="en-GB"/>
        </w:rPr>
        <w:t xml:space="preserve"> and the two other types of areas</w:t>
      </w:r>
      <w:r>
        <w:rPr>
          <w:sz w:val="20"/>
          <w:szCs w:val="20"/>
          <w:lang w:val="en-GB"/>
        </w:rPr>
        <w:t>,</w:t>
      </w:r>
      <w:r w:rsidRPr="00970B85">
        <w:rPr>
          <w:sz w:val="20"/>
          <w:szCs w:val="20"/>
          <w:lang w:val="en-GB"/>
        </w:rPr>
        <w:t xml:space="preserve"> was particularly strong in Greece, Portugal, Bulgaria and Romania.</w:t>
      </w:r>
    </w:p>
    <w:p w:rsidR="00457214" w:rsidRPr="00970B85" w:rsidRDefault="00457214" w:rsidP="00457214">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One of the main reasons why the households of the Czech Republic lag behind in internet usage</w:t>
      </w:r>
      <w:r>
        <w:rPr>
          <w:sz w:val="20"/>
          <w:szCs w:val="20"/>
          <w:lang w:val="en-GB"/>
        </w:rPr>
        <w:t>,</w:t>
      </w:r>
      <w:r w:rsidRPr="00970B85">
        <w:rPr>
          <w:sz w:val="20"/>
          <w:szCs w:val="20"/>
          <w:lang w:val="en-GB"/>
        </w:rPr>
        <w:t xml:space="preserve"> among most of western and northern countries of the EU28</w:t>
      </w:r>
      <w:r>
        <w:rPr>
          <w:sz w:val="20"/>
          <w:szCs w:val="20"/>
          <w:lang w:val="en-GB"/>
        </w:rPr>
        <w:t>,</w:t>
      </w:r>
      <w:r w:rsidRPr="00970B85">
        <w:rPr>
          <w:sz w:val="20"/>
          <w:szCs w:val="20"/>
          <w:lang w:val="en-GB"/>
        </w:rPr>
        <w:t xml:space="preserve"> is the prevailing diffe</w:t>
      </w:r>
      <w:r>
        <w:rPr>
          <w:sz w:val="20"/>
          <w:szCs w:val="20"/>
          <w:lang w:val="en-GB"/>
        </w:rPr>
        <w:t xml:space="preserve">rence between income groups of </w:t>
      </w:r>
      <w:r w:rsidRPr="00970B85">
        <w:rPr>
          <w:sz w:val="20"/>
          <w:szCs w:val="20"/>
          <w:lang w:val="en-GB"/>
        </w:rPr>
        <w:t>households</w:t>
      </w:r>
      <w:r>
        <w:rPr>
          <w:sz w:val="20"/>
          <w:szCs w:val="20"/>
          <w:lang w:val="en-GB"/>
        </w:rPr>
        <w:t xml:space="preserve"> regarding their access to the internet</w:t>
      </w:r>
      <w:r w:rsidRPr="00970B85">
        <w:rPr>
          <w:sz w:val="20"/>
          <w:szCs w:val="20"/>
          <w:lang w:val="en-GB"/>
        </w:rPr>
        <w:t xml:space="preserve">. Whereas in 2017 a </w:t>
      </w:r>
      <w:r w:rsidRPr="00970B85">
        <w:rPr>
          <w:b/>
          <w:sz w:val="20"/>
          <w:szCs w:val="20"/>
          <w:lang w:val="en-GB"/>
        </w:rPr>
        <w:t>quarter of the wealthiest Czech households</w:t>
      </w:r>
      <w:r>
        <w:rPr>
          <w:sz w:val="20"/>
          <w:szCs w:val="20"/>
          <w:lang w:val="en-GB"/>
        </w:rPr>
        <w:t xml:space="preserve"> all had </w:t>
      </w:r>
      <w:r w:rsidRPr="00970B85">
        <w:rPr>
          <w:sz w:val="20"/>
          <w:szCs w:val="20"/>
          <w:lang w:val="en-GB"/>
        </w:rPr>
        <w:t>internet access, within the quarter of households with the lowest income, where mainly the households of pensi</w:t>
      </w:r>
      <w:r>
        <w:rPr>
          <w:sz w:val="20"/>
          <w:szCs w:val="20"/>
          <w:lang w:val="en-GB"/>
        </w:rPr>
        <w:t>oners belong, nearly a half</w:t>
      </w:r>
      <w:r w:rsidRPr="00970B85">
        <w:rPr>
          <w:sz w:val="20"/>
          <w:szCs w:val="20"/>
          <w:lang w:val="en-GB"/>
        </w:rPr>
        <w:t xml:space="preserve"> had no internet connection (45%)</w:t>
      </w:r>
      <w:r>
        <w:rPr>
          <w:sz w:val="20"/>
          <w:szCs w:val="20"/>
          <w:lang w:val="en-GB"/>
        </w:rPr>
        <w:t>.</w:t>
      </w:r>
      <w:r w:rsidRPr="00970B85">
        <w:rPr>
          <w:sz w:val="20"/>
          <w:szCs w:val="20"/>
          <w:lang w:val="en-GB"/>
        </w:rPr>
        <w:t xml:space="preserve"> </w:t>
      </w:r>
    </w:p>
    <w:p w:rsidR="00457214" w:rsidRPr="00970B85" w:rsidRDefault="00457214" w:rsidP="00457214">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Compared to th</w:t>
      </w:r>
      <w:r>
        <w:rPr>
          <w:sz w:val="20"/>
          <w:szCs w:val="20"/>
          <w:lang w:val="en-GB"/>
        </w:rPr>
        <w:t>is</w:t>
      </w:r>
      <w:r w:rsidRPr="00970B85">
        <w:rPr>
          <w:sz w:val="20"/>
          <w:szCs w:val="20"/>
          <w:lang w:val="en-GB"/>
        </w:rPr>
        <w:t>, in 2017</w:t>
      </w:r>
      <w:r>
        <w:rPr>
          <w:sz w:val="20"/>
          <w:szCs w:val="20"/>
          <w:lang w:val="en-GB"/>
        </w:rPr>
        <w:t xml:space="preserve">, in Sweden, Denmark, Luxembourg, and </w:t>
      </w:r>
      <w:r w:rsidRPr="00970B85">
        <w:rPr>
          <w:sz w:val="20"/>
          <w:szCs w:val="20"/>
          <w:lang w:val="en-GB"/>
        </w:rPr>
        <w:t>the Netherlands, there was less than a tenth of households with the lowest income that had</w:t>
      </w:r>
      <w:r w:rsidRPr="00970B85">
        <w:rPr>
          <w:b/>
          <w:sz w:val="20"/>
          <w:szCs w:val="20"/>
          <w:lang w:val="en-GB"/>
        </w:rPr>
        <w:t xml:space="preserve"> no internet access</w:t>
      </w:r>
      <w:r>
        <w:rPr>
          <w:sz w:val="20"/>
          <w:szCs w:val="20"/>
          <w:lang w:val="en-GB"/>
        </w:rPr>
        <w:t>.</w:t>
      </w:r>
      <w:r w:rsidRPr="00970B85">
        <w:rPr>
          <w:sz w:val="20"/>
          <w:szCs w:val="20"/>
          <w:lang w:val="en-GB"/>
        </w:rPr>
        <w:t xml:space="preserve"> </w:t>
      </w:r>
      <w:r>
        <w:rPr>
          <w:sz w:val="20"/>
          <w:szCs w:val="20"/>
          <w:lang w:val="en-GB"/>
        </w:rPr>
        <w:t xml:space="preserve">On the other hand, in </w:t>
      </w:r>
      <w:r w:rsidRPr="00970B85">
        <w:rPr>
          <w:sz w:val="20"/>
          <w:szCs w:val="20"/>
          <w:lang w:val="en-GB"/>
        </w:rPr>
        <w:t xml:space="preserve">Bulgaria </w:t>
      </w:r>
      <w:r>
        <w:rPr>
          <w:sz w:val="20"/>
          <w:szCs w:val="20"/>
          <w:lang w:val="en-GB"/>
        </w:rPr>
        <w:t>it</w:t>
      </w:r>
      <w:r w:rsidRPr="00970B85">
        <w:rPr>
          <w:sz w:val="20"/>
          <w:szCs w:val="20"/>
          <w:lang w:val="en-GB"/>
        </w:rPr>
        <w:t xml:space="preserve"> was 73% of households in this first income quartile. Apart from Portugal, only the former socialist countries belong among the six EU countries</w:t>
      </w:r>
      <w:r>
        <w:rPr>
          <w:sz w:val="20"/>
          <w:szCs w:val="20"/>
          <w:lang w:val="en-GB"/>
        </w:rPr>
        <w:t>,</w:t>
      </w:r>
      <w:r w:rsidRPr="00970B85">
        <w:rPr>
          <w:sz w:val="20"/>
          <w:szCs w:val="20"/>
          <w:lang w:val="en-GB"/>
        </w:rPr>
        <w:t xml:space="preserve"> where the percentage of low-income households with internet access </w:t>
      </w:r>
      <w:r>
        <w:rPr>
          <w:sz w:val="20"/>
          <w:szCs w:val="20"/>
          <w:lang w:val="en-GB"/>
        </w:rPr>
        <w:t xml:space="preserve">was in 2017 </w:t>
      </w:r>
      <w:r w:rsidRPr="00970B85">
        <w:rPr>
          <w:sz w:val="20"/>
          <w:szCs w:val="20"/>
          <w:lang w:val="en-GB"/>
        </w:rPr>
        <w:t>lower than 50%.</w:t>
      </w:r>
    </w:p>
    <w:p w:rsidR="00457214" w:rsidRPr="00970B85" w:rsidRDefault="00457214" w:rsidP="00457214">
      <w:pPr>
        <w:pStyle w:val="Zkladntext"/>
        <w:spacing w:before="0" w:line="288" w:lineRule="auto"/>
        <w:rPr>
          <w:sz w:val="20"/>
          <w:szCs w:val="20"/>
          <w:highlight w:val="yellow"/>
          <w:lang w:val="en-GB"/>
        </w:rPr>
      </w:pPr>
      <w:r w:rsidRPr="00970B85">
        <w:rPr>
          <w:noProof/>
        </w:rPr>
        <w:lastRenderedPageBreak/>
        <w:drawing>
          <wp:inline distT="0" distB="0" distL="0" distR="0" wp14:anchorId="7040D979" wp14:editId="02E3E3AF">
            <wp:extent cx="6048000" cy="3060000"/>
            <wp:effectExtent l="0" t="0" r="0" b="0"/>
            <wp:docPr id="42" name="Graf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57214" w:rsidRPr="003924F5" w:rsidRDefault="00457214" w:rsidP="00457214">
      <w:pPr>
        <w:pStyle w:val="Zkladntext"/>
        <w:numPr>
          <w:ilvl w:val="0"/>
          <w:numId w:val="15"/>
        </w:numPr>
        <w:tabs>
          <w:tab w:val="clear" w:pos="360"/>
        </w:tabs>
        <w:spacing w:before="0" w:after="80" w:line="264" w:lineRule="auto"/>
        <w:ind w:left="284" w:hanging="284"/>
        <w:rPr>
          <w:szCs w:val="20"/>
          <w:lang w:val="en-GB"/>
        </w:rPr>
      </w:pPr>
      <w:r w:rsidRPr="00970B85">
        <w:rPr>
          <w:sz w:val="20"/>
          <w:szCs w:val="20"/>
          <w:lang w:val="en-GB"/>
        </w:rPr>
        <w:t>In Q2 of 2017, there were a million (23%) households in the Czech Republic</w:t>
      </w:r>
      <w:r>
        <w:rPr>
          <w:sz w:val="20"/>
          <w:szCs w:val="20"/>
          <w:lang w:val="en-GB"/>
        </w:rPr>
        <w:t xml:space="preserve"> where </w:t>
      </w:r>
      <w:r w:rsidRPr="006D27EA">
        <w:rPr>
          <w:b/>
          <w:sz w:val="20"/>
          <w:szCs w:val="20"/>
          <w:lang w:val="en-GB"/>
        </w:rPr>
        <w:t>nobody was using</w:t>
      </w:r>
      <w:r>
        <w:rPr>
          <w:sz w:val="20"/>
          <w:szCs w:val="20"/>
          <w:lang w:val="en-GB"/>
        </w:rPr>
        <w:t xml:space="preserve"> </w:t>
      </w:r>
      <w:r w:rsidRPr="00970B85">
        <w:rPr>
          <w:b/>
          <w:sz w:val="20"/>
          <w:szCs w:val="20"/>
          <w:lang w:val="en-GB"/>
        </w:rPr>
        <w:t xml:space="preserve">internet </w:t>
      </w:r>
      <w:r>
        <w:rPr>
          <w:b/>
          <w:sz w:val="20"/>
          <w:szCs w:val="20"/>
          <w:lang w:val="en-GB"/>
        </w:rPr>
        <w:t>at home</w:t>
      </w:r>
      <w:r w:rsidRPr="00970B85">
        <w:rPr>
          <w:sz w:val="20"/>
          <w:szCs w:val="20"/>
          <w:lang w:val="en-GB"/>
        </w:rPr>
        <w:t xml:space="preserve">. Ten years ago there were more than two thirds (68%) of </w:t>
      </w:r>
      <w:r>
        <w:rPr>
          <w:sz w:val="20"/>
          <w:szCs w:val="20"/>
          <w:lang w:val="en-GB"/>
        </w:rPr>
        <w:t xml:space="preserve">such </w:t>
      </w:r>
      <w:r w:rsidRPr="00970B85">
        <w:rPr>
          <w:sz w:val="20"/>
          <w:szCs w:val="20"/>
          <w:lang w:val="en-GB"/>
        </w:rPr>
        <w:t>households, which in real numbers meant nearly three million households with no internet access in 2007. These were most frequently the households of pensioners where the internet is still unavailable in more than two thirds (69%) of such households.</w:t>
      </w:r>
    </w:p>
    <w:p w:rsidR="00457214" w:rsidRPr="00970B85" w:rsidRDefault="00457214" w:rsidP="00457214">
      <w:pPr>
        <w:pStyle w:val="Zkladntext"/>
        <w:spacing w:before="0" w:after="120" w:line="288" w:lineRule="auto"/>
        <w:rPr>
          <w:lang w:val="en-GB"/>
        </w:rPr>
      </w:pPr>
      <w:r w:rsidRPr="00970B85">
        <w:rPr>
          <w:noProof/>
        </w:rPr>
        <w:drawing>
          <wp:inline distT="0" distB="0" distL="0" distR="0" wp14:anchorId="7BA25343" wp14:editId="1D61355E">
            <wp:extent cx="2952000" cy="2592000"/>
            <wp:effectExtent l="0" t="0" r="1270" b="0"/>
            <wp:docPr id="43" name="Graf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970B85">
        <w:rPr>
          <w:lang w:val="en-GB"/>
        </w:rPr>
        <w:t xml:space="preserve"> </w:t>
      </w:r>
      <w:r>
        <w:rPr>
          <w:noProof/>
        </w:rPr>
        <w:drawing>
          <wp:inline distT="0" distB="0" distL="0" distR="0" wp14:anchorId="354923A7" wp14:editId="51E9829A">
            <wp:extent cx="3132000" cy="2592000"/>
            <wp:effectExtent l="0" t="0" r="0" b="0"/>
            <wp:docPr id="22" name="Graf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457214" w:rsidRPr="002E2DD2" w:rsidRDefault="00457214" w:rsidP="00457214">
      <w:pPr>
        <w:pStyle w:val="Zkladntext"/>
        <w:numPr>
          <w:ilvl w:val="0"/>
          <w:numId w:val="15"/>
        </w:numPr>
        <w:tabs>
          <w:tab w:val="clear" w:pos="360"/>
        </w:tabs>
        <w:spacing w:before="0" w:after="80" w:line="264" w:lineRule="auto"/>
        <w:ind w:left="284" w:hanging="284"/>
        <w:rPr>
          <w:sz w:val="20"/>
          <w:szCs w:val="20"/>
          <w:lang w:val="en-GB"/>
        </w:rPr>
      </w:pPr>
      <w:r w:rsidRPr="00970B85">
        <w:rPr>
          <w:sz w:val="20"/>
          <w:szCs w:val="20"/>
          <w:lang w:val="en-GB"/>
        </w:rPr>
        <w:t xml:space="preserve">However, we may observe that a computer or the internet can be found in nearly all households where its members wish or know how to use these technologies. Out of the aforementioned million households that had no internet access in 2017, 80% stated that this is due to a </w:t>
      </w:r>
      <w:r w:rsidRPr="00970B85">
        <w:rPr>
          <w:b/>
          <w:sz w:val="20"/>
          <w:szCs w:val="20"/>
          <w:lang w:val="en-GB"/>
        </w:rPr>
        <w:t>lack of interest or no need to work with the internet</w:t>
      </w:r>
      <w:r w:rsidRPr="00970B85">
        <w:rPr>
          <w:sz w:val="20"/>
          <w:szCs w:val="20"/>
          <w:lang w:val="en-GB"/>
        </w:rPr>
        <w:t>.</w:t>
      </w:r>
      <w:r w:rsidRPr="00970B85">
        <w:rPr>
          <w:b/>
          <w:sz w:val="20"/>
          <w:szCs w:val="20"/>
          <w:lang w:val="en-GB"/>
        </w:rPr>
        <w:t xml:space="preserve"> </w:t>
      </w:r>
      <w:r w:rsidRPr="00970B85">
        <w:rPr>
          <w:sz w:val="20"/>
          <w:szCs w:val="20"/>
          <w:lang w:val="en-GB"/>
        </w:rPr>
        <w:t xml:space="preserve">Most frequently, this reason was provided by the households of persons over the age of 65 and there were 87% of those. The members of nearly 40% of households with no internet access </w:t>
      </w:r>
      <w:r>
        <w:rPr>
          <w:sz w:val="20"/>
          <w:szCs w:val="20"/>
          <w:lang w:val="en-GB"/>
        </w:rPr>
        <w:t>a</w:t>
      </w:r>
      <w:r w:rsidRPr="00970B85">
        <w:rPr>
          <w:sz w:val="20"/>
          <w:szCs w:val="20"/>
          <w:lang w:val="en-GB"/>
        </w:rPr>
        <w:t xml:space="preserve">cknowledged they </w:t>
      </w:r>
      <w:r w:rsidRPr="00970B85">
        <w:rPr>
          <w:b/>
          <w:sz w:val="20"/>
          <w:szCs w:val="20"/>
          <w:lang w:val="en-GB"/>
        </w:rPr>
        <w:t>did not know how to operate it</w:t>
      </w:r>
      <w:r w:rsidRPr="00970B85">
        <w:rPr>
          <w:rStyle w:val="Znakapoznpodarou"/>
          <w:sz w:val="20"/>
          <w:szCs w:val="20"/>
          <w:lang w:val="en-GB"/>
        </w:rPr>
        <w:footnoteReference w:id="7"/>
      </w:r>
      <w:r w:rsidRPr="00970B85">
        <w:rPr>
          <w:sz w:val="20"/>
          <w:szCs w:val="20"/>
          <w:lang w:val="en-GB"/>
        </w:rPr>
        <w:t>. In households with children, these two reasons were highly exceeded by the financial aspect (57.5% of households with children with no internet access).</w:t>
      </w:r>
    </w:p>
    <w:p w:rsidR="00457214" w:rsidRPr="00970B85" w:rsidRDefault="00457214" w:rsidP="00457214">
      <w:pPr>
        <w:pStyle w:val="Zkladntext"/>
        <w:numPr>
          <w:ilvl w:val="0"/>
          <w:numId w:val="15"/>
        </w:numPr>
        <w:tabs>
          <w:tab w:val="clear" w:pos="360"/>
        </w:tabs>
        <w:spacing w:before="0" w:after="80" w:line="264" w:lineRule="auto"/>
        <w:ind w:left="284" w:hanging="284"/>
        <w:rPr>
          <w:sz w:val="20"/>
          <w:szCs w:val="20"/>
          <w:lang w:val="en-GB"/>
        </w:rPr>
      </w:pPr>
      <w:r w:rsidRPr="006D27EA">
        <w:rPr>
          <w:b/>
          <w:sz w:val="20"/>
          <w:szCs w:val="20"/>
          <w:lang w:val="en-GB"/>
        </w:rPr>
        <w:t>In EU countries</w:t>
      </w:r>
      <w:r w:rsidRPr="00970B85">
        <w:rPr>
          <w:sz w:val="20"/>
          <w:szCs w:val="20"/>
          <w:lang w:val="en-GB"/>
        </w:rPr>
        <w:t xml:space="preserve"> among the 15% of households without internet access in 2017, on average, the two main reasons for not having access were that the internet was not considered to be useful (47%) and that the people were concerned about the lack of necessary skills (42%).</w:t>
      </w:r>
    </w:p>
    <w:p w:rsidR="00457214" w:rsidRPr="00970B85" w:rsidRDefault="00457214" w:rsidP="00457214">
      <w:pPr>
        <w:pStyle w:val="Nadpis3"/>
      </w:pPr>
      <w:bookmarkStart w:id="34" w:name="_Toc533697497"/>
      <w:bookmarkStart w:id="35" w:name="_Toc534711996"/>
      <w:r w:rsidRPr="00970B85">
        <w:lastRenderedPageBreak/>
        <w:t>Type of connection used by households to access the internet at home</w:t>
      </w:r>
      <w:bookmarkEnd w:id="34"/>
      <w:bookmarkEnd w:id="35"/>
    </w:p>
    <w:p w:rsidR="00457214" w:rsidRPr="00970B85" w:rsidRDefault="00457214" w:rsidP="00457214">
      <w:pPr>
        <w:pStyle w:val="Zkladntext"/>
        <w:numPr>
          <w:ilvl w:val="0"/>
          <w:numId w:val="15"/>
        </w:numPr>
        <w:tabs>
          <w:tab w:val="clear" w:pos="360"/>
          <w:tab w:val="left" w:pos="284"/>
        </w:tabs>
        <w:spacing w:before="0" w:after="80" w:line="264" w:lineRule="auto"/>
        <w:ind w:left="284" w:hanging="284"/>
        <w:rPr>
          <w:sz w:val="20"/>
          <w:szCs w:val="20"/>
          <w:lang w:val="en-GB"/>
        </w:rPr>
      </w:pPr>
      <w:r w:rsidRPr="00970B85">
        <w:rPr>
          <w:sz w:val="20"/>
          <w:szCs w:val="20"/>
          <w:lang w:val="en-GB"/>
        </w:rPr>
        <w:t>As opposed to nearly all other EU countries, in order to get online, Czech households most frequently use primary external internet access</w:t>
      </w:r>
      <w:r w:rsidRPr="00970B85">
        <w:rPr>
          <w:rStyle w:val="Znakapoznpodarou"/>
          <w:bCs/>
          <w:sz w:val="20"/>
          <w:szCs w:val="20"/>
          <w:lang w:val="en-GB"/>
        </w:rPr>
        <w:footnoteReference w:id="8"/>
      </w:r>
      <w:r w:rsidRPr="00970B85">
        <w:rPr>
          <w:sz w:val="20"/>
          <w:szCs w:val="20"/>
          <w:lang w:val="en-GB"/>
        </w:rPr>
        <w:t xml:space="preserve"> via </w:t>
      </w:r>
      <w:r w:rsidRPr="00970B85">
        <w:rPr>
          <w:b/>
          <w:sz w:val="20"/>
          <w:szCs w:val="20"/>
          <w:lang w:val="en-GB"/>
        </w:rPr>
        <w:t xml:space="preserve">wireless connection </w:t>
      </w:r>
      <w:r w:rsidRPr="00970B85">
        <w:rPr>
          <w:sz w:val="20"/>
          <w:szCs w:val="20"/>
          <w:lang w:val="en-GB"/>
        </w:rPr>
        <w:t>provided by local providers by means of Wi</w:t>
      </w:r>
      <w:r>
        <w:rPr>
          <w:sz w:val="20"/>
          <w:szCs w:val="20"/>
          <w:lang w:val="en-GB"/>
        </w:rPr>
        <w:t>-</w:t>
      </w:r>
      <w:r w:rsidRPr="00970B85">
        <w:rPr>
          <w:sz w:val="20"/>
          <w:szCs w:val="20"/>
          <w:lang w:val="en-GB"/>
        </w:rPr>
        <w:t>Fi</w:t>
      </w:r>
      <w:r>
        <w:rPr>
          <w:sz w:val="20"/>
          <w:szCs w:val="20"/>
          <w:lang w:val="en-GB"/>
        </w:rPr>
        <w:t xml:space="preserve"> technology</w:t>
      </w:r>
      <w:r w:rsidRPr="00970B85">
        <w:rPr>
          <w:sz w:val="20"/>
          <w:szCs w:val="20"/>
          <w:lang w:val="en-GB"/>
        </w:rPr>
        <w:t>.</w:t>
      </w:r>
      <w:r w:rsidRPr="00970B85">
        <w:rPr>
          <w:bCs/>
          <w:sz w:val="20"/>
          <w:szCs w:val="20"/>
          <w:lang w:val="en-GB"/>
        </w:rPr>
        <w:t xml:space="preserve"> In 2017, this technology was used approximately by a half of all households </w:t>
      </w:r>
      <w:r>
        <w:rPr>
          <w:bCs/>
          <w:sz w:val="20"/>
          <w:szCs w:val="20"/>
          <w:lang w:val="en-GB"/>
        </w:rPr>
        <w:t>where internet was used by their members</w:t>
      </w:r>
      <w:r w:rsidRPr="00970B85">
        <w:rPr>
          <w:bCs/>
          <w:sz w:val="20"/>
          <w:szCs w:val="20"/>
          <w:lang w:val="en-GB"/>
        </w:rPr>
        <w:t xml:space="preserve">. </w:t>
      </w:r>
    </w:p>
    <w:p w:rsidR="00457214" w:rsidRPr="00970B85" w:rsidRDefault="00457214" w:rsidP="00457214">
      <w:pPr>
        <w:pStyle w:val="Zkladntext"/>
        <w:numPr>
          <w:ilvl w:val="0"/>
          <w:numId w:val="15"/>
        </w:numPr>
        <w:tabs>
          <w:tab w:val="clear" w:pos="360"/>
          <w:tab w:val="left" w:pos="284"/>
        </w:tabs>
        <w:spacing w:before="0" w:after="80" w:line="264" w:lineRule="auto"/>
        <w:ind w:left="284" w:hanging="284"/>
        <w:rPr>
          <w:sz w:val="20"/>
          <w:szCs w:val="20"/>
          <w:lang w:val="en-GB"/>
        </w:rPr>
      </w:pPr>
      <w:r w:rsidRPr="00970B85">
        <w:rPr>
          <w:sz w:val="20"/>
          <w:szCs w:val="20"/>
          <w:lang w:val="en-GB"/>
        </w:rPr>
        <w:t xml:space="preserve">Connection via </w:t>
      </w:r>
      <w:r w:rsidRPr="00970B85">
        <w:rPr>
          <w:b/>
          <w:sz w:val="20"/>
          <w:szCs w:val="20"/>
          <w:lang w:val="en-GB"/>
        </w:rPr>
        <w:t>TV cable system</w:t>
      </w:r>
      <w:r>
        <w:rPr>
          <w:b/>
          <w:sz w:val="20"/>
          <w:szCs w:val="20"/>
          <w:lang w:val="en-GB"/>
        </w:rPr>
        <w:t xml:space="preserve"> (cable modem)</w:t>
      </w:r>
      <w:r w:rsidRPr="00970B85">
        <w:rPr>
          <w:sz w:val="20"/>
          <w:szCs w:val="20"/>
          <w:lang w:val="en-GB"/>
        </w:rPr>
        <w:t xml:space="preserve"> was the second most used one in 2017 – this means of connection was used by a quarter of </w:t>
      </w:r>
      <w:r>
        <w:rPr>
          <w:sz w:val="20"/>
          <w:szCs w:val="20"/>
          <w:lang w:val="en-GB"/>
        </w:rPr>
        <w:t xml:space="preserve">Czech </w:t>
      </w:r>
      <w:r w:rsidRPr="00970B85">
        <w:rPr>
          <w:sz w:val="20"/>
          <w:szCs w:val="20"/>
          <w:lang w:val="en-GB"/>
        </w:rPr>
        <w:t>households with internet access.</w:t>
      </w:r>
      <w:r w:rsidRPr="00970B85">
        <w:rPr>
          <w:bCs/>
          <w:sz w:val="20"/>
          <w:szCs w:val="20"/>
          <w:lang w:val="en-GB"/>
        </w:rPr>
        <w:t xml:space="preserve"> Internet connection via telephone lines by means of </w:t>
      </w:r>
      <w:r w:rsidRPr="00970B85">
        <w:rPr>
          <w:b/>
          <w:bCs/>
          <w:sz w:val="20"/>
          <w:szCs w:val="20"/>
          <w:lang w:val="en-GB"/>
        </w:rPr>
        <w:t>xDSL</w:t>
      </w:r>
      <w:r w:rsidRPr="00970B85">
        <w:rPr>
          <w:bCs/>
          <w:sz w:val="20"/>
          <w:szCs w:val="20"/>
          <w:lang w:val="en-GB"/>
        </w:rPr>
        <w:t xml:space="preserve"> technology, most frequently used in the majority of households in </w:t>
      </w:r>
      <w:r>
        <w:rPr>
          <w:bCs/>
          <w:sz w:val="20"/>
          <w:szCs w:val="20"/>
          <w:lang w:val="en-GB"/>
        </w:rPr>
        <w:t xml:space="preserve">many other </w:t>
      </w:r>
      <w:r w:rsidRPr="00970B85">
        <w:rPr>
          <w:bCs/>
          <w:sz w:val="20"/>
          <w:szCs w:val="20"/>
          <w:lang w:val="en-GB"/>
        </w:rPr>
        <w:t>EU countries, was used “only” in 15% of Czech households in 2016.</w:t>
      </w:r>
    </w:p>
    <w:p w:rsidR="00457214" w:rsidRPr="009A6C9A" w:rsidRDefault="00457214" w:rsidP="00457214">
      <w:pPr>
        <w:pStyle w:val="Zkladntext"/>
        <w:numPr>
          <w:ilvl w:val="0"/>
          <w:numId w:val="15"/>
        </w:numPr>
        <w:tabs>
          <w:tab w:val="clear" w:pos="360"/>
          <w:tab w:val="num" w:pos="284"/>
        </w:tabs>
        <w:spacing w:before="0" w:after="80" w:line="264" w:lineRule="auto"/>
        <w:ind w:left="284" w:hanging="284"/>
        <w:rPr>
          <w:bCs/>
          <w:sz w:val="20"/>
          <w:szCs w:val="20"/>
          <w:lang w:val="en-GB"/>
        </w:rPr>
      </w:pPr>
      <w:r w:rsidRPr="00D23D5F">
        <w:rPr>
          <w:sz w:val="20"/>
          <w:szCs w:val="20"/>
          <w:lang w:val="en-GB"/>
        </w:rPr>
        <w:t xml:space="preserve">In particular, the type of household internet connection has been changing with respect to the </w:t>
      </w:r>
      <w:r w:rsidRPr="00D23D5F">
        <w:rPr>
          <w:b/>
          <w:sz w:val="20"/>
          <w:szCs w:val="20"/>
          <w:lang w:val="en-GB"/>
        </w:rPr>
        <w:t>municipality size</w:t>
      </w:r>
      <w:r w:rsidRPr="00D23D5F">
        <w:rPr>
          <w:sz w:val="20"/>
          <w:szCs w:val="20"/>
          <w:lang w:val="en-GB"/>
        </w:rPr>
        <w:t xml:space="preserve"> of the given household’s residence, which is associated with the changeable availability of individual connection types in municipalities of various size groups. </w:t>
      </w:r>
    </w:p>
    <w:p w:rsidR="00457214" w:rsidRDefault="00457214" w:rsidP="00457214">
      <w:pPr>
        <w:pStyle w:val="Zkladntext"/>
        <w:numPr>
          <w:ilvl w:val="0"/>
          <w:numId w:val="15"/>
        </w:numPr>
        <w:tabs>
          <w:tab w:val="clear" w:pos="360"/>
          <w:tab w:val="num" w:pos="284"/>
        </w:tabs>
        <w:spacing w:before="0" w:after="80" w:line="264" w:lineRule="auto"/>
        <w:ind w:left="284" w:hanging="284"/>
        <w:rPr>
          <w:bCs/>
          <w:sz w:val="20"/>
          <w:szCs w:val="20"/>
          <w:lang w:val="en-GB"/>
        </w:rPr>
      </w:pPr>
      <w:r w:rsidRPr="00D23D5F">
        <w:rPr>
          <w:sz w:val="20"/>
          <w:szCs w:val="20"/>
          <w:lang w:val="en-GB"/>
        </w:rPr>
        <w:t xml:space="preserve">For instance, the aforementioned terrestrial wireless </w:t>
      </w:r>
      <w:r w:rsidRPr="009A6C9A">
        <w:rPr>
          <w:b/>
          <w:sz w:val="20"/>
          <w:szCs w:val="20"/>
          <w:lang w:val="en-GB"/>
        </w:rPr>
        <w:t>connection via Wi-Fi</w:t>
      </w:r>
      <w:r w:rsidRPr="00D23D5F">
        <w:rPr>
          <w:sz w:val="20"/>
          <w:szCs w:val="20"/>
          <w:lang w:val="en-GB"/>
        </w:rPr>
        <w:t xml:space="preserve"> is most frequently used in households </w:t>
      </w:r>
      <w:r w:rsidRPr="009A6C9A">
        <w:rPr>
          <w:sz w:val="20"/>
          <w:szCs w:val="20"/>
          <w:lang w:val="en-GB"/>
        </w:rPr>
        <w:t>living in small municipalities of up to 2 thousand inhabitants – this type of connection was in 2017 used by two thirds of Czech households out of those that had internet connection as opposed to a third of households in the largest municipalities of over 50 thousand inhabitants.</w:t>
      </w:r>
      <w:r w:rsidRPr="00D23D5F">
        <w:rPr>
          <w:bCs/>
          <w:sz w:val="20"/>
          <w:szCs w:val="20"/>
          <w:lang w:val="en-GB"/>
        </w:rPr>
        <w:t xml:space="preserve"> </w:t>
      </w:r>
    </w:p>
    <w:p w:rsidR="00457214" w:rsidRPr="00D23D5F" w:rsidRDefault="00457214" w:rsidP="00457214">
      <w:pPr>
        <w:pStyle w:val="Zkladntext"/>
        <w:numPr>
          <w:ilvl w:val="0"/>
          <w:numId w:val="15"/>
        </w:numPr>
        <w:tabs>
          <w:tab w:val="clear" w:pos="360"/>
          <w:tab w:val="num" w:pos="284"/>
        </w:tabs>
        <w:spacing w:before="0" w:after="80" w:line="264" w:lineRule="auto"/>
        <w:ind w:left="284" w:hanging="284"/>
        <w:rPr>
          <w:bCs/>
          <w:sz w:val="20"/>
          <w:szCs w:val="20"/>
          <w:lang w:val="en-GB"/>
        </w:rPr>
      </w:pPr>
      <w:r w:rsidRPr="00D23D5F">
        <w:rPr>
          <w:bCs/>
          <w:sz w:val="20"/>
          <w:szCs w:val="20"/>
          <w:lang w:val="en-GB"/>
        </w:rPr>
        <w:t xml:space="preserve">The internet </w:t>
      </w:r>
      <w:r w:rsidRPr="00D23D5F">
        <w:rPr>
          <w:sz w:val="20"/>
          <w:szCs w:val="20"/>
          <w:lang w:val="en-GB"/>
        </w:rPr>
        <w:t xml:space="preserve">connection via </w:t>
      </w:r>
      <w:r w:rsidRPr="009A6C9A">
        <w:rPr>
          <w:b/>
          <w:sz w:val="20"/>
          <w:szCs w:val="20"/>
          <w:lang w:val="en-GB"/>
        </w:rPr>
        <w:t>cable modem</w:t>
      </w:r>
      <w:r w:rsidRPr="00D23D5F">
        <w:rPr>
          <w:sz w:val="20"/>
          <w:szCs w:val="20"/>
          <w:lang w:val="en-GB"/>
        </w:rPr>
        <w:t xml:space="preserve"> is most frequently used in households living in large cities with over 50 thousand inhabitants where in 2017 nearly a half (45%) of all Czech households with internet connection used this means compared to 7% of households in the smallest municipalities.</w:t>
      </w:r>
      <w:r w:rsidRPr="00D23D5F">
        <w:rPr>
          <w:bCs/>
          <w:sz w:val="20"/>
          <w:szCs w:val="20"/>
          <w:lang w:val="en-GB"/>
        </w:rPr>
        <w:t xml:space="preserve"> </w:t>
      </w:r>
    </w:p>
    <w:p w:rsidR="00457214" w:rsidRPr="00970B85" w:rsidRDefault="00457214" w:rsidP="00457214">
      <w:pPr>
        <w:pStyle w:val="Zkladntext"/>
        <w:tabs>
          <w:tab w:val="left" w:pos="284"/>
        </w:tabs>
        <w:spacing w:before="0" w:after="120" w:line="288" w:lineRule="auto"/>
        <w:rPr>
          <w:lang w:val="en-GB"/>
        </w:rPr>
      </w:pPr>
      <w:r w:rsidRPr="00970B85">
        <w:rPr>
          <w:noProof/>
        </w:rPr>
        <w:drawing>
          <wp:inline distT="0" distB="0" distL="0" distR="0" wp14:anchorId="06442BFC" wp14:editId="00581474">
            <wp:extent cx="3096000" cy="2772000"/>
            <wp:effectExtent l="0" t="0" r="0" b="0"/>
            <wp:docPr id="45" name="Graf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970B85">
        <w:rPr>
          <w:lang w:val="en-GB"/>
        </w:rPr>
        <w:t xml:space="preserve"> </w:t>
      </w:r>
      <w:r w:rsidRPr="00970B85">
        <w:rPr>
          <w:noProof/>
        </w:rPr>
        <w:drawing>
          <wp:inline distT="0" distB="0" distL="0" distR="0" wp14:anchorId="4E155891" wp14:editId="23F395E2">
            <wp:extent cx="2990850" cy="2772000"/>
            <wp:effectExtent l="0" t="0" r="0" b="0"/>
            <wp:docPr id="53" name="Graf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457214" w:rsidRPr="005C43C3" w:rsidRDefault="00457214" w:rsidP="00457214">
      <w:pPr>
        <w:pStyle w:val="Zkladntext"/>
        <w:keepNext/>
        <w:numPr>
          <w:ilvl w:val="0"/>
          <w:numId w:val="15"/>
        </w:numPr>
        <w:tabs>
          <w:tab w:val="clear" w:pos="360"/>
          <w:tab w:val="num" w:pos="284"/>
        </w:tabs>
        <w:spacing w:before="0" w:after="80" w:line="264" w:lineRule="auto"/>
        <w:ind w:left="284" w:hanging="284"/>
        <w:rPr>
          <w:color w:val="FFFFFF" w:themeColor="background1"/>
          <w:sz w:val="4"/>
          <w:szCs w:val="4"/>
          <w:lang w:val="en-GB"/>
        </w:rPr>
      </w:pPr>
      <w:r w:rsidRPr="005C43C3">
        <w:rPr>
          <w:sz w:val="20"/>
          <w:szCs w:val="20"/>
          <w:lang w:val="en-GB"/>
        </w:rPr>
        <w:t xml:space="preserve">Ensuring adequate access to the ICT infrastructures across all geographic areas is essential to ensuring that all citizens can benefit from the opportunities of digital transformation. </w:t>
      </w:r>
      <w:r w:rsidRPr="00D119A3">
        <w:rPr>
          <w:sz w:val="20"/>
          <w:szCs w:val="20"/>
          <w:lang w:val="en-GB"/>
        </w:rPr>
        <w:t>The</w:t>
      </w:r>
      <w:r w:rsidRPr="00D119A3">
        <w:rPr>
          <w:b/>
          <w:sz w:val="20"/>
          <w:szCs w:val="20"/>
          <w:lang w:val="en-GB"/>
        </w:rPr>
        <w:t xml:space="preserve"> rural-urban divide</w:t>
      </w:r>
      <w:r w:rsidRPr="005C43C3">
        <w:rPr>
          <w:sz w:val="20"/>
          <w:szCs w:val="20"/>
          <w:lang w:val="en-GB"/>
        </w:rPr>
        <w:t xml:space="preserve"> </w:t>
      </w:r>
      <w:r>
        <w:rPr>
          <w:sz w:val="20"/>
          <w:szCs w:val="20"/>
          <w:lang w:val="en-GB"/>
        </w:rPr>
        <w:t xml:space="preserve">in the Czech Republic </w:t>
      </w:r>
      <w:r w:rsidRPr="005C43C3">
        <w:rPr>
          <w:sz w:val="20"/>
          <w:szCs w:val="20"/>
          <w:lang w:val="en-GB"/>
        </w:rPr>
        <w:t>encompasses access to broadband that is of sufficient quality. While the share of households with broadband access has been consistently increasing to near complete penetration rates, these gains have not been evenly shared across households.</w:t>
      </w:r>
      <w:bookmarkStart w:id="36" w:name="_Toc526839158"/>
      <w:bookmarkStart w:id="37" w:name="_Toc527107119"/>
      <w:r w:rsidRPr="005C43C3">
        <w:rPr>
          <w:color w:val="FFFFFF" w:themeColor="background1"/>
          <w:sz w:val="4"/>
          <w:szCs w:val="4"/>
          <w:lang w:val="en-GB"/>
        </w:rPr>
        <w:t>it</w:t>
      </w:r>
      <w:bookmarkEnd w:id="36"/>
      <w:bookmarkEnd w:id="37"/>
    </w:p>
    <w:p w:rsidR="00457214" w:rsidRPr="008C4CA2" w:rsidRDefault="00457214" w:rsidP="00457214">
      <w:pPr>
        <w:pStyle w:val="Zkladntext"/>
        <w:numPr>
          <w:ilvl w:val="0"/>
          <w:numId w:val="15"/>
        </w:numPr>
        <w:tabs>
          <w:tab w:val="clear" w:pos="360"/>
          <w:tab w:val="num" w:pos="284"/>
        </w:tabs>
        <w:spacing w:before="0" w:after="120" w:line="264" w:lineRule="auto"/>
        <w:ind w:left="284" w:hanging="284"/>
      </w:pPr>
      <w:r w:rsidRPr="008C4CA2">
        <w:rPr>
          <w:bCs/>
          <w:sz w:val="20"/>
          <w:szCs w:val="20"/>
          <w:lang w:val="en-GB"/>
        </w:rPr>
        <w:t xml:space="preserve">Along with the increase in Czech households using portable devices enabling internet connection (smart phones, laptops, tablets), the popularity of </w:t>
      </w:r>
      <w:r w:rsidRPr="008C4CA2">
        <w:rPr>
          <w:b/>
          <w:bCs/>
          <w:sz w:val="20"/>
          <w:szCs w:val="20"/>
          <w:lang w:val="en-GB"/>
        </w:rPr>
        <w:t>so called “home-based” Wi-Fi</w:t>
      </w:r>
      <w:r w:rsidRPr="00970B85">
        <w:rPr>
          <w:rStyle w:val="Znakapoznpodarou"/>
          <w:bCs/>
          <w:sz w:val="20"/>
          <w:szCs w:val="20"/>
          <w:lang w:val="en-GB"/>
        </w:rPr>
        <w:footnoteReference w:id="9"/>
      </w:r>
      <w:r w:rsidRPr="008C4CA2">
        <w:rPr>
          <w:bCs/>
          <w:sz w:val="20"/>
          <w:szCs w:val="20"/>
          <w:lang w:val="en-GB"/>
        </w:rPr>
        <w:t xml:space="preserve"> is increasing</w:t>
      </w:r>
      <w:r w:rsidRPr="005860C6">
        <w:rPr>
          <w:bCs/>
          <w:sz w:val="20"/>
          <w:szCs w:val="20"/>
          <w:lang w:val="en-GB"/>
        </w:rPr>
        <w:t>,</w:t>
      </w:r>
      <w:r w:rsidRPr="008C4CA2">
        <w:rPr>
          <w:bCs/>
          <w:sz w:val="20"/>
          <w:szCs w:val="20"/>
          <w:lang w:val="en-GB"/>
        </w:rPr>
        <w:t xml:space="preserve"> as it offers the wireless distribution of internet signal within a flat/house. In 2017, this technology was used by 2.5 million Czech households, i.e. 75% of those having the internet at home and even by 80% of households with children. In 2010, a </w:t>
      </w:r>
      <w:r w:rsidRPr="008C4CA2">
        <w:rPr>
          <w:b/>
          <w:bCs/>
          <w:sz w:val="20"/>
          <w:szCs w:val="20"/>
          <w:lang w:val="en-GB"/>
        </w:rPr>
        <w:t xml:space="preserve">Wi-Fi router </w:t>
      </w:r>
      <w:r w:rsidRPr="008C4CA2">
        <w:rPr>
          <w:bCs/>
          <w:sz w:val="20"/>
          <w:szCs w:val="20"/>
          <w:lang w:val="en-GB"/>
        </w:rPr>
        <w:t>was owned only by 16% of households.</w:t>
      </w:r>
      <w:bookmarkEnd w:id="27"/>
    </w:p>
    <w:p w:rsidR="00A50D73" w:rsidRPr="00457214" w:rsidRDefault="00A50D73" w:rsidP="00457214"/>
    <w:sectPr w:rsidR="00A50D73" w:rsidRPr="00457214" w:rsidSect="00457214">
      <w:headerReference w:type="even" r:id="rId27"/>
      <w:headerReference w:type="default" r:id="rId28"/>
      <w:footerReference w:type="even" r:id="rId29"/>
      <w:footerReference w:type="default" r:id="rId30"/>
      <w:headerReference w:type="first" r:id="rId31"/>
      <w:footerReference w:type="first" r:id="rId32"/>
      <w:pgSz w:w="11906" w:h="16838" w:code="9"/>
      <w:pgMar w:top="1134" w:right="1134" w:bottom="1418" w:left="1134" w:header="680" w:footer="680"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214" w:rsidRDefault="00457214" w:rsidP="00E71A58">
      <w:r>
        <w:separator/>
      </w:r>
    </w:p>
  </w:endnote>
  <w:endnote w:type="continuationSeparator" w:id="0">
    <w:p w:rsidR="00457214" w:rsidRDefault="00457214"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altName w:val="Times New Roman"/>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1E9" w:rsidRPr="000B58F3" w:rsidRDefault="00664ABE" w:rsidP="00D44910">
    <w:pPr>
      <w:pStyle w:val="Zpat"/>
    </w:pPr>
    <w:r>
      <w:rPr>
        <w:noProof/>
        <w:lang w:val="cs-CZ" w:eastAsia="cs-CZ"/>
      </w:rPr>
      <w:drawing>
        <wp:anchor distT="0" distB="0" distL="114300" distR="114300" simplePos="0" relativeHeight="251653632" behindDoc="0" locked="0" layoutInCell="1" allowOverlap="1">
          <wp:simplePos x="0" y="0"/>
          <wp:positionH relativeFrom="column">
            <wp:align>right</wp:align>
          </wp:positionH>
          <wp:positionV relativeFrom="paragraph">
            <wp:posOffset>-64770</wp:posOffset>
          </wp:positionV>
          <wp:extent cx="385445" cy="190500"/>
          <wp:effectExtent l="0" t="0" r="0" b="12700"/>
          <wp:wrapNone/>
          <wp:docPr id="13" name="Picture 13" descr="CSU RGB EN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EN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445"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D44910">
      <w:fldChar w:fldCharType="begin"/>
    </w:r>
    <w:r w:rsidR="005647BF" w:rsidRPr="00D44910">
      <w:instrText>PAGE   \* MERGEFORMAT</w:instrText>
    </w:r>
    <w:r w:rsidR="005647BF" w:rsidRPr="00D44910">
      <w:fldChar w:fldCharType="separate"/>
    </w:r>
    <w:r w:rsidR="00822132">
      <w:rPr>
        <w:noProof/>
      </w:rPr>
      <w:t>20</w:t>
    </w:r>
    <w:r w:rsidR="005647BF" w:rsidRPr="00D44910">
      <w:fldChar w:fldCharType="end"/>
    </w:r>
    <w:r w:rsidR="005647BF" w:rsidRPr="00D44910">
      <w:tab/>
    </w:r>
    <w:r w:rsidR="00457214">
      <w:t>2018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EC6" w:rsidRPr="000B58F3" w:rsidRDefault="00664ABE" w:rsidP="00FE30D1">
    <w:pPr>
      <w:pStyle w:val="Zpat"/>
    </w:pPr>
    <w:r>
      <w:rPr>
        <w:noProof/>
        <w:lang w:val="cs-CZ" w:eastAsia="cs-CZ"/>
      </w:rPr>
      <w:drawing>
        <wp:anchor distT="0" distB="0" distL="114300" distR="114300" simplePos="0" relativeHeight="251652608" behindDoc="0" locked="0" layoutInCell="1" allowOverlap="1">
          <wp:simplePos x="0" y="0"/>
          <wp:positionH relativeFrom="column">
            <wp:align>left</wp:align>
          </wp:positionH>
          <wp:positionV relativeFrom="paragraph">
            <wp:posOffset>-64770</wp:posOffset>
          </wp:positionV>
          <wp:extent cx="676910" cy="201930"/>
          <wp:effectExtent l="0" t="0" r="8890" b="1270"/>
          <wp:wrapNone/>
          <wp:docPr id="12" name="Picture 12" descr="CSU RGB EN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EN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20193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7BF" w:rsidRPr="000B58F3">
      <w:tab/>
    </w:r>
    <w:r w:rsidR="00457214">
      <w:rPr>
        <w:rStyle w:val="ZpatChar"/>
      </w:rPr>
      <w:t>2018</w:t>
    </w:r>
    <w:r w:rsidR="005647BF" w:rsidRPr="000B58F3">
      <w:tab/>
    </w:r>
    <w:r w:rsidR="005647BF" w:rsidRPr="000B58F3">
      <w:rPr>
        <w:rStyle w:val="ZpatChar"/>
      </w:rPr>
      <w:fldChar w:fldCharType="begin"/>
    </w:r>
    <w:r w:rsidR="005647BF" w:rsidRPr="000B58F3">
      <w:rPr>
        <w:rStyle w:val="ZpatChar"/>
      </w:rPr>
      <w:instrText>PAGE   \* MERGEFORMAT</w:instrText>
    </w:r>
    <w:r w:rsidR="005647BF" w:rsidRPr="000B58F3">
      <w:rPr>
        <w:rStyle w:val="ZpatChar"/>
      </w:rPr>
      <w:fldChar w:fldCharType="separate"/>
    </w:r>
    <w:r w:rsidR="00822132">
      <w:rPr>
        <w:rStyle w:val="ZpatChar"/>
        <w:noProof/>
      </w:rPr>
      <w:t>21</w:t>
    </w:r>
    <w:r w:rsidR="005647BF" w:rsidRPr="000B58F3">
      <w:rPr>
        <w:rStyle w:val="ZpatCha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214" w:rsidRDefault="0045721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214" w:rsidRDefault="00457214" w:rsidP="00E71A58">
      <w:r>
        <w:separator/>
      </w:r>
    </w:p>
  </w:footnote>
  <w:footnote w:type="continuationSeparator" w:id="0">
    <w:p w:rsidR="00457214" w:rsidRDefault="00457214" w:rsidP="00E71A58">
      <w:r>
        <w:continuationSeparator/>
      </w:r>
    </w:p>
  </w:footnote>
  <w:footnote w:id="1">
    <w:p w:rsidR="00457214" w:rsidRPr="00B01C59" w:rsidRDefault="00457214" w:rsidP="00457214">
      <w:pPr>
        <w:pStyle w:val="Textpoznpodarou"/>
        <w:jc w:val="both"/>
        <w:rPr>
          <w:rFonts w:ascii="Arial" w:hAnsi="Arial" w:cs="Arial"/>
          <w:sz w:val="18"/>
          <w:lang w:val="en-GB"/>
        </w:rPr>
      </w:pPr>
      <w:r w:rsidRPr="00B01C59">
        <w:rPr>
          <w:rStyle w:val="Znakapoznpodarou"/>
          <w:rFonts w:ascii="Arial" w:hAnsi="Arial" w:cs="Arial"/>
          <w:sz w:val="18"/>
          <w:lang w:val="en-GB"/>
        </w:rPr>
        <w:footnoteRef/>
      </w:r>
      <w:r w:rsidRPr="00B01C59">
        <w:rPr>
          <w:lang w:val="en-GB"/>
        </w:rPr>
        <w:t xml:space="preserve"> </w:t>
      </w:r>
      <w:r w:rsidRPr="00B01C59">
        <w:rPr>
          <w:rFonts w:ascii="Arial" w:hAnsi="Arial"/>
          <w:sz w:val="18"/>
          <w:lang w:val="en-GB"/>
        </w:rPr>
        <w:t xml:space="preserve">Since 2002, Czech Statistical Office monitors detailed data on the expansion of selected ICT in households by means of </w:t>
      </w:r>
      <w:r w:rsidRPr="00B01C59">
        <w:rPr>
          <w:rFonts w:ascii="Arial" w:hAnsi="Arial"/>
          <w:b/>
          <w:sz w:val="18"/>
          <w:lang w:val="en-GB"/>
        </w:rPr>
        <w:t>Selective Survey on ICT usage in households (VŠIT).</w:t>
      </w:r>
      <w:r w:rsidRPr="00B01C59">
        <w:rPr>
          <w:lang w:val="en-GB"/>
        </w:rPr>
        <w:t xml:space="preserve"> </w:t>
      </w:r>
      <w:r w:rsidRPr="00B01C59">
        <w:rPr>
          <w:rFonts w:ascii="Arial" w:hAnsi="Arial"/>
          <w:sz w:val="18"/>
          <w:szCs w:val="18"/>
          <w:lang w:val="en-GB"/>
        </w:rPr>
        <w:t>The survey is carried out by means of a survey sample of approx. 5 thousand households and the results are compared to all private households in the Czech Republic.</w:t>
      </w:r>
      <w:r w:rsidRPr="00B01C59">
        <w:rPr>
          <w:rFonts w:ascii="Arial" w:hAnsi="Arial"/>
          <w:sz w:val="18"/>
          <w:lang w:val="en-GB"/>
        </w:rPr>
        <w:t xml:space="preserve"> Since 2006, the survey is carried out yearly in the 2nd quarter of the monitored year in all EU countries as a mandatory survey stipulated by the Regulation (EC) No. 808/2004 of the European Parliament and of the Council concerning Community statistics on the information society. The foundation for the selection of surveyed topics, forms of individual concepts and questions is the yearly updated model survey carried out by Eurostat. The ascertained data from this survey serves primarily to the regular monitoring of performance of individual targets of Digital Agenda for Europe and also the public administration of the Czech Republic with respect to the development of information society and digital economics. </w:t>
      </w:r>
    </w:p>
    <w:p w:rsidR="00457214" w:rsidRPr="00B01C59" w:rsidRDefault="00457214" w:rsidP="00457214">
      <w:pPr>
        <w:pStyle w:val="Textpoznpodarou"/>
        <w:rPr>
          <w:rFonts w:ascii="Arial" w:hAnsi="Arial" w:cs="Arial"/>
          <w:b/>
          <w:bCs/>
          <w:sz w:val="18"/>
          <w:highlight w:val="yellow"/>
          <w:lang w:val="en-GB"/>
        </w:rPr>
      </w:pPr>
      <w:r w:rsidRPr="00B01C59">
        <w:rPr>
          <w:rFonts w:ascii="Arial" w:hAnsi="Arial"/>
          <w:sz w:val="18"/>
          <w:lang w:val="en-GB"/>
        </w:rPr>
        <w:t>For more details see</w:t>
      </w:r>
      <w:r>
        <w:rPr>
          <w:rFonts w:ascii="Arial" w:hAnsi="Arial"/>
          <w:sz w:val="18"/>
          <w:lang w:val="en-GB"/>
        </w:rPr>
        <w:t xml:space="preserve"> (</w:t>
      </w:r>
      <w:r w:rsidRPr="0058273D">
        <w:rPr>
          <w:rFonts w:ascii="Arial" w:hAnsi="Arial"/>
          <w:i/>
          <w:sz w:val="18"/>
          <w:lang w:val="en-GB"/>
        </w:rPr>
        <w:t>only in Czech</w:t>
      </w:r>
      <w:r>
        <w:rPr>
          <w:rFonts w:ascii="Arial" w:hAnsi="Arial"/>
          <w:sz w:val="18"/>
          <w:lang w:val="en-GB"/>
        </w:rPr>
        <w:t>)</w:t>
      </w:r>
      <w:r w:rsidRPr="00B01C59">
        <w:rPr>
          <w:rFonts w:ascii="Arial" w:hAnsi="Arial"/>
          <w:sz w:val="18"/>
          <w:lang w:val="en-GB"/>
        </w:rPr>
        <w:t>:</w:t>
      </w:r>
      <w:r w:rsidRPr="00B01C59">
        <w:rPr>
          <w:sz w:val="15"/>
          <w:lang w:val="en-GB"/>
        </w:rPr>
        <w:t xml:space="preserve"> </w:t>
      </w:r>
      <w:r w:rsidRPr="00776859">
        <w:rPr>
          <w:rStyle w:val="Hypertextovodkaz"/>
          <w:rFonts w:ascii="Arial" w:eastAsia="MS Gothic" w:hAnsi="Arial" w:cs="Arial"/>
          <w:color w:val="auto"/>
          <w:sz w:val="18"/>
          <w:szCs w:val="18"/>
          <w:u w:val="none"/>
          <w:lang w:val="en-GB"/>
        </w:rPr>
        <w:t>https://www.czso.cz/csu/czso/domacnosti_a_jednotlivci</w:t>
      </w:r>
      <w:r w:rsidRPr="00776859">
        <w:rPr>
          <w:rFonts w:ascii="Arial" w:hAnsi="Arial"/>
          <w:b/>
          <w:bCs/>
          <w:sz w:val="18"/>
          <w:lang w:val="en-GB"/>
        </w:rPr>
        <w:t xml:space="preserve"> </w:t>
      </w:r>
    </w:p>
  </w:footnote>
  <w:footnote w:id="2">
    <w:p w:rsidR="00457214" w:rsidRPr="00944712" w:rsidRDefault="00457214" w:rsidP="00457214">
      <w:pPr>
        <w:pStyle w:val="Textpoznpodarou"/>
        <w:spacing w:before="60"/>
        <w:jc w:val="both"/>
        <w:rPr>
          <w:rFonts w:ascii="Arial" w:hAnsi="Arial" w:cs="Arial"/>
        </w:rPr>
      </w:pPr>
      <w:r w:rsidRPr="00B01C59">
        <w:rPr>
          <w:rStyle w:val="Znakapoznpodarou"/>
          <w:rFonts w:ascii="Arial" w:hAnsi="Arial" w:cs="Arial"/>
          <w:sz w:val="18"/>
          <w:lang w:val="en-GB"/>
        </w:rPr>
        <w:footnoteRef/>
      </w:r>
      <w:r w:rsidRPr="00B01C59">
        <w:rPr>
          <w:rFonts w:ascii="Arial" w:hAnsi="Arial"/>
          <w:sz w:val="18"/>
          <w:lang w:val="en-GB"/>
        </w:rPr>
        <w:t xml:space="preserve"> Data concerning the equipment of households with a fixed telephone line and a mobile phone as of the end of the monitored year was collected from the </w:t>
      </w:r>
      <w:r w:rsidRPr="00B01C59">
        <w:rPr>
          <w:rFonts w:ascii="Arial" w:hAnsi="Arial"/>
          <w:b/>
          <w:sz w:val="18"/>
          <w:lang w:val="en-GB"/>
        </w:rPr>
        <w:t>Statistical Report of Family Accounts of the CZSO</w:t>
      </w:r>
      <w:r w:rsidRPr="00B01C59">
        <w:rPr>
          <w:rFonts w:ascii="Arial" w:hAnsi="Arial"/>
          <w:sz w:val="18"/>
          <w:lang w:val="en-GB"/>
        </w:rPr>
        <w:t xml:space="preserve"> where the data is available with respect to individual types of households and various surveyed topics. Within the scope of this statistical report, this data was last monitored for the year 2016.</w:t>
      </w:r>
      <w:r>
        <w:rPr>
          <w:rFonts w:ascii="Arial" w:hAnsi="Arial"/>
          <w:iCs/>
          <w:sz w:val="14"/>
          <w:szCs w:val="24"/>
        </w:rPr>
        <w:t xml:space="preserve"> </w:t>
      </w:r>
      <w:bookmarkStart w:id="6" w:name="_GoBack"/>
      <w:bookmarkEnd w:id="6"/>
    </w:p>
  </w:footnote>
  <w:footnote w:id="3">
    <w:p w:rsidR="00457214" w:rsidRPr="00D80D97" w:rsidRDefault="00457214" w:rsidP="00457214">
      <w:pPr>
        <w:pStyle w:val="Textpoznpodarou"/>
        <w:jc w:val="both"/>
        <w:rPr>
          <w:highlight w:val="cyan"/>
        </w:rPr>
      </w:pPr>
      <w:r w:rsidRPr="00B01C59">
        <w:rPr>
          <w:rStyle w:val="Znakapoznpodarou"/>
          <w:rFonts w:ascii="Arial" w:hAnsi="Arial" w:cs="Arial"/>
          <w:sz w:val="18"/>
          <w:lang w:val="en-GB"/>
        </w:rPr>
        <w:footnoteRef/>
      </w:r>
      <w:r w:rsidRPr="00B01C59">
        <w:rPr>
          <w:rFonts w:ascii="Arial" w:hAnsi="Arial" w:cs="Arial"/>
          <w:sz w:val="18"/>
          <w:lang w:val="en-GB"/>
        </w:rPr>
        <w:t xml:space="preserve"> </w:t>
      </w:r>
      <w:r w:rsidRPr="00B01C59">
        <w:rPr>
          <w:rFonts w:ascii="Arial" w:hAnsi="Arial"/>
          <w:sz w:val="18"/>
          <w:lang w:val="en-GB"/>
        </w:rPr>
        <w:t xml:space="preserve">Data on </w:t>
      </w:r>
      <w:r w:rsidRPr="00B01C59">
        <w:rPr>
          <w:rFonts w:ascii="Arial" w:hAnsi="Arial"/>
          <w:b/>
          <w:sz w:val="18"/>
          <w:lang w:val="en-GB"/>
        </w:rPr>
        <w:t>total household expenditure for telecommunication services</w:t>
      </w:r>
      <w:r w:rsidRPr="00B01C59">
        <w:rPr>
          <w:rFonts w:ascii="Arial" w:hAnsi="Arial"/>
          <w:sz w:val="18"/>
          <w:lang w:val="en-GB"/>
        </w:rPr>
        <w:t xml:space="preserve"> (CZ-COICOP: 08.3) was obtained from the Czech Database of National Accounts using the national concept, which includes expenditure of residents in the Czech Republic and abroad spent on telecommunication services dedicated to direct satisfaction of needs and wishes of individuals. Expenditure for telecommunication services includes not only fixed line and mobile phone related services, but also payments for internet connection and bundled (packages) services. Further information: </w:t>
      </w:r>
      <w:hyperlink r:id="rId1" w:history="1">
        <w:r w:rsidRPr="00776859">
          <w:rPr>
            <w:rStyle w:val="Hypertextovodkaz"/>
            <w:rFonts w:ascii="Arial" w:hAnsi="Arial"/>
            <w:color w:val="auto"/>
            <w:sz w:val="18"/>
            <w:u w:val="none"/>
            <w:lang w:val="en-GB"/>
          </w:rPr>
          <w:t>http://apl.czso.cz/pll/rocenka/rocenkavyber.spotr_dom?mylang=EN</w:t>
        </w:r>
      </w:hyperlink>
    </w:p>
  </w:footnote>
  <w:footnote w:id="4">
    <w:p w:rsidR="00457214" w:rsidRDefault="00457214" w:rsidP="00457214">
      <w:pPr>
        <w:pStyle w:val="Textpoznpodarou"/>
        <w:spacing w:before="60"/>
        <w:jc w:val="both"/>
      </w:pPr>
      <w:r w:rsidRPr="00B01C59">
        <w:rPr>
          <w:rStyle w:val="Znakapoznpodarou"/>
          <w:rFonts w:ascii="Arial" w:hAnsi="Arial" w:cs="Arial"/>
          <w:sz w:val="18"/>
          <w:lang w:val="en-GB"/>
        </w:rPr>
        <w:footnoteRef/>
      </w:r>
      <w:r w:rsidRPr="00B01C59">
        <w:rPr>
          <w:lang w:val="en-GB"/>
        </w:rPr>
        <w:t xml:space="preserve"> </w:t>
      </w:r>
      <w:r w:rsidRPr="00B01C59">
        <w:rPr>
          <w:rFonts w:ascii="Arial" w:hAnsi="Arial"/>
          <w:sz w:val="18"/>
          <w:szCs w:val="18"/>
          <w:lang w:val="en-GB"/>
        </w:rPr>
        <w:t xml:space="preserve">Data on household consumption expenditures for telecommunications services </w:t>
      </w:r>
      <w:r>
        <w:rPr>
          <w:rFonts w:ascii="Arial" w:hAnsi="Arial"/>
          <w:sz w:val="18"/>
          <w:szCs w:val="18"/>
          <w:lang w:val="en-GB"/>
        </w:rPr>
        <w:t>–</w:t>
      </w:r>
      <w:r w:rsidRPr="00B01C59">
        <w:rPr>
          <w:rFonts w:ascii="Arial" w:hAnsi="Arial"/>
          <w:sz w:val="18"/>
          <w:szCs w:val="18"/>
          <w:lang w:val="en-GB"/>
        </w:rPr>
        <w:t xml:space="preserve"> </w:t>
      </w:r>
      <w:r w:rsidRPr="00B01C59">
        <w:rPr>
          <w:rFonts w:ascii="Arial" w:hAnsi="Arial"/>
          <w:b/>
          <w:sz w:val="18"/>
          <w:szCs w:val="18"/>
          <w:lang w:val="en-GB"/>
        </w:rPr>
        <w:t>annual averages in CZK per household member</w:t>
      </w:r>
      <w:r w:rsidRPr="00B01C59">
        <w:rPr>
          <w:rFonts w:ascii="Arial" w:hAnsi="Arial"/>
          <w:sz w:val="18"/>
          <w:szCs w:val="18"/>
          <w:lang w:val="en-GB"/>
        </w:rPr>
        <w:t xml:space="preserve"> </w:t>
      </w:r>
      <w:r>
        <w:rPr>
          <w:rFonts w:ascii="Arial" w:hAnsi="Arial"/>
          <w:sz w:val="18"/>
          <w:szCs w:val="18"/>
          <w:lang w:val="en-GB"/>
        </w:rPr>
        <w:t>–</w:t>
      </w:r>
      <w:r w:rsidRPr="00B01C59">
        <w:rPr>
          <w:rFonts w:ascii="Arial" w:hAnsi="Arial"/>
          <w:sz w:val="18"/>
          <w:szCs w:val="18"/>
          <w:lang w:val="en-GB"/>
        </w:rPr>
        <w:t xml:space="preserve"> was obtained from Household Budget Surveys, where data is available in a wide range of classifications by type of household or type of telecommunication service. Further information: </w:t>
      </w:r>
      <w:hyperlink r:id="rId2" w:history="1">
        <w:r w:rsidRPr="00776859">
          <w:rPr>
            <w:rStyle w:val="Hypertextovodkaz"/>
            <w:rFonts w:ascii="Arial" w:hAnsi="Arial" w:cs="Arial"/>
            <w:color w:val="auto"/>
            <w:sz w:val="18"/>
            <w:szCs w:val="18"/>
            <w:u w:val="none"/>
            <w:lang w:val="en-GB"/>
          </w:rPr>
          <w:t>https://www.czso.cz/csu/czso/expenditures-and-consumption-of-households-included-in-the-household-budget-survey-2016</w:t>
        </w:r>
      </w:hyperlink>
    </w:p>
  </w:footnote>
  <w:footnote w:id="5">
    <w:p w:rsidR="00457214" w:rsidRDefault="00457214" w:rsidP="00457214">
      <w:pPr>
        <w:pStyle w:val="Zkladntext"/>
        <w:spacing w:before="0"/>
      </w:pPr>
      <w:r w:rsidRPr="00B01C59">
        <w:rPr>
          <w:rStyle w:val="Znakapoznpodarou"/>
          <w:sz w:val="18"/>
          <w:lang w:val="en-GB"/>
        </w:rPr>
        <w:footnoteRef/>
      </w:r>
      <w:r w:rsidRPr="00B01C59">
        <w:rPr>
          <w:sz w:val="18"/>
          <w:lang w:val="en-GB"/>
        </w:rPr>
        <w:t xml:space="preserve"> </w:t>
      </w:r>
      <w:r w:rsidRPr="00B01C59">
        <w:rPr>
          <w:b/>
          <w:sz w:val="18"/>
          <w:szCs w:val="18"/>
          <w:lang w:val="en-GB"/>
        </w:rPr>
        <w:t>Households with computer</w:t>
      </w:r>
      <w:r w:rsidRPr="00B01C59">
        <w:rPr>
          <w:sz w:val="18"/>
          <w:szCs w:val="18"/>
          <w:lang w:val="en-GB"/>
        </w:rPr>
        <w:t xml:space="preserve"> involve all households, which at the time of the survey stated, that at least one of the household members had access to a personal computer at home. The household does not need to be in possession of the computer (it may be employer’s computer, one borrowed from friends, etc.) yet this computer should be functional and located at home. A portable computer may not be permanently located at home; it may be in use at work or at school.</w:t>
      </w:r>
    </w:p>
  </w:footnote>
  <w:footnote w:id="6">
    <w:p w:rsidR="00457214" w:rsidRDefault="00457214" w:rsidP="00457214">
      <w:pPr>
        <w:pStyle w:val="Zkladntext"/>
        <w:spacing w:before="0"/>
      </w:pPr>
      <w:r w:rsidRPr="0081677C">
        <w:rPr>
          <w:rStyle w:val="Znakapoznpodarou"/>
          <w:sz w:val="18"/>
          <w:lang w:val="en-GB"/>
        </w:rPr>
        <w:footnoteRef/>
      </w:r>
      <w:r w:rsidRPr="0081677C">
        <w:rPr>
          <w:sz w:val="18"/>
          <w:lang w:val="en-GB"/>
        </w:rPr>
        <w:t xml:space="preserve"> </w:t>
      </w:r>
      <w:r w:rsidRPr="0081677C">
        <w:rPr>
          <w:b/>
          <w:sz w:val="18"/>
          <w:szCs w:val="20"/>
          <w:lang w:val="en-GB"/>
        </w:rPr>
        <w:t>Households with the internet</w:t>
      </w:r>
      <w:r w:rsidRPr="0081677C">
        <w:rPr>
          <w:sz w:val="18"/>
          <w:szCs w:val="20"/>
          <w:lang w:val="en-GB"/>
        </w:rPr>
        <w:t xml:space="preserve"> include all households, which at the time of survey stated that at least one of the household members had an access to the internet at home. It does not matter what type is the device used (desktop computer, portable computer, mobile phone, digital TV, game deck, or other device), or the way of connection.</w:t>
      </w:r>
    </w:p>
  </w:footnote>
  <w:footnote w:id="7">
    <w:p w:rsidR="00457214" w:rsidRDefault="00457214" w:rsidP="00457214">
      <w:pPr>
        <w:pStyle w:val="Textpoznpodarou"/>
        <w:jc w:val="both"/>
      </w:pPr>
      <w:r w:rsidRPr="007C5871">
        <w:rPr>
          <w:rStyle w:val="Znakapoznpodarou"/>
          <w:rFonts w:ascii="Arial" w:hAnsi="Arial" w:cs="Arial"/>
          <w:sz w:val="18"/>
        </w:rPr>
        <w:footnoteRef/>
      </w:r>
      <w:r w:rsidRPr="00ED63D6">
        <w:t xml:space="preserve"> </w:t>
      </w:r>
      <w:r w:rsidRPr="00ED63D6">
        <w:rPr>
          <w:rFonts w:ascii="Arial" w:hAnsi="Arial"/>
          <w:sz w:val="18"/>
          <w:lang w:val="en-GB"/>
        </w:rPr>
        <w:t>In the question on the reasons why households do not have an internet connection at home, households may have multiple responses.</w:t>
      </w:r>
    </w:p>
  </w:footnote>
  <w:footnote w:id="8">
    <w:p w:rsidR="00457214" w:rsidRPr="00EE5163" w:rsidRDefault="00457214" w:rsidP="00457214">
      <w:pPr>
        <w:pStyle w:val="Textpoznpodarou"/>
        <w:jc w:val="both"/>
        <w:rPr>
          <w:highlight w:val="cyan"/>
          <w:lang w:val="en-GB"/>
        </w:rPr>
      </w:pPr>
      <w:r w:rsidRPr="00EE5163">
        <w:rPr>
          <w:rStyle w:val="Znakapoznpodarou"/>
          <w:rFonts w:ascii="Arial" w:hAnsi="Arial" w:cs="Arial"/>
          <w:sz w:val="18"/>
          <w:lang w:val="en-GB"/>
        </w:rPr>
        <w:footnoteRef/>
      </w:r>
      <w:r w:rsidRPr="00EE5163">
        <w:rPr>
          <w:rFonts w:ascii="Arial" w:hAnsi="Arial"/>
          <w:sz w:val="18"/>
          <w:lang w:val="en-GB"/>
        </w:rPr>
        <w:t xml:space="preserve"> Types of connection to the internet involve only the types of connection provided by supplier. It does not specify if the connection is shared by multiple devices within one household.</w:t>
      </w:r>
      <w:r w:rsidRPr="00EE5163">
        <w:rPr>
          <w:sz w:val="18"/>
          <w:highlight w:val="cyan"/>
          <w:lang w:val="en-GB"/>
        </w:rPr>
        <w:t xml:space="preserve"> </w:t>
      </w:r>
    </w:p>
  </w:footnote>
  <w:footnote w:id="9">
    <w:p w:rsidR="00457214" w:rsidRPr="00971D25" w:rsidRDefault="00457214" w:rsidP="00457214">
      <w:pPr>
        <w:pStyle w:val="Textpoznpodarou"/>
        <w:spacing w:before="60"/>
        <w:jc w:val="both"/>
        <w:rPr>
          <w:rFonts w:ascii="Arial" w:hAnsi="Arial" w:cs="Arial"/>
          <w:sz w:val="18"/>
        </w:rPr>
      </w:pPr>
      <w:r w:rsidRPr="00C579B9">
        <w:rPr>
          <w:rStyle w:val="Znakapoznpodarou"/>
          <w:rFonts w:ascii="Arial" w:hAnsi="Arial" w:cs="Arial"/>
          <w:sz w:val="18"/>
          <w:lang w:val="en-GB"/>
        </w:rPr>
        <w:footnoteRef/>
      </w:r>
      <w:r w:rsidRPr="00C579B9">
        <w:rPr>
          <w:rFonts w:ascii="Arial" w:hAnsi="Arial" w:cs="Arial"/>
          <w:sz w:val="18"/>
          <w:lang w:val="en-GB"/>
        </w:rPr>
        <w:t xml:space="preserve"> </w:t>
      </w:r>
      <w:r w:rsidRPr="00C579B9">
        <w:rPr>
          <w:rFonts w:ascii="Arial" w:hAnsi="Arial"/>
          <w:sz w:val="18"/>
          <w:lang w:val="en-GB"/>
        </w:rPr>
        <w:t>A Wi-Fi router is a device that enables internet distribution within the household, i.e. it enables connection of more devices at the same time and from different places within the reach of Wi-Fi network.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C74" w:rsidRPr="00457214" w:rsidRDefault="00457214" w:rsidP="00457214">
    <w:pPr>
      <w:pStyle w:val="Zhlav"/>
      <w:tabs>
        <w:tab w:val="left" w:pos="-6379"/>
        <w:tab w:val="center" w:pos="4820"/>
        <w:tab w:val="right" w:pos="9639"/>
      </w:tabs>
    </w:pPr>
    <w:r w:rsidRPr="009309E3">
      <w:rPr>
        <w:szCs w:val="16"/>
      </w:rPr>
      <w:t xml:space="preserve">Development of </w:t>
    </w:r>
    <w:r>
      <w:rPr>
        <w:szCs w:val="16"/>
      </w:rPr>
      <w:t xml:space="preserve">the </w:t>
    </w:r>
    <w:r w:rsidRPr="009309E3">
      <w:rPr>
        <w:szCs w:val="16"/>
      </w:rPr>
      <w:t>Information Society in the Czech Republic and Other EU Countries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52E" w:rsidRPr="00457214" w:rsidRDefault="00457214" w:rsidP="00457214">
    <w:pPr>
      <w:pStyle w:val="Zhlav"/>
      <w:tabs>
        <w:tab w:val="left" w:pos="-6379"/>
        <w:tab w:val="center" w:pos="4820"/>
        <w:tab w:val="right" w:pos="9639"/>
      </w:tabs>
    </w:pPr>
    <w:r w:rsidRPr="009309E3">
      <w:rPr>
        <w:szCs w:val="16"/>
      </w:rPr>
      <w:t xml:space="preserve">Development of </w:t>
    </w:r>
    <w:r>
      <w:rPr>
        <w:szCs w:val="16"/>
      </w:rPr>
      <w:t xml:space="preserve">the </w:t>
    </w:r>
    <w:r w:rsidRPr="009309E3">
      <w:rPr>
        <w:szCs w:val="16"/>
      </w:rPr>
      <w:t>Information Society in the Czech Republic and Other EU Countries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214" w:rsidRDefault="0045721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12034B"/>
    <w:multiLevelType w:val="hybridMultilevel"/>
    <w:tmpl w:val="08806E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F3B4673"/>
    <w:multiLevelType w:val="hybridMultilevel"/>
    <w:tmpl w:val="CE2A9742"/>
    <w:lvl w:ilvl="0" w:tplc="3174A966">
      <w:start w:val="1"/>
      <w:numFmt w:val="bullet"/>
      <w:lvlText w:val=""/>
      <w:lvlJc w:val="left"/>
      <w:pPr>
        <w:tabs>
          <w:tab w:val="num" w:pos="360"/>
        </w:tabs>
        <w:ind w:left="360" w:hanging="360"/>
      </w:pPr>
      <w:rPr>
        <w:rFonts w:ascii="Symbol" w:hAnsi="Symbol" w:hint="default"/>
        <w:color w:val="auto"/>
        <w:sz w:val="16"/>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3"/>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214"/>
    <w:rsid w:val="0000209D"/>
    <w:rsid w:val="00004D5A"/>
    <w:rsid w:val="000056D5"/>
    <w:rsid w:val="0000767A"/>
    <w:rsid w:val="00010702"/>
    <w:rsid w:val="000234D6"/>
    <w:rsid w:val="00023D29"/>
    <w:rsid w:val="00026389"/>
    <w:rsid w:val="00031AE0"/>
    <w:rsid w:val="000322EF"/>
    <w:rsid w:val="00033FCD"/>
    <w:rsid w:val="00036BF1"/>
    <w:rsid w:val="00041CEC"/>
    <w:rsid w:val="0004694F"/>
    <w:rsid w:val="000522E4"/>
    <w:rsid w:val="000610E1"/>
    <w:rsid w:val="00062EC5"/>
    <w:rsid w:val="00062F22"/>
    <w:rsid w:val="000712B3"/>
    <w:rsid w:val="00080A01"/>
    <w:rsid w:val="0008263E"/>
    <w:rsid w:val="00082C19"/>
    <w:rsid w:val="00085395"/>
    <w:rsid w:val="00087634"/>
    <w:rsid w:val="00087F2B"/>
    <w:rsid w:val="000974D1"/>
    <w:rsid w:val="0009799E"/>
    <w:rsid w:val="000A1183"/>
    <w:rsid w:val="000A256D"/>
    <w:rsid w:val="000A3A2C"/>
    <w:rsid w:val="000B58F3"/>
    <w:rsid w:val="000C3408"/>
    <w:rsid w:val="000C6AFD"/>
    <w:rsid w:val="000D5637"/>
    <w:rsid w:val="000E6FBD"/>
    <w:rsid w:val="00100F5C"/>
    <w:rsid w:val="00104C4C"/>
    <w:rsid w:val="00114D6F"/>
    <w:rsid w:val="0012030F"/>
    <w:rsid w:val="0012192F"/>
    <w:rsid w:val="00125D69"/>
    <w:rsid w:val="001405FA"/>
    <w:rsid w:val="001425C3"/>
    <w:rsid w:val="0016256B"/>
    <w:rsid w:val="00163793"/>
    <w:rsid w:val="001706D6"/>
    <w:rsid w:val="001714F2"/>
    <w:rsid w:val="00184B08"/>
    <w:rsid w:val="00185010"/>
    <w:rsid w:val="001A552F"/>
    <w:rsid w:val="001B2CA9"/>
    <w:rsid w:val="001B3110"/>
    <w:rsid w:val="001B4729"/>
    <w:rsid w:val="001B6C09"/>
    <w:rsid w:val="001C05CD"/>
    <w:rsid w:val="001D563B"/>
    <w:rsid w:val="001D68B2"/>
    <w:rsid w:val="001F4597"/>
    <w:rsid w:val="001F551B"/>
    <w:rsid w:val="002118B9"/>
    <w:rsid w:val="00217C5B"/>
    <w:rsid w:val="0022139E"/>
    <w:rsid w:val="002252E0"/>
    <w:rsid w:val="002255F6"/>
    <w:rsid w:val="00227850"/>
    <w:rsid w:val="00230C6E"/>
    <w:rsid w:val="00236443"/>
    <w:rsid w:val="002436BA"/>
    <w:rsid w:val="00244A15"/>
    <w:rsid w:val="00247319"/>
    <w:rsid w:val="0024799E"/>
    <w:rsid w:val="00253C0F"/>
    <w:rsid w:val="00271465"/>
    <w:rsid w:val="00285412"/>
    <w:rsid w:val="002A16D4"/>
    <w:rsid w:val="002A1701"/>
    <w:rsid w:val="002A230C"/>
    <w:rsid w:val="002C43BD"/>
    <w:rsid w:val="002D0E59"/>
    <w:rsid w:val="002E02A1"/>
    <w:rsid w:val="002E4E4C"/>
    <w:rsid w:val="002F2092"/>
    <w:rsid w:val="00304771"/>
    <w:rsid w:val="003052D4"/>
    <w:rsid w:val="00306C5B"/>
    <w:rsid w:val="003209D6"/>
    <w:rsid w:val="0032656E"/>
    <w:rsid w:val="00332190"/>
    <w:rsid w:val="00344668"/>
    <w:rsid w:val="003462D9"/>
    <w:rsid w:val="00351A75"/>
    <w:rsid w:val="003657F3"/>
    <w:rsid w:val="00374F1D"/>
    <w:rsid w:val="003818DC"/>
    <w:rsid w:val="00385D98"/>
    <w:rsid w:val="003A2B4D"/>
    <w:rsid w:val="003A478C"/>
    <w:rsid w:val="003A5525"/>
    <w:rsid w:val="003A6B38"/>
    <w:rsid w:val="003B5A32"/>
    <w:rsid w:val="003C3490"/>
    <w:rsid w:val="003D6920"/>
    <w:rsid w:val="003E4C91"/>
    <w:rsid w:val="003F313C"/>
    <w:rsid w:val="003F551C"/>
    <w:rsid w:val="00407C13"/>
    <w:rsid w:val="00410638"/>
    <w:rsid w:val="00432A58"/>
    <w:rsid w:val="00434617"/>
    <w:rsid w:val="00440900"/>
    <w:rsid w:val="004441A0"/>
    <w:rsid w:val="00457214"/>
    <w:rsid w:val="00476240"/>
    <w:rsid w:val="00476439"/>
    <w:rsid w:val="0047735C"/>
    <w:rsid w:val="004776BC"/>
    <w:rsid w:val="0048139F"/>
    <w:rsid w:val="00481E40"/>
    <w:rsid w:val="00484ECE"/>
    <w:rsid w:val="004915CB"/>
    <w:rsid w:val="004A3212"/>
    <w:rsid w:val="004A61C5"/>
    <w:rsid w:val="004A77DF"/>
    <w:rsid w:val="004B1417"/>
    <w:rsid w:val="004B2082"/>
    <w:rsid w:val="004B55B7"/>
    <w:rsid w:val="004B6468"/>
    <w:rsid w:val="004C384C"/>
    <w:rsid w:val="004C3867"/>
    <w:rsid w:val="004C4CD0"/>
    <w:rsid w:val="004C70DC"/>
    <w:rsid w:val="004D0211"/>
    <w:rsid w:val="004D0794"/>
    <w:rsid w:val="004F06F5"/>
    <w:rsid w:val="004F33A0"/>
    <w:rsid w:val="005108C0"/>
    <w:rsid w:val="00511873"/>
    <w:rsid w:val="00512A2F"/>
    <w:rsid w:val="00513B7E"/>
    <w:rsid w:val="00515C74"/>
    <w:rsid w:val="00515EB3"/>
    <w:rsid w:val="0052007E"/>
    <w:rsid w:val="0052337A"/>
    <w:rsid w:val="00525137"/>
    <w:rsid w:val="005251DD"/>
    <w:rsid w:val="00526043"/>
    <w:rsid w:val="00532CE7"/>
    <w:rsid w:val="0053324C"/>
    <w:rsid w:val="00534715"/>
    <w:rsid w:val="00534A28"/>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604307"/>
    <w:rsid w:val="0060487F"/>
    <w:rsid w:val="00604EAD"/>
    <w:rsid w:val="006103A6"/>
    <w:rsid w:val="006104FB"/>
    <w:rsid w:val="00612A2F"/>
    <w:rsid w:val="00616E05"/>
    <w:rsid w:val="00624093"/>
    <w:rsid w:val="006404A7"/>
    <w:rsid w:val="00642197"/>
    <w:rsid w:val="006451E4"/>
    <w:rsid w:val="00645B33"/>
    <w:rsid w:val="006516CB"/>
    <w:rsid w:val="00657E87"/>
    <w:rsid w:val="00664803"/>
    <w:rsid w:val="00664ABE"/>
    <w:rsid w:val="00665BA4"/>
    <w:rsid w:val="00667AF2"/>
    <w:rsid w:val="006710C9"/>
    <w:rsid w:val="00674D89"/>
    <w:rsid w:val="00675E37"/>
    <w:rsid w:val="0068174E"/>
    <w:rsid w:val="00681833"/>
    <w:rsid w:val="00681DCE"/>
    <w:rsid w:val="0068260E"/>
    <w:rsid w:val="00695BEF"/>
    <w:rsid w:val="006977F6"/>
    <w:rsid w:val="00697A13"/>
    <w:rsid w:val="006A109C"/>
    <w:rsid w:val="006B344A"/>
    <w:rsid w:val="006B78D8"/>
    <w:rsid w:val="006C113F"/>
    <w:rsid w:val="006C56D4"/>
    <w:rsid w:val="006C6924"/>
    <w:rsid w:val="006C7CA6"/>
    <w:rsid w:val="006D3E8A"/>
    <w:rsid w:val="006D61F6"/>
    <w:rsid w:val="006E279A"/>
    <w:rsid w:val="006E313B"/>
    <w:rsid w:val="00706AD4"/>
    <w:rsid w:val="007140BE"/>
    <w:rsid w:val="007211F5"/>
    <w:rsid w:val="00725BB5"/>
    <w:rsid w:val="00730AE8"/>
    <w:rsid w:val="00741493"/>
    <w:rsid w:val="00752180"/>
    <w:rsid w:val="00755202"/>
    <w:rsid w:val="00755D3A"/>
    <w:rsid w:val="007578D3"/>
    <w:rsid w:val="007609C6"/>
    <w:rsid w:val="0076521E"/>
    <w:rsid w:val="007661E9"/>
    <w:rsid w:val="00776169"/>
    <w:rsid w:val="00776527"/>
    <w:rsid w:val="00780EF1"/>
    <w:rsid w:val="00790764"/>
    <w:rsid w:val="0079453C"/>
    <w:rsid w:val="00794677"/>
    <w:rsid w:val="007A44A7"/>
    <w:rsid w:val="007B6689"/>
    <w:rsid w:val="007D40DF"/>
    <w:rsid w:val="007E7E61"/>
    <w:rsid w:val="007F0845"/>
    <w:rsid w:val="00807C82"/>
    <w:rsid w:val="00816905"/>
    <w:rsid w:val="00821FF6"/>
    <w:rsid w:val="00822132"/>
    <w:rsid w:val="00823849"/>
    <w:rsid w:val="0083143E"/>
    <w:rsid w:val="00831CDE"/>
    <w:rsid w:val="00834304"/>
    <w:rsid w:val="00834FAA"/>
    <w:rsid w:val="00836086"/>
    <w:rsid w:val="0084708F"/>
    <w:rsid w:val="008477C8"/>
    <w:rsid w:val="0085114D"/>
    <w:rsid w:val="00852217"/>
    <w:rsid w:val="00855408"/>
    <w:rsid w:val="00856D65"/>
    <w:rsid w:val="00861B41"/>
    <w:rsid w:val="00863434"/>
    <w:rsid w:val="00865E4C"/>
    <w:rsid w:val="008701E4"/>
    <w:rsid w:val="00875A32"/>
    <w:rsid w:val="00876086"/>
    <w:rsid w:val="0088154E"/>
    <w:rsid w:val="008873D4"/>
    <w:rsid w:val="00893E85"/>
    <w:rsid w:val="00894031"/>
    <w:rsid w:val="008A4C97"/>
    <w:rsid w:val="008B7C02"/>
    <w:rsid w:val="008B7D2B"/>
    <w:rsid w:val="008C0049"/>
    <w:rsid w:val="008C0E88"/>
    <w:rsid w:val="008D1E6A"/>
    <w:rsid w:val="008D2A16"/>
    <w:rsid w:val="008E2C57"/>
    <w:rsid w:val="008E31FF"/>
    <w:rsid w:val="008E6F06"/>
    <w:rsid w:val="008F029B"/>
    <w:rsid w:val="008F3FC9"/>
    <w:rsid w:val="008F585B"/>
    <w:rsid w:val="009003A8"/>
    <w:rsid w:val="00900D5B"/>
    <w:rsid w:val="00902500"/>
    <w:rsid w:val="00902EFF"/>
    <w:rsid w:val="0091155E"/>
    <w:rsid w:val="00912A92"/>
    <w:rsid w:val="0091728D"/>
    <w:rsid w:val="0092180B"/>
    <w:rsid w:val="00921F14"/>
    <w:rsid w:val="00924AC8"/>
    <w:rsid w:val="0092597A"/>
    <w:rsid w:val="00937AE2"/>
    <w:rsid w:val="0094427A"/>
    <w:rsid w:val="00974923"/>
    <w:rsid w:val="00980D3D"/>
    <w:rsid w:val="00992CF3"/>
    <w:rsid w:val="009968D6"/>
    <w:rsid w:val="009A1CAB"/>
    <w:rsid w:val="009A60D1"/>
    <w:rsid w:val="009B32FB"/>
    <w:rsid w:val="009B6FD3"/>
    <w:rsid w:val="009C1750"/>
    <w:rsid w:val="009C2E29"/>
    <w:rsid w:val="009C554B"/>
    <w:rsid w:val="009C719E"/>
    <w:rsid w:val="009D3ACD"/>
    <w:rsid w:val="009E5DDB"/>
    <w:rsid w:val="009F4CA7"/>
    <w:rsid w:val="00A10D66"/>
    <w:rsid w:val="00A14114"/>
    <w:rsid w:val="00A23E43"/>
    <w:rsid w:val="00A30F65"/>
    <w:rsid w:val="00A418BC"/>
    <w:rsid w:val="00A46DE0"/>
    <w:rsid w:val="00A50D73"/>
    <w:rsid w:val="00A52CAD"/>
    <w:rsid w:val="00A53FC7"/>
    <w:rsid w:val="00A62CE1"/>
    <w:rsid w:val="00A6741E"/>
    <w:rsid w:val="00A75E40"/>
    <w:rsid w:val="00A77AB7"/>
    <w:rsid w:val="00A77D1D"/>
    <w:rsid w:val="00A857C0"/>
    <w:rsid w:val="00AA2996"/>
    <w:rsid w:val="00AA52BF"/>
    <w:rsid w:val="00AA559A"/>
    <w:rsid w:val="00AA60B7"/>
    <w:rsid w:val="00AA63BD"/>
    <w:rsid w:val="00AB2AF1"/>
    <w:rsid w:val="00AC7F0B"/>
    <w:rsid w:val="00AD306C"/>
    <w:rsid w:val="00AE09B3"/>
    <w:rsid w:val="00AE1A83"/>
    <w:rsid w:val="00B00913"/>
    <w:rsid w:val="00B01593"/>
    <w:rsid w:val="00B10A4D"/>
    <w:rsid w:val="00B17E71"/>
    <w:rsid w:val="00B17FDE"/>
    <w:rsid w:val="00B2379C"/>
    <w:rsid w:val="00B2687D"/>
    <w:rsid w:val="00B32DDB"/>
    <w:rsid w:val="00B34528"/>
    <w:rsid w:val="00B402FC"/>
    <w:rsid w:val="00B46604"/>
    <w:rsid w:val="00B55F5E"/>
    <w:rsid w:val="00B5752E"/>
    <w:rsid w:val="00B63A11"/>
    <w:rsid w:val="00B64C24"/>
    <w:rsid w:val="00B6608F"/>
    <w:rsid w:val="00B679FB"/>
    <w:rsid w:val="00B75431"/>
    <w:rsid w:val="00B76D1E"/>
    <w:rsid w:val="00B80EC6"/>
    <w:rsid w:val="00B85781"/>
    <w:rsid w:val="00B92D1D"/>
    <w:rsid w:val="00B938C5"/>
    <w:rsid w:val="00B95940"/>
    <w:rsid w:val="00BB46F3"/>
    <w:rsid w:val="00BB4CB1"/>
    <w:rsid w:val="00BB4F98"/>
    <w:rsid w:val="00BC7154"/>
    <w:rsid w:val="00BD366B"/>
    <w:rsid w:val="00BD6D50"/>
    <w:rsid w:val="00BE18B9"/>
    <w:rsid w:val="00BE2495"/>
    <w:rsid w:val="00BF1578"/>
    <w:rsid w:val="00C21F94"/>
    <w:rsid w:val="00C25BCC"/>
    <w:rsid w:val="00C27913"/>
    <w:rsid w:val="00C33B68"/>
    <w:rsid w:val="00C36A79"/>
    <w:rsid w:val="00C405D4"/>
    <w:rsid w:val="00C4513B"/>
    <w:rsid w:val="00C54697"/>
    <w:rsid w:val="00C73885"/>
    <w:rsid w:val="00C747B1"/>
    <w:rsid w:val="00C82191"/>
    <w:rsid w:val="00C90CF4"/>
    <w:rsid w:val="00C92EB6"/>
    <w:rsid w:val="00C93389"/>
    <w:rsid w:val="00CB4930"/>
    <w:rsid w:val="00CC2E7D"/>
    <w:rsid w:val="00CD10A5"/>
    <w:rsid w:val="00CD2076"/>
    <w:rsid w:val="00CE670B"/>
    <w:rsid w:val="00CF51EC"/>
    <w:rsid w:val="00CF73AE"/>
    <w:rsid w:val="00D040DD"/>
    <w:rsid w:val="00D13986"/>
    <w:rsid w:val="00D151BF"/>
    <w:rsid w:val="00D25F28"/>
    <w:rsid w:val="00D27973"/>
    <w:rsid w:val="00D44910"/>
    <w:rsid w:val="00D50F46"/>
    <w:rsid w:val="00D66223"/>
    <w:rsid w:val="00D8084C"/>
    <w:rsid w:val="00DA7C0C"/>
    <w:rsid w:val="00DB1149"/>
    <w:rsid w:val="00DB2EC8"/>
    <w:rsid w:val="00DB4A23"/>
    <w:rsid w:val="00DC5B3B"/>
    <w:rsid w:val="00DD129F"/>
    <w:rsid w:val="00DD685B"/>
    <w:rsid w:val="00DF42FF"/>
    <w:rsid w:val="00E01C0E"/>
    <w:rsid w:val="00E03F9A"/>
    <w:rsid w:val="00E04694"/>
    <w:rsid w:val="00E12B1E"/>
    <w:rsid w:val="00E17262"/>
    <w:rsid w:val="00E22A11"/>
    <w:rsid w:val="00E253A2"/>
    <w:rsid w:val="00E3309D"/>
    <w:rsid w:val="00E50156"/>
    <w:rsid w:val="00E53470"/>
    <w:rsid w:val="00E539F6"/>
    <w:rsid w:val="00E6519D"/>
    <w:rsid w:val="00E67696"/>
    <w:rsid w:val="00E71A58"/>
    <w:rsid w:val="00E72A7A"/>
    <w:rsid w:val="00E75C94"/>
    <w:rsid w:val="00E93820"/>
    <w:rsid w:val="00EA0C68"/>
    <w:rsid w:val="00EC03D7"/>
    <w:rsid w:val="00ED2C2C"/>
    <w:rsid w:val="00ED62C6"/>
    <w:rsid w:val="00ED64C1"/>
    <w:rsid w:val="00ED78E3"/>
    <w:rsid w:val="00EE3446"/>
    <w:rsid w:val="00EE3E78"/>
    <w:rsid w:val="00EE4B1B"/>
    <w:rsid w:val="00EF150D"/>
    <w:rsid w:val="00EF1F5A"/>
    <w:rsid w:val="00F04811"/>
    <w:rsid w:val="00F0488C"/>
    <w:rsid w:val="00F15AAA"/>
    <w:rsid w:val="00F15BEF"/>
    <w:rsid w:val="00F1639F"/>
    <w:rsid w:val="00F24407"/>
    <w:rsid w:val="00F24FAA"/>
    <w:rsid w:val="00F3364D"/>
    <w:rsid w:val="00F437CC"/>
    <w:rsid w:val="00F47067"/>
    <w:rsid w:val="00F474C0"/>
    <w:rsid w:val="00F525EB"/>
    <w:rsid w:val="00F63DDE"/>
    <w:rsid w:val="00F63FB7"/>
    <w:rsid w:val="00F649D2"/>
    <w:rsid w:val="00F6602B"/>
    <w:rsid w:val="00F73A0C"/>
    <w:rsid w:val="00F756DB"/>
    <w:rsid w:val="00F85066"/>
    <w:rsid w:val="00FA5D4D"/>
    <w:rsid w:val="00FC0E5F"/>
    <w:rsid w:val="00FC1A95"/>
    <w:rsid w:val="00FC56DE"/>
    <w:rsid w:val="00FC684B"/>
    <w:rsid w:val="00FC7274"/>
    <w:rsid w:val="00FE2F78"/>
    <w:rsid w:val="00FE30D1"/>
    <w:rsid w:val="00FF7B9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88B5BB2"/>
  <w15:docId w15:val="{BC7F7340-947F-4ECD-AADE-78646DFF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7214"/>
    <w:pPr>
      <w:spacing w:after="240" w:line="288" w:lineRule="auto"/>
    </w:pPr>
    <w:rPr>
      <w:rFonts w:ascii="Arial" w:eastAsia="Times New Roman" w:hAnsi="Arial"/>
      <w:szCs w:val="24"/>
      <w:lang w:val="en-GB" w:eastAsia="cs-CZ"/>
    </w:rPr>
  </w:style>
  <w:style w:type="paragraph" w:styleId="Nadpis1">
    <w:name w:val="heading 1"/>
    <w:next w:val="Normln"/>
    <w:link w:val="Nadpis1Char"/>
    <w:qFormat/>
    <w:rsid w:val="00457214"/>
    <w:pPr>
      <w:keepNext/>
      <w:keepLines/>
      <w:spacing w:after="100" w:line="288" w:lineRule="auto"/>
      <w:contextualSpacing/>
      <w:outlineLvl w:val="0"/>
    </w:pPr>
    <w:rPr>
      <w:rFonts w:ascii="Arial" w:eastAsia="MS Gothic" w:hAnsi="Arial"/>
      <w:b/>
      <w:bCs/>
      <w:color w:val="009BB4"/>
      <w:sz w:val="32"/>
      <w:szCs w:val="28"/>
      <w:lang w:val="en-GB" w:eastAsia="cs-CZ"/>
    </w:rPr>
  </w:style>
  <w:style w:type="paragraph" w:styleId="Nadpis2">
    <w:name w:val="heading 2"/>
    <w:next w:val="Normln"/>
    <w:link w:val="Nadpis2Char"/>
    <w:qFormat/>
    <w:rsid w:val="00457214"/>
    <w:pPr>
      <w:keepNext/>
      <w:keepLines/>
      <w:spacing w:line="288" w:lineRule="auto"/>
      <w:outlineLvl w:val="1"/>
    </w:pPr>
    <w:rPr>
      <w:rFonts w:ascii="Arial" w:eastAsia="MS Gothic" w:hAnsi="Arial"/>
      <w:b/>
      <w:bCs/>
      <w:color w:val="009BB4"/>
      <w:sz w:val="28"/>
      <w:szCs w:val="26"/>
      <w:lang w:val="en-GB" w:eastAsia="cs-CZ"/>
    </w:rPr>
  </w:style>
  <w:style w:type="paragraph" w:styleId="Nadpis3">
    <w:name w:val="heading 3"/>
    <w:next w:val="Normln"/>
    <w:link w:val="Nadpis3Char"/>
    <w:qFormat/>
    <w:rsid w:val="00457214"/>
    <w:pPr>
      <w:keepNext/>
      <w:keepLines/>
      <w:spacing w:line="288" w:lineRule="auto"/>
      <w:outlineLvl w:val="2"/>
    </w:pPr>
    <w:rPr>
      <w:rFonts w:ascii="Arial" w:eastAsia="MS Gothic" w:hAnsi="Arial"/>
      <w:b/>
      <w:bCs/>
      <w:color w:val="009BB4"/>
      <w:sz w:val="24"/>
      <w:szCs w:val="24"/>
      <w:lang w:val="en-GB" w:eastAsia="cs-CZ"/>
    </w:rPr>
  </w:style>
  <w:style w:type="paragraph" w:styleId="Nadpis4">
    <w:name w:val="heading 4"/>
    <w:next w:val="Normln"/>
    <w:link w:val="Nadpis4Char"/>
    <w:uiPriority w:val="9"/>
    <w:qFormat/>
    <w:rsid w:val="00351A75"/>
    <w:pPr>
      <w:keepNext/>
      <w:keepLines/>
      <w:spacing w:line="288" w:lineRule="auto"/>
      <w:outlineLvl w:val="3"/>
    </w:pPr>
    <w:rPr>
      <w:rFonts w:ascii="Arial" w:eastAsia="MS Gothic" w:hAnsi="Arial"/>
      <w:b/>
      <w:bCs/>
      <w:iCs/>
      <w:color w:val="BD1B21"/>
      <w:szCs w:val="24"/>
      <w:lang w:val="en-GB" w:eastAsia="cs-CZ"/>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57214"/>
    <w:rPr>
      <w:rFonts w:ascii="Arial" w:eastAsia="MS Gothic" w:hAnsi="Arial"/>
      <w:b/>
      <w:bCs/>
      <w:color w:val="009BB4"/>
      <w:sz w:val="32"/>
      <w:szCs w:val="28"/>
      <w:lang w:val="en-GB" w:eastAsia="cs-CZ"/>
    </w:rPr>
  </w:style>
  <w:style w:type="character" w:customStyle="1" w:styleId="Nadpis2Char">
    <w:name w:val="Nadpis 2 Char"/>
    <w:link w:val="Nadpis2"/>
    <w:rsid w:val="00457214"/>
    <w:rPr>
      <w:rFonts w:ascii="Arial" w:eastAsia="MS Gothic" w:hAnsi="Arial"/>
      <w:b/>
      <w:bCs/>
      <w:color w:val="009BB4"/>
      <w:sz w:val="28"/>
      <w:szCs w:val="26"/>
      <w:lang w:val="en-GB" w:eastAsia="cs-CZ"/>
    </w:rPr>
  </w:style>
  <w:style w:type="character" w:customStyle="1" w:styleId="Nadpis3Char">
    <w:name w:val="Nadpis 3 Char"/>
    <w:link w:val="Nadpis3"/>
    <w:rsid w:val="00457214"/>
    <w:rPr>
      <w:rFonts w:ascii="Arial" w:eastAsia="MS Gothic" w:hAnsi="Arial"/>
      <w:b/>
      <w:bCs/>
      <w:color w:val="009BB4"/>
      <w:sz w:val="24"/>
      <w:szCs w:val="24"/>
      <w:lang w:val="en-GB" w:eastAsia="cs-CZ"/>
    </w:rPr>
  </w:style>
  <w:style w:type="character" w:customStyle="1" w:styleId="Nadpis4Char">
    <w:name w:val="Nadpis 4 Char"/>
    <w:link w:val="Nadpis4"/>
    <w:uiPriority w:val="9"/>
    <w:rsid w:val="00351A75"/>
    <w:rPr>
      <w:rFonts w:ascii="Arial" w:eastAsia="MS Gothic" w:hAnsi="Arial"/>
      <w:b/>
      <w:bCs/>
      <w:iCs/>
      <w:color w:val="BD1B21"/>
      <w:szCs w:val="24"/>
      <w:lang w:val="en-GB"/>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351A75"/>
    <w:pPr>
      <w:spacing w:line="288" w:lineRule="auto"/>
    </w:pPr>
    <w:rPr>
      <w:rFonts w:ascii="Arial" w:hAnsi="Arial"/>
      <w:sz w:val="16"/>
      <w:szCs w:val="22"/>
      <w:lang w:val="en-GB"/>
    </w:rPr>
  </w:style>
  <w:style w:type="character" w:customStyle="1" w:styleId="ZhlavChar">
    <w:name w:val="Záhlaví Char"/>
    <w:link w:val="Zhlav"/>
    <w:uiPriority w:val="99"/>
    <w:rsid w:val="00351A75"/>
    <w:rPr>
      <w:rFonts w:ascii="Arial" w:hAnsi="Arial"/>
      <w:sz w:val="16"/>
      <w:szCs w:val="22"/>
      <w:lang w:val="en-GB" w:eastAsia="en-US"/>
    </w:rPr>
  </w:style>
  <w:style w:type="paragraph" w:styleId="Zpat">
    <w:name w:val="footer"/>
    <w:link w:val="ZpatChar"/>
    <w:unhideWhenUsed/>
    <w:qFormat/>
    <w:rsid w:val="00FE30D1"/>
    <w:pPr>
      <w:tabs>
        <w:tab w:val="center" w:pos="4820"/>
        <w:tab w:val="right" w:pos="9639"/>
      </w:tabs>
    </w:pPr>
    <w:rPr>
      <w:rFonts w:ascii="Arial" w:hAnsi="Arial" w:cs="Arial"/>
      <w:sz w:val="16"/>
      <w:lang w:val="en-GB"/>
    </w:rPr>
  </w:style>
  <w:style w:type="character" w:customStyle="1" w:styleId="ZpatChar">
    <w:name w:val="Zápatí Char"/>
    <w:link w:val="Zpat"/>
    <w:uiPriority w:val="99"/>
    <w:rsid w:val="00FE30D1"/>
    <w:rPr>
      <w:rFonts w:ascii="Arial" w:hAnsi="Arial" w:cs="Arial"/>
      <w:sz w:val="16"/>
      <w:lang w:val="en-GB"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351A75"/>
    <w:pPr>
      <w:spacing w:after="200" w:line="288" w:lineRule="auto"/>
    </w:pPr>
    <w:rPr>
      <w:rFonts w:ascii="Arial" w:eastAsia="Times New Roman" w:hAnsi="Arial"/>
      <w:sz w:val="24"/>
      <w:szCs w:val="24"/>
      <w:lang w:val="en-GB" w:eastAsia="cs-CZ"/>
    </w:rPr>
  </w:style>
  <w:style w:type="paragraph" w:customStyle="1" w:styleId="Obsah">
    <w:name w:val="Obsah"/>
    <w:next w:val="Normln"/>
    <w:qFormat/>
    <w:rsid w:val="00351A75"/>
    <w:pPr>
      <w:spacing w:after="80" w:line="288" w:lineRule="auto"/>
    </w:pPr>
    <w:rPr>
      <w:rFonts w:ascii="Arial" w:eastAsia="Times New Roman" w:hAnsi="Arial"/>
      <w:b/>
      <w:color w:val="0071BC"/>
      <w:sz w:val="32"/>
      <w:szCs w:val="24"/>
      <w:lang w:val="en-GB" w:eastAsia="cs-CZ"/>
    </w:rPr>
  </w:style>
  <w:style w:type="paragraph" w:customStyle="1" w:styleId="Obsahpoloky">
    <w:name w:val="Obsah položky"/>
    <w:qFormat/>
    <w:rsid w:val="00351A75"/>
    <w:pPr>
      <w:tabs>
        <w:tab w:val="right" w:leader="dot" w:pos="9639"/>
      </w:tabs>
      <w:spacing w:line="288" w:lineRule="auto"/>
    </w:pPr>
    <w:rPr>
      <w:rFonts w:ascii="Arial" w:eastAsia="Times New Roman" w:hAnsi="Arial"/>
      <w:szCs w:val="24"/>
      <w:lang w:val="en-GB" w:eastAsia="cs-CZ"/>
    </w:rPr>
  </w:style>
  <w:style w:type="paragraph" w:customStyle="1" w:styleId="Box1">
    <w:name w:val="Box 1"/>
    <w:next w:val="Normln"/>
    <w:qFormat/>
    <w:rsid w:val="00351A75"/>
    <w:pPr>
      <w:shd w:val="clear" w:color="auto" w:fill="D9EAF5"/>
      <w:spacing w:before="240" w:after="240" w:line="288" w:lineRule="auto"/>
      <w:ind w:left="709"/>
      <w:contextualSpacing/>
    </w:pPr>
    <w:rPr>
      <w:rFonts w:ascii="Arial" w:hAnsi="Arial" w:cs="Arial"/>
      <w:lang w:val="en-GB" w:eastAsia="cs-CZ"/>
    </w:rPr>
  </w:style>
  <w:style w:type="paragraph" w:customStyle="1" w:styleId="Box2">
    <w:name w:val="Box 2"/>
    <w:qFormat/>
    <w:rsid w:val="00351A75"/>
    <w:pPr>
      <w:spacing w:before="240" w:after="240" w:line="288" w:lineRule="auto"/>
      <w:ind w:left="709"/>
      <w:contextualSpacing/>
    </w:pPr>
    <w:rPr>
      <w:rFonts w:ascii="Arial" w:hAnsi="Arial" w:cs="Arial"/>
      <w:color w:val="0071BC"/>
      <w:lang w:val="en-GB" w:eastAsia="cs-CZ"/>
    </w:rPr>
  </w:style>
  <w:style w:type="paragraph" w:styleId="Seznam">
    <w:name w:val="List"/>
    <w:basedOn w:val="Normln"/>
    <w:uiPriority w:val="99"/>
    <w:unhideWhenUsed/>
    <w:qFormat/>
    <w:rsid w:val="00351A75"/>
    <w:pPr>
      <w:contextualSpacing/>
    </w:pPr>
  </w:style>
  <w:style w:type="character" w:styleId="Siln">
    <w:name w:val="Strong"/>
    <w:aliases w:val="Tučné"/>
    <w:uiPriority w:val="22"/>
    <w:qFormat/>
    <w:rsid w:val="00351A75"/>
    <w:rPr>
      <w:rFonts w:ascii="Arial" w:hAnsi="Arial"/>
      <w:b/>
      <w:bCs/>
      <w:sz w:val="20"/>
      <w:lang w:val="en-GB"/>
    </w:rPr>
  </w:style>
  <w:style w:type="paragraph" w:customStyle="1" w:styleId="TLKontaktyerven">
    <w:name w:val="TL Kontakty červené"/>
    <w:basedOn w:val="Normln"/>
    <w:qFormat/>
    <w:rsid w:val="00104C4C"/>
    <w:pPr>
      <w:spacing w:after="40"/>
      <w:contextualSpacing/>
    </w:pPr>
    <w:rPr>
      <w:b/>
      <w:caps/>
      <w:color w:val="BD1B21"/>
      <w:sz w:val="24"/>
    </w:rPr>
  </w:style>
  <w:style w:type="paragraph" w:customStyle="1" w:styleId="TLKontakty">
    <w:name w:val="TL Kontakty"/>
    <w:qFormat/>
    <w:rsid w:val="00351A75"/>
    <w:pPr>
      <w:spacing w:after="160" w:line="259" w:lineRule="auto"/>
      <w:contextualSpacing/>
    </w:pPr>
    <w:rPr>
      <w:rFonts w:ascii="Arial" w:eastAsia="Times New Roman" w:hAnsi="Arial"/>
      <w:b/>
      <w:color w:val="0071BC"/>
      <w:lang w:val="en-GB" w:eastAsia="cs-CZ"/>
    </w:rPr>
  </w:style>
  <w:style w:type="paragraph" w:styleId="Nzev">
    <w:name w:val="Title"/>
    <w:link w:val="NzevChar"/>
    <w:uiPriority w:val="10"/>
    <w:qFormat/>
    <w:rsid w:val="00351A75"/>
    <w:pPr>
      <w:spacing w:line="288" w:lineRule="auto"/>
    </w:pPr>
    <w:rPr>
      <w:rFonts w:ascii="Arial" w:eastAsia="Times New Roman" w:hAnsi="Arial"/>
      <w:b/>
      <w:bCs/>
      <w:caps/>
      <w:kern w:val="28"/>
      <w:sz w:val="56"/>
      <w:szCs w:val="32"/>
      <w:lang w:val="en-GB" w:eastAsia="cs-CZ"/>
    </w:rPr>
  </w:style>
  <w:style w:type="character" w:customStyle="1" w:styleId="NzevChar">
    <w:name w:val="Název Char"/>
    <w:link w:val="Nzev"/>
    <w:uiPriority w:val="10"/>
    <w:rsid w:val="00351A75"/>
    <w:rPr>
      <w:rFonts w:ascii="Arial" w:eastAsia="Times New Roman" w:hAnsi="Arial"/>
      <w:b/>
      <w:bCs/>
      <w:caps/>
      <w:kern w:val="28"/>
      <w:sz w:val="56"/>
      <w:szCs w:val="32"/>
      <w:lang w:val="en-GB"/>
    </w:rPr>
  </w:style>
  <w:style w:type="paragraph" w:styleId="Podnadpis">
    <w:name w:val="Subtitle"/>
    <w:link w:val="PodnadpisChar"/>
    <w:uiPriority w:val="11"/>
    <w:qFormat/>
    <w:rsid w:val="00351A75"/>
    <w:pPr>
      <w:spacing w:line="288" w:lineRule="auto"/>
    </w:pPr>
    <w:rPr>
      <w:rFonts w:ascii="Arial" w:eastAsia="Times New Roman" w:hAnsi="Arial" w:cs="Arial"/>
      <w:b/>
      <w:sz w:val="28"/>
      <w:szCs w:val="24"/>
      <w:lang w:val="en-GB" w:eastAsia="cs-CZ"/>
    </w:rPr>
  </w:style>
  <w:style w:type="character" w:customStyle="1" w:styleId="PodnadpisChar">
    <w:name w:val="Podnadpis Char"/>
    <w:link w:val="Podnadpis"/>
    <w:uiPriority w:val="11"/>
    <w:rsid w:val="00351A75"/>
    <w:rPr>
      <w:rFonts w:ascii="Arial" w:eastAsia="Times New Roman" w:hAnsi="Arial" w:cs="Arial"/>
      <w:b/>
      <w:sz w:val="28"/>
      <w:szCs w:val="24"/>
      <w:lang w:val="en-GB"/>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Zkladntext">
    <w:name w:val="Body Text"/>
    <w:basedOn w:val="Normln"/>
    <w:link w:val="ZkladntextChar"/>
    <w:semiHidden/>
    <w:rsid w:val="00457214"/>
    <w:pPr>
      <w:spacing w:before="240" w:after="0" w:line="240" w:lineRule="auto"/>
      <w:jc w:val="both"/>
    </w:pPr>
    <w:rPr>
      <w:sz w:val="15"/>
      <w:lang w:val="cs-CZ"/>
    </w:rPr>
  </w:style>
  <w:style w:type="character" w:customStyle="1" w:styleId="ZkladntextChar">
    <w:name w:val="Základní text Char"/>
    <w:basedOn w:val="Standardnpsmoodstavce"/>
    <w:link w:val="Zkladntext"/>
    <w:semiHidden/>
    <w:rsid w:val="00457214"/>
    <w:rPr>
      <w:rFonts w:ascii="Arial" w:eastAsia="Times New Roman" w:hAnsi="Arial"/>
      <w:sz w:val="15"/>
      <w:szCs w:val="24"/>
      <w:lang w:eastAsia="cs-CZ"/>
    </w:rPr>
  </w:style>
  <w:style w:type="paragraph" w:styleId="Textpoznpodarou">
    <w:name w:val="footnote text"/>
    <w:basedOn w:val="Normln"/>
    <w:link w:val="TextpoznpodarouChar"/>
    <w:uiPriority w:val="99"/>
    <w:unhideWhenUsed/>
    <w:rsid w:val="00457214"/>
    <w:pPr>
      <w:spacing w:after="0" w:line="240" w:lineRule="auto"/>
    </w:pPr>
    <w:rPr>
      <w:rFonts w:ascii="Times New Roman" w:hAnsi="Times New Roman"/>
      <w:szCs w:val="20"/>
      <w:lang w:val="cs-CZ"/>
    </w:rPr>
  </w:style>
  <w:style w:type="character" w:customStyle="1" w:styleId="TextpoznpodarouChar">
    <w:name w:val="Text pozn. pod čarou Char"/>
    <w:basedOn w:val="Standardnpsmoodstavce"/>
    <w:link w:val="Textpoznpodarou"/>
    <w:uiPriority w:val="99"/>
    <w:rsid w:val="00457214"/>
    <w:rPr>
      <w:rFonts w:ascii="Times New Roman" w:eastAsia="Times New Roman" w:hAnsi="Times New Roman"/>
      <w:lang w:eastAsia="cs-CZ"/>
    </w:rPr>
  </w:style>
  <w:style w:type="character" w:styleId="Znakapoznpodarou">
    <w:name w:val="footnote reference"/>
    <w:uiPriority w:val="99"/>
    <w:semiHidden/>
    <w:unhideWhenUsed/>
    <w:rsid w:val="00457214"/>
    <w:rPr>
      <w:vertAlign w:val="superscript"/>
    </w:rPr>
  </w:style>
  <w:style w:type="paragraph" w:styleId="Titulek">
    <w:name w:val="caption"/>
    <w:basedOn w:val="Normln"/>
    <w:next w:val="Normln"/>
    <w:uiPriority w:val="35"/>
    <w:unhideWhenUsed/>
    <w:qFormat/>
    <w:rsid w:val="00457214"/>
    <w:pPr>
      <w:spacing w:after="200" w:line="240" w:lineRule="auto"/>
    </w:pPr>
    <w:rPr>
      <w:b/>
      <w:bCs/>
      <w:color w:val="4F81BD" w:themeColor="accent1"/>
      <w:sz w:val="18"/>
      <w:szCs w:val="1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 Type="http://schemas.openxmlformats.org/officeDocument/2006/relationships/styles" Target="styles.xml"/><Relationship Id="rId21" Type="http://schemas.openxmlformats.org/officeDocument/2006/relationships/chart" Target="charts/chart1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www.czso.cz/csu/czso/expenditures-and-consumption-of-households-included-in-the-household-budget-survey-2016" TargetMode="External"/><Relationship Id="rId1" Type="http://schemas.openxmlformats.org/officeDocument/2006/relationships/hyperlink" Target="http://apl.czso.cz/pll/rocenka/rocenkavyber.spotr_dom?mylang=E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TRBA~1\AppData\Local\Temp\Publikace%20bar%20EN_2017-08-14-1.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ABFS2\DATA\DATA\ZPRAC\TECHNOL\oddeleni_6302\2_Informa&#269;n&#237;%20spole&#269;nost\IS%20v%20&#269;&#237;slech\IS_2018\grafy\IS2018_Grafy_Shrnut&#237;_B.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oleObject" Target="file:///\\ABFS2\DATA\DATA\ZPRAC\TECHNOL\oddeleni_6302\2_Informa&#269;n&#237;%20spole&#269;nost\IS%20v%20&#269;&#237;slech\IS_2018\grafy\IS2018_Grafy_Shrnut&#237;_B.xlsx" TargetMode="External"/></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oleObject" Target="file:///\\ABFS2\DATA\DATA\ZPRAC\TECHNOL\oddeleni_6302\2_Informa&#269;n&#237;%20spole&#269;nost\IS%20v%20&#269;&#237;slech\IS_2018\grafy\IS2018_Grafy_Shrnut&#237;_B.xlsx" TargetMode="External"/></Relationships>
</file>

<file path=word/charts/_rels/chart12.xml.rels><?xml version="1.0" encoding="UTF-8" standalone="yes"?>
<Relationships xmlns="http://schemas.openxmlformats.org/package/2006/relationships"><Relationship Id="rId2" Type="http://schemas.openxmlformats.org/officeDocument/2006/relationships/chartUserShapes" Target="../drawings/drawing12.xml"/><Relationship Id="rId1" Type="http://schemas.openxmlformats.org/officeDocument/2006/relationships/oleObject" Target="file:///\\ABFS2\DATA\DATA\ZPRAC\TECHNOL\oddeleni_6302\2_Informa&#269;n&#237;%20spole&#269;nost\IS%20v%20&#269;&#237;slech\IS_2018\grafy\IS2018_Grafy_Shrnut&#237;_B.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oleObject" Target="file:///\\ABFS2\DATA\DATA\ZPRAC\TECHNOL\oddeleni_6302\2_Informa&#269;n&#237;%20spole&#269;nost\IS%20v%20&#269;&#237;slech\IS_2018\grafy\IS2018_Grafy_Shrnut&#237;_B.xlsx"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oleObject" Target="file:///\\ABFS2\DATA\DATA\ZPRAC\TECHNOL\oddeleni_6302\2_Informa&#269;n&#237;%20spole&#269;nost\IS%20v%20&#269;&#237;slech\IS_2018\grafy\IS2018_Grafy_Shrnut&#237;_B.xlsx" TargetMode="External"/></Relationships>
</file>

<file path=word/charts/_rels/chart15.xml.rels><?xml version="1.0" encoding="UTF-8" standalone="yes"?>
<Relationships xmlns="http://schemas.openxmlformats.org/package/2006/relationships"><Relationship Id="rId2" Type="http://schemas.openxmlformats.org/officeDocument/2006/relationships/chartUserShapes" Target="../drawings/drawing15.xml"/><Relationship Id="rId1" Type="http://schemas.openxmlformats.org/officeDocument/2006/relationships/oleObject" Target="file:///\\ABFS2\DATA\DATA\ZPRAC\TECHNOL\oddeleni_6302\2_Informa&#269;n&#237;%20spole&#269;nost\IS%20v%20&#269;&#237;slech\IS_2018\grafy\IS2018_Grafy_Shrnut&#237;_B.xlsx" TargetMode="External"/></Relationships>
</file>

<file path=word/charts/_rels/chart16.xml.rels><?xml version="1.0" encoding="UTF-8" standalone="yes"?>
<Relationships xmlns="http://schemas.openxmlformats.org/package/2006/relationships"><Relationship Id="rId2" Type="http://schemas.openxmlformats.org/officeDocument/2006/relationships/chartUserShapes" Target="../drawings/drawing16.xml"/><Relationship Id="rId1" Type="http://schemas.openxmlformats.org/officeDocument/2006/relationships/oleObject" Target="file:///\\ABFS2\DATA\DATA\ZPRAC\TECHNOL\oddeleni_6302\2_Informa&#269;n&#237;%20spole&#269;nost\IS%20v%20&#269;&#237;slech\IS_2018\grafy\IS2018_Grafy_Shrnut&#237;_B.xlsx" TargetMode="External"/></Relationships>
</file>

<file path=word/charts/_rels/chart17.xml.rels><?xml version="1.0" encoding="UTF-8" standalone="yes"?>
<Relationships xmlns="http://schemas.openxmlformats.org/package/2006/relationships"><Relationship Id="rId2" Type="http://schemas.openxmlformats.org/officeDocument/2006/relationships/chartUserShapes" Target="../drawings/drawing17.xml"/><Relationship Id="rId1" Type="http://schemas.openxmlformats.org/officeDocument/2006/relationships/oleObject" Target="file:///\\ABFS2\DATA\DATA\ZPRAC\TECHNOL\oddeleni_6302\2_Informa&#269;n&#237;%20spole&#269;nost\IS%20v%20&#269;&#237;slech\IS_2018\Rozvoj%20IS%20v%20&#268;R%20a%20zem&#237;ch%20EU\grafy\IS2018_Grafy_Shrnut&#237;_B.xlsx" TargetMode="External"/></Relationships>
</file>

<file path=word/charts/_rels/chart18.xml.rels><?xml version="1.0" encoding="UTF-8" standalone="yes"?>
<Relationships xmlns="http://schemas.openxmlformats.org/package/2006/relationships"><Relationship Id="rId2" Type="http://schemas.openxmlformats.org/officeDocument/2006/relationships/chartUserShapes" Target="../drawings/drawing18.xml"/><Relationship Id="rId1" Type="http://schemas.openxmlformats.org/officeDocument/2006/relationships/oleObject" Target="file:///\\ABFS2\DATA\DATA\ZPRAC\TECHNOL\oddeleni_6302\2_Informa&#269;n&#237;%20spole&#269;nost\IS%20v%20&#269;&#237;slech\IS_2018\grafy\IS2018_Grafy_Shrnut&#237;_B.xlsx" TargetMode="External"/></Relationships>
</file>

<file path=word/charts/_rels/chart19.xml.rels><?xml version="1.0" encoding="UTF-8" standalone="yes"?>
<Relationships xmlns="http://schemas.openxmlformats.org/package/2006/relationships"><Relationship Id="rId2" Type="http://schemas.openxmlformats.org/officeDocument/2006/relationships/chartUserShapes" Target="../drawings/drawing19.xml"/><Relationship Id="rId1" Type="http://schemas.openxmlformats.org/officeDocument/2006/relationships/oleObject" Target="file:///\\ABFS2\DATA\DATA\ZPRAC\TECHNOL\oddeleni_6302\2_Informa&#269;n&#237;%20spole&#269;nost\IS%20v%20&#269;&#237;slech\IS_2018\grafy\IS2018_Grafy_Shrnut&#237;_B.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ABFS2\DATA\DATA\ZPRAC\TECHNOL\oddeleni_6302\2_Informa&#269;n&#237;%20spole&#269;nost\IS%20v%20&#269;&#237;slech\IS_2018\grafy\IS2018_Grafy_Shrnut&#237;_B.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ABFS2\DATA\DATA\ZPRAC\TECHNOL\oddeleni_6302\2_Informa&#269;n&#237;%20spole&#269;nost\IS%20v%20&#269;&#237;slech\IS_2018\grafy\IS2018_Grafy_Shrnut&#237;_B.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ABFS2\DATA\DATA\ZPRAC\TECHNOL\oddeleni_6302\2_Informa&#269;n&#237;%20spole&#269;nost\IS%20v%20&#269;&#237;slech\IS_2018\grafy\IS2018_Grafy_Shrnut&#237;_B.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ABFS2\DATA\DATA\ZPRAC\TECHNOL\oddeleni_6302\2_Informa&#269;n&#237;%20spole&#269;nost\IS%20v%20&#269;&#237;slech\IS_2018\grafy\IS2018_Grafy_Shrnut&#237;_B.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ABFS2\DATA\DATA\ZPRAC\TECHNOL\oddeleni_6302\2_Informa&#269;n&#237;%20spole&#269;nost\IS%20v%20&#269;&#237;slech\IS_2018\grafy\IS2018_Grafy_Shrnut&#237;_B.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ABFS2\DATA\DATA\ZPRAC\TECHNOL\oddeleni_6302\2_Informa&#269;n&#237;%20spole&#269;nost\IS%20v%20&#269;&#237;slech\IS_2018\grafy\IS2018_Grafy_Shrnut&#237;_B.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ABFS2\DATA\DATA\ZPRAC\TECHNOL\oddeleni_6302\2_Informa&#269;n&#237;%20spole&#269;nost\IS%20v%20&#269;&#237;slech\IS_2018\grafy\IS2018_Grafy_Shrnut&#237;_B.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ABFS2\DATA\DATA\ZPRAC\TECHNOL\oddeleni_6302\2_Informa&#269;n&#237;%20spole&#269;nost\IS%20v%20&#269;&#237;slech\IS_2018\Rozvoj%20IS%20v%20&#268;R%20a%20zem&#237;ch%20EU\grafy\IS2018_Grafy_Shrnut&#237;_B.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B1</a:t>
            </a:r>
            <a:r>
              <a:rPr lang="cs-CZ" sz="800" b="1" baseline="0"/>
              <a:t> </a:t>
            </a:r>
            <a:r>
              <a:rPr lang="cs-CZ" sz="800" b="1"/>
              <a:t>Share of households in the Czech Republic with a fixed telephone </a:t>
            </a:r>
            <a:r>
              <a:rPr lang="cs-CZ" sz="800" b="1" baseline="0"/>
              <a:t>(%)</a:t>
            </a:r>
            <a:endParaRPr lang="cs-CZ" sz="800" b="1"/>
          </a:p>
        </c:rich>
      </c:tx>
      <c:layout/>
      <c:overlay val="1"/>
    </c:title>
    <c:autoTitleDeleted val="0"/>
    <c:plotArea>
      <c:layout>
        <c:manualLayout>
          <c:layoutTarget val="inner"/>
          <c:xMode val="edge"/>
          <c:yMode val="edge"/>
          <c:x val="7.5799305555555599E-2"/>
          <c:y val="0.137680769230769"/>
          <c:w val="0.89459319234531598"/>
          <c:h val="0.66168846153846195"/>
        </c:manualLayout>
      </c:layout>
      <c:lineChart>
        <c:grouping val="standard"/>
        <c:varyColors val="0"/>
        <c:ser>
          <c:idx val="0"/>
          <c:order val="0"/>
          <c:tx>
            <c:strRef>
              <c:f>B_ENG!$A$4</c:f>
              <c:strCache>
                <c:ptCount val="1"/>
                <c:pt idx="0">
                  <c:v> Households total</c:v>
                </c:pt>
              </c:strCache>
            </c:strRef>
          </c:tx>
          <c:spPr>
            <a:ln w="31750">
              <a:solidFill>
                <a:srgbClr val="47E5FF"/>
              </a:solidFill>
            </a:ln>
          </c:spPr>
          <c:marker>
            <c:symbol val="none"/>
          </c:marker>
          <c:cat>
            <c:numRef>
              <c:f>B_ENG!$B$3:$AB$3</c:f>
              <c:numCache>
                <c:formatCode>General</c:formatCode>
                <c:ptCount val="27"/>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numCache>
            </c:numRef>
          </c:cat>
          <c:val>
            <c:numRef>
              <c:f>B_ENG!$B$4:$AB$4</c:f>
              <c:numCache>
                <c:formatCode>0%</c:formatCode>
                <c:ptCount val="27"/>
                <c:pt idx="0">
                  <c:v>0.372</c:v>
                </c:pt>
                <c:pt idx="1">
                  <c:v>0.372</c:v>
                </c:pt>
                <c:pt idx="2">
                  <c:v>0.39861600000000003</c:v>
                </c:pt>
                <c:pt idx="3">
                  <c:v>0.40899999999999997</c:v>
                </c:pt>
                <c:pt idx="4">
                  <c:v>0.40899999999999997</c:v>
                </c:pt>
                <c:pt idx="5">
                  <c:v>0.442</c:v>
                </c:pt>
                <c:pt idx="6">
                  <c:v>0.50900000000000001</c:v>
                </c:pt>
                <c:pt idx="7">
                  <c:v>0.58799999999999997</c:v>
                </c:pt>
                <c:pt idx="8">
                  <c:v>0.69599999999999995</c:v>
                </c:pt>
                <c:pt idx="9">
                  <c:v>0.76900000000000002</c:v>
                </c:pt>
                <c:pt idx="10">
                  <c:v>0.76300000000000001</c:v>
                </c:pt>
                <c:pt idx="11">
                  <c:v>0.76</c:v>
                </c:pt>
                <c:pt idx="12">
                  <c:v>0.73799999999999999</c:v>
                </c:pt>
                <c:pt idx="13">
                  <c:v>0.72399999999999998</c:v>
                </c:pt>
                <c:pt idx="14">
                  <c:v>0.65500000000000003</c:v>
                </c:pt>
                <c:pt idx="15">
                  <c:v>0.55200000000000005</c:v>
                </c:pt>
                <c:pt idx="16">
                  <c:v>0.44</c:v>
                </c:pt>
                <c:pt idx="17">
                  <c:v>0.34799999999999998</c:v>
                </c:pt>
                <c:pt idx="18">
                  <c:v>0.311</c:v>
                </c:pt>
                <c:pt idx="19">
                  <c:v>0.27600000000000002</c:v>
                </c:pt>
                <c:pt idx="20">
                  <c:v>0.24199999999999999</c:v>
                </c:pt>
                <c:pt idx="21">
                  <c:v>0.23400000000000001</c:v>
                </c:pt>
                <c:pt idx="22">
                  <c:v>0.218</c:v>
                </c:pt>
                <c:pt idx="23">
                  <c:v>0.2</c:v>
                </c:pt>
                <c:pt idx="24">
                  <c:v>0.17</c:v>
                </c:pt>
                <c:pt idx="25">
                  <c:v>0.156</c:v>
                </c:pt>
                <c:pt idx="26">
                  <c:v>0.13589999999999999</c:v>
                </c:pt>
              </c:numCache>
            </c:numRef>
          </c:val>
          <c:smooth val="0"/>
          <c:extLst>
            <c:ext xmlns:c16="http://schemas.microsoft.com/office/drawing/2014/chart" uri="{C3380CC4-5D6E-409C-BE32-E72D297353CC}">
              <c16:uniqueId val="{00000000-B667-428F-9932-A97FDEEF44D8}"/>
            </c:ext>
          </c:extLst>
        </c:ser>
        <c:ser>
          <c:idx val="1"/>
          <c:order val="1"/>
          <c:tx>
            <c:strRef>
              <c:f>B_ENG!$A$5</c:f>
              <c:strCache>
                <c:ptCount val="1"/>
                <c:pt idx="0">
                  <c:v> Households of pensioners</c:v>
                </c:pt>
              </c:strCache>
            </c:strRef>
          </c:tx>
          <c:spPr>
            <a:ln w="22225">
              <a:solidFill>
                <a:srgbClr val="009BB4"/>
              </a:solidFill>
              <a:prstDash val="sysDash"/>
            </a:ln>
          </c:spPr>
          <c:marker>
            <c:symbol val="none"/>
          </c:marker>
          <c:cat>
            <c:numRef>
              <c:f>B_ENG!$B$3:$AB$3</c:f>
              <c:numCache>
                <c:formatCode>General</c:formatCode>
                <c:ptCount val="27"/>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pt idx="23">
                  <c:v>2013</c:v>
                </c:pt>
                <c:pt idx="24">
                  <c:v>2014</c:v>
                </c:pt>
                <c:pt idx="25">
                  <c:v>2015</c:v>
                </c:pt>
                <c:pt idx="26">
                  <c:v>2016</c:v>
                </c:pt>
              </c:numCache>
            </c:numRef>
          </c:cat>
          <c:val>
            <c:numRef>
              <c:f>B_ENG!$B$5:$AB$5</c:f>
              <c:numCache>
                <c:formatCode>0%</c:formatCode>
                <c:ptCount val="27"/>
                <c:pt idx="0">
                  <c:v>0.31617800000000001</c:v>
                </c:pt>
                <c:pt idx="1">
                  <c:v>0.36382900000000001</c:v>
                </c:pt>
                <c:pt idx="2">
                  <c:v>0.39954600000000001</c:v>
                </c:pt>
                <c:pt idx="3">
                  <c:v>0.40120600000000001</c:v>
                </c:pt>
                <c:pt idx="4">
                  <c:v>0.43617899999999998</c:v>
                </c:pt>
                <c:pt idx="5">
                  <c:v>0.47619800000000001</c:v>
                </c:pt>
                <c:pt idx="6">
                  <c:v>0.53735200000000005</c:v>
                </c:pt>
                <c:pt idx="7">
                  <c:v>0.59450599999999998</c:v>
                </c:pt>
                <c:pt idx="8">
                  <c:v>0.66459000000000001</c:v>
                </c:pt>
                <c:pt idx="9">
                  <c:v>0.72247300000000003</c:v>
                </c:pt>
                <c:pt idx="10">
                  <c:v>0.72401099999999996</c:v>
                </c:pt>
                <c:pt idx="11">
                  <c:v>0.73207599999999995</c:v>
                </c:pt>
                <c:pt idx="12">
                  <c:v>0.72324699999999997</c:v>
                </c:pt>
                <c:pt idx="13">
                  <c:v>0.72278399999999998</c:v>
                </c:pt>
                <c:pt idx="14">
                  <c:v>0.68507799999999996</c:v>
                </c:pt>
                <c:pt idx="15">
                  <c:v>0.65234999999999999</c:v>
                </c:pt>
                <c:pt idx="16">
                  <c:v>0.54100000000000004</c:v>
                </c:pt>
                <c:pt idx="17">
                  <c:v>0.44500000000000001</c:v>
                </c:pt>
                <c:pt idx="18">
                  <c:v>0.41299999999999998</c:v>
                </c:pt>
                <c:pt idx="19">
                  <c:v>0.372</c:v>
                </c:pt>
                <c:pt idx="20">
                  <c:v>0.34</c:v>
                </c:pt>
                <c:pt idx="21">
                  <c:v>0.33300000000000002</c:v>
                </c:pt>
                <c:pt idx="22">
                  <c:v>0.30599999999999999</c:v>
                </c:pt>
                <c:pt idx="23">
                  <c:v>0.27400000000000002</c:v>
                </c:pt>
                <c:pt idx="24">
                  <c:v>0.23</c:v>
                </c:pt>
                <c:pt idx="25">
                  <c:v>0.224</c:v>
                </c:pt>
                <c:pt idx="26">
                  <c:v>0.19700000000000001</c:v>
                </c:pt>
              </c:numCache>
            </c:numRef>
          </c:val>
          <c:smooth val="0"/>
          <c:extLst>
            <c:ext xmlns:c16="http://schemas.microsoft.com/office/drawing/2014/chart" uri="{C3380CC4-5D6E-409C-BE32-E72D297353CC}">
              <c16:uniqueId val="{00000001-B667-428F-9932-A97FDEEF44D8}"/>
            </c:ext>
          </c:extLst>
        </c:ser>
        <c:dLbls>
          <c:showLegendKey val="0"/>
          <c:showVal val="0"/>
          <c:showCatName val="0"/>
          <c:showSerName val="0"/>
          <c:showPercent val="0"/>
          <c:showBubbleSize val="0"/>
        </c:dLbls>
        <c:smooth val="0"/>
        <c:axId val="161765376"/>
        <c:axId val="161377088"/>
      </c:lineChart>
      <c:catAx>
        <c:axId val="1617653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161377088"/>
        <c:crosses val="autoZero"/>
        <c:auto val="1"/>
        <c:lblAlgn val="ctr"/>
        <c:lblOffset val="50"/>
        <c:tickLblSkip val="2"/>
        <c:noMultiLvlLbl val="0"/>
      </c:catAx>
      <c:valAx>
        <c:axId val="161377088"/>
        <c:scaling>
          <c:orientation val="minMax"/>
          <c:max val="1"/>
          <c:min val="0"/>
        </c:scaling>
        <c:delete val="0"/>
        <c:axPos val="l"/>
        <c:majorGridlines>
          <c:spPr>
            <a:ln w="12700">
              <a:solidFill>
                <a:srgbClr val="A6A6A6"/>
              </a:solidFill>
            </a:ln>
          </c:spPr>
        </c:majorGridlines>
        <c:numFmt formatCode="0%" sourceLinked="1"/>
        <c:majorTickMark val="out"/>
        <c:minorTickMark val="none"/>
        <c:tickLblPos val="nextTo"/>
        <c:spPr>
          <a:ln w="9525">
            <a:noFill/>
          </a:ln>
        </c:spPr>
        <c:crossAx val="161765376"/>
        <c:crosses val="autoZero"/>
        <c:crossBetween val="midCat"/>
        <c:majorUnit val="0.1"/>
        <c:minorUnit val="0.01"/>
      </c:valAx>
      <c:spPr>
        <a:noFill/>
        <a:ln w="12700">
          <a:solidFill>
            <a:srgbClr val="969696"/>
          </a:solidFill>
          <a:prstDash val="solid"/>
        </a:ln>
      </c:spPr>
    </c:plotArea>
    <c:legend>
      <c:legendPos val="t"/>
      <c:legendEntry>
        <c:idx val="0"/>
        <c:txPr>
          <a:bodyPr/>
          <a:lstStyle/>
          <a:p>
            <a:pPr>
              <a:defRPr b="0"/>
            </a:pPr>
            <a:endParaRPr lang="cs-CZ"/>
          </a:p>
        </c:txPr>
      </c:legendEntry>
      <c:legendEntry>
        <c:idx val="1"/>
        <c:txPr>
          <a:bodyPr/>
          <a:lstStyle/>
          <a:p>
            <a:pPr>
              <a:defRPr b="0" i="0"/>
            </a:pPr>
            <a:endParaRPr lang="cs-CZ"/>
          </a:p>
        </c:txPr>
      </c:legendEntry>
      <c:layout>
        <c:manualLayout>
          <c:xMode val="edge"/>
          <c:yMode val="edge"/>
          <c:x val="0.66634854497354501"/>
          <c:y val="0.191435042735043"/>
          <c:w val="0.27904431216931203"/>
          <c:h val="0.12415907768970995"/>
        </c:manualLayout>
      </c:layout>
      <c:overlay val="0"/>
      <c:spPr>
        <a:solidFill>
          <a:schemeClr val="bg1"/>
        </a:solidFill>
        <a:ln>
          <a:solidFill>
            <a:schemeClr val="bg1">
              <a:lumMod val="50000"/>
            </a:schemeClr>
          </a:solidFill>
        </a:ln>
      </c:spPr>
      <c:txPr>
        <a:bodyPr/>
        <a:lstStyle/>
        <a:p>
          <a:pPr>
            <a:defRPr b="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Figure B1</a:t>
            </a:r>
            <a:r>
              <a:rPr lang="cs-CZ" sz="800"/>
              <a:t>0</a:t>
            </a:r>
            <a:r>
              <a:rPr lang="en-US" sz="800"/>
              <a:t> Households in EU</a:t>
            </a:r>
            <a:r>
              <a:rPr lang="cs-CZ" sz="800"/>
              <a:t> countries with access to </a:t>
            </a:r>
            <a:r>
              <a:rPr lang="en-US" sz="800"/>
              <a:t>a computer</a:t>
            </a:r>
            <a:r>
              <a:rPr lang="cs-CZ" sz="800"/>
              <a:t> at home (%)*</a:t>
            </a:r>
            <a:endParaRPr lang="en-US" sz="800"/>
          </a:p>
        </c:rich>
      </c:tx>
      <c:layout/>
      <c:overlay val="0"/>
    </c:title>
    <c:autoTitleDeleted val="0"/>
    <c:plotArea>
      <c:layout>
        <c:manualLayout>
          <c:layoutTarget val="inner"/>
          <c:xMode val="edge"/>
          <c:yMode val="edge"/>
          <c:x val="6.5949831649831703E-2"/>
          <c:y val="0.10228368055555601"/>
          <c:w val="0.90411750841750804"/>
          <c:h val="0.57682129629629597"/>
        </c:manualLayout>
      </c:layout>
      <c:barChart>
        <c:barDir val="col"/>
        <c:grouping val="clustered"/>
        <c:varyColors val="0"/>
        <c:ser>
          <c:idx val="0"/>
          <c:order val="0"/>
          <c:tx>
            <c:strRef>
              <c:f>B_ENG!$B$169</c:f>
              <c:strCache>
                <c:ptCount val="1"/>
                <c:pt idx="0">
                  <c:v> 2017</c:v>
                </c:pt>
              </c:strCache>
            </c:strRef>
          </c:tx>
          <c:spPr>
            <a:solidFill>
              <a:srgbClr val="009BB4"/>
            </a:solidFill>
          </c:spPr>
          <c:invertIfNegative val="0"/>
          <c:dPt>
            <c:idx val="10"/>
            <c:invertIfNegative val="0"/>
            <c:bubble3D val="0"/>
            <c:spPr>
              <a:solidFill>
                <a:srgbClr val="009BB4"/>
              </a:solidFill>
              <a:ln>
                <a:solidFill>
                  <a:srgbClr val="FF0000"/>
                </a:solidFill>
              </a:ln>
            </c:spPr>
            <c:extLst>
              <c:ext xmlns:c16="http://schemas.microsoft.com/office/drawing/2014/chart" uri="{C3380CC4-5D6E-409C-BE32-E72D297353CC}">
                <c16:uniqueId val="{00000001-86F6-4F38-A3CE-1B32B1D0864D}"/>
              </c:ext>
            </c:extLst>
          </c:dPt>
          <c:dPt>
            <c:idx val="14"/>
            <c:invertIfNegative val="0"/>
            <c:bubble3D val="0"/>
            <c:spPr>
              <a:solidFill>
                <a:srgbClr val="009BB4"/>
              </a:solidFill>
              <a:ln>
                <a:solidFill>
                  <a:srgbClr val="FF0000"/>
                </a:solidFill>
              </a:ln>
            </c:spPr>
            <c:extLst>
              <c:ext xmlns:c16="http://schemas.microsoft.com/office/drawing/2014/chart" uri="{C3380CC4-5D6E-409C-BE32-E72D297353CC}">
                <c16:uniqueId val="{00000003-86F6-4F38-A3CE-1B32B1D0864D}"/>
              </c:ext>
            </c:extLst>
          </c:dPt>
          <c:dLbls>
            <c:dLbl>
              <c:idx val="0"/>
              <c:layout>
                <c:manualLayout>
                  <c:x val="0"/>
                  <c:y val="8.237345679012339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86F6-4F38-A3CE-1B32B1D0864D}"/>
                </c:ext>
              </c:extLst>
            </c:dLbl>
            <c:dLbl>
              <c:idx val="1"/>
              <c:layout>
                <c:manualLayout>
                  <c:x val="0"/>
                  <c:y val="9.413271604938269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86F6-4F38-A3CE-1B32B1D0864D}"/>
                </c:ext>
              </c:extLst>
            </c:dLbl>
            <c:dLbl>
              <c:idx val="3"/>
              <c:layout>
                <c:manualLayout>
                  <c:x val="-2.08744247205784E-3"/>
                  <c:y val="7.4533950617284003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86F6-4F38-A3CE-1B32B1D0864D}"/>
                </c:ext>
              </c:extLst>
            </c:dLbl>
            <c:dLbl>
              <c:idx val="4"/>
              <c:layout>
                <c:manualLayout>
                  <c:x val="0"/>
                  <c:y val="8.237345679012339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86F6-4F38-A3CE-1B32B1D0864D}"/>
                </c:ext>
              </c:extLst>
            </c:dLbl>
            <c:dLbl>
              <c:idx val="5"/>
              <c:layout>
                <c:manualLayout>
                  <c:x val="0"/>
                  <c:y val="7.8666289468307504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8-86F6-4F38-A3CE-1B32B1D0864D}"/>
                </c:ext>
              </c:extLst>
            </c:dLbl>
            <c:dLbl>
              <c:idx val="8"/>
              <c:layout>
                <c:manualLayout>
                  <c:x val="3.8269336563752403E-17"/>
                  <c:y val="9.4132716049382698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86F6-4F38-A3CE-1B32B1D0864D}"/>
                </c:ext>
              </c:extLst>
            </c:dLbl>
            <c:dLbl>
              <c:idx val="18"/>
              <c:layout>
                <c:manualLayout>
                  <c:x val="0"/>
                  <c:y val="8.6293209876543195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A-86F6-4F38-A3CE-1B32B1D0864D}"/>
                </c:ext>
              </c:extLst>
            </c:dLbl>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B_ENG!$A$170:$A$198</c:f>
              <c:strCache>
                <c:ptCount val="29"/>
                <c:pt idx="0">
                  <c:v>Netherlands</c:v>
                </c:pt>
                <c:pt idx="1">
                  <c:v>Luxembourg </c:v>
                </c:pt>
                <c:pt idx="2">
                  <c:v>Finland</c:v>
                </c:pt>
                <c:pt idx="3">
                  <c:v>Denmark</c:v>
                </c:pt>
                <c:pt idx="4">
                  <c:v>Germany</c:v>
                </c:pt>
                <c:pt idx="5">
                  <c:v>Sweden</c:v>
                </c:pt>
                <c:pt idx="6">
                  <c:v>United Kingdom</c:v>
                </c:pt>
                <c:pt idx="7">
                  <c:v>Estonia</c:v>
                </c:pt>
                <c:pt idx="8">
                  <c:v>Austria</c:v>
                </c:pt>
                <c:pt idx="9">
                  <c:v>Belgium</c:v>
                </c:pt>
                <c:pt idx="10">
                  <c:v>EU28</c:v>
                </c:pt>
                <c:pt idx="11">
                  <c:v>France</c:v>
                </c:pt>
                <c:pt idx="12">
                  <c:v>Ireland</c:v>
                </c:pt>
                <c:pt idx="13">
                  <c:v>Malta</c:v>
                </c:pt>
                <c:pt idx="14">
                  <c:v>Czech Republic</c:v>
                </c:pt>
                <c:pt idx="15">
                  <c:v>Slovakia</c:v>
                </c:pt>
                <c:pt idx="16">
                  <c:v>Poland</c:v>
                </c:pt>
                <c:pt idx="17">
                  <c:v>Hungary</c:v>
                </c:pt>
                <c:pt idx="18">
                  <c:v>Slovenia</c:v>
                </c:pt>
                <c:pt idx="19">
                  <c:v>Spain</c:v>
                </c:pt>
                <c:pt idx="20">
                  <c:v>Latvia</c:v>
                </c:pt>
                <c:pt idx="21">
                  <c:v>Cyprus</c:v>
                </c:pt>
                <c:pt idx="22">
                  <c:v>Croatia</c:v>
                </c:pt>
                <c:pt idx="23">
                  <c:v>Lithuania</c:v>
                </c:pt>
                <c:pt idx="24">
                  <c:v>Romania</c:v>
                </c:pt>
                <c:pt idx="25">
                  <c:v>Italy</c:v>
                </c:pt>
                <c:pt idx="26">
                  <c:v>Portugal</c:v>
                </c:pt>
                <c:pt idx="27">
                  <c:v>Greece</c:v>
                </c:pt>
                <c:pt idx="28">
                  <c:v>Bulgaria</c:v>
                </c:pt>
              </c:strCache>
            </c:strRef>
          </c:cat>
          <c:val>
            <c:numRef>
              <c:f>B_ENG!$B$170:$B$198</c:f>
              <c:numCache>
                <c:formatCode>0%</c:formatCode>
                <c:ptCount val="29"/>
                <c:pt idx="0">
                  <c:v>0.97610799999999998</c:v>
                </c:pt>
                <c:pt idx="1">
                  <c:v>0.95448299999999997</c:v>
                </c:pt>
                <c:pt idx="2">
                  <c:v>0.93497300000000005</c:v>
                </c:pt>
                <c:pt idx="3">
                  <c:v>0.931369</c:v>
                </c:pt>
                <c:pt idx="4">
                  <c:v>0.92865600000000004</c:v>
                </c:pt>
                <c:pt idx="5">
                  <c:v>0.92816399999999999</c:v>
                </c:pt>
                <c:pt idx="6">
                  <c:v>0.91668400000000005</c:v>
                </c:pt>
                <c:pt idx="7">
                  <c:v>0.86909000000000003</c:v>
                </c:pt>
                <c:pt idx="8">
                  <c:v>0.85373299999999996</c:v>
                </c:pt>
                <c:pt idx="9">
                  <c:v>0.85119100000000003</c:v>
                </c:pt>
                <c:pt idx="10">
                  <c:v>0.84211199999999997</c:v>
                </c:pt>
                <c:pt idx="11">
                  <c:v>0.84125000000000005</c:v>
                </c:pt>
                <c:pt idx="12">
                  <c:v>0.83757800000000004</c:v>
                </c:pt>
                <c:pt idx="13">
                  <c:v>0.83714</c:v>
                </c:pt>
                <c:pt idx="14">
                  <c:v>0.82181499999999996</c:v>
                </c:pt>
                <c:pt idx="15">
                  <c:v>0.81799100000000002</c:v>
                </c:pt>
                <c:pt idx="16">
                  <c:v>0.81776899999999997</c:v>
                </c:pt>
                <c:pt idx="17">
                  <c:v>0.79674800000000001</c:v>
                </c:pt>
                <c:pt idx="18">
                  <c:v>0.79503000000000001</c:v>
                </c:pt>
                <c:pt idx="19">
                  <c:v>0.78385000000000005</c:v>
                </c:pt>
                <c:pt idx="20">
                  <c:v>0.77389799999999997</c:v>
                </c:pt>
                <c:pt idx="21">
                  <c:v>0.75874699999999995</c:v>
                </c:pt>
                <c:pt idx="22">
                  <c:v>0.74069700000000005</c:v>
                </c:pt>
                <c:pt idx="23">
                  <c:v>0.73009199999999996</c:v>
                </c:pt>
                <c:pt idx="24">
                  <c:v>0.72999400000000003</c:v>
                </c:pt>
                <c:pt idx="25">
                  <c:v>0.72502</c:v>
                </c:pt>
                <c:pt idx="26">
                  <c:v>0.71491199999999999</c:v>
                </c:pt>
                <c:pt idx="27">
                  <c:v>0.70500499999999999</c:v>
                </c:pt>
                <c:pt idx="28">
                  <c:v>0.62959399999999999</c:v>
                </c:pt>
              </c:numCache>
            </c:numRef>
          </c:val>
          <c:extLst>
            <c:ext xmlns:c16="http://schemas.microsoft.com/office/drawing/2014/chart" uri="{C3380CC4-5D6E-409C-BE32-E72D297353CC}">
              <c16:uniqueId val="{0000000B-86F6-4F38-A3CE-1B32B1D0864D}"/>
            </c:ext>
          </c:extLst>
        </c:ser>
        <c:dLbls>
          <c:showLegendKey val="0"/>
          <c:showVal val="0"/>
          <c:showCatName val="0"/>
          <c:showSerName val="0"/>
          <c:showPercent val="0"/>
          <c:showBubbleSize val="0"/>
        </c:dLbls>
        <c:gapWidth val="50"/>
        <c:axId val="169921536"/>
        <c:axId val="165311552"/>
      </c:barChart>
      <c:barChart>
        <c:barDir val="col"/>
        <c:grouping val="clustered"/>
        <c:varyColors val="0"/>
        <c:ser>
          <c:idx val="1"/>
          <c:order val="1"/>
          <c:tx>
            <c:strRef>
              <c:f>B_ENG!$C$169</c:f>
              <c:strCache>
                <c:ptCount val="1"/>
                <c:pt idx="0">
                  <c:v> 2007</c:v>
                </c:pt>
              </c:strCache>
            </c:strRef>
          </c:tx>
          <c:spPr>
            <a:solidFill>
              <a:srgbClr val="47E5FF"/>
            </a:solidFill>
          </c:spPr>
          <c:invertIfNegative val="0"/>
          <c:dLbls>
            <c:spPr>
              <a:noFill/>
              <a:ln>
                <a:noFill/>
              </a:ln>
              <a:effectLst/>
            </c:spPr>
            <c:txPr>
              <a:bodyPr rot="-5400000" vert="horz"/>
              <a:lstStyle/>
              <a:p>
                <a:pPr>
                  <a:defRPr b="1"/>
                </a:pPr>
                <a:endParaRPr lang="cs-CZ"/>
              </a:p>
            </c:txPr>
            <c:dLblPos val="inBase"/>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B_ENG!$A$170:$A$198</c:f>
              <c:strCache>
                <c:ptCount val="29"/>
                <c:pt idx="0">
                  <c:v>Netherlands</c:v>
                </c:pt>
                <c:pt idx="1">
                  <c:v>Luxembourg </c:v>
                </c:pt>
                <c:pt idx="2">
                  <c:v>Finland</c:v>
                </c:pt>
                <c:pt idx="3">
                  <c:v>Denmark</c:v>
                </c:pt>
                <c:pt idx="4">
                  <c:v>Germany</c:v>
                </c:pt>
                <c:pt idx="5">
                  <c:v>Sweden</c:v>
                </c:pt>
                <c:pt idx="6">
                  <c:v>United Kingdom</c:v>
                </c:pt>
                <c:pt idx="7">
                  <c:v>Estonia</c:v>
                </c:pt>
                <c:pt idx="8">
                  <c:v>Austria</c:v>
                </c:pt>
                <c:pt idx="9">
                  <c:v>Belgium</c:v>
                </c:pt>
                <c:pt idx="10">
                  <c:v>EU28</c:v>
                </c:pt>
                <c:pt idx="11">
                  <c:v>France</c:v>
                </c:pt>
                <c:pt idx="12">
                  <c:v>Ireland</c:v>
                </c:pt>
                <c:pt idx="13">
                  <c:v>Malta</c:v>
                </c:pt>
                <c:pt idx="14">
                  <c:v>Czech Republic</c:v>
                </c:pt>
                <c:pt idx="15">
                  <c:v>Slovakia</c:v>
                </c:pt>
                <c:pt idx="16">
                  <c:v>Poland</c:v>
                </c:pt>
                <c:pt idx="17">
                  <c:v>Hungary</c:v>
                </c:pt>
                <c:pt idx="18">
                  <c:v>Slovenia</c:v>
                </c:pt>
                <c:pt idx="19">
                  <c:v>Spain</c:v>
                </c:pt>
                <c:pt idx="20">
                  <c:v>Latvia</c:v>
                </c:pt>
                <c:pt idx="21">
                  <c:v>Cyprus</c:v>
                </c:pt>
                <c:pt idx="22">
                  <c:v>Croatia</c:v>
                </c:pt>
                <c:pt idx="23">
                  <c:v>Lithuania</c:v>
                </c:pt>
                <c:pt idx="24">
                  <c:v>Romania</c:v>
                </c:pt>
                <c:pt idx="25">
                  <c:v>Italy</c:v>
                </c:pt>
                <c:pt idx="26">
                  <c:v>Portugal</c:v>
                </c:pt>
                <c:pt idx="27">
                  <c:v>Greece</c:v>
                </c:pt>
                <c:pt idx="28">
                  <c:v>Bulgaria</c:v>
                </c:pt>
              </c:strCache>
            </c:strRef>
          </c:cat>
          <c:val>
            <c:numRef>
              <c:f>B_ENG!$C$170:$C$198</c:f>
              <c:numCache>
                <c:formatCode>0%</c:formatCode>
                <c:ptCount val="29"/>
                <c:pt idx="0">
                  <c:v>0.86303600000000003</c:v>
                </c:pt>
                <c:pt idx="1">
                  <c:v>0.79966899999999996</c:v>
                </c:pt>
                <c:pt idx="2">
                  <c:v>0.73963100000000004</c:v>
                </c:pt>
                <c:pt idx="3">
                  <c:v>0.82960400000000001</c:v>
                </c:pt>
                <c:pt idx="4">
                  <c:v>0.786466</c:v>
                </c:pt>
                <c:pt idx="5">
                  <c:v>0.82871899999999998</c:v>
                </c:pt>
                <c:pt idx="6">
                  <c:v>0.75377799999999995</c:v>
                </c:pt>
                <c:pt idx="7">
                  <c:v>0.56473499999999999</c:v>
                </c:pt>
                <c:pt idx="8">
                  <c:v>0.70743199999999995</c:v>
                </c:pt>
                <c:pt idx="9">
                  <c:v>0.67196299999999998</c:v>
                </c:pt>
                <c:pt idx="10">
                  <c:v>0.64225600000000005</c:v>
                </c:pt>
                <c:pt idx="11">
                  <c:v>0.65549400000000002</c:v>
                </c:pt>
                <c:pt idx="12">
                  <c:v>0.65487099999999998</c:v>
                </c:pt>
                <c:pt idx="13">
                  <c:v>0.62636400000000003</c:v>
                </c:pt>
                <c:pt idx="14">
                  <c:v>0.43396800000000002</c:v>
                </c:pt>
                <c:pt idx="15">
                  <c:v>0.55429700000000004</c:v>
                </c:pt>
                <c:pt idx="16">
                  <c:v>0.53689299999999995</c:v>
                </c:pt>
                <c:pt idx="17">
                  <c:v>0.52565099999999998</c:v>
                </c:pt>
                <c:pt idx="18">
                  <c:v>0.65998400000000002</c:v>
                </c:pt>
                <c:pt idx="19">
                  <c:v>0.58949300000000004</c:v>
                </c:pt>
                <c:pt idx="20">
                  <c:v>0.492205</c:v>
                </c:pt>
                <c:pt idx="21">
                  <c:v>0.53053700000000004</c:v>
                </c:pt>
                <c:pt idx="22">
                  <c:v>0.49468800000000002</c:v>
                </c:pt>
                <c:pt idx="23">
                  <c:v>0.462723</c:v>
                </c:pt>
                <c:pt idx="24">
                  <c:v>0.33998499999999998</c:v>
                </c:pt>
                <c:pt idx="25">
                  <c:v>0.53379600000000005</c:v>
                </c:pt>
                <c:pt idx="26">
                  <c:v>0.48316500000000001</c:v>
                </c:pt>
                <c:pt idx="27">
                  <c:v>0.40167399999999998</c:v>
                </c:pt>
                <c:pt idx="28">
                  <c:v>0.23327400000000001</c:v>
                </c:pt>
              </c:numCache>
            </c:numRef>
          </c:val>
          <c:extLst>
            <c:ext xmlns:c16="http://schemas.microsoft.com/office/drawing/2014/chart" uri="{C3380CC4-5D6E-409C-BE32-E72D297353CC}">
              <c16:uniqueId val="{0000000C-86F6-4F38-A3CE-1B32B1D0864D}"/>
            </c:ext>
          </c:extLst>
        </c:ser>
        <c:dLbls>
          <c:showLegendKey val="0"/>
          <c:showVal val="0"/>
          <c:showCatName val="0"/>
          <c:showSerName val="0"/>
          <c:showPercent val="0"/>
          <c:showBubbleSize val="0"/>
        </c:dLbls>
        <c:gapWidth val="200"/>
        <c:axId val="170051072"/>
        <c:axId val="165312128"/>
      </c:barChart>
      <c:catAx>
        <c:axId val="169921536"/>
        <c:scaling>
          <c:orientation val="minMax"/>
        </c:scaling>
        <c:delete val="0"/>
        <c:axPos val="b"/>
        <c:numFmt formatCode="General" sourceLinked="0"/>
        <c:majorTickMark val="out"/>
        <c:minorTickMark val="none"/>
        <c:tickLblPos val="nextTo"/>
        <c:spPr>
          <a:ln w="3175">
            <a:solidFill>
              <a:schemeClr val="tx1"/>
            </a:solidFill>
          </a:ln>
        </c:spPr>
        <c:crossAx val="165311552"/>
        <c:crosses val="autoZero"/>
        <c:auto val="1"/>
        <c:lblAlgn val="ctr"/>
        <c:lblOffset val="100"/>
        <c:noMultiLvlLbl val="0"/>
      </c:catAx>
      <c:valAx>
        <c:axId val="165311552"/>
        <c:scaling>
          <c:orientation val="minMax"/>
          <c:max val="1"/>
          <c:min val="0"/>
        </c:scaling>
        <c:delete val="0"/>
        <c:axPos val="l"/>
        <c:numFmt formatCode="0%" sourceLinked="1"/>
        <c:majorTickMark val="none"/>
        <c:minorTickMark val="none"/>
        <c:tickLblPos val="nextTo"/>
        <c:txPr>
          <a:bodyPr/>
          <a:lstStyle/>
          <a:p>
            <a:pPr>
              <a:defRPr>
                <a:solidFill>
                  <a:schemeClr val="bg1"/>
                </a:solidFill>
              </a:defRPr>
            </a:pPr>
            <a:endParaRPr lang="cs-CZ"/>
          </a:p>
        </c:txPr>
        <c:crossAx val="169921536"/>
        <c:crosses val="autoZero"/>
        <c:crossBetween val="between"/>
        <c:majorUnit val="0.1"/>
        <c:minorUnit val="0.05"/>
      </c:valAx>
      <c:valAx>
        <c:axId val="165312128"/>
        <c:scaling>
          <c:orientation val="minMax"/>
        </c:scaling>
        <c:delete val="0"/>
        <c:axPos val="r"/>
        <c:numFmt formatCode="0%" sourceLinked="1"/>
        <c:majorTickMark val="none"/>
        <c:minorTickMark val="none"/>
        <c:tickLblPos val="none"/>
        <c:crossAx val="170051072"/>
        <c:crosses val="max"/>
        <c:crossBetween val="between"/>
      </c:valAx>
      <c:catAx>
        <c:axId val="170051072"/>
        <c:scaling>
          <c:orientation val="minMax"/>
        </c:scaling>
        <c:delete val="1"/>
        <c:axPos val="b"/>
        <c:numFmt formatCode="General" sourceLinked="0"/>
        <c:majorTickMark val="out"/>
        <c:minorTickMark val="none"/>
        <c:tickLblPos val="none"/>
        <c:crossAx val="165312128"/>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89131410256410304"/>
          <c:y val="0.112931790123457"/>
          <c:w val="7.1111932938855996E-2"/>
          <c:h val="0.116382098765432"/>
        </c:manualLayout>
      </c:layout>
      <c:overlay val="0"/>
      <c:spPr>
        <a:solidFill>
          <a:schemeClr val="bg1"/>
        </a:solidFill>
        <a:ln>
          <a:solidFill>
            <a:schemeClr val="tx1">
              <a:tint val="75000"/>
              <a:shade val="95000"/>
              <a:satMod val="105000"/>
            </a:schemeClr>
          </a:solidFill>
        </a:ln>
      </c:sp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B11 Households in the Czech Republic</a:t>
            </a:r>
          </a:p>
          <a:p>
            <a:pPr>
              <a:defRPr sz="800" b="1"/>
            </a:pPr>
            <a:r>
              <a:rPr lang="cs-CZ" sz="800" b="1"/>
              <a:t>with a portable computer</a:t>
            </a:r>
            <a:r>
              <a:rPr lang="cs-CZ" sz="800" b="1" baseline="0"/>
              <a:t> (laptop or tablet)</a:t>
            </a:r>
            <a:endParaRPr lang="en-US" sz="800" b="1"/>
          </a:p>
        </c:rich>
      </c:tx>
      <c:layout/>
      <c:overlay val="1"/>
    </c:title>
    <c:autoTitleDeleted val="0"/>
    <c:plotArea>
      <c:layout>
        <c:manualLayout>
          <c:layoutTarget val="inner"/>
          <c:xMode val="edge"/>
          <c:yMode val="edge"/>
          <c:x val="1.38135167981066E-2"/>
          <c:y val="0.12904148148148201"/>
          <c:w val="0.96948369216085795"/>
          <c:h val="0.70402592592592494"/>
        </c:manualLayout>
      </c:layout>
      <c:barChart>
        <c:barDir val="col"/>
        <c:grouping val="clustered"/>
        <c:varyColors val="0"/>
        <c:ser>
          <c:idx val="2"/>
          <c:order val="0"/>
          <c:tx>
            <c:strRef>
              <c:f>B_ENG!$A$204</c:f>
              <c:strCache>
                <c:ptCount val="1"/>
                <c:pt idx="0">
                  <c:v> Millions</c:v>
                </c:pt>
              </c:strCache>
            </c:strRef>
          </c:tx>
          <c:spPr>
            <a:solidFill>
              <a:srgbClr val="009BB4"/>
            </a:solidFill>
            <a:ln w="25400">
              <a:noFill/>
            </a:ln>
          </c:spPr>
          <c:invertIfNegative val="0"/>
          <c:dLbls>
            <c:dLbl>
              <c:idx val="0"/>
              <c:layout>
                <c:manualLayout>
                  <c:x val="0"/>
                  <c:y val="5.8272544283413802E-2"/>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ECD8-4473-9816-55712A1338E1}"/>
                </c:ext>
              </c:extLst>
            </c:dLbl>
            <c:numFmt formatCode="#,##0.0" sourceLinked="0"/>
            <c:spPr>
              <a:noFill/>
              <a:ln>
                <a:noFill/>
              </a:ln>
              <a:effectLst/>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B_ENG!$B$203:$G$203</c:f>
              <c:numCache>
                <c:formatCode>0</c:formatCode>
                <c:ptCount val="6"/>
                <c:pt idx="0">
                  <c:v>2006</c:v>
                </c:pt>
                <c:pt idx="1">
                  <c:v>2009</c:v>
                </c:pt>
                <c:pt idx="2">
                  <c:v>2011</c:v>
                </c:pt>
                <c:pt idx="3">
                  <c:v>2013</c:v>
                </c:pt>
                <c:pt idx="4">
                  <c:v>2015</c:v>
                </c:pt>
                <c:pt idx="5">
                  <c:v>2017</c:v>
                </c:pt>
              </c:numCache>
            </c:numRef>
          </c:cat>
          <c:val>
            <c:numRef>
              <c:f>B_ENG!$B$204:$G$204</c:f>
              <c:numCache>
                <c:formatCode>0.0</c:formatCode>
                <c:ptCount val="6"/>
                <c:pt idx="0">
                  <c:v>0.28554856890477798</c:v>
                </c:pt>
                <c:pt idx="1">
                  <c:v>0.84656268508999999</c:v>
                </c:pt>
                <c:pt idx="2">
                  <c:v>1.3361921773353109</c:v>
                </c:pt>
                <c:pt idx="3">
                  <c:v>1.830136893275496</c:v>
                </c:pt>
                <c:pt idx="4">
                  <c:v>2.330928611619659</c:v>
                </c:pt>
                <c:pt idx="5">
                  <c:v>2.7166516816250188</c:v>
                </c:pt>
              </c:numCache>
            </c:numRef>
          </c:val>
          <c:extLst>
            <c:ext xmlns:c16="http://schemas.microsoft.com/office/drawing/2014/chart" uri="{C3380CC4-5D6E-409C-BE32-E72D297353CC}">
              <c16:uniqueId val="{00000001-ECD8-4473-9816-55712A1338E1}"/>
            </c:ext>
          </c:extLst>
        </c:ser>
        <c:dLbls>
          <c:showLegendKey val="0"/>
          <c:showVal val="0"/>
          <c:showCatName val="0"/>
          <c:showSerName val="0"/>
          <c:showPercent val="0"/>
          <c:showBubbleSize val="0"/>
        </c:dLbls>
        <c:gapWidth val="50"/>
        <c:axId val="169922048"/>
        <c:axId val="168312832"/>
      </c:barChart>
      <c:lineChart>
        <c:grouping val="standard"/>
        <c:varyColors val="0"/>
        <c:ser>
          <c:idx val="0"/>
          <c:order val="1"/>
          <c:tx>
            <c:strRef>
              <c:f>B_ENG!$A$205</c:f>
              <c:strCache>
                <c:ptCount val="1"/>
                <c:pt idx="0">
                  <c:v> As % of all households</c:v>
                </c:pt>
              </c:strCache>
            </c:strRef>
          </c:tx>
          <c:spPr>
            <a:ln w="19050">
              <a:solidFill>
                <a:srgbClr val="47E5FF"/>
              </a:solidFill>
            </a:ln>
          </c:spPr>
          <c:marker>
            <c:symbol val="diamond"/>
            <c:size val="4"/>
            <c:spPr>
              <a:solidFill>
                <a:srgbClr val="009BB4"/>
              </a:solidFill>
              <a:ln w="12700">
                <a:solidFill>
                  <a:srgbClr val="47E5FF"/>
                </a:solidFill>
              </a:ln>
            </c:spPr>
          </c:marker>
          <c:dLbls>
            <c:dLbl>
              <c:idx val="0"/>
              <c:layout>
                <c:manualLayout>
                  <c:x val="-5.65133477633478E-2"/>
                  <c:y val="-5.953165263991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ECD8-4473-9816-55712A1338E1}"/>
                </c:ext>
              </c:extLst>
            </c:dLbl>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B_ENG!$B$203:$G$203</c:f>
              <c:numCache>
                <c:formatCode>0</c:formatCode>
                <c:ptCount val="6"/>
                <c:pt idx="0">
                  <c:v>2006</c:v>
                </c:pt>
                <c:pt idx="1">
                  <c:v>2009</c:v>
                </c:pt>
                <c:pt idx="2">
                  <c:v>2011</c:v>
                </c:pt>
                <c:pt idx="3">
                  <c:v>2013</c:v>
                </c:pt>
                <c:pt idx="4">
                  <c:v>2015</c:v>
                </c:pt>
                <c:pt idx="5">
                  <c:v>2017</c:v>
                </c:pt>
              </c:numCache>
            </c:numRef>
          </c:cat>
          <c:val>
            <c:numRef>
              <c:f>B_ENG!$B$205:$G$205</c:f>
              <c:numCache>
                <c:formatCode>0.0%</c:formatCode>
                <c:ptCount val="6"/>
                <c:pt idx="0" formatCode="0%">
                  <c:v>6.7968664677844501E-2</c:v>
                </c:pt>
                <c:pt idx="1">
                  <c:v>0.19643449253859299</c:v>
                </c:pt>
                <c:pt idx="2">
                  <c:v>0.32571838033551298</c:v>
                </c:pt>
                <c:pt idx="3">
                  <c:v>0.43055704384627702</c:v>
                </c:pt>
                <c:pt idx="4">
                  <c:v>0.54747464866239404</c:v>
                </c:pt>
                <c:pt idx="5">
                  <c:v>0.62009595812857998</c:v>
                </c:pt>
              </c:numCache>
            </c:numRef>
          </c:val>
          <c:smooth val="0"/>
          <c:extLst>
            <c:ext xmlns:c16="http://schemas.microsoft.com/office/drawing/2014/chart" uri="{C3380CC4-5D6E-409C-BE32-E72D297353CC}">
              <c16:uniqueId val="{00000003-ECD8-4473-9816-55712A1338E1}"/>
            </c:ext>
          </c:extLst>
        </c:ser>
        <c:ser>
          <c:idx val="1"/>
          <c:order val="2"/>
          <c:tx>
            <c:strRef>
              <c:f>B_ENG!$A$206</c:f>
              <c:strCache>
                <c:ptCount val="1"/>
                <c:pt idx="0">
                  <c:v> As % of households with a computer</c:v>
                </c:pt>
              </c:strCache>
            </c:strRef>
          </c:tx>
          <c:spPr>
            <a:ln w="19050">
              <a:solidFill>
                <a:srgbClr val="007D92"/>
              </a:solidFill>
            </a:ln>
          </c:spPr>
          <c:marker>
            <c:symbol val="circle"/>
            <c:size val="4"/>
            <c:spPr>
              <a:solidFill>
                <a:srgbClr val="47E5FF"/>
              </a:solidFill>
              <a:ln>
                <a:solidFill>
                  <a:srgbClr val="007D92"/>
                </a:solidFill>
              </a:ln>
            </c:spPr>
          </c:marker>
          <c:dLbls>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B_ENG!$B$203:$G$203</c:f>
              <c:numCache>
                <c:formatCode>0</c:formatCode>
                <c:ptCount val="6"/>
                <c:pt idx="0">
                  <c:v>2006</c:v>
                </c:pt>
                <c:pt idx="1">
                  <c:v>2009</c:v>
                </c:pt>
                <c:pt idx="2">
                  <c:v>2011</c:v>
                </c:pt>
                <c:pt idx="3">
                  <c:v>2013</c:v>
                </c:pt>
                <c:pt idx="4">
                  <c:v>2015</c:v>
                </c:pt>
                <c:pt idx="5">
                  <c:v>2017</c:v>
                </c:pt>
              </c:numCache>
            </c:numRef>
          </c:cat>
          <c:val>
            <c:numRef>
              <c:f>B_ENG!$B$206:$G$206</c:f>
              <c:numCache>
                <c:formatCode>0.0%</c:formatCode>
                <c:ptCount val="6"/>
                <c:pt idx="0" formatCode="0%">
                  <c:v>0.19044285935441199</c:v>
                </c:pt>
                <c:pt idx="1">
                  <c:v>0.36260685481860899</c:v>
                </c:pt>
                <c:pt idx="2">
                  <c:v>0.50303637861776396</c:v>
                </c:pt>
                <c:pt idx="3">
                  <c:v>0.63181898588749597</c:v>
                </c:pt>
                <c:pt idx="4">
                  <c:v>0.74937576840968201</c:v>
                </c:pt>
                <c:pt idx="5">
                  <c:v>0.812716345489499</c:v>
                </c:pt>
              </c:numCache>
            </c:numRef>
          </c:val>
          <c:smooth val="0"/>
          <c:extLst>
            <c:ext xmlns:c16="http://schemas.microsoft.com/office/drawing/2014/chart" uri="{C3380CC4-5D6E-409C-BE32-E72D297353CC}">
              <c16:uniqueId val="{00000004-ECD8-4473-9816-55712A1338E1}"/>
            </c:ext>
          </c:extLst>
        </c:ser>
        <c:dLbls>
          <c:showLegendKey val="0"/>
          <c:showVal val="0"/>
          <c:showCatName val="0"/>
          <c:showSerName val="0"/>
          <c:showPercent val="0"/>
          <c:showBubbleSize val="0"/>
        </c:dLbls>
        <c:marker val="1"/>
        <c:smooth val="0"/>
        <c:axId val="170052608"/>
        <c:axId val="168313408"/>
      </c:lineChart>
      <c:catAx>
        <c:axId val="169922048"/>
        <c:scaling>
          <c:orientation val="minMax"/>
        </c:scaling>
        <c:delete val="0"/>
        <c:axPos val="b"/>
        <c:numFmt formatCode="0" sourceLinked="1"/>
        <c:majorTickMark val="out"/>
        <c:minorTickMark val="none"/>
        <c:tickLblPos val="nextTo"/>
        <c:spPr>
          <a:ln w="3175">
            <a:solidFill>
              <a:srgbClr val="000000"/>
            </a:solidFill>
            <a:prstDash val="solid"/>
          </a:ln>
        </c:spPr>
        <c:txPr>
          <a:bodyPr rot="0" vert="horz"/>
          <a:lstStyle/>
          <a:p>
            <a:pPr>
              <a:defRPr/>
            </a:pPr>
            <a:endParaRPr lang="cs-CZ"/>
          </a:p>
        </c:txPr>
        <c:crossAx val="168312832"/>
        <c:crosses val="autoZero"/>
        <c:auto val="1"/>
        <c:lblAlgn val="ctr"/>
        <c:lblOffset val="140"/>
        <c:tickLblSkip val="1"/>
        <c:tickMarkSkip val="1"/>
        <c:noMultiLvlLbl val="0"/>
      </c:catAx>
      <c:valAx>
        <c:axId val="168312832"/>
        <c:scaling>
          <c:orientation val="minMax"/>
          <c:max val="5"/>
          <c:min val="0"/>
        </c:scaling>
        <c:delete val="0"/>
        <c:axPos val="l"/>
        <c:majorGridlines>
          <c:spPr>
            <a:ln w="12700">
              <a:noFill/>
              <a:prstDash val="dash"/>
            </a:ln>
          </c:spPr>
        </c:majorGridlines>
        <c:numFmt formatCode="0.0" sourceLinked="1"/>
        <c:majorTickMark val="none"/>
        <c:minorTickMark val="none"/>
        <c:tickLblPos val="none"/>
        <c:spPr>
          <a:ln w="9525">
            <a:noFill/>
          </a:ln>
        </c:spPr>
        <c:crossAx val="169922048"/>
        <c:crosses val="autoZero"/>
        <c:crossBetween val="between"/>
        <c:majorUnit val="1"/>
        <c:minorUnit val="0.02"/>
      </c:valAx>
      <c:catAx>
        <c:axId val="170052608"/>
        <c:scaling>
          <c:orientation val="minMax"/>
        </c:scaling>
        <c:delete val="1"/>
        <c:axPos val="b"/>
        <c:numFmt formatCode="0" sourceLinked="1"/>
        <c:majorTickMark val="out"/>
        <c:minorTickMark val="none"/>
        <c:tickLblPos val="none"/>
        <c:crossAx val="168313408"/>
        <c:crosses val="autoZero"/>
        <c:auto val="1"/>
        <c:lblAlgn val="ctr"/>
        <c:lblOffset val="100"/>
        <c:noMultiLvlLbl val="0"/>
      </c:catAx>
      <c:valAx>
        <c:axId val="168313408"/>
        <c:scaling>
          <c:orientation val="minMax"/>
          <c:max val="1"/>
          <c:min val="0"/>
        </c:scaling>
        <c:delete val="0"/>
        <c:axPos val="r"/>
        <c:numFmt formatCode="0%" sourceLinked="1"/>
        <c:majorTickMark val="none"/>
        <c:minorTickMark val="none"/>
        <c:tickLblPos val="none"/>
        <c:spPr>
          <a:ln>
            <a:solidFill>
              <a:schemeClr val="bg1">
                <a:lumMod val="65000"/>
              </a:schemeClr>
            </a:solidFill>
          </a:ln>
        </c:spPr>
        <c:crossAx val="170052608"/>
        <c:crosses val="max"/>
        <c:crossBetween val="between"/>
        <c:majorUnit val="0.05"/>
        <c:minorUnit val="0.01"/>
      </c:valAx>
      <c:spPr>
        <a:noFill/>
        <a:ln w="12700">
          <a:solidFill>
            <a:srgbClr val="A6A6A6"/>
          </a:solidFill>
          <a:prstDash val="solid"/>
        </a:ln>
      </c:spPr>
    </c:plotArea>
    <c:legend>
      <c:legendPos val="l"/>
      <c:legendEntry>
        <c:idx val="1"/>
        <c:txPr>
          <a:bodyPr/>
          <a:lstStyle/>
          <a:p>
            <a:pPr>
              <a:defRPr i="0"/>
            </a:pPr>
            <a:endParaRPr lang="cs-CZ"/>
          </a:p>
        </c:txPr>
      </c:legendEntry>
      <c:legendEntry>
        <c:idx val="2"/>
        <c:txPr>
          <a:bodyPr/>
          <a:lstStyle/>
          <a:p>
            <a:pPr>
              <a:defRPr i="0"/>
            </a:pPr>
            <a:endParaRPr lang="cs-CZ"/>
          </a:p>
        </c:txPr>
      </c:legendEntry>
      <c:layout>
        <c:manualLayout>
          <c:xMode val="edge"/>
          <c:yMode val="edge"/>
          <c:x val="2.7864159891598898E-2"/>
          <c:y val="0.154717407407407"/>
          <c:w val="0.48404718875502001"/>
          <c:h val="0.22300069444444401"/>
        </c:manualLayout>
      </c:layout>
      <c:overlay val="0"/>
      <c:spPr>
        <a:ln>
          <a:solidFill>
            <a:schemeClr val="bg1">
              <a:lumMod val="50000"/>
            </a:schemeClr>
          </a:solidFill>
        </a:ln>
      </c:spPr>
      <c:txPr>
        <a:bodyPr/>
        <a:lstStyle/>
        <a:p>
          <a:pPr>
            <a:defRPr i="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B12 Czech households with a computer by type of computer used at home; 2017 (%)*</a:t>
            </a:r>
            <a:endParaRPr lang="en-US" sz="800" b="1"/>
          </a:p>
        </c:rich>
      </c:tx>
      <c:layout/>
      <c:overlay val="1"/>
    </c:title>
    <c:autoTitleDeleted val="0"/>
    <c:plotArea>
      <c:layout>
        <c:manualLayout>
          <c:layoutTarget val="inner"/>
          <c:xMode val="edge"/>
          <c:yMode val="edge"/>
          <c:x val="0.21056879844961199"/>
          <c:y val="0.12958627450980401"/>
          <c:w val="0.76603940568475504"/>
          <c:h val="0.69773496732026097"/>
        </c:manualLayout>
      </c:layout>
      <c:barChart>
        <c:barDir val="bar"/>
        <c:grouping val="clustered"/>
        <c:varyColors val="0"/>
        <c:ser>
          <c:idx val="0"/>
          <c:order val="0"/>
          <c:tx>
            <c:strRef>
              <c:f>B_ENG!$B$209</c:f>
              <c:strCache>
                <c:ptCount val="1"/>
                <c:pt idx="0">
                  <c:v> HHs with members older than 65</c:v>
                </c:pt>
              </c:strCache>
            </c:strRef>
          </c:tx>
          <c:spPr>
            <a:solidFill>
              <a:srgbClr val="47E5FF"/>
            </a:solidFill>
          </c:spPr>
          <c:invertIfNegative val="0"/>
          <c:dLbls>
            <c:dLbl>
              <c:idx val="3"/>
              <c:layout>
                <c:manualLayout>
                  <c:x val="-8.9588946834709499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820-4BB1-B2AE-36288CA0E1BA}"/>
                </c:ext>
              </c:extLst>
            </c:dLbl>
            <c:spPr>
              <a:noFill/>
              <a:ln>
                <a:noFill/>
              </a:ln>
              <a:effectLst/>
            </c:spPr>
            <c:txPr>
              <a:bodyPr/>
              <a:lstStyle/>
              <a:p>
                <a:pPr>
                  <a:defRPr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B_ENG!$A$210:$A$215</c:f>
              <c:strCache>
                <c:ptCount val="6"/>
                <c:pt idx="0">
                  <c:v>Portable 
only</c:v>
                </c:pt>
                <c:pt idx="1">
                  <c:v>Desktop 
only</c:v>
                </c:pt>
                <c:pt idx="3">
                  <c:v>Tablet</c:v>
                </c:pt>
                <c:pt idx="4">
                  <c:v>Laptop</c:v>
                </c:pt>
                <c:pt idx="5">
                  <c:v>Desktop</c:v>
                </c:pt>
              </c:strCache>
            </c:strRef>
          </c:cat>
          <c:val>
            <c:numRef>
              <c:f>B_ENG!$B$210:$B$215</c:f>
              <c:numCache>
                <c:formatCode>0%</c:formatCode>
                <c:ptCount val="6"/>
                <c:pt idx="0">
                  <c:v>0.44261973480133998</c:v>
                </c:pt>
                <c:pt idx="1">
                  <c:v>0.44061832944811202</c:v>
                </c:pt>
                <c:pt idx="3">
                  <c:v>0.102430060491935</c:v>
                </c:pt>
                <c:pt idx="4">
                  <c:v>0.49856364954663501</c:v>
                </c:pt>
                <c:pt idx="5">
                  <c:v>0.55737802651986601</c:v>
                </c:pt>
              </c:numCache>
            </c:numRef>
          </c:val>
          <c:extLst>
            <c:ext xmlns:c16="http://schemas.microsoft.com/office/drawing/2014/chart" uri="{C3380CC4-5D6E-409C-BE32-E72D297353CC}">
              <c16:uniqueId val="{00000001-8820-4BB1-B2AE-36288CA0E1BA}"/>
            </c:ext>
          </c:extLst>
        </c:ser>
        <c:ser>
          <c:idx val="1"/>
          <c:order val="1"/>
          <c:tx>
            <c:strRef>
              <c:f>B_ENG!$C$209</c:f>
              <c:strCache>
                <c:ptCount val="1"/>
                <c:pt idx="0">
                  <c:v> HHs with children</c:v>
                </c:pt>
              </c:strCache>
            </c:strRef>
          </c:tx>
          <c:spPr>
            <a:solidFill>
              <a:srgbClr val="00C5E9"/>
            </a:solidFill>
          </c:spPr>
          <c:invertIfNegative val="0"/>
          <c:dLbls>
            <c:dLbl>
              <c:idx val="1"/>
              <c:layout>
                <c:manualLayout>
                  <c:x val="-9.5025578099680194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820-4BB1-B2AE-36288CA0E1BA}"/>
                </c:ext>
              </c:extLst>
            </c:dLbl>
            <c:spPr>
              <a:noFill/>
              <a:ln>
                <a:noFill/>
              </a:ln>
              <a:effectLst/>
            </c:spPr>
            <c:txPr>
              <a:bodyPr/>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B_ENG!$A$210:$A$215</c:f>
              <c:strCache>
                <c:ptCount val="6"/>
                <c:pt idx="0">
                  <c:v>Portable 
only</c:v>
                </c:pt>
                <c:pt idx="1">
                  <c:v>Desktop 
only</c:v>
                </c:pt>
                <c:pt idx="3">
                  <c:v>Tablet</c:v>
                </c:pt>
                <c:pt idx="4">
                  <c:v>Laptop</c:v>
                </c:pt>
                <c:pt idx="5">
                  <c:v>Desktop</c:v>
                </c:pt>
              </c:strCache>
            </c:strRef>
          </c:cat>
          <c:val>
            <c:numRef>
              <c:f>B_ENG!$C$210:$C$215</c:f>
              <c:numCache>
                <c:formatCode>0%</c:formatCode>
                <c:ptCount val="6"/>
                <c:pt idx="0">
                  <c:v>0.50751159203964502</c:v>
                </c:pt>
                <c:pt idx="1">
                  <c:v>0.118444403806895</c:v>
                </c:pt>
                <c:pt idx="3">
                  <c:v>0.48472198370701802</c:v>
                </c:pt>
                <c:pt idx="4">
                  <c:v>0.80860753445756195</c:v>
                </c:pt>
                <c:pt idx="5">
                  <c:v>0.49248840796035498</c:v>
                </c:pt>
              </c:numCache>
            </c:numRef>
          </c:val>
          <c:extLst>
            <c:ext xmlns:c16="http://schemas.microsoft.com/office/drawing/2014/chart" uri="{C3380CC4-5D6E-409C-BE32-E72D297353CC}">
              <c16:uniqueId val="{00000003-8820-4BB1-B2AE-36288CA0E1BA}"/>
            </c:ext>
          </c:extLst>
        </c:ser>
        <c:ser>
          <c:idx val="2"/>
          <c:order val="2"/>
          <c:tx>
            <c:strRef>
              <c:f>B_ENG!$D$209</c:f>
              <c:strCache>
                <c:ptCount val="1"/>
                <c:pt idx="0">
                  <c:v> HHs** with all members younger than 40</c:v>
                </c:pt>
              </c:strCache>
            </c:strRef>
          </c:tx>
          <c:spPr>
            <a:solidFill>
              <a:srgbClr val="009BB4"/>
            </a:solidFill>
          </c:spPr>
          <c:invertIfNegative val="0"/>
          <c:dLbls>
            <c:dLbl>
              <c:idx val="1"/>
              <c:layout>
                <c:manualLayout>
                  <c:x val="-7.4236349966312107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8820-4BB1-B2AE-36288CA0E1BA}"/>
                </c:ext>
              </c:extLst>
            </c:dLbl>
            <c:spPr>
              <a:noFill/>
              <a:ln>
                <a:noFill/>
              </a:ln>
              <a:effectLst/>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B_ENG!$A$210:$A$215</c:f>
              <c:strCache>
                <c:ptCount val="6"/>
                <c:pt idx="0">
                  <c:v>Portable 
only</c:v>
                </c:pt>
                <c:pt idx="1">
                  <c:v>Desktop 
only</c:v>
                </c:pt>
                <c:pt idx="3">
                  <c:v>Tablet</c:v>
                </c:pt>
                <c:pt idx="4">
                  <c:v>Laptop</c:v>
                </c:pt>
                <c:pt idx="5">
                  <c:v>Desktop</c:v>
                </c:pt>
              </c:strCache>
            </c:strRef>
          </c:cat>
          <c:val>
            <c:numRef>
              <c:f>B_ENG!$D$210:$D$215</c:f>
              <c:numCache>
                <c:formatCode>0%</c:formatCode>
                <c:ptCount val="6"/>
                <c:pt idx="0">
                  <c:v>0.71146008019012597</c:v>
                </c:pt>
                <c:pt idx="1">
                  <c:v>8.8041124783823699E-2</c:v>
                </c:pt>
                <c:pt idx="3">
                  <c:v>0.23676317213789499</c:v>
                </c:pt>
                <c:pt idx="4">
                  <c:v>0.873882000829867</c:v>
                </c:pt>
                <c:pt idx="5">
                  <c:v>0.28853991980987398</c:v>
                </c:pt>
              </c:numCache>
            </c:numRef>
          </c:val>
          <c:extLst>
            <c:ext xmlns:c16="http://schemas.microsoft.com/office/drawing/2014/chart" uri="{C3380CC4-5D6E-409C-BE32-E72D297353CC}">
              <c16:uniqueId val="{00000005-8820-4BB1-B2AE-36288CA0E1BA}"/>
            </c:ext>
          </c:extLst>
        </c:ser>
        <c:dLbls>
          <c:showLegendKey val="0"/>
          <c:showVal val="0"/>
          <c:showCatName val="0"/>
          <c:showSerName val="0"/>
          <c:showPercent val="0"/>
          <c:showBubbleSize val="0"/>
        </c:dLbls>
        <c:gapWidth val="50"/>
        <c:axId val="170049536"/>
        <c:axId val="168315136"/>
      </c:barChart>
      <c:catAx>
        <c:axId val="170049536"/>
        <c:scaling>
          <c:orientation val="minMax"/>
        </c:scaling>
        <c:delete val="0"/>
        <c:axPos val="l"/>
        <c:numFmt formatCode="General" sourceLinked="1"/>
        <c:majorTickMark val="out"/>
        <c:minorTickMark val="none"/>
        <c:tickLblPos val="nextTo"/>
        <c:spPr>
          <a:ln w="3175">
            <a:solidFill>
              <a:schemeClr val="tx1"/>
            </a:solidFill>
          </a:ln>
        </c:spPr>
        <c:crossAx val="168315136"/>
        <c:crosses val="autoZero"/>
        <c:auto val="1"/>
        <c:lblAlgn val="ctr"/>
        <c:lblOffset val="100"/>
        <c:noMultiLvlLbl val="0"/>
      </c:catAx>
      <c:valAx>
        <c:axId val="168315136"/>
        <c:scaling>
          <c:orientation val="minMax"/>
          <c:max val="1"/>
        </c:scaling>
        <c:delete val="0"/>
        <c:axPos val="b"/>
        <c:numFmt formatCode="0%" sourceLinked="1"/>
        <c:majorTickMark val="none"/>
        <c:minorTickMark val="none"/>
        <c:tickLblPos val="none"/>
        <c:crossAx val="170049536"/>
        <c:crosses val="autoZero"/>
        <c:crossBetween val="between"/>
        <c:majorUnit val="0.1"/>
        <c:minorUnit val="0.05"/>
      </c:valAx>
      <c:spPr>
        <a:ln w="12700">
          <a:solidFill>
            <a:schemeClr val="bg1">
              <a:lumMod val="65000"/>
            </a:schemeClr>
          </a:solidFill>
        </a:ln>
      </c:spPr>
    </c:plotArea>
    <c:legend>
      <c:legendPos val="r"/>
      <c:layout>
        <c:manualLayout>
          <c:xMode val="edge"/>
          <c:yMode val="edge"/>
          <c:x val="0.31515600775193803"/>
          <c:y val="0.479082679738562"/>
          <c:w val="0.642779715762274"/>
          <c:h val="0.16245653594771201"/>
        </c:manualLayout>
      </c:layout>
      <c:overlay val="0"/>
      <c:spPr>
        <a:solidFill>
          <a:schemeClr val="bg1"/>
        </a:solidFill>
        <a:ln>
          <a:solidFill>
            <a:schemeClr val="tx1">
              <a:tint val="75000"/>
              <a:shade val="95000"/>
              <a:satMod val="105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B13 Households in the Czech Republic</a:t>
            </a:r>
          </a:p>
          <a:p>
            <a:pPr>
              <a:defRPr sz="800" b="1"/>
            </a:pPr>
            <a:r>
              <a:rPr lang="cs-CZ" sz="800" b="1"/>
              <a:t>with access to the internet at home</a:t>
            </a:r>
            <a:endParaRPr lang="en-US" sz="800" b="1"/>
          </a:p>
        </c:rich>
      </c:tx>
      <c:layout/>
      <c:overlay val="1"/>
    </c:title>
    <c:autoTitleDeleted val="0"/>
    <c:plotArea>
      <c:layout>
        <c:manualLayout>
          <c:layoutTarget val="inner"/>
          <c:xMode val="edge"/>
          <c:yMode val="edge"/>
          <c:x val="1.38135167981066E-2"/>
          <c:y val="0.12904148148148201"/>
          <c:w val="0.96948369216085795"/>
          <c:h val="0.70402592592592494"/>
        </c:manualLayout>
      </c:layout>
      <c:barChart>
        <c:barDir val="col"/>
        <c:grouping val="clustered"/>
        <c:varyColors val="0"/>
        <c:ser>
          <c:idx val="2"/>
          <c:order val="0"/>
          <c:tx>
            <c:strRef>
              <c:f>B_ENG!$A$238</c:f>
              <c:strCache>
                <c:ptCount val="1"/>
                <c:pt idx="0">
                  <c:v> Millions</c:v>
                </c:pt>
              </c:strCache>
            </c:strRef>
          </c:tx>
          <c:spPr>
            <a:solidFill>
              <a:srgbClr val="009BB4"/>
            </a:solidFill>
            <a:ln w="25400">
              <a:noFill/>
            </a:ln>
          </c:spPr>
          <c:invertIfNegative val="0"/>
          <c:dLbls>
            <c:numFmt formatCode="#,##0.0" sourceLinked="0"/>
            <c:spPr>
              <a:noFill/>
              <a:ln>
                <a:noFill/>
              </a:ln>
              <a:effectLst/>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B_ENG!$B$237:$I$237</c:f>
              <c:numCache>
                <c:formatCode>0</c:formatCode>
                <c:ptCount val="8"/>
                <c:pt idx="0">
                  <c:v>2003</c:v>
                </c:pt>
                <c:pt idx="1">
                  <c:v>2005</c:v>
                </c:pt>
                <c:pt idx="2">
                  <c:v>2007</c:v>
                </c:pt>
                <c:pt idx="3">
                  <c:v>2009</c:v>
                </c:pt>
                <c:pt idx="4">
                  <c:v>2011</c:v>
                </c:pt>
                <c:pt idx="5">
                  <c:v>2013</c:v>
                </c:pt>
                <c:pt idx="6">
                  <c:v>2015</c:v>
                </c:pt>
                <c:pt idx="7">
                  <c:v>2017</c:v>
                </c:pt>
              </c:numCache>
            </c:numRef>
          </c:cat>
          <c:val>
            <c:numRef>
              <c:f>B_ENG!$B$238:$I$238</c:f>
              <c:numCache>
                <c:formatCode>#,##0.0</c:formatCode>
                <c:ptCount val="8"/>
                <c:pt idx="0">
                  <c:v>0.60099999999999998</c:v>
                </c:pt>
                <c:pt idx="1">
                  <c:v>0.78339559880018705</c:v>
                </c:pt>
                <c:pt idx="2">
                  <c:v>1.354904054285772</c:v>
                </c:pt>
                <c:pt idx="3">
                  <c:v>2.1223472212929999</c:v>
                </c:pt>
                <c:pt idx="4" formatCode="0.0">
                  <c:v>2.530986</c:v>
                </c:pt>
                <c:pt idx="5">
                  <c:v>2.8459140000000001</c:v>
                </c:pt>
                <c:pt idx="6">
                  <c:v>3.1112950000000001</c:v>
                </c:pt>
                <c:pt idx="7" formatCode="0.0">
                  <c:v>3.3805519456893798</c:v>
                </c:pt>
              </c:numCache>
            </c:numRef>
          </c:val>
          <c:extLst>
            <c:ext xmlns:c16="http://schemas.microsoft.com/office/drawing/2014/chart" uri="{C3380CC4-5D6E-409C-BE32-E72D297353CC}">
              <c16:uniqueId val="{00000000-B990-4B24-AF0B-CEC70E029711}"/>
            </c:ext>
          </c:extLst>
        </c:ser>
        <c:dLbls>
          <c:showLegendKey val="0"/>
          <c:showVal val="0"/>
          <c:showCatName val="0"/>
          <c:showSerName val="0"/>
          <c:showPercent val="0"/>
          <c:showBubbleSize val="0"/>
        </c:dLbls>
        <c:gapWidth val="50"/>
        <c:axId val="170296832"/>
        <c:axId val="168317440"/>
      </c:barChart>
      <c:lineChart>
        <c:grouping val="standard"/>
        <c:varyColors val="0"/>
        <c:ser>
          <c:idx val="0"/>
          <c:order val="1"/>
          <c:tx>
            <c:strRef>
              <c:f>B_ENG!$A$239</c:f>
              <c:strCache>
                <c:ptCount val="1"/>
                <c:pt idx="0">
                  <c:v> As % of all households</c:v>
                </c:pt>
              </c:strCache>
            </c:strRef>
          </c:tx>
          <c:spPr>
            <a:ln w="19050">
              <a:solidFill>
                <a:srgbClr val="47E5FF"/>
              </a:solidFill>
            </a:ln>
          </c:spPr>
          <c:marker>
            <c:symbol val="diamond"/>
            <c:size val="4"/>
            <c:spPr>
              <a:solidFill>
                <a:srgbClr val="009BB4"/>
              </a:solidFill>
              <a:ln w="12700">
                <a:solidFill>
                  <a:srgbClr val="47E5FF"/>
                </a:solidFill>
              </a:ln>
            </c:spPr>
          </c:marker>
          <c:dLbls>
            <c:dLbl>
              <c:idx val="0"/>
              <c:layout>
                <c:manualLayout>
                  <c:x val="-5.65133477633478E-2"/>
                  <c:y val="-5.953165263991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990-4B24-AF0B-CEC70E029711}"/>
                </c:ext>
              </c:extLst>
            </c:dLbl>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B_ENG!$B$237:$I$237</c:f>
              <c:numCache>
                <c:formatCode>0</c:formatCode>
                <c:ptCount val="8"/>
                <c:pt idx="0">
                  <c:v>2003</c:v>
                </c:pt>
                <c:pt idx="1">
                  <c:v>2005</c:v>
                </c:pt>
                <c:pt idx="2">
                  <c:v>2007</c:v>
                </c:pt>
                <c:pt idx="3">
                  <c:v>2009</c:v>
                </c:pt>
                <c:pt idx="4">
                  <c:v>2011</c:v>
                </c:pt>
                <c:pt idx="5">
                  <c:v>2013</c:v>
                </c:pt>
                <c:pt idx="6">
                  <c:v>2015</c:v>
                </c:pt>
                <c:pt idx="7">
                  <c:v>2017</c:v>
                </c:pt>
              </c:numCache>
            </c:numRef>
          </c:cat>
          <c:val>
            <c:numRef>
              <c:f>B_ENG!$B$239:$I$239</c:f>
              <c:numCache>
                <c:formatCode>0.0%</c:formatCode>
                <c:ptCount val="8"/>
                <c:pt idx="0">
                  <c:v>0.14799999999999999</c:v>
                </c:pt>
                <c:pt idx="1">
                  <c:v>0.19078790862909301</c:v>
                </c:pt>
                <c:pt idx="2">
                  <c:v>0.31984155830700101</c:v>
                </c:pt>
                <c:pt idx="3">
                  <c:v>0.49246469256748499</c:v>
                </c:pt>
                <c:pt idx="4">
                  <c:v>0.61699999999999999</c:v>
                </c:pt>
                <c:pt idx="5">
                  <c:v>0.67</c:v>
                </c:pt>
                <c:pt idx="6">
                  <c:v>0.73099999999999998</c:v>
                </c:pt>
                <c:pt idx="7">
                  <c:v>0.77163613279703502</c:v>
                </c:pt>
              </c:numCache>
            </c:numRef>
          </c:val>
          <c:smooth val="0"/>
          <c:extLst>
            <c:ext xmlns:c16="http://schemas.microsoft.com/office/drawing/2014/chart" uri="{C3380CC4-5D6E-409C-BE32-E72D297353CC}">
              <c16:uniqueId val="{00000002-B990-4B24-AF0B-CEC70E029711}"/>
            </c:ext>
          </c:extLst>
        </c:ser>
        <c:dLbls>
          <c:showLegendKey val="0"/>
          <c:showVal val="0"/>
          <c:showCatName val="0"/>
          <c:showSerName val="0"/>
          <c:showPercent val="0"/>
          <c:showBubbleSize val="0"/>
        </c:dLbls>
        <c:marker val="1"/>
        <c:smooth val="0"/>
        <c:axId val="170298368"/>
        <c:axId val="168318016"/>
      </c:lineChart>
      <c:catAx>
        <c:axId val="170296832"/>
        <c:scaling>
          <c:orientation val="minMax"/>
        </c:scaling>
        <c:delete val="0"/>
        <c:axPos val="b"/>
        <c:numFmt formatCode="0" sourceLinked="1"/>
        <c:majorTickMark val="out"/>
        <c:minorTickMark val="none"/>
        <c:tickLblPos val="nextTo"/>
        <c:spPr>
          <a:ln w="3175">
            <a:solidFill>
              <a:srgbClr val="000000"/>
            </a:solidFill>
            <a:prstDash val="solid"/>
          </a:ln>
        </c:spPr>
        <c:txPr>
          <a:bodyPr rot="0" vert="horz"/>
          <a:lstStyle/>
          <a:p>
            <a:pPr>
              <a:defRPr/>
            </a:pPr>
            <a:endParaRPr lang="cs-CZ"/>
          </a:p>
        </c:txPr>
        <c:crossAx val="168317440"/>
        <c:crosses val="autoZero"/>
        <c:auto val="1"/>
        <c:lblAlgn val="ctr"/>
        <c:lblOffset val="140"/>
        <c:tickLblSkip val="1"/>
        <c:tickMarkSkip val="1"/>
        <c:noMultiLvlLbl val="0"/>
      </c:catAx>
      <c:valAx>
        <c:axId val="168317440"/>
        <c:scaling>
          <c:orientation val="minMax"/>
          <c:max val="5"/>
          <c:min val="0"/>
        </c:scaling>
        <c:delete val="0"/>
        <c:axPos val="l"/>
        <c:majorGridlines>
          <c:spPr>
            <a:ln w="12700">
              <a:noFill/>
              <a:prstDash val="dash"/>
            </a:ln>
          </c:spPr>
        </c:majorGridlines>
        <c:numFmt formatCode="#,##0.0" sourceLinked="1"/>
        <c:majorTickMark val="none"/>
        <c:minorTickMark val="none"/>
        <c:tickLblPos val="none"/>
        <c:spPr>
          <a:ln w="9525">
            <a:noFill/>
          </a:ln>
        </c:spPr>
        <c:crossAx val="170296832"/>
        <c:crosses val="autoZero"/>
        <c:crossBetween val="between"/>
        <c:majorUnit val="1"/>
        <c:minorUnit val="0.02"/>
      </c:valAx>
      <c:catAx>
        <c:axId val="170298368"/>
        <c:scaling>
          <c:orientation val="minMax"/>
        </c:scaling>
        <c:delete val="1"/>
        <c:axPos val="b"/>
        <c:numFmt formatCode="0" sourceLinked="1"/>
        <c:majorTickMark val="out"/>
        <c:minorTickMark val="none"/>
        <c:tickLblPos val="none"/>
        <c:crossAx val="168318016"/>
        <c:crosses val="autoZero"/>
        <c:auto val="1"/>
        <c:lblAlgn val="ctr"/>
        <c:lblOffset val="100"/>
        <c:noMultiLvlLbl val="0"/>
      </c:catAx>
      <c:valAx>
        <c:axId val="168318016"/>
        <c:scaling>
          <c:orientation val="minMax"/>
          <c:max val="1"/>
          <c:min val="0"/>
        </c:scaling>
        <c:delete val="0"/>
        <c:axPos val="r"/>
        <c:numFmt formatCode="0.0%" sourceLinked="1"/>
        <c:majorTickMark val="none"/>
        <c:minorTickMark val="none"/>
        <c:tickLblPos val="none"/>
        <c:spPr>
          <a:ln>
            <a:solidFill>
              <a:schemeClr val="bg1">
                <a:lumMod val="65000"/>
              </a:schemeClr>
            </a:solidFill>
          </a:ln>
        </c:spPr>
        <c:crossAx val="170298368"/>
        <c:crosses val="max"/>
        <c:crossBetween val="between"/>
        <c:majorUnit val="0.05"/>
        <c:minorUnit val="0.01"/>
      </c:valAx>
      <c:spPr>
        <a:noFill/>
        <a:ln w="12700">
          <a:solidFill>
            <a:srgbClr val="A6A6A6"/>
          </a:solidFill>
          <a:prstDash val="solid"/>
        </a:ln>
      </c:spPr>
    </c:plotArea>
    <c:legend>
      <c:legendPos val="l"/>
      <c:legendEntry>
        <c:idx val="1"/>
        <c:txPr>
          <a:bodyPr/>
          <a:lstStyle/>
          <a:p>
            <a:pPr>
              <a:defRPr i="0"/>
            </a:pPr>
            <a:endParaRPr lang="cs-CZ"/>
          </a:p>
        </c:txPr>
      </c:legendEntry>
      <c:layout>
        <c:manualLayout>
          <c:xMode val="edge"/>
          <c:yMode val="edge"/>
          <c:x val="4.3021680216802201E-2"/>
          <c:y val="0.154717407407408"/>
          <c:w val="0.50443495934959404"/>
          <c:h val="0.134218148148148"/>
        </c:manualLayout>
      </c:layout>
      <c:overlay val="0"/>
      <c:spPr>
        <a:ln>
          <a:solidFill>
            <a:schemeClr val="bg1">
              <a:lumMod val="50000"/>
            </a:schemeClr>
          </a:solidFill>
        </a:ln>
      </c:spPr>
      <c:txPr>
        <a:bodyPr/>
        <a:lstStyle/>
        <a:p>
          <a:pPr>
            <a:defRPr i="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2642241379310297"/>
          <c:y val="0.13788694847940799"/>
          <c:w val="0.55829565772669199"/>
          <c:h val="0.64196493055555603"/>
        </c:manualLayout>
      </c:layout>
      <c:barChart>
        <c:barDir val="bar"/>
        <c:grouping val="clustered"/>
        <c:varyColors val="0"/>
        <c:ser>
          <c:idx val="0"/>
          <c:order val="0"/>
          <c:tx>
            <c:strRef>
              <c:f>B_ENG!$B$242</c:f>
              <c:strCache>
                <c:ptCount val="1"/>
                <c:pt idx="0">
                  <c:v> 2012</c:v>
                </c:pt>
              </c:strCache>
            </c:strRef>
          </c:tx>
          <c:spPr>
            <a:solidFill>
              <a:srgbClr val="47E5FF"/>
            </a:solidFill>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6F93-4566-929A-484F33B6A7D6}"/>
                </c:ext>
              </c:extLst>
            </c:dLbl>
            <c:dLbl>
              <c:idx val="3"/>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F93-4566-929A-484F33B6A7D6}"/>
                </c:ext>
              </c:extLst>
            </c:dLbl>
            <c:dLbl>
              <c:idx val="4"/>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6F93-4566-929A-484F33B6A7D6}"/>
                </c:ext>
              </c:extLst>
            </c:dLbl>
            <c:spPr>
              <a:noFill/>
              <a:ln>
                <a:noFill/>
              </a:ln>
              <a:effectLst/>
            </c:spPr>
            <c:txPr>
              <a:bodyPr/>
              <a:lstStyle/>
              <a:p>
                <a:pPr>
                  <a:defRPr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B_ENG!$A$243:$A$250</c:f>
              <c:strCache>
                <c:ptCount val="8"/>
                <c:pt idx="0">
                  <c:v> HHs with the highest income</c:v>
                </c:pt>
                <c:pt idx="1">
                  <c:v> HHs with the lowest income</c:v>
                </c:pt>
                <c:pt idx="3">
                  <c:v> Households with children</c:v>
                </c:pt>
                <c:pt idx="4">
                  <c:v> HHs** where all persons 
 are younger than 40 years</c:v>
                </c:pt>
                <c:pt idx="5">
                  <c:v> HHs with all members 
 older than 65</c:v>
                </c:pt>
                <c:pt idx="7">
                  <c:v> All households 
(HHs)</c:v>
                </c:pt>
              </c:strCache>
            </c:strRef>
          </c:cat>
          <c:val>
            <c:numRef>
              <c:f>B_ENG!$B$243:$B$250</c:f>
              <c:numCache>
                <c:formatCode>0%</c:formatCode>
                <c:ptCount val="8"/>
                <c:pt idx="0">
                  <c:v>6.0999999999999902E-2</c:v>
                </c:pt>
                <c:pt idx="1">
                  <c:v>0.76400000000000001</c:v>
                </c:pt>
                <c:pt idx="3">
                  <c:v>0.104</c:v>
                </c:pt>
                <c:pt idx="4">
                  <c:v>0.14799999999999999</c:v>
                </c:pt>
                <c:pt idx="5">
                  <c:v>0.88800000000000001</c:v>
                </c:pt>
                <c:pt idx="7">
                  <c:v>0.34599999999999997</c:v>
                </c:pt>
              </c:numCache>
            </c:numRef>
          </c:val>
          <c:extLst>
            <c:ext xmlns:c16="http://schemas.microsoft.com/office/drawing/2014/chart" uri="{C3380CC4-5D6E-409C-BE32-E72D297353CC}">
              <c16:uniqueId val="{00000003-6F93-4566-929A-484F33B6A7D6}"/>
            </c:ext>
          </c:extLst>
        </c:ser>
        <c:ser>
          <c:idx val="1"/>
          <c:order val="1"/>
          <c:tx>
            <c:strRef>
              <c:f>B_ENG!$C$242</c:f>
              <c:strCache>
                <c:ptCount val="1"/>
                <c:pt idx="0">
                  <c:v> 2017</c:v>
                </c:pt>
              </c:strCache>
            </c:strRef>
          </c:tx>
          <c:spPr>
            <a:solidFill>
              <a:srgbClr val="009BB4"/>
            </a:solidFill>
          </c:spPr>
          <c:invertIfNegative val="0"/>
          <c:dLbls>
            <c:dLbl>
              <c:idx val="1"/>
              <c:layout>
                <c:manualLayout>
                  <c:x val="-9.5025578099680194E-2"/>
                  <c:y val="0"/>
                </c:manualLayout>
              </c:layout>
              <c:spPr/>
              <c:txPr>
                <a:bodyPr/>
                <a:lstStyle/>
                <a:p>
                  <a:pPr>
                    <a:defRPr b="1">
                      <a:solidFill>
                        <a:schemeClr val="bg1"/>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6F93-4566-929A-484F33B6A7D6}"/>
                </c:ext>
              </c:extLst>
            </c:dLbl>
            <c:dLbl>
              <c:idx val="5"/>
              <c:spPr/>
              <c:txPr>
                <a:bodyPr/>
                <a:lstStyle/>
                <a:p>
                  <a:pPr>
                    <a:defRPr b="1">
                      <a:solidFill>
                        <a:schemeClr val="bg1"/>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05-6F93-4566-929A-484F33B6A7D6}"/>
                </c:ext>
              </c:extLst>
            </c:dLbl>
            <c:dLbl>
              <c:idx val="7"/>
              <c:spPr/>
              <c:txPr>
                <a:bodyPr/>
                <a:lstStyle/>
                <a:p>
                  <a:pPr>
                    <a:defRPr b="1">
                      <a:solidFill>
                        <a:schemeClr val="bg1"/>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06-6F93-4566-929A-484F33B6A7D6}"/>
                </c:ext>
              </c:extLst>
            </c:dLbl>
            <c:spPr>
              <a:noFill/>
              <a:ln>
                <a:noFill/>
              </a:ln>
              <a:effectLst/>
            </c:spPr>
            <c:txPr>
              <a:bodyPr/>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B_ENG!$A$243:$A$250</c:f>
              <c:strCache>
                <c:ptCount val="8"/>
                <c:pt idx="0">
                  <c:v> HHs with the highest income</c:v>
                </c:pt>
                <c:pt idx="1">
                  <c:v> HHs with the lowest income</c:v>
                </c:pt>
                <c:pt idx="3">
                  <c:v> Households with children</c:v>
                </c:pt>
                <c:pt idx="4">
                  <c:v> HHs** where all persons 
 are younger than 40 years</c:v>
                </c:pt>
                <c:pt idx="5">
                  <c:v> HHs with all members 
 older than 65</c:v>
                </c:pt>
                <c:pt idx="7">
                  <c:v> All households 
(HHs)</c:v>
                </c:pt>
              </c:strCache>
            </c:strRef>
          </c:cat>
          <c:val>
            <c:numRef>
              <c:f>B_ENG!$C$243:$C$250</c:f>
              <c:numCache>
                <c:formatCode>0%</c:formatCode>
                <c:ptCount val="8"/>
                <c:pt idx="0">
                  <c:v>7.2775537038044999E-3</c:v>
                </c:pt>
                <c:pt idx="1">
                  <c:v>0.57367290356675105</c:v>
                </c:pt>
                <c:pt idx="3">
                  <c:v>4.1397696492881303E-2</c:v>
                </c:pt>
                <c:pt idx="4">
                  <c:v>3.2414183806782099E-2</c:v>
                </c:pt>
                <c:pt idx="5">
                  <c:v>0.68908472763856798</c:v>
                </c:pt>
                <c:pt idx="7">
                  <c:v>0.22816646158136999</c:v>
                </c:pt>
              </c:numCache>
            </c:numRef>
          </c:val>
          <c:extLst>
            <c:ext xmlns:c16="http://schemas.microsoft.com/office/drawing/2014/chart" uri="{C3380CC4-5D6E-409C-BE32-E72D297353CC}">
              <c16:uniqueId val="{00000007-6F93-4566-929A-484F33B6A7D6}"/>
            </c:ext>
          </c:extLst>
        </c:ser>
        <c:dLbls>
          <c:showLegendKey val="0"/>
          <c:showVal val="0"/>
          <c:showCatName val="0"/>
          <c:showSerName val="0"/>
          <c:showPercent val="0"/>
          <c:showBubbleSize val="0"/>
        </c:dLbls>
        <c:gapWidth val="50"/>
        <c:axId val="170298880"/>
        <c:axId val="168319168"/>
      </c:barChart>
      <c:catAx>
        <c:axId val="170298880"/>
        <c:scaling>
          <c:orientation val="minMax"/>
        </c:scaling>
        <c:delete val="0"/>
        <c:axPos val="l"/>
        <c:numFmt formatCode="General" sourceLinked="1"/>
        <c:majorTickMark val="out"/>
        <c:minorTickMark val="none"/>
        <c:tickLblPos val="nextTo"/>
        <c:spPr>
          <a:ln w="3175">
            <a:solidFill>
              <a:schemeClr val="tx1"/>
            </a:solidFill>
          </a:ln>
        </c:spPr>
        <c:crossAx val="168319168"/>
        <c:crosses val="autoZero"/>
        <c:auto val="1"/>
        <c:lblAlgn val="ctr"/>
        <c:lblOffset val="100"/>
        <c:noMultiLvlLbl val="0"/>
      </c:catAx>
      <c:valAx>
        <c:axId val="168319168"/>
        <c:scaling>
          <c:orientation val="minMax"/>
          <c:max val="1"/>
        </c:scaling>
        <c:delete val="0"/>
        <c:axPos val="b"/>
        <c:numFmt formatCode="0%" sourceLinked="1"/>
        <c:majorTickMark val="none"/>
        <c:minorTickMark val="none"/>
        <c:tickLblPos val="none"/>
        <c:crossAx val="170298880"/>
        <c:crosses val="autoZero"/>
        <c:crossBetween val="between"/>
        <c:majorUnit val="0.1"/>
        <c:minorUnit val="0.05"/>
      </c:valAx>
      <c:spPr>
        <a:ln w="12700">
          <a:solidFill>
            <a:schemeClr val="bg1">
              <a:lumMod val="65000"/>
            </a:schemeClr>
          </a:solidFill>
        </a:ln>
      </c:spPr>
    </c:plotArea>
    <c:legend>
      <c:legendPos val="r"/>
      <c:layout>
        <c:manualLayout>
          <c:xMode val="edge"/>
          <c:yMode val="edge"/>
          <c:x val="0.77479980842912"/>
          <c:y val="0.161048546506356"/>
          <c:w val="0.18194827586206899"/>
          <c:h val="0.116318402777778"/>
        </c:manualLayout>
      </c:layout>
      <c:overlay val="0"/>
      <c:spPr>
        <a:solidFill>
          <a:schemeClr val="bg1"/>
        </a:solidFill>
        <a:ln>
          <a:solidFill>
            <a:schemeClr val="tx1">
              <a:tint val="75000"/>
              <a:shade val="95000"/>
              <a:satMod val="105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5949831649831703E-2"/>
          <c:y val="0.13364166666666699"/>
          <c:w val="0.90411750841750804"/>
          <c:h val="0.52586450617283897"/>
        </c:manualLayout>
      </c:layout>
      <c:barChart>
        <c:barDir val="col"/>
        <c:grouping val="clustered"/>
        <c:varyColors val="0"/>
        <c:ser>
          <c:idx val="0"/>
          <c:order val="0"/>
          <c:tx>
            <c:strRef>
              <c:f>B_ENG!$B$271</c:f>
              <c:strCache>
                <c:ptCount val="1"/>
                <c:pt idx="0">
                  <c:v> 2017</c:v>
                </c:pt>
              </c:strCache>
            </c:strRef>
          </c:tx>
          <c:spPr>
            <a:solidFill>
              <a:srgbClr val="009BB4"/>
            </a:solidFill>
          </c:spPr>
          <c:invertIfNegative val="0"/>
          <c:dPt>
            <c:idx val="9"/>
            <c:invertIfNegative val="0"/>
            <c:bubble3D val="0"/>
            <c:spPr>
              <a:solidFill>
                <a:srgbClr val="47E5FF"/>
              </a:solidFill>
              <a:ln>
                <a:solidFill>
                  <a:srgbClr val="FF0000"/>
                </a:solidFill>
              </a:ln>
            </c:spPr>
            <c:extLst>
              <c:ext xmlns:c16="http://schemas.microsoft.com/office/drawing/2014/chart" uri="{C3380CC4-5D6E-409C-BE32-E72D297353CC}">
                <c16:uniqueId val="{00000001-ABEA-4339-B01A-70110253C3DE}"/>
              </c:ext>
            </c:extLst>
          </c:dPt>
          <c:dPt>
            <c:idx val="16"/>
            <c:invertIfNegative val="0"/>
            <c:bubble3D val="0"/>
            <c:spPr>
              <a:solidFill>
                <a:srgbClr val="47E5FF"/>
              </a:solidFill>
              <a:ln>
                <a:solidFill>
                  <a:srgbClr val="FF0000"/>
                </a:solidFill>
              </a:ln>
            </c:spPr>
            <c:extLst>
              <c:ext xmlns:c16="http://schemas.microsoft.com/office/drawing/2014/chart" uri="{C3380CC4-5D6E-409C-BE32-E72D297353CC}">
                <c16:uniqueId val="{00000003-ABEA-4339-B01A-70110253C3DE}"/>
              </c:ext>
            </c:extLst>
          </c:dPt>
          <c:dLbls>
            <c:dLbl>
              <c:idx val="9"/>
              <c:spPr/>
              <c:txPr>
                <a:bodyPr rot="-5400000" vert="horz"/>
                <a:lstStyle/>
                <a:p>
                  <a:pPr>
                    <a:defRPr sz="800" b="1">
                      <a:solidFill>
                        <a:schemeClr val="tx1"/>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01-ABEA-4339-B01A-70110253C3DE}"/>
                </c:ext>
              </c:extLst>
            </c:dLbl>
            <c:dLbl>
              <c:idx val="16"/>
              <c:spPr/>
              <c:txPr>
                <a:bodyPr rot="-5400000" vert="horz"/>
                <a:lstStyle/>
                <a:p>
                  <a:pPr>
                    <a:defRPr sz="800" b="1">
                      <a:solidFill>
                        <a:schemeClr val="tx1"/>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03-ABEA-4339-B01A-70110253C3DE}"/>
                </c:ext>
              </c:extLst>
            </c:dLbl>
            <c:dLbl>
              <c:idx val="22"/>
              <c:layout>
                <c:manualLayout>
                  <c:x val="0"/>
                  <c:y val="1.1759259259259301E-2"/>
                </c:manualLayout>
              </c:layout>
              <c:spPr/>
              <c:txPr>
                <a:bodyPr rot="-5400000" vert="horz"/>
                <a:lstStyle/>
                <a:p>
                  <a:pPr>
                    <a:defRPr sz="800" b="1">
                      <a:solidFill>
                        <a:sysClr val="windowText" lastClr="000000"/>
                      </a:solidFill>
                    </a:defRPr>
                  </a:pPr>
                  <a:endParaRPr lang="cs-CZ"/>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ABEA-4339-B01A-70110253C3DE}"/>
                </c:ext>
              </c:extLst>
            </c:dLbl>
            <c:dLbl>
              <c:idx val="23"/>
              <c:layout>
                <c:manualLayout>
                  <c:x val="-1.5307734625501001E-16"/>
                  <c:y val="-2.3518518518518602E-2"/>
                </c:manualLayout>
              </c:layout>
              <c:spPr/>
              <c:txPr>
                <a:bodyPr rot="-5400000" vert="horz"/>
                <a:lstStyle/>
                <a:p>
                  <a:pPr>
                    <a:defRPr sz="800" b="1">
                      <a:solidFill>
                        <a:sysClr val="windowText" lastClr="000000"/>
                      </a:solidFill>
                    </a:defRPr>
                  </a:pPr>
                  <a:endParaRPr lang="cs-CZ"/>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ABEA-4339-B01A-70110253C3DE}"/>
                </c:ext>
              </c:extLst>
            </c:dLbl>
            <c:dLbl>
              <c:idx val="24"/>
              <c:layout>
                <c:manualLayout>
                  <c:x val="2.0874424720578599E-3"/>
                  <c:y val="1.5679012345678998E-2"/>
                </c:manualLayout>
              </c:layout>
              <c:spPr/>
              <c:txPr>
                <a:bodyPr rot="-5400000" vert="horz"/>
                <a:lstStyle/>
                <a:p>
                  <a:pPr>
                    <a:defRPr sz="800" b="1">
                      <a:solidFill>
                        <a:sysClr val="windowText" lastClr="000000"/>
                      </a:solidFill>
                    </a:defRPr>
                  </a:pPr>
                  <a:endParaRPr lang="cs-CZ"/>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ABEA-4339-B01A-70110253C3DE}"/>
                </c:ext>
              </c:extLst>
            </c:dLbl>
            <c:dLbl>
              <c:idx val="25"/>
              <c:layout>
                <c:manualLayout>
                  <c:x val="-1.5307734625501001E-16"/>
                  <c:y val="-7.0555555555555496E-2"/>
                </c:manualLayout>
              </c:layout>
              <c:spPr/>
              <c:txPr>
                <a:bodyPr rot="-5400000" vert="horz"/>
                <a:lstStyle/>
                <a:p>
                  <a:pPr>
                    <a:defRPr sz="800" b="1">
                      <a:solidFill>
                        <a:sysClr val="windowText" lastClr="000000"/>
                      </a:solidFill>
                    </a:defRPr>
                  </a:pPr>
                  <a:endParaRPr lang="cs-CZ"/>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ABEA-4339-B01A-70110253C3DE}"/>
                </c:ext>
              </c:extLst>
            </c:dLbl>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B_ENG!$A$272:$A$297</c:f>
              <c:strCache>
                <c:ptCount val="26"/>
                <c:pt idx="0">
                  <c:v>Bulgaria</c:v>
                </c:pt>
                <c:pt idx="1">
                  <c:v>Romania</c:v>
                </c:pt>
                <c:pt idx="2">
                  <c:v>Hungary</c:v>
                </c:pt>
                <c:pt idx="3">
                  <c:v>Latvia</c:v>
                </c:pt>
                <c:pt idx="4">
                  <c:v>Lithuania</c:v>
                </c:pt>
                <c:pt idx="5">
                  <c:v>Portugal</c:v>
                </c:pt>
                <c:pt idx="6">
                  <c:v>Slovenia</c:v>
                </c:pt>
                <c:pt idx="7">
                  <c:v>Poland</c:v>
                </c:pt>
                <c:pt idx="8">
                  <c:v>Greece</c:v>
                </c:pt>
                <c:pt idx="9">
                  <c:v>Czech Republic</c:v>
                </c:pt>
                <c:pt idx="10">
                  <c:v>Cyprus</c:v>
                </c:pt>
                <c:pt idx="11">
                  <c:v>Italy</c:v>
                </c:pt>
                <c:pt idx="12">
                  <c:v>Spain</c:v>
                </c:pt>
                <c:pt idx="13">
                  <c:v>Croatia</c:v>
                </c:pt>
                <c:pt idx="14">
                  <c:v>Slovakia</c:v>
                </c:pt>
                <c:pt idx="15">
                  <c:v>Belgium</c:v>
                </c:pt>
                <c:pt idx="16">
                  <c:v>EU28</c:v>
                </c:pt>
                <c:pt idx="17">
                  <c:v>Estonia</c:v>
                </c:pt>
                <c:pt idx="18">
                  <c:v>France</c:v>
                </c:pt>
                <c:pt idx="19">
                  <c:v>Austria</c:v>
                </c:pt>
                <c:pt idx="20">
                  <c:v>Germany</c:v>
                </c:pt>
                <c:pt idx="21">
                  <c:v>Finland</c:v>
                </c:pt>
                <c:pt idx="22">
                  <c:v>Sweden</c:v>
                </c:pt>
                <c:pt idx="23">
                  <c:v>Denmark</c:v>
                </c:pt>
                <c:pt idx="24">
                  <c:v>Luxembourg </c:v>
                </c:pt>
                <c:pt idx="25">
                  <c:v>Netherlands</c:v>
                </c:pt>
              </c:strCache>
            </c:strRef>
          </c:cat>
          <c:val>
            <c:numRef>
              <c:f>B_ENG!$B$272:$B$297</c:f>
              <c:numCache>
                <c:formatCode>0%</c:formatCode>
                <c:ptCount val="26"/>
                <c:pt idx="0">
                  <c:v>0.73157700000000003</c:v>
                </c:pt>
                <c:pt idx="1">
                  <c:v>0.54443600000000003</c:v>
                </c:pt>
                <c:pt idx="2">
                  <c:v>0.54433299999999996</c:v>
                </c:pt>
                <c:pt idx="3">
                  <c:v>0.54077399999999998</c:v>
                </c:pt>
                <c:pt idx="4">
                  <c:v>0.53537199999999996</c:v>
                </c:pt>
                <c:pt idx="5">
                  <c:v>0.52470499999999998</c:v>
                </c:pt>
                <c:pt idx="6">
                  <c:v>0.48167599999999999</c:v>
                </c:pt>
                <c:pt idx="7">
                  <c:v>0.46270499999999998</c:v>
                </c:pt>
                <c:pt idx="8">
                  <c:v>0.45954499999999998</c:v>
                </c:pt>
                <c:pt idx="9">
                  <c:v>0.44774399999999998</c:v>
                </c:pt>
                <c:pt idx="10">
                  <c:v>0.432508</c:v>
                </c:pt>
                <c:pt idx="12">
                  <c:v>0.36359999999999998</c:v>
                </c:pt>
                <c:pt idx="13">
                  <c:v>0.34308300000000003</c:v>
                </c:pt>
                <c:pt idx="14">
                  <c:v>0.33927299999999999</c:v>
                </c:pt>
                <c:pt idx="15">
                  <c:v>0.32489400000000002</c:v>
                </c:pt>
                <c:pt idx="16">
                  <c:v>0.29457299999999997</c:v>
                </c:pt>
                <c:pt idx="17">
                  <c:v>0.29307899999999998</c:v>
                </c:pt>
                <c:pt idx="18">
                  <c:v>0.289885</c:v>
                </c:pt>
                <c:pt idx="19">
                  <c:v>0.179114</c:v>
                </c:pt>
                <c:pt idx="20">
                  <c:v>0.16694899999999999</c:v>
                </c:pt>
                <c:pt idx="21">
                  <c:v>0.131049</c:v>
                </c:pt>
                <c:pt idx="22">
                  <c:v>9.4842999999999997E-2</c:v>
                </c:pt>
                <c:pt idx="23">
                  <c:v>8.0595E-2</c:v>
                </c:pt>
                <c:pt idx="24">
                  <c:v>5.8673999999999997E-2</c:v>
                </c:pt>
                <c:pt idx="25">
                  <c:v>3.1744000000000001E-2</c:v>
                </c:pt>
              </c:numCache>
            </c:numRef>
          </c:val>
          <c:extLst>
            <c:ext xmlns:c16="http://schemas.microsoft.com/office/drawing/2014/chart" uri="{C3380CC4-5D6E-409C-BE32-E72D297353CC}">
              <c16:uniqueId val="{00000008-ABEA-4339-B01A-70110253C3DE}"/>
            </c:ext>
          </c:extLst>
        </c:ser>
        <c:dLbls>
          <c:showLegendKey val="0"/>
          <c:showVal val="0"/>
          <c:showCatName val="0"/>
          <c:showSerName val="0"/>
          <c:showPercent val="0"/>
          <c:showBubbleSize val="0"/>
        </c:dLbls>
        <c:gapWidth val="50"/>
        <c:axId val="170665472"/>
        <c:axId val="169762816"/>
      </c:barChart>
      <c:scatterChart>
        <c:scatterStyle val="lineMarker"/>
        <c:varyColors val="0"/>
        <c:ser>
          <c:idx val="1"/>
          <c:order val="1"/>
          <c:tx>
            <c:strRef>
              <c:f>B_ENG!$C$271</c:f>
              <c:strCache>
                <c:ptCount val="1"/>
                <c:pt idx="0">
                  <c:v> 2012</c:v>
                </c:pt>
              </c:strCache>
            </c:strRef>
          </c:tx>
          <c:spPr>
            <a:ln w="28575">
              <a:noFill/>
            </a:ln>
          </c:spPr>
          <c:marker>
            <c:symbol val="triangle"/>
            <c:size val="6"/>
            <c:spPr>
              <a:solidFill>
                <a:schemeClr val="tx1"/>
              </a:solidFill>
              <a:ln w="15875">
                <a:solidFill>
                  <a:schemeClr val="tx1"/>
                </a:solidFill>
              </a:ln>
            </c:spPr>
          </c:marker>
          <c:xVal>
            <c:strRef>
              <c:f>B_ENG!$A$272:$A$297</c:f>
              <c:strCache>
                <c:ptCount val="26"/>
                <c:pt idx="0">
                  <c:v>Bulgaria</c:v>
                </c:pt>
                <c:pt idx="1">
                  <c:v>Romania</c:v>
                </c:pt>
                <c:pt idx="2">
                  <c:v>Hungary</c:v>
                </c:pt>
                <c:pt idx="3">
                  <c:v>Latvia</c:v>
                </c:pt>
                <c:pt idx="4">
                  <c:v>Lithuania</c:v>
                </c:pt>
                <c:pt idx="5">
                  <c:v>Portugal</c:v>
                </c:pt>
                <c:pt idx="6">
                  <c:v>Slovenia</c:v>
                </c:pt>
                <c:pt idx="7">
                  <c:v>Poland</c:v>
                </c:pt>
                <c:pt idx="8">
                  <c:v>Greece</c:v>
                </c:pt>
                <c:pt idx="9">
                  <c:v>Czech Republic</c:v>
                </c:pt>
                <c:pt idx="10">
                  <c:v>Cyprus</c:v>
                </c:pt>
                <c:pt idx="11">
                  <c:v>Italy</c:v>
                </c:pt>
                <c:pt idx="12">
                  <c:v>Spain</c:v>
                </c:pt>
                <c:pt idx="13">
                  <c:v>Croatia</c:v>
                </c:pt>
                <c:pt idx="14">
                  <c:v>Slovakia</c:v>
                </c:pt>
                <c:pt idx="15">
                  <c:v>Belgium</c:v>
                </c:pt>
                <c:pt idx="16">
                  <c:v>EU28</c:v>
                </c:pt>
                <c:pt idx="17">
                  <c:v>Estonia</c:v>
                </c:pt>
                <c:pt idx="18">
                  <c:v>France</c:v>
                </c:pt>
                <c:pt idx="19">
                  <c:v>Austria</c:v>
                </c:pt>
                <c:pt idx="20">
                  <c:v>Germany</c:v>
                </c:pt>
                <c:pt idx="21">
                  <c:v>Finland</c:v>
                </c:pt>
                <c:pt idx="22">
                  <c:v>Sweden</c:v>
                </c:pt>
                <c:pt idx="23">
                  <c:v>Denmark</c:v>
                </c:pt>
                <c:pt idx="24">
                  <c:v>Luxembourg </c:v>
                </c:pt>
                <c:pt idx="25">
                  <c:v>Netherlands</c:v>
                </c:pt>
              </c:strCache>
            </c:strRef>
          </c:xVal>
          <c:yVal>
            <c:numRef>
              <c:f>B_ENG!$C$272:$C$297</c:f>
              <c:numCache>
                <c:formatCode>0%</c:formatCode>
                <c:ptCount val="26"/>
                <c:pt idx="0">
                  <c:v>0.82346600000000003</c:v>
                </c:pt>
                <c:pt idx="1">
                  <c:v>0.809701</c:v>
                </c:pt>
                <c:pt idx="2">
                  <c:v>0.69682299999999997</c:v>
                </c:pt>
                <c:pt idx="3">
                  <c:v>0.621089</c:v>
                </c:pt>
                <c:pt idx="4">
                  <c:v>0.76537699999999997</c:v>
                </c:pt>
                <c:pt idx="5">
                  <c:v>0.72313099999999997</c:v>
                </c:pt>
                <c:pt idx="6">
                  <c:v>0.63156400000000001</c:v>
                </c:pt>
                <c:pt idx="7">
                  <c:v>0.61707500000000004</c:v>
                </c:pt>
                <c:pt idx="8">
                  <c:v>0.71340899999999996</c:v>
                </c:pt>
                <c:pt idx="9">
                  <c:v>0.76354900000000003</c:v>
                </c:pt>
                <c:pt idx="10">
                  <c:v>0.64702899999999997</c:v>
                </c:pt>
                <c:pt idx="11">
                  <c:v>0.61606300000000003</c:v>
                </c:pt>
                <c:pt idx="12">
                  <c:v>0.60031199999999996</c:v>
                </c:pt>
                <c:pt idx="13">
                  <c:v>0.55366499999999996</c:v>
                </c:pt>
                <c:pt idx="14">
                  <c:v>0.552898</c:v>
                </c:pt>
                <c:pt idx="15">
                  <c:v>0.48208800000000002</c:v>
                </c:pt>
                <c:pt idx="16">
                  <c:v>0.48263200000000001</c:v>
                </c:pt>
                <c:pt idx="17">
                  <c:v>0.55875300000000006</c:v>
                </c:pt>
                <c:pt idx="18">
                  <c:v>0.363062</c:v>
                </c:pt>
                <c:pt idx="19">
                  <c:v>0.38230399999999998</c:v>
                </c:pt>
                <c:pt idx="20">
                  <c:v>0.30425999999999997</c:v>
                </c:pt>
                <c:pt idx="21">
                  <c:v>0.29307100000000003</c:v>
                </c:pt>
                <c:pt idx="22">
                  <c:v>0.243619</c:v>
                </c:pt>
                <c:pt idx="23">
                  <c:v>9.6526000000000001E-2</c:v>
                </c:pt>
                <c:pt idx="24">
                  <c:v>0.175619</c:v>
                </c:pt>
                <c:pt idx="25">
                  <c:v>0.129991</c:v>
                </c:pt>
              </c:numCache>
            </c:numRef>
          </c:yVal>
          <c:smooth val="0"/>
          <c:extLst>
            <c:ext xmlns:c16="http://schemas.microsoft.com/office/drawing/2014/chart" uri="{C3380CC4-5D6E-409C-BE32-E72D297353CC}">
              <c16:uniqueId val="{00000009-ABEA-4339-B01A-70110253C3DE}"/>
            </c:ext>
          </c:extLst>
        </c:ser>
        <c:dLbls>
          <c:showLegendKey val="0"/>
          <c:showVal val="0"/>
          <c:showCatName val="0"/>
          <c:showSerName val="0"/>
          <c:showPercent val="0"/>
          <c:showBubbleSize val="0"/>
        </c:dLbls>
        <c:axId val="169763968"/>
        <c:axId val="169763392"/>
      </c:scatterChart>
      <c:catAx>
        <c:axId val="170665472"/>
        <c:scaling>
          <c:orientation val="minMax"/>
        </c:scaling>
        <c:delete val="0"/>
        <c:axPos val="b"/>
        <c:numFmt formatCode="General" sourceLinked="0"/>
        <c:majorTickMark val="out"/>
        <c:minorTickMark val="none"/>
        <c:tickLblPos val="nextTo"/>
        <c:spPr>
          <a:ln w="3175">
            <a:solidFill>
              <a:schemeClr val="tx1"/>
            </a:solidFill>
          </a:ln>
        </c:spPr>
        <c:crossAx val="169762816"/>
        <c:crosses val="autoZero"/>
        <c:auto val="1"/>
        <c:lblAlgn val="ctr"/>
        <c:lblOffset val="100"/>
        <c:noMultiLvlLbl val="0"/>
      </c:catAx>
      <c:valAx>
        <c:axId val="169762816"/>
        <c:scaling>
          <c:orientation val="minMax"/>
          <c:max val="1"/>
          <c:min val="0"/>
        </c:scaling>
        <c:delete val="0"/>
        <c:axPos val="l"/>
        <c:majorGridlines>
          <c:spPr>
            <a:ln w="12700">
              <a:solidFill>
                <a:srgbClr val="A6A6A6"/>
              </a:solidFill>
            </a:ln>
          </c:spPr>
        </c:majorGridlines>
        <c:numFmt formatCode="0%" sourceLinked="1"/>
        <c:majorTickMark val="out"/>
        <c:minorTickMark val="none"/>
        <c:tickLblPos val="nextTo"/>
        <c:crossAx val="170665472"/>
        <c:crosses val="autoZero"/>
        <c:crossBetween val="between"/>
        <c:majorUnit val="0.1"/>
        <c:minorUnit val="0.05"/>
      </c:valAx>
      <c:valAx>
        <c:axId val="169763392"/>
        <c:scaling>
          <c:orientation val="minMax"/>
          <c:max val="1"/>
        </c:scaling>
        <c:delete val="0"/>
        <c:axPos val="r"/>
        <c:numFmt formatCode="0%" sourceLinked="1"/>
        <c:majorTickMark val="none"/>
        <c:minorTickMark val="none"/>
        <c:tickLblPos val="none"/>
        <c:crossAx val="169763968"/>
        <c:crosses val="max"/>
        <c:crossBetween val="midCat"/>
        <c:majorUnit val="0.1"/>
      </c:valAx>
      <c:valAx>
        <c:axId val="169763968"/>
        <c:scaling>
          <c:orientation val="minMax"/>
        </c:scaling>
        <c:delete val="1"/>
        <c:axPos val="b"/>
        <c:majorTickMark val="out"/>
        <c:minorTickMark val="none"/>
        <c:tickLblPos val="none"/>
        <c:crossAx val="169763392"/>
        <c:crosses val="autoZero"/>
        <c:crossBetween val="midCat"/>
      </c:valAx>
      <c:spPr>
        <a:ln>
          <a:solidFill>
            <a:schemeClr val="tx1">
              <a:tint val="75000"/>
              <a:shade val="95000"/>
              <a:satMod val="105000"/>
            </a:schemeClr>
          </a:solidFill>
        </a:ln>
      </c:spPr>
    </c:plotArea>
    <c:legend>
      <c:legendPos val="r"/>
      <c:layout>
        <c:manualLayout>
          <c:xMode val="edge"/>
          <c:yMode val="edge"/>
          <c:x val="0.88713921761998704"/>
          <c:y val="0.15996882716049399"/>
          <c:w val="7.1111932938855996E-2"/>
          <c:h val="0.116382098765432"/>
        </c:manualLayout>
      </c:layout>
      <c:overlay val="0"/>
      <c:spPr>
        <a:solidFill>
          <a:schemeClr val="bg1"/>
        </a:solidFill>
        <a:ln>
          <a:solidFill>
            <a:schemeClr val="tx1">
              <a:tint val="75000"/>
              <a:shade val="95000"/>
              <a:satMod val="105000"/>
            </a:schemeClr>
          </a:solidFill>
        </a:ln>
      </c:sp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38135167981066E-2"/>
          <c:y val="0.16431944444444399"/>
          <c:w val="0.96948369216085795"/>
          <c:h val="0.65362896825396799"/>
        </c:manualLayout>
      </c:layout>
      <c:barChart>
        <c:barDir val="col"/>
        <c:grouping val="clustered"/>
        <c:varyColors val="0"/>
        <c:ser>
          <c:idx val="2"/>
          <c:order val="0"/>
          <c:tx>
            <c:strRef>
              <c:f>B_ENG!$A$302</c:f>
              <c:strCache>
                <c:ptCount val="1"/>
                <c:pt idx="0">
                  <c:v> Millions</c:v>
                </c:pt>
              </c:strCache>
            </c:strRef>
          </c:tx>
          <c:spPr>
            <a:solidFill>
              <a:srgbClr val="009BB4"/>
            </a:solidFill>
            <a:ln w="25400">
              <a:noFill/>
            </a:ln>
          </c:spPr>
          <c:invertIfNegative val="0"/>
          <c:dLbls>
            <c:numFmt formatCode="#,##0.0" sourceLinked="0"/>
            <c:spPr>
              <a:noFill/>
              <a:ln>
                <a:noFill/>
              </a:ln>
              <a:effectLst/>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B_ENG!$B$301:$H$301</c:f>
              <c:numCache>
                <c:formatCode>0</c:formatCode>
                <c:ptCount val="7"/>
                <c:pt idx="0">
                  <c:v>2005</c:v>
                </c:pt>
                <c:pt idx="1">
                  <c:v>2007</c:v>
                </c:pt>
                <c:pt idx="2">
                  <c:v>2009</c:v>
                </c:pt>
                <c:pt idx="3">
                  <c:v>2011</c:v>
                </c:pt>
                <c:pt idx="4">
                  <c:v>2013</c:v>
                </c:pt>
                <c:pt idx="5">
                  <c:v>2015</c:v>
                </c:pt>
                <c:pt idx="6">
                  <c:v>2017</c:v>
                </c:pt>
              </c:numCache>
            </c:numRef>
          </c:cat>
          <c:val>
            <c:numRef>
              <c:f>B_ENG!$B$302:$H$302</c:f>
              <c:numCache>
                <c:formatCode>#,##0.0</c:formatCode>
                <c:ptCount val="7"/>
                <c:pt idx="0">
                  <c:v>3.3227115671584802</c:v>
                </c:pt>
                <c:pt idx="1">
                  <c:v>2.881268572741206</c:v>
                </c:pt>
                <c:pt idx="2">
                  <c:v>2.187296197462675</c:v>
                </c:pt>
                <c:pt idx="3" formatCode="0.0">
                  <c:v>1.571098278768233</c:v>
                </c:pt>
                <c:pt idx="4">
                  <c:v>1.401718835820895</c:v>
                </c:pt>
                <c:pt idx="5">
                  <c:v>1.1449225102599181</c:v>
                </c:pt>
                <c:pt idx="6" formatCode="0.0">
                  <c:v>1.0004662596602301</c:v>
                </c:pt>
              </c:numCache>
            </c:numRef>
          </c:val>
          <c:extLst>
            <c:ext xmlns:c16="http://schemas.microsoft.com/office/drawing/2014/chart" uri="{C3380CC4-5D6E-409C-BE32-E72D297353CC}">
              <c16:uniqueId val="{00000000-2F23-44B6-9E51-2AFA0D8F373D}"/>
            </c:ext>
          </c:extLst>
        </c:ser>
        <c:dLbls>
          <c:showLegendKey val="0"/>
          <c:showVal val="0"/>
          <c:showCatName val="0"/>
          <c:showSerName val="0"/>
          <c:showPercent val="0"/>
          <c:showBubbleSize val="0"/>
        </c:dLbls>
        <c:gapWidth val="50"/>
        <c:axId val="170665984"/>
        <c:axId val="169765696"/>
      </c:barChart>
      <c:lineChart>
        <c:grouping val="standard"/>
        <c:varyColors val="0"/>
        <c:ser>
          <c:idx val="0"/>
          <c:order val="1"/>
          <c:tx>
            <c:strRef>
              <c:f>B_ENG!$A$303</c:f>
              <c:strCache>
                <c:ptCount val="1"/>
                <c:pt idx="0">
                  <c:v> As % of all households</c:v>
                </c:pt>
              </c:strCache>
            </c:strRef>
          </c:tx>
          <c:spPr>
            <a:ln w="19050">
              <a:solidFill>
                <a:srgbClr val="47E5FF"/>
              </a:solidFill>
            </a:ln>
          </c:spPr>
          <c:marker>
            <c:symbol val="diamond"/>
            <c:size val="4"/>
            <c:spPr>
              <a:solidFill>
                <a:srgbClr val="009BB4"/>
              </a:solidFill>
              <a:ln w="12700">
                <a:solidFill>
                  <a:srgbClr val="47E5FF"/>
                </a:solidFill>
              </a:ln>
            </c:spPr>
          </c:marker>
          <c:dLbls>
            <c:dLbl>
              <c:idx val="0"/>
              <c:layout>
                <c:manualLayout>
                  <c:x val="-5.65133477633478E-2"/>
                  <c:y val="-5.953165263991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F23-44B6-9E51-2AFA0D8F373D}"/>
                </c:ext>
              </c:extLst>
            </c:dLbl>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B_ENG!$B$301:$H$301</c:f>
              <c:numCache>
                <c:formatCode>0</c:formatCode>
                <c:ptCount val="7"/>
                <c:pt idx="0">
                  <c:v>2005</c:v>
                </c:pt>
                <c:pt idx="1">
                  <c:v>2007</c:v>
                </c:pt>
                <c:pt idx="2">
                  <c:v>2009</c:v>
                </c:pt>
                <c:pt idx="3">
                  <c:v>2011</c:v>
                </c:pt>
                <c:pt idx="4">
                  <c:v>2013</c:v>
                </c:pt>
                <c:pt idx="5">
                  <c:v>2015</c:v>
                </c:pt>
                <c:pt idx="6">
                  <c:v>2017</c:v>
                </c:pt>
              </c:numCache>
            </c:numRef>
          </c:cat>
          <c:val>
            <c:numRef>
              <c:f>B_ENG!$B$303:$H$303</c:f>
              <c:numCache>
                <c:formatCode>0.0%</c:formatCode>
                <c:ptCount val="7"/>
                <c:pt idx="0">
                  <c:v>0.80921209137090699</c:v>
                </c:pt>
                <c:pt idx="1">
                  <c:v>0.68015844169299899</c:v>
                </c:pt>
                <c:pt idx="2">
                  <c:v>0.50753530743251496</c:v>
                </c:pt>
                <c:pt idx="3">
                  <c:v>0.38300000000000001</c:v>
                </c:pt>
                <c:pt idx="4">
                  <c:v>0.33</c:v>
                </c:pt>
                <c:pt idx="5">
                  <c:v>0.26900000000000002</c:v>
                </c:pt>
                <c:pt idx="6">
                  <c:v>0.228363867202965</c:v>
                </c:pt>
              </c:numCache>
            </c:numRef>
          </c:val>
          <c:smooth val="0"/>
          <c:extLst>
            <c:ext xmlns:c16="http://schemas.microsoft.com/office/drawing/2014/chart" uri="{C3380CC4-5D6E-409C-BE32-E72D297353CC}">
              <c16:uniqueId val="{00000002-2F23-44B6-9E51-2AFA0D8F373D}"/>
            </c:ext>
          </c:extLst>
        </c:ser>
        <c:dLbls>
          <c:showLegendKey val="0"/>
          <c:showVal val="0"/>
          <c:showCatName val="0"/>
          <c:showSerName val="0"/>
          <c:showPercent val="0"/>
          <c:showBubbleSize val="0"/>
        </c:dLbls>
        <c:marker val="1"/>
        <c:smooth val="0"/>
        <c:axId val="170812416"/>
        <c:axId val="169766272"/>
      </c:lineChart>
      <c:catAx>
        <c:axId val="170665984"/>
        <c:scaling>
          <c:orientation val="minMax"/>
        </c:scaling>
        <c:delete val="0"/>
        <c:axPos val="b"/>
        <c:numFmt formatCode="0" sourceLinked="1"/>
        <c:majorTickMark val="out"/>
        <c:minorTickMark val="none"/>
        <c:tickLblPos val="nextTo"/>
        <c:spPr>
          <a:ln w="3175">
            <a:solidFill>
              <a:srgbClr val="000000"/>
            </a:solidFill>
            <a:prstDash val="solid"/>
          </a:ln>
        </c:spPr>
        <c:txPr>
          <a:bodyPr rot="0" vert="horz"/>
          <a:lstStyle/>
          <a:p>
            <a:pPr>
              <a:defRPr/>
            </a:pPr>
            <a:endParaRPr lang="cs-CZ"/>
          </a:p>
        </c:txPr>
        <c:crossAx val="169765696"/>
        <c:crosses val="autoZero"/>
        <c:auto val="1"/>
        <c:lblAlgn val="ctr"/>
        <c:lblOffset val="140"/>
        <c:tickLblSkip val="1"/>
        <c:tickMarkSkip val="1"/>
        <c:noMultiLvlLbl val="0"/>
      </c:catAx>
      <c:valAx>
        <c:axId val="169765696"/>
        <c:scaling>
          <c:orientation val="minMax"/>
          <c:max val="5"/>
          <c:min val="0"/>
        </c:scaling>
        <c:delete val="0"/>
        <c:axPos val="l"/>
        <c:majorGridlines>
          <c:spPr>
            <a:ln w="12700">
              <a:noFill/>
              <a:prstDash val="dash"/>
            </a:ln>
          </c:spPr>
        </c:majorGridlines>
        <c:numFmt formatCode="#,##0.0" sourceLinked="1"/>
        <c:majorTickMark val="none"/>
        <c:minorTickMark val="none"/>
        <c:tickLblPos val="none"/>
        <c:spPr>
          <a:ln w="9525">
            <a:noFill/>
          </a:ln>
        </c:spPr>
        <c:crossAx val="170665984"/>
        <c:crosses val="autoZero"/>
        <c:crossBetween val="between"/>
        <c:majorUnit val="1"/>
        <c:minorUnit val="0.02"/>
      </c:valAx>
      <c:catAx>
        <c:axId val="170812416"/>
        <c:scaling>
          <c:orientation val="minMax"/>
        </c:scaling>
        <c:delete val="1"/>
        <c:axPos val="b"/>
        <c:numFmt formatCode="0" sourceLinked="1"/>
        <c:majorTickMark val="out"/>
        <c:minorTickMark val="none"/>
        <c:tickLblPos val="none"/>
        <c:crossAx val="169766272"/>
        <c:crosses val="autoZero"/>
        <c:auto val="1"/>
        <c:lblAlgn val="ctr"/>
        <c:lblOffset val="100"/>
        <c:noMultiLvlLbl val="0"/>
      </c:catAx>
      <c:valAx>
        <c:axId val="169766272"/>
        <c:scaling>
          <c:orientation val="minMax"/>
          <c:max val="1"/>
          <c:min val="0"/>
        </c:scaling>
        <c:delete val="0"/>
        <c:axPos val="r"/>
        <c:numFmt formatCode="0.0%" sourceLinked="1"/>
        <c:majorTickMark val="none"/>
        <c:minorTickMark val="none"/>
        <c:tickLblPos val="none"/>
        <c:spPr>
          <a:ln>
            <a:solidFill>
              <a:schemeClr val="bg1">
                <a:lumMod val="65000"/>
              </a:schemeClr>
            </a:solidFill>
          </a:ln>
        </c:spPr>
        <c:crossAx val="170812416"/>
        <c:crosses val="max"/>
        <c:crossBetween val="between"/>
        <c:majorUnit val="0.05"/>
        <c:minorUnit val="0.01"/>
      </c:valAx>
      <c:spPr>
        <a:noFill/>
        <a:ln w="12700">
          <a:solidFill>
            <a:srgbClr val="A6A6A6"/>
          </a:solidFill>
          <a:prstDash val="solid"/>
        </a:ln>
      </c:spPr>
    </c:plotArea>
    <c:legend>
      <c:legendPos val="l"/>
      <c:legendEntry>
        <c:idx val="1"/>
        <c:txPr>
          <a:bodyPr/>
          <a:lstStyle/>
          <a:p>
            <a:pPr>
              <a:defRPr i="0"/>
            </a:pPr>
            <a:endParaRPr lang="cs-CZ"/>
          </a:p>
        </c:txPr>
      </c:legendEntry>
      <c:layout>
        <c:manualLayout>
          <c:xMode val="edge"/>
          <c:yMode val="edge"/>
          <c:x val="0.43882113821138202"/>
          <c:y val="0.22901230158730199"/>
          <c:w val="0.50443495934959404"/>
          <c:h val="0.134218148148148"/>
        </c:manualLayout>
      </c:layout>
      <c:overlay val="0"/>
      <c:spPr>
        <a:ln>
          <a:solidFill>
            <a:schemeClr val="bg1">
              <a:lumMod val="50000"/>
            </a:schemeClr>
          </a:solidFill>
        </a:ln>
      </c:sp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099457215836602"/>
          <c:y val="0.168125"/>
          <c:w val="0.65561366538952803"/>
          <c:h val="0.59653253968254005"/>
        </c:manualLayout>
      </c:layout>
      <c:barChart>
        <c:barDir val="bar"/>
        <c:grouping val="clustered"/>
        <c:varyColors val="0"/>
        <c:ser>
          <c:idx val="0"/>
          <c:order val="0"/>
          <c:tx>
            <c:strRef>
              <c:f>B_ENG!$B$306</c:f>
              <c:strCache>
                <c:ptCount val="1"/>
                <c:pt idx="0">
                  <c:v> 2011</c:v>
                </c:pt>
              </c:strCache>
            </c:strRef>
          </c:tx>
          <c:spPr>
            <a:solidFill>
              <a:srgbClr val="47E5FF"/>
            </a:solidFill>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9512-4F94-9E62-3E485A6191DB}"/>
                </c:ext>
              </c:extLst>
            </c:dLbl>
            <c:dLbl>
              <c:idx val="1"/>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9512-4F94-9E62-3E485A6191DB}"/>
                </c:ext>
              </c:extLst>
            </c:dLbl>
            <c:spPr>
              <a:noFill/>
              <a:ln>
                <a:noFill/>
              </a:ln>
              <a:effectLst/>
            </c:spPr>
            <c:txPr>
              <a:bodyPr/>
              <a:lstStyle/>
              <a:p>
                <a:pPr>
                  <a:defRPr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B_ENG!$A$307:$A$311</c:f>
              <c:strCache>
                <c:ptCount val="5"/>
                <c:pt idx="0">
                  <c:v>Concerns about privacy</c:v>
                </c:pt>
                <c:pt idx="1">
                  <c:v>Have access elsewhere</c:v>
                </c:pt>
                <c:pt idx="2">
                  <c:v>Costs too high</c:v>
                </c:pt>
                <c:pt idx="3">
                  <c:v>Lack of skills</c:v>
                </c:pt>
                <c:pt idx="4">
                  <c:v>Do not need internet</c:v>
                </c:pt>
              </c:strCache>
            </c:strRef>
          </c:cat>
          <c:val>
            <c:numRef>
              <c:f>B_ENG!$B$307:$B$311</c:f>
              <c:numCache>
                <c:formatCode>0%</c:formatCode>
                <c:ptCount val="5"/>
                <c:pt idx="0">
                  <c:v>3.8706974552482502E-2</c:v>
                </c:pt>
                <c:pt idx="1">
                  <c:v>9.8247368054102294E-2</c:v>
                </c:pt>
                <c:pt idx="2">
                  <c:v>0.298205910135524</c:v>
                </c:pt>
                <c:pt idx="3">
                  <c:v>0.30695188837866999</c:v>
                </c:pt>
                <c:pt idx="4">
                  <c:v>0.69412289165896601</c:v>
                </c:pt>
              </c:numCache>
            </c:numRef>
          </c:val>
          <c:extLst>
            <c:ext xmlns:c16="http://schemas.microsoft.com/office/drawing/2014/chart" uri="{C3380CC4-5D6E-409C-BE32-E72D297353CC}">
              <c16:uniqueId val="{00000002-9512-4F94-9E62-3E485A6191DB}"/>
            </c:ext>
          </c:extLst>
        </c:ser>
        <c:ser>
          <c:idx val="1"/>
          <c:order val="1"/>
          <c:tx>
            <c:strRef>
              <c:f>B_ENG!$C$306</c:f>
              <c:strCache>
                <c:ptCount val="1"/>
                <c:pt idx="0">
                  <c:v> 2017</c:v>
                </c:pt>
              </c:strCache>
            </c:strRef>
          </c:tx>
          <c:spPr>
            <a:solidFill>
              <a:srgbClr val="009BB4"/>
            </a:solidFill>
          </c:spPr>
          <c:invertIfNegative val="0"/>
          <c:dLbls>
            <c:dLbl>
              <c:idx val="0"/>
              <c:layout/>
              <c:spPr/>
              <c:txPr>
                <a:bodyPr/>
                <a:lstStyle/>
                <a:p>
                  <a:pPr>
                    <a:defRPr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9512-4F94-9E62-3E485A6191DB}"/>
                </c:ext>
              </c:extLst>
            </c:dLbl>
            <c:dLbl>
              <c:idx val="1"/>
              <c:layout/>
              <c:spPr/>
              <c:txPr>
                <a:bodyPr/>
                <a:lstStyle/>
                <a:p>
                  <a:pPr>
                    <a:defRPr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9512-4F94-9E62-3E485A6191DB}"/>
                </c:ext>
              </c:extLst>
            </c:dLbl>
            <c:spPr>
              <a:noFill/>
              <a:ln>
                <a:noFill/>
              </a:ln>
              <a:effectLst/>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B_ENG!$A$307:$A$311</c:f>
              <c:strCache>
                <c:ptCount val="5"/>
                <c:pt idx="0">
                  <c:v>Concerns about privacy</c:v>
                </c:pt>
                <c:pt idx="1">
                  <c:v>Have access elsewhere</c:v>
                </c:pt>
                <c:pt idx="2">
                  <c:v>Costs too high</c:v>
                </c:pt>
                <c:pt idx="3">
                  <c:v>Lack of skills</c:v>
                </c:pt>
                <c:pt idx="4">
                  <c:v>Do not need internet</c:v>
                </c:pt>
              </c:strCache>
            </c:strRef>
          </c:cat>
          <c:val>
            <c:numRef>
              <c:f>B_ENG!$C$307:$C$311</c:f>
              <c:numCache>
                <c:formatCode>0%</c:formatCode>
                <c:ptCount val="5"/>
                <c:pt idx="0">
                  <c:v>4.7E-2</c:v>
                </c:pt>
                <c:pt idx="1">
                  <c:v>6.9000000000000006E-2</c:v>
                </c:pt>
                <c:pt idx="2">
                  <c:v>0.19906665998432299</c:v>
                </c:pt>
                <c:pt idx="3">
                  <c:v>0.375819995584384</c:v>
                </c:pt>
                <c:pt idx="4">
                  <c:v>0.80015294531786096</c:v>
                </c:pt>
              </c:numCache>
            </c:numRef>
          </c:val>
          <c:extLst>
            <c:ext xmlns:c16="http://schemas.microsoft.com/office/drawing/2014/chart" uri="{C3380CC4-5D6E-409C-BE32-E72D297353CC}">
              <c16:uniqueId val="{00000005-9512-4F94-9E62-3E485A6191DB}"/>
            </c:ext>
          </c:extLst>
        </c:ser>
        <c:dLbls>
          <c:showLegendKey val="0"/>
          <c:showVal val="0"/>
          <c:showCatName val="0"/>
          <c:showSerName val="0"/>
          <c:showPercent val="0"/>
          <c:showBubbleSize val="0"/>
        </c:dLbls>
        <c:gapWidth val="50"/>
        <c:axId val="170811392"/>
        <c:axId val="169768000"/>
      </c:barChart>
      <c:catAx>
        <c:axId val="170811392"/>
        <c:scaling>
          <c:orientation val="minMax"/>
        </c:scaling>
        <c:delete val="0"/>
        <c:axPos val="l"/>
        <c:numFmt formatCode="General" sourceLinked="1"/>
        <c:majorTickMark val="out"/>
        <c:minorTickMark val="none"/>
        <c:tickLblPos val="nextTo"/>
        <c:spPr>
          <a:ln w="3175">
            <a:solidFill>
              <a:schemeClr val="tx1"/>
            </a:solidFill>
          </a:ln>
        </c:spPr>
        <c:crossAx val="169768000"/>
        <c:crosses val="autoZero"/>
        <c:auto val="1"/>
        <c:lblAlgn val="ctr"/>
        <c:lblOffset val="100"/>
        <c:noMultiLvlLbl val="0"/>
      </c:catAx>
      <c:valAx>
        <c:axId val="169768000"/>
        <c:scaling>
          <c:orientation val="minMax"/>
          <c:max val="1"/>
        </c:scaling>
        <c:delete val="0"/>
        <c:axPos val="b"/>
        <c:numFmt formatCode="0%" sourceLinked="1"/>
        <c:majorTickMark val="none"/>
        <c:minorTickMark val="none"/>
        <c:tickLblPos val="none"/>
        <c:crossAx val="170811392"/>
        <c:crosses val="autoZero"/>
        <c:crossBetween val="between"/>
        <c:majorUnit val="0.1"/>
        <c:minorUnit val="0.05"/>
      </c:valAx>
      <c:spPr>
        <a:ln w="12700">
          <a:solidFill>
            <a:schemeClr val="bg1">
              <a:lumMod val="65000"/>
            </a:schemeClr>
          </a:solidFill>
        </a:ln>
      </c:spPr>
    </c:plotArea>
    <c:legend>
      <c:legendPos val="r"/>
      <c:layout>
        <c:manualLayout>
          <c:xMode val="edge"/>
          <c:yMode val="edge"/>
          <c:x val="0.77479980842912"/>
          <c:y val="0.55718223527918398"/>
          <c:w val="0.18194827586206899"/>
          <c:h val="0.15159603213463199"/>
        </c:manualLayout>
      </c:layout>
      <c:overlay val="0"/>
      <c:spPr>
        <a:solidFill>
          <a:schemeClr val="bg1"/>
        </a:solidFill>
        <a:ln>
          <a:solidFill>
            <a:schemeClr val="tx1">
              <a:tint val="75000"/>
              <a:shade val="95000"/>
              <a:satMod val="105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666507024265698"/>
          <c:y val="0.17604694059810899"/>
          <c:w val="0.68399803921568703"/>
          <c:h val="0.55970763888888897"/>
        </c:manualLayout>
      </c:layout>
      <c:barChart>
        <c:barDir val="bar"/>
        <c:grouping val="clustered"/>
        <c:varyColors val="0"/>
        <c:ser>
          <c:idx val="0"/>
          <c:order val="0"/>
          <c:tx>
            <c:strRef>
              <c:f>B_ENG!$B$336</c:f>
              <c:strCache>
                <c:ptCount val="1"/>
                <c:pt idx="0">
                  <c:v> Cable modem</c:v>
                </c:pt>
              </c:strCache>
            </c:strRef>
          </c:tx>
          <c:spPr>
            <a:solidFill>
              <a:srgbClr val="47E5FF"/>
            </a:solidFill>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46DA-450B-9804-BDDD213CCC29}"/>
                </c:ext>
              </c:extLst>
            </c:dLbl>
            <c:dLbl>
              <c:idx val="4"/>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6DA-450B-9804-BDDD213CCC29}"/>
                </c:ext>
              </c:extLst>
            </c:dLbl>
            <c:spPr>
              <a:noFill/>
              <a:ln>
                <a:noFill/>
              </a:ln>
              <a:effectLst/>
            </c:spPr>
            <c:txPr>
              <a:bodyPr/>
              <a:lstStyle/>
              <a:p>
                <a:pPr>
                  <a:defRPr b="1">
                    <a:solidFill>
                      <a:sysClr val="windowText" lastClr="000000"/>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B_ENG!$A$337:$A$342</c:f>
              <c:strCache>
                <c:ptCount val="6"/>
                <c:pt idx="0">
                  <c:v>Untill 1 999</c:v>
                </c:pt>
                <c:pt idx="1">
                  <c:v>2 000–9 999</c:v>
                </c:pt>
                <c:pt idx="2">
                  <c:v>10 000–49 999</c:v>
                </c:pt>
                <c:pt idx="3">
                  <c:v>50 000 and more</c:v>
                </c:pt>
                <c:pt idx="5">
                  <c:v>Households 
total</c:v>
                </c:pt>
              </c:strCache>
            </c:strRef>
          </c:cat>
          <c:val>
            <c:numRef>
              <c:f>B_ENG!$B$337:$B$342</c:f>
              <c:numCache>
                <c:formatCode>0%</c:formatCode>
                <c:ptCount val="6"/>
                <c:pt idx="0">
                  <c:v>6.6000000000000003E-2</c:v>
                </c:pt>
                <c:pt idx="1">
                  <c:v>0.13900000000000001</c:v>
                </c:pt>
                <c:pt idx="2">
                  <c:v>0.23400000000000001</c:v>
                </c:pt>
                <c:pt idx="3">
                  <c:v>0.45</c:v>
                </c:pt>
                <c:pt idx="5">
                  <c:v>0.24099999999999999</c:v>
                </c:pt>
              </c:numCache>
            </c:numRef>
          </c:val>
          <c:extLst>
            <c:ext xmlns:c16="http://schemas.microsoft.com/office/drawing/2014/chart" uri="{C3380CC4-5D6E-409C-BE32-E72D297353CC}">
              <c16:uniqueId val="{00000002-46DA-450B-9804-BDDD213CCC29}"/>
            </c:ext>
          </c:extLst>
        </c:ser>
        <c:ser>
          <c:idx val="1"/>
          <c:order val="1"/>
          <c:tx>
            <c:strRef>
              <c:f>B_ENG!$C$336</c:f>
              <c:strCache>
                <c:ptCount val="1"/>
                <c:pt idx="0">
                  <c:v> Wireless connection (Wi-Fi) </c:v>
                </c:pt>
              </c:strCache>
            </c:strRef>
          </c:tx>
          <c:spPr>
            <a:solidFill>
              <a:srgbClr val="009BB4"/>
            </a:solidFill>
          </c:spPr>
          <c:invertIfNegative val="0"/>
          <c:dLbls>
            <c:dLbl>
              <c:idx val="1"/>
              <c:layout>
                <c:manualLayout>
                  <c:x val="-9.5025578099680194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46DA-450B-9804-BDDD213CCC29}"/>
                </c:ext>
              </c:extLst>
            </c:dLbl>
            <c:spPr>
              <a:noFill/>
              <a:ln>
                <a:noFill/>
              </a:ln>
              <a:effectLst/>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B_ENG!$A$337:$A$342</c:f>
              <c:strCache>
                <c:ptCount val="6"/>
                <c:pt idx="0">
                  <c:v>Untill 1 999</c:v>
                </c:pt>
                <c:pt idx="1">
                  <c:v>2 000–9 999</c:v>
                </c:pt>
                <c:pt idx="2">
                  <c:v>10 000–49 999</c:v>
                </c:pt>
                <c:pt idx="3">
                  <c:v>50 000 and more</c:v>
                </c:pt>
                <c:pt idx="5">
                  <c:v>Households 
total</c:v>
                </c:pt>
              </c:strCache>
            </c:strRef>
          </c:cat>
          <c:val>
            <c:numRef>
              <c:f>B_ENG!$C$337:$C$342</c:f>
              <c:numCache>
                <c:formatCode>0%</c:formatCode>
                <c:ptCount val="6"/>
                <c:pt idx="0">
                  <c:v>0.66700000000000004</c:v>
                </c:pt>
                <c:pt idx="1">
                  <c:v>0.58799999999999997</c:v>
                </c:pt>
                <c:pt idx="2">
                  <c:v>0.50700000000000001</c:v>
                </c:pt>
                <c:pt idx="3">
                  <c:v>0.34100000000000003</c:v>
                </c:pt>
                <c:pt idx="5">
                  <c:v>0.51100000000000001</c:v>
                </c:pt>
              </c:numCache>
            </c:numRef>
          </c:val>
          <c:extLst>
            <c:ext xmlns:c16="http://schemas.microsoft.com/office/drawing/2014/chart" uri="{C3380CC4-5D6E-409C-BE32-E72D297353CC}">
              <c16:uniqueId val="{00000004-46DA-450B-9804-BDDD213CCC29}"/>
            </c:ext>
          </c:extLst>
        </c:ser>
        <c:dLbls>
          <c:showLegendKey val="0"/>
          <c:showVal val="0"/>
          <c:showCatName val="0"/>
          <c:showSerName val="0"/>
          <c:showPercent val="0"/>
          <c:showBubbleSize val="0"/>
        </c:dLbls>
        <c:gapWidth val="50"/>
        <c:axId val="167814144"/>
        <c:axId val="169769728"/>
      </c:barChart>
      <c:catAx>
        <c:axId val="167814144"/>
        <c:scaling>
          <c:orientation val="minMax"/>
        </c:scaling>
        <c:delete val="0"/>
        <c:axPos val="l"/>
        <c:numFmt formatCode="General" sourceLinked="1"/>
        <c:majorTickMark val="out"/>
        <c:minorTickMark val="none"/>
        <c:tickLblPos val="nextTo"/>
        <c:spPr>
          <a:ln w="3175">
            <a:solidFill>
              <a:schemeClr val="tx1"/>
            </a:solidFill>
          </a:ln>
        </c:spPr>
        <c:crossAx val="169769728"/>
        <c:crosses val="autoZero"/>
        <c:auto val="1"/>
        <c:lblAlgn val="ctr"/>
        <c:lblOffset val="100"/>
        <c:noMultiLvlLbl val="0"/>
      </c:catAx>
      <c:valAx>
        <c:axId val="169769728"/>
        <c:scaling>
          <c:orientation val="minMax"/>
          <c:max val="1"/>
        </c:scaling>
        <c:delete val="0"/>
        <c:axPos val="b"/>
        <c:numFmt formatCode="0%" sourceLinked="1"/>
        <c:majorTickMark val="none"/>
        <c:minorTickMark val="none"/>
        <c:tickLblPos val="none"/>
        <c:crossAx val="167814144"/>
        <c:crosses val="autoZero"/>
        <c:crossBetween val="between"/>
        <c:majorUnit val="0.1"/>
        <c:minorUnit val="0.05"/>
      </c:valAx>
      <c:spPr>
        <a:ln w="12700">
          <a:solidFill>
            <a:schemeClr val="bg1">
              <a:lumMod val="65000"/>
            </a:schemeClr>
          </a:solidFill>
        </a:ln>
      </c:spPr>
    </c:plotArea>
    <c:legend>
      <c:legendPos val="r"/>
      <c:layout>
        <c:manualLayout>
          <c:xMode val="edge"/>
          <c:yMode val="edge"/>
          <c:x val="0.63337822997416005"/>
          <c:y val="0.22971284722222199"/>
          <c:w val="0.31217700258397901"/>
          <c:h val="0.20274444444444401"/>
        </c:manualLayout>
      </c:layout>
      <c:overlay val="0"/>
      <c:spPr>
        <a:solidFill>
          <a:schemeClr val="bg1"/>
        </a:solidFill>
        <a:ln>
          <a:solidFill>
            <a:schemeClr val="tx1">
              <a:tint val="75000"/>
              <a:shade val="95000"/>
              <a:satMod val="105000"/>
            </a:schemeClr>
          </a:solidFill>
        </a:ln>
      </c:spPr>
    </c:legend>
    <c:plotVisOnly val="1"/>
    <c:dispBlanksAs val="gap"/>
    <c:showDLblsOverMax val="0"/>
  </c:chart>
  <c:spPr>
    <a:ln>
      <a:noFill/>
    </a:ln>
  </c:spPr>
  <c:txPr>
    <a:bodyPr/>
    <a:lstStyle/>
    <a:p>
      <a:pPr>
        <a:defRPr sz="800" b="0">
          <a:latin typeface="Arial" pitchFamily="34" charset="0"/>
          <a:cs typeface="Arial" pitchFamily="34" charset="0"/>
        </a:defRPr>
      </a:pPr>
      <a:endParaRPr lang="cs-CZ"/>
    </a:p>
  </c:txPr>
  <c:externalData r:id="rId1">
    <c:autoUpdate val="0"/>
  </c:externalData>
  <c:userShapes r:id="rId2"/>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B19 Households in the Czech Republic</a:t>
            </a:r>
          </a:p>
          <a:p>
            <a:pPr>
              <a:defRPr sz="800" b="1"/>
            </a:pPr>
            <a:r>
              <a:rPr lang="cs-CZ" sz="800" b="1"/>
              <a:t>using a Wi-Fi router to within their home</a:t>
            </a:r>
            <a:endParaRPr lang="en-US" sz="800" b="1"/>
          </a:p>
        </c:rich>
      </c:tx>
      <c:layout>
        <c:manualLayout>
          <c:xMode val="edge"/>
          <c:yMode val="edge"/>
          <c:x val="0.13270223577235801"/>
          <c:y val="1.8814814814814802E-2"/>
        </c:manualLayout>
      </c:layout>
      <c:overlay val="1"/>
    </c:title>
    <c:autoTitleDeleted val="0"/>
    <c:plotArea>
      <c:layout>
        <c:manualLayout>
          <c:layoutTarget val="inner"/>
          <c:xMode val="edge"/>
          <c:yMode val="edge"/>
          <c:x val="1.38135167981066E-2"/>
          <c:y val="0.12904148148148201"/>
          <c:w val="0.96948369216085795"/>
          <c:h val="0.70402592592592494"/>
        </c:manualLayout>
      </c:layout>
      <c:barChart>
        <c:barDir val="col"/>
        <c:grouping val="clustered"/>
        <c:varyColors val="0"/>
        <c:ser>
          <c:idx val="2"/>
          <c:order val="0"/>
          <c:tx>
            <c:strRef>
              <c:f>B_ENG!$A$331</c:f>
              <c:strCache>
                <c:ptCount val="1"/>
                <c:pt idx="0">
                  <c:v>Millions</c:v>
                </c:pt>
              </c:strCache>
            </c:strRef>
          </c:tx>
          <c:spPr>
            <a:solidFill>
              <a:srgbClr val="009BB4"/>
            </a:solidFill>
            <a:ln w="25400">
              <a:noFill/>
            </a:ln>
          </c:spPr>
          <c:invertIfNegative val="0"/>
          <c:dLbls>
            <c:numFmt formatCode="#,##0.0" sourceLinked="0"/>
            <c:spPr>
              <a:noFill/>
              <a:ln>
                <a:noFill/>
              </a:ln>
              <a:effectLst/>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B_ENG!$B$330:$H$330</c:f>
              <c:strCache>
                <c:ptCount val="7"/>
                <c:pt idx="0">
                  <c:v>2010</c:v>
                </c:pt>
                <c:pt idx="1">
                  <c:v>2012</c:v>
                </c:pt>
                <c:pt idx="2">
                  <c:v>2013</c:v>
                </c:pt>
                <c:pt idx="3">
                  <c:v>2014</c:v>
                </c:pt>
                <c:pt idx="4">
                  <c:v>2015</c:v>
                </c:pt>
                <c:pt idx="5">
                  <c:v>2016</c:v>
                </c:pt>
                <c:pt idx="6">
                  <c:v>2017</c:v>
                </c:pt>
              </c:strCache>
            </c:strRef>
          </c:cat>
          <c:val>
            <c:numRef>
              <c:f>B_ENG!$B$331:$H$331</c:f>
              <c:numCache>
                <c:formatCode>#,##0.0</c:formatCode>
                <c:ptCount val="7"/>
                <c:pt idx="0">
                  <c:v>0.66281999999999996</c:v>
                </c:pt>
                <c:pt idx="1">
                  <c:v>1.2111609999999999</c:v>
                </c:pt>
                <c:pt idx="2">
                  <c:v>1.477347</c:v>
                </c:pt>
                <c:pt idx="3">
                  <c:v>1.8020659999999999</c:v>
                </c:pt>
                <c:pt idx="4">
                  <c:v>2.0300410000000002</c:v>
                </c:pt>
                <c:pt idx="5">
                  <c:v>2.191044999999999</c:v>
                </c:pt>
                <c:pt idx="6">
                  <c:v>2.4789111676524902</c:v>
                </c:pt>
              </c:numCache>
            </c:numRef>
          </c:val>
          <c:extLst>
            <c:ext xmlns:c16="http://schemas.microsoft.com/office/drawing/2014/chart" uri="{C3380CC4-5D6E-409C-BE32-E72D297353CC}">
              <c16:uniqueId val="{00000000-B667-44E0-9729-07F8B0545CDD}"/>
            </c:ext>
          </c:extLst>
        </c:ser>
        <c:dLbls>
          <c:showLegendKey val="0"/>
          <c:showVal val="0"/>
          <c:showCatName val="0"/>
          <c:showSerName val="0"/>
          <c:showPercent val="0"/>
          <c:showBubbleSize val="0"/>
        </c:dLbls>
        <c:gapWidth val="50"/>
        <c:axId val="167816704"/>
        <c:axId val="171058304"/>
      </c:barChart>
      <c:lineChart>
        <c:grouping val="standard"/>
        <c:varyColors val="0"/>
        <c:ser>
          <c:idx val="0"/>
          <c:order val="1"/>
          <c:tx>
            <c:strRef>
              <c:f>B_ENG!$A$332</c:f>
              <c:strCache>
                <c:ptCount val="1"/>
                <c:pt idx="0">
                  <c:v>% of all households</c:v>
                </c:pt>
              </c:strCache>
            </c:strRef>
          </c:tx>
          <c:spPr>
            <a:ln w="19050">
              <a:solidFill>
                <a:srgbClr val="47E5FF"/>
              </a:solidFill>
            </a:ln>
          </c:spPr>
          <c:marker>
            <c:symbol val="diamond"/>
            <c:size val="4"/>
            <c:spPr>
              <a:solidFill>
                <a:srgbClr val="009BB4"/>
              </a:solidFill>
              <a:ln w="12700">
                <a:solidFill>
                  <a:srgbClr val="47E5FF"/>
                </a:solidFill>
              </a:ln>
            </c:spPr>
          </c:marker>
          <c:dLbls>
            <c:dLbl>
              <c:idx val="0"/>
              <c:layout>
                <c:manualLayout>
                  <c:x val="-5.65133477633478E-2"/>
                  <c:y val="-5.95316526399172E-2"/>
                </c:manualLayout>
              </c:layout>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B667-44E0-9729-07F8B0545CDD}"/>
                </c:ext>
              </c:extLst>
            </c:dLbl>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B_ENG!$B$330:$H$330</c:f>
              <c:strCache>
                <c:ptCount val="7"/>
                <c:pt idx="0">
                  <c:v>2010</c:v>
                </c:pt>
                <c:pt idx="1">
                  <c:v>2012</c:v>
                </c:pt>
                <c:pt idx="2">
                  <c:v>2013</c:v>
                </c:pt>
                <c:pt idx="3">
                  <c:v>2014</c:v>
                </c:pt>
                <c:pt idx="4">
                  <c:v>2015</c:v>
                </c:pt>
                <c:pt idx="5">
                  <c:v>2016</c:v>
                </c:pt>
                <c:pt idx="6">
                  <c:v>2017</c:v>
                </c:pt>
              </c:strCache>
            </c:strRef>
          </c:cat>
          <c:val>
            <c:numRef>
              <c:f>B_ENG!$B$332:$H$332</c:f>
              <c:numCache>
                <c:formatCode>0%</c:formatCode>
                <c:ptCount val="7"/>
                <c:pt idx="0">
                  <c:v>0.16200000000000001</c:v>
                </c:pt>
                <c:pt idx="1">
                  <c:v>0.29299999999999998</c:v>
                </c:pt>
                <c:pt idx="2">
                  <c:v>0.34799999999999998</c:v>
                </c:pt>
                <c:pt idx="3">
                  <c:v>0.42299999999999999</c:v>
                </c:pt>
                <c:pt idx="4">
                  <c:v>0.47699999999999998</c:v>
                </c:pt>
                <c:pt idx="5">
                  <c:v>0.50900000000000001</c:v>
                </c:pt>
                <c:pt idx="6">
                  <c:v>0.565829917032875</c:v>
                </c:pt>
              </c:numCache>
            </c:numRef>
          </c:val>
          <c:smooth val="0"/>
          <c:extLst>
            <c:ext xmlns:c16="http://schemas.microsoft.com/office/drawing/2014/chart" uri="{C3380CC4-5D6E-409C-BE32-E72D297353CC}">
              <c16:uniqueId val="{00000002-B667-44E0-9729-07F8B0545CDD}"/>
            </c:ext>
          </c:extLst>
        </c:ser>
        <c:ser>
          <c:idx val="1"/>
          <c:order val="2"/>
          <c:tx>
            <c:strRef>
              <c:f>B_ENG!$A$333</c:f>
              <c:strCache>
                <c:ptCount val="1"/>
                <c:pt idx="0">
                  <c:v>% of households with the internet</c:v>
                </c:pt>
              </c:strCache>
            </c:strRef>
          </c:tx>
          <c:spPr>
            <a:ln w="19050">
              <a:solidFill>
                <a:srgbClr val="007D92"/>
              </a:solidFill>
            </a:ln>
          </c:spPr>
          <c:marker>
            <c:symbol val="circle"/>
            <c:size val="4"/>
            <c:spPr>
              <a:solidFill>
                <a:srgbClr val="47E5FF"/>
              </a:solidFill>
              <a:ln>
                <a:solidFill>
                  <a:srgbClr val="007D92"/>
                </a:solidFill>
              </a:ln>
            </c:spPr>
          </c:marker>
          <c:dLbls>
            <c:numFmt formatCode="0%" sourceLinked="0"/>
            <c:spPr>
              <a:noFill/>
              <a:ln>
                <a:noFill/>
              </a:ln>
              <a:effectLst/>
            </c:spPr>
            <c:txPr>
              <a:bodyPr/>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B_ENG!$B$330:$H$330</c:f>
              <c:strCache>
                <c:ptCount val="7"/>
                <c:pt idx="0">
                  <c:v>2010</c:v>
                </c:pt>
                <c:pt idx="1">
                  <c:v>2012</c:v>
                </c:pt>
                <c:pt idx="2">
                  <c:v>2013</c:v>
                </c:pt>
                <c:pt idx="3">
                  <c:v>2014</c:v>
                </c:pt>
                <c:pt idx="4">
                  <c:v>2015</c:v>
                </c:pt>
                <c:pt idx="5">
                  <c:v>2016</c:v>
                </c:pt>
                <c:pt idx="6">
                  <c:v>2017</c:v>
                </c:pt>
              </c:strCache>
            </c:strRef>
          </c:cat>
          <c:val>
            <c:numRef>
              <c:f>B_ENG!$B$333:$H$333</c:f>
              <c:numCache>
                <c:formatCode>0%</c:formatCode>
                <c:ptCount val="7"/>
                <c:pt idx="0">
                  <c:v>0.28749367848663598</c:v>
                </c:pt>
                <c:pt idx="1">
                  <c:v>0.44735190686566201</c:v>
                </c:pt>
                <c:pt idx="2">
                  <c:v>0.51911161054058597</c:v>
                </c:pt>
                <c:pt idx="3">
                  <c:v>0.586664834898312</c:v>
                </c:pt>
                <c:pt idx="4">
                  <c:v>0.65247461266128803</c:v>
                </c:pt>
                <c:pt idx="5">
                  <c:v>0.66915350335756196</c:v>
                </c:pt>
                <c:pt idx="6">
                  <c:v>0.73328592711418294</c:v>
                </c:pt>
              </c:numCache>
            </c:numRef>
          </c:val>
          <c:smooth val="0"/>
          <c:extLst>
            <c:ext xmlns:c16="http://schemas.microsoft.com/office/drawing/2014/chart" uri="{C3380CC4-5D6E-409C-BE32-E72D297353CC}">
              <c16:uniqueId val="{00000003-B667-44E0-9729-07F8B0545CDD}"/>
            </c:ext>
          </c:extLst>
        </c:ser>
        <c:dLbls>
          <c:showLegendKey val="0"/>
          <c:showVal val="0"/>
          <c:showCatName val="0"/>
          <c:showSerName val="0"/>
          <c:showPercent val="0"/>
          <c:showBubbleSize val="0"/>
        </c:dLbls>
        <c:marker val="1"/>
        <c:smooth val="0"/>
        <c:axId val="167952384"/>
        <c:axId val="171058880"/>
      </c:lineChart>
      <c:catAx>
        <c:axId val="1678167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171058304"/>
        <c:crosses val="autoZero"/>
        <c:auto val="1"/>
        <c:lblAlgn val="ctr"/>
        <c:lblOffset val="140"/>
        <c:tickLblSkip val="1"/>
        <c:tickMarkSkip val="1"/>
        <c:noMultiLvlLbl val="0"/>
      </c:catAx>
      <c:valAx>
        <c:axId val="171058304"/>
        <c:scaling>
          <c:orientation val="minMax"/>
          <c:max val="5"/>
          <c:min val="0"/>
        </c:scaling>
        <c:delete val="0"/>
        <c:axPos val="l"/>
        <c:majorGridlines>
          <c:spPr>
            <a:ln w="12700">
              <a:noFill/>
              <a:prstDash val="dash"/>
            </a:ln>
          </c:spPr>
        </c:majorGridlines>
        <c:numFmt formatCode="#,##0.0" sourceLinked="1"/>
        <c:majorTickMark val="none"/>
        <c:minorTickMark val="none"/>
        <c:tickLblPos val="none"/>
        <c:spPr>
          <a:ln w="9525">
            <a:noFill/>
          </a:ln>
        </c:spPr>
        <c:crossAx val="167816704"/>
        <c:crosses val="autoZero"/>
        <c:crossBetween val="between"/>
        <c:majorUnit val="1"/>
        <c:minorUnit val="0.02"/>
      </c:valAx>
      <c:catAx>
        <c:axId val="167952384"/>
        <c:scaling>
          <c:orientation val="minMax"/>
        </c:scaling>
        <c:delete val="1"/>
        <c:axPos val="b"/>
        <c:numFmt formatCode="General" sourceLinked="1"/>
        <c:majorTickMark val="out"/>
        <c:minorTickMark val="none"/>
        <c:tickLblPos val="none"/>
        <c:crossAx val="171058880"/>
        <c:crosses val="autoZero"/>
        <c:auto val="1"/>
        <c:lblAlgn val="ctr"/>
        <c:lblOffset val="100"/>
        <c:noMultiLvlLbl val="0"/>
      </c:catAx>
      <c:valAx>
        <c:axId val="171058880"/>
        <c:scaling>
          <c:orientation val="minMax"/>
          <c:max val="1"/>
          <c:min val="0"/>
        </c:scaling>
        <c:delete val="0"/>
        <c:axPos val="r"/>
        <c:numFmt formatCode="0%" sourceLinked="1"/>
        <c:majorTickMark val="none"/>
        <c:minorTickMark val="none"/>
        <c:tickLblPos val="none"/>
        <c:spPr>
          <a:ln>
            <a:solidFill>
              <a:schemeClr val="bg1">
                <a:lumMod val="65000"/>
              </a:schemeClr>
            </a:solidFill>
          </a:ln>
        </c:spPr>
        <c:crossAx val="167952384"/>
        <c:crosses val="max"/>
        <c:crossBetween val="between"/>
        <c:majorUnit val="0.05"/>
        <c:minorUnit val="0.01"/>
      </c:valAx>
      <c:spPr>
        <a:noFill/>
        <a:ln w="12700">
          <a:solidFill>
            <a:srgbClr val="A6A6A6"/>
          </a:solidFill>
          <a:prstDash val="solid"/>
        </a:ln>
      </c:spPr>
    </c:plotArea>
    <c:legend>
      <c:legendPos val="l"/>
      <c:legendEntry>
        <c:idx val="1"/>
        <c:txPr>
          <a:bodyPr/>
          <a:lstStyle/>
          <a:p>
            <a:pPr>
              <a:defRPr i="0"/>
            </a:pPr>
            <a:endParaRPr lang="cs-CZ"/>
          </a:p>
        </c:txPr>
      </c:legendEntry>
      <c:legendEntry>
        <c:idx val="2"/>
        <c:txPr>
          <a:bodyPr/>
          <a:lstStyle/>
          <a:p>
            <a:pPr>
              <a:defRPr i="0"/>
            </a:pPr>
            <a:endParaRPr lang="cs-CZ"/>
          </a:p>
        </c:txPr>
      </c:legendEntry>
      <c:layout>
        <c:manualLayout>
          <c:xMode val="edge"/>
          <c:yMode val="edge"/>
          <c:x val="4.04595046854083E-2"/>
          <c:y val="0.15001370370370401"/>
          <c:w val="0.68844344042838002"/>
          <c:h val="0.14832925925925899"/>
        </c:manualLayout>
      </c:layout>
      <c:overlay val="0"/>
      <c:spPr>
        <a:ln>
          <a:solidFill>
            <a:schemeClr val="tx1">
              <a:tint val="75000"/>
              <a:shade val="95000"/>
              <a:satMod val="105000"/>
            </a:schemeClr>
          </a:solidFill>
        </a:ln>
      </c:sp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Figure B</a:t>
            </a:r>
            <a:r>
              <a:rPr lang="cs-CZ" sz="800"/>
              <a:t>2</a:t>
            </a:r>
            <a:r>
              <a:rPr lang="en-US" sz="800"/>
              <a:t> </a:t>
            </a:r>
            <a:r>
              <a:rPr lang="cs-CZ" sz="800"/>
              <a:t>Share </a:t>
            </a:r>
            <a:r>
              <a:rPr lang="cs-CZ" sz="800" baseline="0"/>
              <a:t>of h</a:t>
            </a:r>
            <a:r>
              <a:rPr lang="en-US" sz="800"/>
              <a:t>ouseholds in EU</a:t>
            </a:r>
            <a:r>
              <a:rPr lang="cs-CZ" sz="800" baseline="0"/>
              <a:t> </a:t>
            </a:r>
            <a:r>
              <a:rPr lang="en-US" sz="800"/>
              <a:t>countries with </a:t>
            </a:r>
            <a:r>
              <a:rPr lang="cs-CZ" sz="800"/>
              <a:t>a </a:t>
            </a:r>
            <a:r>
              <a:rPr lang="en-US" sz="800"/>
              <a:t>fixed </a:t>
            </a:r>
            <a:r>
              <a:rPr lang="cs-CZ" sz="800"/>
              <a:t>tele</a:t>
            </a:r>
            <a:r>
              <a:rPr lang="en-US" sz="800"/>
              <a:t>phone</a:t>
            </a:r>
            <a:r>
              <a:rPr lang="cs-CZ" sz="800"/>
              <a:t> in 2015 (%)*</a:t>
            </a:r>
            <a:endParaRPr lang="en-US" sz="800"/>
          </a:p>
        </c:rich>
      </c:tx>
      <c:layout/>
      <c:overlay val="0"/>
    </c:title>
    <c:autoTitleDeleted val="0"/>
    <c:plotArea>
      <c:layout>
        <c:manualLayout>
          <c:layoutTarget val="inner"/>
          <c:xMode val="edge"/>
          <c:yMode val="edge"/>
          <c:x val="6.5949831649831703E-2"/>
          <c:y val="0.10228368055555601"/>
          <c:w val="0.90411750841750804"/>
          <c:h val="0.60425972222222202"/>
        </c:manualLayout>
      </c:layout>
      <c:barChart>
        <c:barDir val="col"/>
        <c:grouping val="clustered"/>
        <c:varyColors val="0"/>
        <c:ser>
          <c:idx val="0"/>
          <c:order val="0"/>
          <c:tx>
            <c:strRef>
              <c:f>B_ENG!$B$24</c:f>
              <c:strCache>
                <c:ptCount val="1"/>
                <c:pt idx="0">
                  <c:v>2015</c:v>
                </c:pt>
              </c:strCache>
            </c:strRef>
          </c:tx>
          <c:spPr>
            <a:solidFill>
              <a:srgbClr val="009BB4"/>
            </a:solidFill>
          </c:spPr>
          <c:invertIfNegative val="0"/>
          <c:dPt>
            <c:idx val="13"/>
            <c:invertIfNegative val="0"/>
            <c:bubble3D val="0"/>
            <c:spPr>
              <a:solidFill>
                <a:srgbClr val="47E5FF"/>
              </a:solidFill>
              <a:ln>
                <a:solidFill>
                  <a:srgbClr val="FF0000"/>
                </a:solidFill>
              </a:ln>
            </c:spPr>
            <c:extLst>
              <c:ext xmlns:c16="http://schemas.microsoft.com/office/drawing/2014/chart" uri="{C3380CC4-5D6E-409C-BE32-E72D297353CC}">
                <c16:uniqueId val="{00000001-F317-4C9A-9D4D-AC23D6E0BF55}"/>
              </c:ext>
            </c:extLst>
          </c:dPt>
          <c:dPt>
            <c:idx val="28"/>
            <c:invertIfNegative val="0"/>
            <c:bubble3D val="0"/>
            <c:spPr>
              <a:solidFill>
                <a:srgbClr val="47E5FF"/>
              </a:solidFill>
              <a:ln>
                <a:solidFill>
                  <a:srgbClr val="FF0000"/>
                </a:solidFill>
              </a:ln>
            </c:spPr>
            <c:extLst>
              <c:ext xmlns:c16="http://schemas.microsoft.com/office/drawing/2014/chart" uri="{C3380CC4-5D6E-409C-BE32-E72D297353CC}">
                <c16:uniqueId val="{00000003-F317-4C9A-9D4D-AC23D6E0BF55}"/>
              </c:ext>
            </c:extLst>
          </c:dPt>
          <c:dLbls>
            <c:dLbl>
              <c:idx val="13"/>
              <c:spPr/>
              <c:txPr>
                <a:bodyPr rot="-5400000" vert="horz"/>
                <a:lstStyle/>
                <a:p>
                  <a:pPr>
                    <a:defRPr sz="800" b="1">
                      <a:solidFill>
                        <a:schemeClr val="tx1"/>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01-F317-4C9A-9D4D-AC23D6E0BF55}"/>
                </c:ext>
              </c:extLst>
            </c:dLbl>
            <c:dLbl>
              <c:idx val="27"/>
              <c:layout>
                <c:manualLayout>
                  <c:x val="0"/>
                  <c:y val="9.2898677204577326E-2"/>
                </c:manualLayout>
              </c:layout>
              <c:spPr/>
              <c:txPr>
                <a:bodyPr rot="-5400000" vert="horz"/>
                <a:lstStyle/>
                <a:p>
                  <a:pPr>
                    <a:defRPr sz="800" b="1">
                      <a:solidFill>
                        <a:schemeClr val="bg1"/>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F317-4C9A-9D4D-AC23D6E0BF55}"/>
                </c:ext>
              </c:extLst>
            </c:dLbl>
            <c:dLbl>
              <c:idx val="28"/>
              <c:layout>
                <c:manualLayout>
                  <c:x val="0"/>
                  <c:y val="9.1007148390386441E-2"/>
                </c:manualLayout>
              </c:layout>
              <c:spPr/>
              <c:txPr>
                <a:bodyPr rot="-5400000" vert="horz"/>
                <a:lstStyle/>
                <a:p>
                  <a:pPr>
                    <a:defRPr sz="800" b="1">
                      <a:solidFill>
                        <a:sysClr val="windowText" lastClr="000000"/>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F317-4C9A-9D4D-AC23D6E0BF55}"/>
                </c:ext>
              </c:extLst>
            </c:dLbl>
            <c:spPr>
              <a:noFill/>
              <a:ln>
                <a:noFill/>
              </a:ln>
              <a:effectLst/>
            </c:spPr>
            <c:txPr>
              <a:bodyPr rot="-5400000" vert="horz"/>
              <a:lstStyle/>
              <a:p>
                <a:pPr>
                  <a:defRPr sz="800"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B_ENG!$A$25:$A$53</c:f>
              <c:strCache>
                <c:ptCount val="29"/>
                <c:pt idx="0">
                  <c:v>Malta</c:v>
                </c:pt>
                <c:pt idx="1">
                  <c:v>Netherlands</c:v>
                </c:pt>
                <c:pt idx="2">
                  <c:v>Luxembourg </c:v>
                </c:pt>
                <c:pt idx="3">
                  <c:v>Germany</c:v>
                </c:pt>
                <c:pt idx="4">
                  <c:v>Greece</c:v>
                </c:pt>
                <c:pt idx="5">
                  <c:v>France</c:v>
                </c:pt>
                <c:pt idx="6">
                  <c:v>United Kingdom</c:v>
                </c:pt>
                <c:pt idx="7">
                  <c:v>Croatia</c:v>
                </c:pt>
                <c:pt idx="8">
                  <c:v>Belgium</c:v>
                </c:pt>
                <c:pt idx="9">
                  <c:v>Slovenia</c:v>
                </c:pt>
                <c:pt idx="10">
                  <c:v>Portugal</c:v>
                </c:pt>
                <c:pt idx="11">
                  <c:v>Spain</c:v>
                </c:pt>
                <c:pt idx="12">
                  <c:v>Ireland</c:v>
                </c:pt>
                <c:pt idx="13">
                  <c:v>EU28</c:v>
                </c:pt>
                <c:pt idx="14">
                  <c:v>Cyprus</c:v>
                </c:pt>
                <c:pt idx="15">
                  <c:v>Italy</c:v>
                </c:pt>
                <c:pt idx="16">
                  <c:v>Sweden</c:v>
                </c:pt>
                <c:pt idx="17">
                  <c:v>Hungary</c:v>
                </c:pt>
                <c:pt idx="18">
                  <c:v>Bulgaria</c:v>
                </c:pt>
                <c:pt idx="19">
                  <c:v>Estonia</c:v>
                </c:pt>
                <c:pt idx="20">
                  <c:v>Austria</c:v>
                </c:pt>
                <c:pt idx="21">
                  <c:v>Denmark</c:v>
                </c:pt>
                <c:pt idx="22">
                  <c:v>Romania</c:v>
                </c:pt>
                <c:pt idx="23">
                  <c:v>Lithuania</c:v>
                </c:pt>
                <c:pt idx="24">
                  <c:v>Poland</c:v>
                </c:pt>
                <c:pt idx="25">
                  <c:v>Latvia</c:v>
                </c:pt>
                <c:pt idx="26">
                  <c:v>Slovakia</c:v>
                </c:pt>
                <c:pt idx="27">
                  <c:v>Finland</c:v>
                </c:pt>
                <c:pt idx="28">
                  <c:v>Czech Republic</c:v>
                </c:pt>
              </c:strCache>
            </c:strRef>
          </c:cat>
          <c:val>
            <c:numRef>
              <c:f>B_ENG!$B$25:$B$53</c:f>
              <c:numCache>
                <c:formatCode>0%</c:formatCode>
                <c:ptCount val="29"/>
                <c:pt idx="0">
                  <c:v>0.93</c:v>
                </c:pt>
                <c:pt idx="1">
                  <c:v>0.85</c:v>
                </c:pt>
                <c:pt idx="2">
                  <c:v>0.85</c:v>
                </c:pt>
                <c:pt idx="3">
                  <c:v>0.85</c:v>
                </c:pt>
                <c:pt idx="4">
                  <c:v>0.83</c:v>
                </c:pt>
                <c:pt idx="5">
                  <c:v>0.81</c:v>
                </c:pt>
                <c:pt idx="6">
                  <c:v>0.78</c:v>
                </c:pt>
                <c:pt idx="7">
                  <c:v>0.75</c:v>
                </c:pt>
                <c:pt idx="8">
                  <c:v>0.73</c:v>
                </c:pt>
                <c:pt idx="9">
                  <c:v>0.72</c:v>
                </c:pt>
                <c:pt idx="10">
                  <c:v>0.71</c:v>
                </c:pt>
                <c:pt idx="11">
                  <c:v>0.71</c:v>
                </c:pt>
                <c:pt idx="12">
                  <c:v>0.65</c:v>
                </c:pt>
                <c:pt idx="13">
                  <c:v>0.65</c:v>
                </c:pt>
                <c:pt idx="14">
                  <c:v>0.59</c:v>
                </c:pt>
                <c:pt idx="15">
                  <c:v>0.54</c:v>
                </c:pt>
                <c:pt idx="16">
                  <c:v>0.53</c:v>
                </c:pt>
                <c:pt idx="17">
                  <c:v>0.45</c:v>
                </c:pt>
                <c:pt idx="18">
                  <c:v>0.43</c:v>
                </c:pt>
                <c:pt idx="19">
                  <c:v>0.42</c:v>
                </c:pt>
                <c:pt idx="20">
                  <c:v>0.4</c:v>
                </c:pt>
                <c:pt idx="21">
                  <c:v>0.4</c:v>
                </c:pt>
                <c:pt idx="22">
                  <c:v>0.37</c:v>
                </c:pt>
                <c:pt idx="23">
                  <c:v>0.31</c:v>
                </c:pt>
                <c:pt idx="24">
                  <c:v>0.28999999999999998</c:v>
                </c:pt>
                <c:pt idx="25">
                  <c:v>0.28000000000000003</c:v>
                </c:pt>
                <c:pt idx="26">
                  <c:v>0.26</c:v>
                </c:pt>
                <c:pt idx="27">
                  <c:v>0.14000000000000001</c:v>
                </c:pt>
                <c:pt idx="28">
                  <c:v>0.13</c:v>
                </c:pt>
              </c:numCache>
            </c:numRef>
          </c:val>
          <c:extLst>
            <c:ext xmlns:c16="http://schemas.microsoft.com/office/drawing/2014/chart" uri="{C3380CC4-5D6E-409C-BE32-E72D297353CC}">
              <c16:uniqueId val="{00000005-F317-4C9A-9D4D-AC23D6E0BF55}"/>
            </c:ext>
          </c:extLst>
        </c:ser>
        <c:dLbls>
          <c:showLegendKey val="0"/>
          <c:showVal val="0"/>
          <c:showCatName val="0"/>
          <c:showSerName val="0"/>
          <c:showPercent val="0"/>
          <c:showBubbleSize val="0"/>
        </c:dLbls>
        <c:gapWidth val="50"/>
        <c:axId val="161764864"/>
        <c:axId val="161378816"/>
      </c:barChart>
      <c:catAx>
        <c:axId val="161764864"/>
        <c:scaling>
          <c:orientation val="minMax"/>
        </c:scaling>
        <c:delete val="0"/>
        <c:axPos val="b"/>
        <c:numFmt formatCode="General" sourceLinked="0"/>
        <c:majorTickMark val="out"/>
        <c:minorTickMark val="none"/>
        <c:tickLblPos val="nextTo"/>
        <c:spPr>
          <a:ln w="3175">
            <a:solidFill>
              <a:schemeClr val="tx1"/>
            </a:solidFill>
          </a:ln>
        </c:spPr>
        <c:crossAx val="161378816"/>
        <c:crosses val="autoZero"/>
        <c:auto val="1"/>
        <c:lblAlgn val="ctr"/>
        <c:lblOffset val="100"/>
        <c:noMultiLvlLbl val="0"/>
      </c:catAx>
      <c:valAx>
        <c:axId val="161378816"/>
        <c:scaling>
          <c:orientation val="minMax"/>
          <c:max val="1"/>
          <c:min val="0"/>
        </c:scaling>
        <c:delete val="1"/>
        <c:axPos val="l"/>
        <c:numFmt formatCode="0%" sourceLinked="1"/>
        <c:majorTickMark val="out"/>
        <c:minorTickMark val="none"/>
        <c:tickLblPos val="nextTo"/>
        <c:crossAx val="161764864"/>
        <c:crosses val="autoZero"/>
        <c:crossBetween val="between"/>
        <c:majorUnit val="0.1"/>
        <c:minorUnit val="0.05"/>
      </c:valAx>
      <c:spPr>
        <a:ln>
          <a:solidFill>
            <a:schemeClr val="tx1">
              <a:tint val="75000"/>
              <a:shade val="95000"/>
              <a:satMod val="105000"/>
            </a:schemeClr>
          </a:solidFill>
        </a:ln>
      </c:spPr>
    </c:plotArea>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B4 Number of mobile phones used in Czech households per 1 member of household*</a:t>
            </a:r>
          </a:p>
        </c:rich>
      </c:tx>
      <c:layout/>
      <c:overlay val="1"/>
    </c:title>
    <c:autoTitleDeleted val="0"/>
    <c:plotArea>
      <c:layout>
        <c:manualLayout>
          <c:layoutTarget val="inner"/>
          <c:xMode val="edge"/>
          <c:yMode val="edge"/>
          <c:x val="0.32100246913580299"/>
          <c:y val="0.177087698412699"/>
          <c:w val="0.65099753086419898"/>
          <c:h val="0.63861349206349305"/>
        </c:manualLayout>
      </c:layout>
      <c:barChart>
        <c:barDir val="bar"/>
        <c:grouping val="clustered"/>
        <c:varyColors val="0"/>
        <c:ser>
          <c:idx val="0"/>
          <c:order val="0"/>
          <c:tx>
            <c:strRef>
              <c:f>B_ENG!$G$57</c:f>
              <c:strCache>
                <c:ptCount val="1"/>
                <c:pt idx="0">
                  <c:v> 2016</c:v>
                </c:pt>
              </c:strCache>
            </c:strRef>
          </c:tx>
          <c:spPr>
            <a:solidFill>
              <a:srgbClr val="009BB4"/>
            </a:solidFill>
            <a:ln w="25400">
              <a:noFill/>
            </a:ln>
          </c:spPr>
          <c:invertIfNegative val="0"/>
          <c:dLbls>
            <c:spPr>
              <a:noFill/>
              <a:ln w="25400">
                <a:noFill/>
              </a:ln>
            </c:spPr>
            <c:txPr>
              <a:bodyPr/>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B_ENG!$F$58:$F$60</c:f>
              <c:strCache>
                <c:ptCount val="3"/>
                <c:pt idx="0">
                  <c:v>HHs in the lowest income group 
(first quintil)</c:v>
                </c:pt>
                <c:pt idx="1">
                  <c:v>HHs in the highest income group 
(fifth quintil)</c:v>
                </c:pt>
                <c:pt idx="2">
                  <c:v>All 
households (HHs)</c:v>
                </c:pt>
              </c:strCache>
            </c:strRef>
          </c:cat>
          <c:val>
            <c:numRef>
              <c:f>B_ENG!$G$58:$G$60</c:f>
              <c:numCache>
                <c:formatCode>0.00</c:formatCode>
                <c:ptCount val="3"/>
                <c:pt idx="0">
                  <c:v>0.88494208494208504</c:v>
                </c:pt>
                <c:pt idx="1">
                  <c:v>1.1563218390804599</c:v>
                </c:pt>
                <c:pt idx="2">
                  <c:v>0.99086538461538398</c:v>
                </c:pt>
              </c:numCache>
            </c:numRef>
          </c:val>
          <c:extLst>
            <c:ext xmlns:c16="http://schemas.microsoft.com/office/drawing/2014/chart" uri="{C3380CC4-5D6E-409C-BE32-E72D297353CC}">
              <c16:uniqueId val="{00000000-2EB0-49A2-9B14-D5C8DDB444FD}"/>
            </c:ext>
          </c:extLst>
        </c:ser>
        <c:dLbls>
          <c:showLegendKey val="0"/>
          <c:showVal val="0"/>
          <c:showCatName val="0"/>
          <c:showSerName val="0"/>
          <c:showPercent val="0"/>
          <c:showBubbleSize val="0"/>
        </c:dLbls>
        <c:gapWidth val="100"/>
        <c:axId val="168288256"/>
        <c:axId val="168305216"/>
      </c:barChart>
      <c:barChart>
        <c:barDir val="bar"/>
        <c:grouping val="clustered"/>
        <c:varyColors val="0"/>
        <c:ser>
          <c:idx val="1"/>
          <c:order val="1"/>
          <c:tx>
            <c:strRef>
              <c:f>B_ENG!$H$57</c:f>
              <c:strCache>
                <c:ptCount val="1"/>
                <c:pt idx="0">
                  <c:v> 2005</c:v>
                </c:pt>
              </c:strCache>
            </c:strRef>
          </c:tx>
          <c:spPr>
            <a:solidFill>
              <a:srgbClr val="47E5FF"/>
            </a:solidFill>
          </c:spPr>
          <c:invertIfNegative val="0"/>
          <c:dLbls>
            <c:dLbl>
              <c:idx val="1"/>
              <c:layout>
                <c:manualLayout>
                  <c:x val="-0.10940800612608299"/>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2EB0-49A2-9B14-D5C8DDB444FD}"/>
                </c:ext>
              </c:extLst>
            </c:dLbl>
            <c:spPr>
              <a:noFill/>
              <a:ln>
                <a:noFill/>
              </a:ln>
              <a:effectLst/>
            </c:spPr>
            <c:txPr>
              <a:bodyPr/>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B_ENG!$F$58:$F$60</c:f>
              <c:strCache>
                <c:ptCount val="3"/>
                <c:pt idx="0">
                  <c:v>HHs in the lowest income group 
(first quintil)</c:v>
                </c:pt>
                <c:pt idx="1">
                  <c:v>HHs in the highest income group 
(fifth quintil)</c:v>
                </c:pt>
                <c:pt idx="2">
                  <c:v>All 
households (HHs)</c:v>
                </c:pt>
              </c:strCache>
            </c:strRef>
          </c:cat>
          <c:val>
            <c:numRef>
              <c:f>B_ENG!$H$58:$H$60</c:f>
              <c:numCache>
                <c:formatCode>0.00</c:formatCode>
                <c:ptCount val="3"/>
                <c:pt idx="0">
                  <c:v>0.51700000000000002</c:v>
                </c:pt>
                <c:pt idx="1">
                  <c:v>0.78280000000000005</c:v>
                </c:pt>
                <c:pt idx="2">
                  <c:v>0.63504273504273501</c:v>
                </c:pt>
              </c:numCache>
            </c:numRef>
          </c:val>
          <c:extLst>
            <c:ext xmlns:c16="http://schemas.microsoft.com/office/drawing/2014/chart" uri="{C3380CC4-5D6E-409C-BE32-E72D297353CC}">
              <c16:uniqueId val="{00000002-2EB0-49A2-9B14-D5C8DDB444FD}"/>
            </c:ext>
          </c:extLst>
        </c:ser>
        <c:dLbls>
          <c:showLegendKey val="0"/>
          <c:showVal val="0"/>
          <c:showCatName val="0"/>
          <c:showSerName val="0"/>
          <c:showPercent val="0"/>
          <c:showBubbleSize val="0"/>
        </c:dLbls>
        <c:gapWidth val="200"/>
        <c:axId val="168289792"/>
        <c:axId val="168305792"/>
      </c:barChart>
      <c:catAx>
        <c:axId val="168288256"/>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168305216"/>
        <c:crosses val="autoZero"/>
        <c:auto val="1"/>
        <c:lblAlgn val="ctr"/>
        <c:lblOffset val="100"/>
        <c:tickLblSkip val="1"/>
        <c:tickMarkSkip val="1"/>
        <c:noMultiLvlLbl val="0"/>
      </c:catAx>
      <c:valAx>
        <c:axId val="168305216"/>
        <c:scaling>
          <c:orientation val="minMax"/>
          <c:max val="1.2"/>
          <c:min val="0"/>
        </c:scaling>
        <c:delete val="0"/>
        <c:axPos val="b"/>
        <c:numFmt formatCode="0.00" sourceLinked="1"/>
        <c:majorTickMark val="none"/>
        <c:minorTickMark val="none"/>
        <c:tickLblPos val="none"/>
        <c:spPr>
          <a:ln w="9525">
            <a:noFill/>
          </a:ln>
        </c:spPr>
        <c:crossAx val="168288256"/>
        <c:crosses val="autoZero"/>
        <c:crossBetween val="between"/>
        <c:majorUnit val="0.2"/>
        <c:minorUnit val="0.01"/>
      </c:valAx>
      <c:valAx>
        <c:axId val="168305792"/>
        <c:scaling>
          <c:orientation val="minMax"/>
          <c:max val="1.2"/>
          <c:min val="0"/>
        </c:scaling>
        <c:delete val="0"/>
        <c:axPos val="t"/>
        <c:numFmt formatCode="0.00" sourceLinked="1"/>
        <c:majorTickMark val="none"/>
        <c:minorTickMark val="none"/>
        <c:tickLblPos val="none"/>
        <c:crossAx val="168289792"/>
        <c:crosses val="max"/>
        <c:crossBetween val="between"/>
        <c:majorUnit val="0.2"/>
        <c:minorUnit val="0.01"/>
      </c:valAx>
      <c:catAx>
        <c:axId val="168289792"/>
        <c:scaling>
          <c:orientation val="minMax"/>
        </c:scaling>
        <c:delete val="1"/>
        <c:axPos val="l"/>
        <c:numFmt formatCode="General" sourceLinked="0"/>
        <c:majorTickMark val="out"/>
        <c:minorTickMark val="none"/>
        <c:tickLblPos val="none"/>
        <c:crossAx val="168305792"/>
        <c:crosses val="autoZero"/>
        <c:auto val="1"/>
        <c:lblAlgn val="ctr"/>
        <c:lblOffset val="100"/>
        <c:noMultiLvlLbl val="0"/>
      </c:catAx>
      <c:spPr>
        <a:noFill/>
        <a:ln w="12700">
          <a:solidFill>
            <a:srgbClr val="969696"/>
          </a:solidFill>
          <a:prstDash val="solid"/>
        </a:ln>
      </c:spPr>
    </c:plotArea>
    <c:legend>
      <c:legendPos val="r"/>
      <c:layout>
        <c:manualLayout>
          <c:xMode val="edge"/>
          <c:yMode val="edge"/>
          <c:x val="0.82743137254901999"/>
          <c:y val="0.63511190476190404"/>
          <c:w val="0.13100359477124199"/>
          <c:h val="0.13644880952381"/>
        </c:manualLayout>
      </c:layout>
      <c:overlay val="0"/>
      <c:spPr>
        <a:solidFill>
          <a:schemeClr val="bg1"/>
        </a:solidFill>
        <a:ln>
          <a:solidFill>
            <a:schemeClr val="tx1">
              <a:tint val="75000"/>
              <a:shade val="95000"/>
              <a:satMod val="105000"/>
            </a:schemeClr>
          </a:solidFill>
        </a:ln>
      </c:spPr>
      <c:txPr>
        <a:bodyPr/>
        <a:lstStyle/>
        <a:p>
          <a:pPr>
            <a:defRPr b="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a:ea typeface="Arial"/>
          <a:cs typeface="Arial"/>
        </a:defRPr>
      </a:pPr>
      <a:endParaRPr lang="cs-CZ"/>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cs-CZ" sz="800" b="1"/>
              <a:t>Figure B3 Households in the Czech Republic </a:t>
            </a:r>
          </a:p>
          <a:p>
            <a:pPr>
              <a:defRPr sz="800" b="1"/>
            </a:pPr>
            <a:r>
              <a:rPr lang="cs-CZ" sz="800" b="1"/>
              <a:t>with access to a telephone (%) </a:t>
            </a:r>
          </a:p>
        </c:rich>
      </c:tx>
      <c:layout/>
      <c:overlay val="1"/>
    </c:title>
    <c:autoTitleDeleted val="0"/>
    <c:plotArea>
      <c:layout>
        <c:manualLayout>
          <c:layoutTarget val="inner"/>
          <c:xMode val="edge"/>
          <c:yMode val="edge"/>
          <c:x val="0.328330872011252"/>
          <c:y val="0.16299484126984101"/>
          <c:w val="0.63395007032348805"/>
          <c:h val="0.69659007936507999"/>
        </c:manualLayout>
      </c:layout>
      <c:barChart>
        <c:barDir val="bar"/>
        <c:grouping val="clustered"/>
        <c:varyColors val="0"/>
        <c:ser>
          <c:idx val="0"/>
          <c:order val="0"/>
          <c:tx>
            <c:strRef>
              <c:f>B_ENG!$B$58</c:f>
              <c:strCache>
                <c:ptCount val="1"/>
                <c:pt idx="0">
                  <c:v> 1999</c:v>
                </c:pt>
              </c:strCache>
            </c:strRef>
          </c:tx>
          <c:spPr>
            <a:solidFill>
              <a:srgbClr val="47E5FF"/>
            </a:solidFill>
            <a:ln w="25400">
              <a:noFill/>
            </a:ln>
          </c:spPr>
          <c:invertIfNegative val="0"/>
          <c:dLbls>
            <c:dLbl>
              <c:idx val="0"/>
              <c:layout>
                <c:manualLayout>
                  <c:x val="-9.2915214866433893E-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A3EE-4284-B7BF-B881DDA8AB15}"/>
                </c:ext>
              </c:extLst>
            </c:dLbl>
            <c:dLbl>
              <c:idx val="2"/>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A3EE-4284-B7BF-B881DDA8AB15}"/>
                </c:ext>
              </c:extLst>
            </c:dLbl>
            <c:numFmt formatCode="0%" sourceLinked="0"/>
            <c:spPr>
              <a:noFill/>
              <a:ln w="25400">
                <a:noFill/>
              </a:ln>
            </c:spPr>
            <c:txPr>
              <a:bodyPr/>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B_ENG!$A$59:$A$62</c:f>
              <c:strCache>
                <c:ptCount val="4"/>
                <c:pt idx="0">
                  <c:v>Access to neither 
fixed nor 
mobile phone</c:v>
                </c:pt>
                <c:pt idx="1">
                  <c:v>Access to 
a fixed phone 
only</c:v>
                </c:pt>
                <c:pt idx="2">
                  <c:v>Access to 
a mobile phone 
only</c:v>
                </c:pt>
                <c:pt idx="3">
                  <c:v>Access to both 
fixed and 
mobile phone</c:v>
                </c:pt>
              </c:strCache>
            </c:strRef>
          </c:cat>
          <c:val>
            <c:numRef>
              <c:f>B_ENG!$B$59:$B$62</c:f>
              <c:numCache>
                <c:formatCode>0%</c:formatCode>
                <c:ptCount val="4"/>
                <c:pt idx="0">
                  <c:v>0.20300000000000001</c:v>
                </c:pt>
                <c:pt idx="1">
                  <c:v>0.69669999999999999</c:v>
                </c:pt>
                <c:pt idx="2">
                  <c:v>2.7900000000000001E-2</c:v>
                </c:pt>
                <c:pt idx="3">
                  <c:v>7.2300000000000003E-2</c:v>
                </c:pt>
              </c:numCache>
            </c:numRef>
          </c:val>
          <c:extLst>
            <c:ext xmlns:c16="http://schemas.microsoft.com/office/drawing/2014/chart" uri="{C3380CC4-5D6E-409C-BE32-E72D297353CC}">
              <c16:uniqueId val="{00000002-A3EE-4284-B7BF-B881DDA8AB15}"/>
            </c:ext>
          </c:extLst>
        </c:ser>
        <c:ser>
          <c:idx val="1"/>
          <c:order val="1"/>
          <c:tx>
            <c:strRef>
              <c:f>B_ENG!$C$58</c:f>
              <c:strCache>
                <c:ptCount val="1"/>
                <c:pt idx="0">
                  <c:v> 2006</c:v>
                </c:pt>
              </c:strCache>
            </c:strRef>
          </c:tx>
          <c:spPr>
            <a:solidFill>
              <a:srgbClr val="00C5E9"/>
            </a:solidFill>
            <a:ln w="25400">
              <a:noFill/>
            </a:ln>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A3EE-4284-B7BF-B881DDA8AB15}"/>
                </c:ext>
              </c:extLst>
            </c:dLbl>
            <c:dLbl>
              <c:idx val="1"/>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A3EE-4284-B7BF-B881DDA8AB15}"/>
                </c:ext>
              </c:extLst>
            </c:dLbl>
            <c:numFmt formatCode="0%" sourceLinked="0"/>
            <c:spPr>
              <a:noFill/>
              <a:ln w="25400">
                <a:noFill/>
              </a:ln>
            </c:spPr>
            <c:txPr>
              <a:bodyPr/>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B_ENG!$A$59:$A$62</c:f>
              <c:strCache>
                <c:ptCount val="4"/>
                <c:pt idx="0">
                  <c:v>Access to neither 
fixed nor 
mobile phone</c:v>
                </c:pt>
                <c:pt idx="1">
                  <c:v>Access to 
a fixed phone 
only</c:v>
                </c:pt>
                <c:pt idx="2">
                  <c:v>Access to 
a mobile phone 
only</c:v>
                </c:pt>
                <c:pt idx="3">
                  <c:v>Access to both 
fixed and 
mobile phone</c:v>
                </c:pt>
              </c:strCache>
            </c:strRef>
          </c:cat>
          <c:val>
            <c:numRef>
              <c:f>B_ENG!$C$59:$C$62</c:f>
              <c:numCache>
                <c:formatCode>0%</c:formatCode>
                <c:ptCount val="4"/>
                <c:pt idx="0">
                  <c:v>3.8899999999999997E-2</c:v>
                </c:pt>
                <c:pt idx="1">
                  <c:v>7.8600000000000003E-2</c:v>
                </c:pt>
                <c:pt idx="2">
                  <c:v>0.52100000000000002</c:v>
                </c:pt>
                <c:pt idx="3">
                  <c:v>0.36159999999999998</c:v>
                </c:pt>
              </c:numCache>
            </c:numRef>
          </c:val>
          <c:extLst>
            <c:ext xmlns:c16="http://schemas.microsoft.com/office/drawing/2014/chart" uri="{C3380CC4-5D6E-409C-BE32-E72D297353CC}">
              <c16:uniqueId val="{00000005-A3EE-4284-B7BF-B881DDA8AB15}"/>
            </c:ext>
          </c:extLst>
        </c:ser>
        <c:ser>
          <c:idx val="2"/>
          <c:order val="2"/>
          <c:tx>
            <c:strRef>
              <c:f>B_ENG!$D$58</c:f>
              <c:strCache>
                <c:ptCount val="1"/>
                <c:pt idx="0">
                  <c:v> 2016</c:v>
                </c:pt>
              </c:strCache>
            </c:strRef>
          </c:tx>
          <c:spPr>
            <a:solidFill>
              <a:srgbClr val="009BB4"/>
            </a:solidFill>
            <a:ln w="25400">
              <a:noFill/>
            </a:ln>
          </c:spPr>
          <c:invertIfNegative val="0"/>
          <c:dLbls>
            <c:dLbl>
              <c:idx val="0"/>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6-A3EE-4284-B7BF-B881DDA8AB15}"/>
                </c:ext>
              </c:extLst>
            </c:dLbl>
            <c:dLbl>
              <c:idx val="1"/>
              <c:layout/>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7-A3EE-4284-B7BF-B881DDA8AB15}"/>
                </c:ext>
              </c:extLst>
            </c:dLbl>
            <c:dLbl>
              <c:idx val="2"/>
              <c:numFmt formatCode="0%" sourceLinked="0"/>
              <c:spPr>
                <a:noFill/>
                <a:ln w="25400">
                  <a:noFill/>
                </a:ln>
              </c:spPr>
              <c:txPr>
                <a:bodyPr/>
                <a:lstStyle/>
                <a:p>
                  <a:pPr>
                    <a:defRPr b="1">
                      <a:solidFill>
                        <a:schemeClr val="bg1"/>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08-A3EE-4284-B7BF-B881DDA8AB15}"/>
                </c:ext>
              </c:extLst>
            </c:dLbl>
            <c:dLbl>
              <c:idx val="3"/>
              <c:layout>
                <c:manualLayout>
                  <c:x val="-9.6380801687763695E-2"/>
                  <c:y val="2.30982781402649E-17"/>
                </c:manualLayout>
              </c:layout>
              <c:numFmt formatCode="0%" sourceLinked="0"/>
              <c:spPr>
                <a:noFill/>
                <a:ln w="25400">
                  <a:noFill/>
                </a:ln>
              </c:spPr>
              <c:txPr>
                <a:bodyPr/>
                <a:lstStyle/>
                <a:p>
                  <a:pPr>
                    <a:defRPr b="1">
                      <a:solidFill>
                        <a:schemeClr val="bg1"/>
                      </a:solidFill>
                    </a:defRPr>
                  </a:pPr>
                  <a:endParaRPr lang="cs-CZ"/>
                </a:p>
              </c:txPr>
              <c:dLblPos val="outEnd"/>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9-A3EE-4284-B7BF-B881DDA8AB15}"/>
                </c:ext>
              </c:extLst>
            </c:dLbl>
            <c:numFmt formatCode="0%" sourceLinked="0"/>
            <c:spPr>
              <a:noFill/>
              <a:ln w="25400">
                <a:noFill/>
              </a:ln>
            </c:spPr>
            <c:txPr>
              <a:bodyPr/>
              <a:lstStyle/>
              <a:p>
                <a:pPr>
                  <a:defRPr b="1"/>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B_ENG!$A$59:$A$62</c:f>
              <c:strCache>
                <c:ptCount val="4"/>
                <c:pt idx="0">
                  <c:v>Access to neither 
fixed nor 
mobile phone</c:v>
                </c:pt>
                <c:pt idx="1">
                  <c:v>Access to 
a fixed phone 
only</c:v>
                </c:pt>
                <c:pt idx="2">
                  <c:v>Access to 
a mobile phone 
only</c:v>
                </c:pt>
                <c:pt idx="3">
                  <c:v>Access to both 
fixed and 
mobile phone</c:v>
                </c:pt>
              </c:strCache>
            </c:strRef>
          </c:cat>
          <c:val>
            <c:numRef>
              <c:f>B_ENG!$D$59:$D$62</c:f>
              <c:numCache>
                <c:formatCode>0%</c:formatCode>
                <c:ptCount val="4"/>
                <c:pt idx="0">
                  <c:v>8.8000000000000005E-3</c:v>
                </c:pt>
                <c:pt idx="1">
                  <c:v>5.0000000000000001E-3</c:v>
                </c:pt>
                <c:pt idx="2">
                  <c:v>0.85529999999999995</c:v>
                </c:pt>
                <c:pt idx="3">
                  <c:v>0.13089999999999999</c:v>
                </c:pt>
              </c:numCache>
            </c:numRef>
          </c:val>
          <c:extLst>
            <c:ext xmlns:c16="http://schemas.microsoft.com/office/drawing/2014/chart" uri="{C3380CC4-5D6E-409C-BE32-E72D297353CC}">
              <c16:uniqueId val="{0000000A-A3EE-4284-B7BF-B881DDA8AB15}"/>
            </c:ext>
          </c:extLst>
        </c:ser>
        <c:dLbls>
          <c:showLegendKey val="0"/>
          <c:showVal val="1"/>
          <c:showCatName val="0"/>
          <c:showSerName val="0"/>
          <c:showPercent val="0"/>
          <c:showBubbleSize val="0"/>
        </c:dLbls>
        <c:gapWidth val="57"/>
        <c:axId val="161765888"/>
        <c:axId val="161381120"/>
      </c:barChart>
      <c:catAx>
        <c:axId val="161765888"/>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161381120"/>
        <c:crosses val="autoZero"/>
        <c:auto val="1"/>
        <c:lblAlgn val="ctr"/>
        <c:lblOffset val="40"/>
        <c:tickLblSkip val="1"/>
        <c:tickMarkSkip val="1"/>
        <c:noMultiLvlLbl val="0"/>
      </c:catAx>
      <c:valAx>
        <c:axId val="161381120"/>
        <c:scaling>
          <c:orientation val="minMax"/>
          <c:max val="1"/>
        </c:scaling>
        <c:delete val="0"/>
        <c:axPos val="b"/>
        <c:numFmt formatCode="0%" sourceLinked="1"/>
        <c:majorTickMark val="none"/>
        <c:minorTickMark val="none"/>
        <c:tickLblPos val="none"/>
        <c:spPr>
          <a:ln w="9525">
            <a:noFill/>
          </a:ln>
        </c:spPr>
        <c:crossAx val="161765888"/>
        <c:crosses val="autoZero"/>
        <c:crossBetween val="between"/>
        <c:majorUnit val="0.1"/>
        <c:minorUnit val="0.01"/>
      </c:valAx>
      <c:spPr>
        <a:noFill/>
        <a:ln w="12700">
          <a:solidFill>
            <a:srgbClr val="969696"/>
          </a:solidFill>
          <a:prstDash val="solid"/>
        </a:ln>
      </c:spPr>
    </c:plotArea>
    <c:legend>
      <c:legendPos val="r"/>
      <c:layout>
        <c:manualLayout>
          <c:xMode val="edge"/>
          <c:yMode val="edge"/>
          <c:x val="0.73678660130718998"/>
          <c:y val="0.18978769841269799"/>
          <c:w val="0.20898125000000001"/>
          <c:h val="0.13433452380952399"/>
        </c:manualLayout>
      </c:layout>
      <c:overlay val="0"/>
      <c:spPr>
        <a:solidFill>
          <a:schemeClr val="bg1"/>
        </a:solidFill>
        <a:ln w="9525">
          <a:solidFill>
            <a:schemeClr val="bg1">
              <a:lumMod val="50000"/>
            </a:schemeClr>
          </a:solidFill>
        </a:ln>
      </c:spPr>
      <c:txPr>
        <a:bodyPr/>
        <a:lstStyle/>
        <a:p>
          <a:pPr>
            <a:defRPr b="0"/>
          </a:pPr>
          <a:endParaRPr lang="cs-CZ"/>
        </a:p>
      </c:tx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en-US" sz="800" b="1"/>
              <a:t>Figure B</a:t>
            </a:r>
            <a:r>
              <a:rPr lang="cs-CZ" sz="800" b="1"/>
              <a:t>5</a:t>
            </a:r>
            <a:r>
              <a:rPr lang="en-US" sz="800" b="1"/>
              <a:t> </a:t>
            </a:r>
            <a:r>
              <a:rPr lang="cs-CZ" sz="800" b="1"/>
              <a:t>Ho</a:t>
            </a:r>
            <a:r>
              <a:rPr lang="en-US" sz="800" b="1"/>
              <a:t>usehold </a:t>
            </a:r>
            <a:r>
              <a:rPr lang="cs-CZ" sz="800" b="1"/>
              <a:t>consumption </a:t>
            </a:r>
            <a:r>
              <a:rPr lang="en-US" sz="800" b="1"/>
              <a:t>expenditure </a:t>
            </a:r>
            <a:endParaRPr lang="cs-CZ" sz="800" b="1"/>
          </a:p>
          <a:p>
            <a:pPr>
              <a:defRPr sz="800" b="1"/>
            </a:pPr>
            <a:r>
              <a:rPr lang="en-US" sz="800" b="1"/>
              <a:t>for telecomm</a:t>
            </a:r>
            <a:r>
              <a:rPr lang="cs-CZ" sz="800" b="1"/>
              <a:t>.</a:t>
            </a:r>
            <a:r>
              <a:rPr lang="en-US" sz="800" b="1"/>
              <a:t> services </a:t>
            </a:r>
            <a:r>
              <a:rPr lang="cs-CZ" sz="800" b="1"/>
              <a:t>in the Czech Republic</a:t>
            </a:r>
            <a:endParaRPr lang="en-US" sz="800" b="1"/>
          </a:p>
        </c:rich>
      </c:tx>
      <c:layout/>
      <c:overlay val="1"/>
    </c:title>
    <c:autoTitleDeleted val="0"/>
    <c:plotArea>
      <c:layout>
        <c:manualLayout>
          <c:layoutTarget val="inner"/>
          <c:xMode val="edge"/>
          <c:yMode val="edge"/>
          <c:x val="2.2538872296135399E-2"/>
          <c:y val="0.166674603174603"/>
          <c:w val="0.95492225540772901"/>
          <c:h val="0.63360039682539704"/>
        </c:manualLayout>
      </c:layout>
      <c:barChart>
        <c:barDir val="col"/>
        <c:grouping val="clustered"/>
        <c:varyColors val="0"/>
        <c:ser>
          <c:idx val="2"/>
          <c:order val="0"/>
          <c:tx>
            <c:strRef>
              <c:f>B_ENG!$A$83</c:f>
              <c:strCache>
                <c:ptCount val="1"/>
                <c:pt idx="0">
                  <c:v> Billions CZK</c:v>
                </c:pt>
              </c:strCache>
            </c:strRef>
          </c:tx>
          <c:spPr>
            <a:solidFill>
              <a:srgbClr val="009BB4"/>
            </a:solidFill>
            <a:ln w="25400">
              <a:noFill/>
            </a:ln>
          </c:spPr>
          <c:invertIfNegative val="0"/>
          <c:dLbls>
            <c:dLbl>
              <c:idx val="0"/>
              <c:numFmt formatCode="#,##0.0" sourceLinked="0"/>
              <c:spPr/>
              <c:txPr>
                <a:bodyPr rot="0" vert="horz"/>
                <a:lstStyle/>
                <a:p>
                  <a:pPr>
                    <a:defRPr b="1">
                      <a:solidFill>
                        <a:sysClr val="windowText" lastClr="000000"/>
                      </a:solidFill>
                    </a:defRPr>
                  </a:pPr>
                  <a:endParaRPr lang="cs-CZ"/>
                </a:p>
              </c:txPr>
              <c:dLblPos val="inEnd"/>
              <c:showLegendKey val="0"/>
              <c:showVal val="1"/>
              <c:showCatName val="0"/>
              <c:showSerName val="0"/>
              <c:showPercent val="0"/>
              <c:showBubbleSize val="0"/>
              <c:extLst>
                <c:ext xmlns:c16="http://schemas.microsoft.com/office/drawing/2014/chart" uri="{C3380CC4-5D6E-409C-BE32-E72D297353CC}">
                  <c16:uniqueId val="{00000000-DB5C-4DC9-A317-9E95C7492F04}"/>
                </c:ext>
              </c:extLst>
            </c:dLbl>
            <c:numFmt formatCode="#,##0.0" sourceLinked="0"/>
            <c:spPr>
              <a:noFill/>
              <a:ln>
                <a:noFill/>
              </a:ln>
              <a:effectLst/>
            </c:spPr>
            <c:txPr>
              <a:bodyPr rot="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B_ENG!$B$82:$G$82</c:f>
              <c:numCache>
                <c:formatCode>@</c:formatCode>
                <c:ptCount val="6"/>
                <c:pt idx="0">
                  <c:v>1991</c:v>
                </c:pt>
                <c:pt idx="1">
                  <c:v>1996</c:v>
                </c:pt>
                <c:pt idx="2">
                  <c:v>2001</c:v>
                </c:pt>
                <c:pt idx="3">
                  <c:v>2006</c:v>
                </c:pt>
                <c:pt idx="4">
                  <c:v>2011</c:v>
                </c:pt>
                <c:pt idx="5">
                  <c:v>2016</c:v>
                </c:pt>
              </c:numCache>
            </c:numRef>
          </c:cat>
          <c:val>
            <c:numRef>
              <c:f>B_ENG!$B$83:$G$83</c:f>
              <c:numCache>
                <c:formatCode>#,##0.0</c:formatCode>
                <c:ptCount val="6"/>
                <c:pt idx="0">
                  <c:v>5.13</c:v>
                </c:pt>
                <c:pt idx="1">
                  <c:v>14.164999999999999</c:v>
                </c:pt>
                <c:pt idx="2">
                  <c:v>26.864000000000001</c:v>
                </c:pt>
                <c:pt idx="3">
                  <c:v>52.472000000000001</c:v>
                </c:pt>
                <c:pt idx="4">
                  <c:v>56.143000000000001</c:v>
                </c:pt>
                <c:pt idx="5">
                  <c:v>57.854999999999997</c:v>
                </c:pt>
              </c:numCache>
            </c:numRef>
          </c:val>
          <c:extLst>
            <c:ext xmlns:c16="http://schemas.microsoft.com/office/drawing/2014/chart" uri="{C3380CC4-5D6E-409C-BE32-E72D297353CC}">
              <c16:uniqueId val="{00000001-DB5C-4DC9-A317-9E95C7492F04}"/>
            </c:ext>
          </c:extLst>
        </c:ser>
        <c:dLbls>
          <c:showLegendKey val="0"/>
          <c:showVal val="0"/>
          <c:showCatName val="0"/>
          <c:showSerName val="0"/>
          <c:showPercent val="0"/>
          <c:showBubbleSize val="0"/>
        </c:dLbls>
        <c:gapWidth val="40"/>
        <c:axId val="168288768"/>
        <c:axId val="168308096"/>
      </c:barChart>
      <c:lineChart>
        <c:grouping val="standard"/>
        <c:varyColors val="0"/>
        <c:ser>
          <c:idx val="0"/>
          <c:order val="1"/>
          <c:tx>
            <c:strRef>
              <c:f>B_ENG!$A$84</c:f>
              <c:strCache>
                <c:ptCount val="1"/>
                <c:pt idx="0">
                  <c:v> As % of total HHs expenditure</c:v>
                </c:pt>
              </c:strCache>
            </c:strRef>
          </c:tx>
          <c:spPr>
            <a:ln w="12700">
              <a:solidFill>
                <a:srgbClr val="009BB4"/>
              </a:solidFill>
            </a:ln>
          </c:spPr>
          <c:marker>
            <c:symbol val="diamond"/>
            <c:size val="4"/>
            <c:spPr>
              <a:solidFill>
                <a:srgbClr val="47E5FF"/>
              </a:solidFill>
              <a:ln w="12700">
                <a:solidFill>
                  <a:srgbClr val="009BB4"/>
                </a:solidFill>
              </a:ln>
            </c:spPr>
          </c:marker>
          <c:dLbls>
            <c:numFmt formatCode="0.0%" sourceLinked="0"/>
            <c:spPr>
              <a:noFill/>
              <a:ln>
                <a:noFill/>
              </a:ln>
              <a:effectLst/>
            </c:spPr>
            <c:txPr>
              <a:bodyPr rot="0" vert="horz"/>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B_ENG!$B$82:$G$82</c:f>
              <c:numCache>
                <c:formatCode>@</c:formatCode>
                <c:ptCount val="6"/>
                <c:pt idx="0">
                  <c:v>1991</c:v>
                </c:pt>
                <c:pt idx="1">
                  <c:v>1996</c:v>
                </c:pt>
                <c:pt idx="2">
                  <c:v>2001</c:v>
                </c:pt>
                <c:pt idx="3">
                  <c:v>2006</c:v>
                </c:pt>
                <c:pt idx="4">
                  <c:v>2011</c:v>
                </c:pt>
                <c:pt idx="5">
                  <c:v>2016</c:v>
                </c:pt>
              </c:numCache>
            </c:numRef>
          </c:cat>
          <c:val>
            <c:numRef>
              <c:f>B_ENG!$B$84:$G$84</c:f>
              <c:numCache>
                <c:formatCode>0.0%</c:formatCode>
                <c:ptCount val="6"/>
                <c:pt idx="0">
                  <c:v>1.1649083287539301E-2</c:v>
                </c:pt>
                <c:pt idx="1">
                  <c:v>1.51791981225588E-2</c:v>
                </c:pt>
                <c:pt idx="2">
                  <c:v>2.0193197424134599E-2</c:v>
                </c:pt>
                <c:pt idx="3">
                  <c:v>3.04868235358371E-2</c:v>
                </c:pt>
                <c:pt idx="4">
                  <c:v>2.75084973392071E-2</c:v>
                </c:pt>
                <c:pt idx="5">
                  <c:v>2.5180031450000001E-2</c:v>
                </c:pt>
              </c:numCache>
            </c:numRef>
          </c:val>
          <c:smooth val="0"/>
          <c:extLst>
            <c:ext xmlns:c16="http://schemas.microsoft.com/office/drawing/2014/chart" uri="{C3380CC4-5D6E-409C-BE32-E72D297353CC}">
              <c16:uniqueId val="{00000002-DB5C-4DC9-A317-9E95C7492F04}"/>
            </c:ext>
          </c:extLst>
        </c:ser>
        <c:dLbls>
          <c:showLegendKey val="0"/>
          <c:showVal val="0"/>
          <c:showCatName val="0"/>
          <c:showSerName val="0"/>
          <c:showPercent val="0"/>
          <c:showBubbleSize val="0"/>
        </c:dLbls>
        <c:marker val="1"/>
        <c:smooth val="0"/>
        <c:axId val="169660416"/>
        <c:axId val="168308672"/>
      </c:lineChart>
      <c:catAx>
        <c:axId val="168288768"/>
        <c:scaling>
          <c:orientation val="minMax"/>
        </c:scaling>
        <c:delete val="0"/>
        <c:axPos val="b"/>
        <c:numFmt formatCode="@" sourceLinked="1"/>
        <c:majorTickMark val="out"/>
        <c:minorTickMark val="none"/>
        <c:tickLblPos val="nextTo"/>
        <c:spPr>
          <a:ln w="3175">
            <a:solidFill>
              <a:srgbClr val="000000"/>
            </a:solidFill>
            <a:prstDash val="solid"/>
          </a:ln>
        </c:spPr>
        <c:txPr>
          <a:bodyPr rot="0" vert="horz"/>
          <a:lstStyle/>
          <a:p>
            <a:pPr>
              <a:defRPr/>
            </a:pPr>
            <a:endParaRPr lang="cs-CZ"/>
          </a:p>
        </c:txPr>
        <c:crossAx val="168308096"/>
        <c:crosses val="autoZero"/>
        <c:auto val="1"/>
        <c:lblAlgn val="ctr"/>
        <c:lblOffset val="140"/>
        <c:tickLblSkip val="1"/>
        <c:tickMarkSkip val="1"/>
        <c:noMultiLvlLbl val="0"/>
      </c:catAx>
      <c:valAx>
        <c:axId val="168308096"/>
        <c:scaling>
          <c:orientation val="minMax"/>
          <c:max val="100"/>
          <c:min val="0"/>
        </c:scaling>
        <c:delete val="0"/>
        <c:axPos val="l"/>
        <c:numFmt formatCode="#,##0.0" sourceLinked="1"/>
        <c:majorTickMark val="none"/>
        <c:minorTickMark val="none"/>
        <c:tickLblPos val="none"/>
        <c:spPr>
          <a:ln w="9525">
            <a:noFill/>
          </a:ln>
        </c:spPr>
        <c:crossAx val="168288768"/>
        <c:crosses val="autoZero"/>
        <c:crossBetween val="between"/>
        <c:majorUnit val="10"/>
        <c:minorUnit val="1"/>
      </c:valAx>
      <c:catAx>
        <c:axId val="169660416"/>
        <c:scaling>
          <c:orientation val="minMax"/>
        </c:scaling>
        <c:delete val="1"/>
        <c:axPos val="b"/>
        <c:numFmt formatCode="@" sourceLinked="1"/>
        <c:majorTickMark val="out"/>
        <c:minorTickMark val="none"/>
        <c:tickLblPos val="none"/>
        <c:crossAx val="168308672"/>
        <c:crosses val="autoZero"/>
        <c:auto val="1"/>
        <c:lblAlgn val="ctr"/>
        <c:lblOffset val="100"/>
        <c:noMultiLvlLbl val="0"/>
      </c:catAx>
      <c:valAx>
        <c:axId val="168308672"/>
        <c:scaling>
          <c:orientation val="minMax"/>
          <c:max val="0.04"/>
          <c:min val="0"/>
        </c:scaling>
        <c:delete val="0"/>
        <c:axPos val="r"/>
        <c:numFmt formatCode="0.0%" sourceLinked="1"/>
        <c:majorTickMark val="none"/>
        <c:minorTickMark val="none"/>
        <c:tickLblPos val="none"/>
        <c:crossAx val="169660416"/>
        <c:crosses val="max"/>
        <c:crossBetween val="between"/>
        <c:majorUnit val="5.0000000000000001E-3"/>
        <c:minorUnit val="1E-3"/>
      </c:valAx>
      <c:spPr>
        <a:noFill/>
        <a:ln w="12700">
          <a:solidFill>
            <a:srgbClr val="969696"/>
          </a:solidFill>
          <a:prstDash val="solid"/>
        </a:ln>
      </c:spPr>
    </c:plotArea>
    <c:legend>
      <c:legendPos val="l"/>
      <c:legendEntry>
        <c:idx val="1"/>
        <c:txPr>
          <a:bodyPr/>
          <a:lstStyle/>
          <a:p>
            <a:pPr>
              <a:defRPr i="0"/>
            </a:pPr>
            <a:endParaRPr lang="cs-CZ"/>
          </a:p>
        </c:txPr>
      </c:legendEntry>
      <c:layout>
        <c:manualLayout>
          <c:xMode val="edge"/>
          <c:yMode val="edge"/>
          <c:x val="2.5900462962963E-2"/>
          <c:y val="0.181263888888889"/>
          <c:w val="0.43075849673202599"/>
          <c:h val="0.18074960317460301"/>
        </c:manualLayout>
      </c:layout>
      <c:overlay val="0"/>
      <c:spPr>
        <a:ln>
          <a:solidFill>
            <a:schemeClr val="bg1">
              <a:lumMod val="50000"/>
            </a:schemeClr>
          </a:solidFill>
        </a:ln>
      </c:sp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en-US" sz="800" b="1"/>
              <a:t>Figure B</a:t>
            </a:r>
            <a:r>
              <a:rPr lang="cs-CZ" sz="800" b="1"/>
              <a:t>6</a:t>
            </a:r>
            <a:r>
              <a:rPr lang="en-US" sz="800" b="1"/>
              <a:t> </a:t>
            </a:r>
            <a:r>
              <a:rPr lang="cs-CZ" sz="800" b="1"/>
              <a:t>Telecommunication h</a:t>
            </a:r>
            <a:r>
              <a:rPr lang="en-US" sz="800" b="1"/>
              <a:t>ousehold </a:t>
            </a:r>
            <a:r>
              <a:rPr lang="cs-CZ" sz="800" b="1"/>
              <a:t>consumption </a:t>
            </a:r>
            <a:r>
              <a:rPr lang="en-US" sz="800" b="1"/>
              <a:t>expenditure </a:t>
            </a:r>
            <a:r>
              <a:rPr lang="cs-CZ" sz="800" b="1"/>
              <a:t>by type of services</a:t>
            </a:r>
            <a:r>
              <a:rPr lang="en-US" sz="800" b="1"/>
              <a:t> </a:t>
            </a:r>
            <a:r>
              <a:rPr lang="cs-CZ" sz="800" b="1"/>
              <a:t> </a:t>
            </a:r>
          </a:p>
          <a:p>
            <a:pPr>
              <a:defRPr sz="800" b="1"/>
            </a:pPr>
            <a:r>
              <a:rPr lang="cs-CZ" sz="800" b="1"/>
              <a:t>in the Czech Republic </a:t>
            </a:r>
            <a:r>
              <a:rPr lang="en-US" sz="800" b="1"/>
              <a:t>(%)</a:t>
            </a:r>
          </a:p>
        </c:rich>
      </c:tx>
      <c:layout/>
      <c:overlay val="1"/>
    </c:title>
    <c:autoTitleDeleted val="0"/>
    <c:plotArea>
      <c:layout>
        <c:manualLayout>
          <c:layoutTarget val="inner"/>
          <c:xMode val="edge"/>
          <c:yMode val="edge"/>
          <c:x val="0.13881274509803901"/>
          <c:y val="0.19973849206349201"/>
          <c:w val="0.84571648056188198"/>
          <c:h val="0.55775198412698401"/>
        </c:manualLayout>
      </c:layout>
      <c:barChart>
        <c:barDir val="bar"/>
        <c:grouping val="percentStacked"/>
        <c:varyColors val="0"/>
        <c:ser>
          <c:idx val="4"/>
          <c:order val="0"/>
          <c:tx>
            <c:strRef>
              <c:f>B_ENG!$A$88</c:f>
              <c:strCache>
                <c:ptCount val="1"/>
                <c:pt idx="0">
                  <c:v>  Fixed line</c:v>
                </c:pt>
              </c:strCache>
            </c:strRef>
          </c:tx>
          <c:spPr>
            <a:solidFill>
              <a:srgbClr val="009BB4"/>
            </a:solidFill>
          </c:spPr>
          <c:invertIfNegative val="0"/>
          <c:dLbls>
            <c:dLbl>
              <c:idx val="0"/>
              <c:spPr/>
              <c:txPr>
                <a:bodyPr/>
                <a:lstStyle/>
                <a:p>
                  <a:pPr>
                    <a:defRPr b="1">
                      <a:solidFill>
                        <a:schemeClr val="bg1"/>
                      </a:solidFill>
                    </a:defRPr>
                  </a:pPr>
                  <a:endParaRPr lang="cs-CZ"/>
                </a:p>
              </c:txPr>
              <c:showLegendKey val="0"/>
              <c:showVal val="1"/>
              <c:showCatName val="0"/>
              <c:showSerName val="0"/>
              <c:showPercent val="0"/>
              <c:showBubbleSize val="0"/>
              <c:extLst>
                <c:ext xmlns:c16="http://schemas.microsoft.com/office/drawing/2014/chart" uri="{C3380CC4-5D6E-409C-BE32-E72D297353CC}">
                  <c16:uniqueId val="{00000000-2FCD-49BD-A461-2B5C6EBA5121}"/>
                </c:ext>
              </c:extLst>
            </c:dLbl>
            <c:dLbl>
              <c:idx val="1"/>
              <c:spPr/>
              <c:txPr>
                <a:bodyPr/>
                <a:lstStyle/>
                <a:p>
                  <a:pPr>
                    <a:defRPr b="1">
                      <a:solidFill>
                        <a:schemeClr val="bg1"/>
                      </a:solidFill>
                    </a:defRPr>
                  </a:pPr>
                  <a:endParaRPr lang="cs-CZ"/>
                </a:p>
              </c:txPr>
              <c:showLegendKey val="0"/>
              <c:showVal val="1"/>
              <c:showCatName val="0"/>
              <c:showSerName val="0"/>
              <c:showPercent val="0"/>
              <c:showBubbleSize val="0"/>
              <c:extLst>
                <c:ext xmlns:c16="http://schemas.microsoft.com/office/drawing/2014/chart" uri="{C3380CC4-5D6E-409C-BE32-E72D297353CC}">
                  <c16:uniqueId val="{00000001-2FCD-49BD-A461-2B5C6EBA5121}"/>
                </c:ext>
              </c:extLst>
            </c:dLbl>
            <c:dLbl>
              <c:idx val="2"/>
              <c:layout>
                <c:manualLayout>
                  <c:x val="4.5864038765585698E-3"/>
                  <c:y val="0"/>
                </c:manualLayout>
              </c:layout>
              <c:spPr/>
              <c:txPr>
                <a:bodyPr/>
                <a:lstStyle/>
                <a:p>
                  <a:pPr>
                    <a:defRPr b="1">
                      <a:solidFill>
                        <a:schemeClr val="bg1"/>
                      </a:solidFill>
                    </a:defRPr>
                  </a:pPr>
                  <a:endParaRPr lang="cs-CZ"/>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2FCD-49BD-A461-2B5C6EBA5121}"/>
                </c:ext>
              </c:extLst>
            </c:dLbl>
            <c:spPr>
              <a:noFill/>
              <a:ln>
                <a:noFill/>
              </a:ln>
              <a:effectLst/>
            </c:spPr>
            <c:txPr>
              <a:bodyPr/>
              <a:lstStyle/>
              <a:p>
                <a:pPr>
                  <a:defRPr b="1"/>
                </a:pPr>
                <a:endParaRPr lang="cs-CZ"/>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B_ENG!$B$87:$D$87</c:f>
              <c:strCache>
                <c:ptCount val="3"/>
                <c:pt idx="0">
                  <c:v>2006</c:v>
                </c:pt>
                <c:pt idx="1">
                  <c:v>2011</c:v>
                </c:pt>
                <c:pt idx="2">
                  <c:v>2016</c:v>
                </c:pt>
              </c:strCache>
            </c:strRef>
          </c:cat>
          <c:val>
            <c:numRef>
              <c:f>B_ENG!$B$88:$D$88</c:f>
              <c:numCache>
                <c:formatCode>0%</c:formatCode>
                <c:ptCount val="3"/>
                <c:pt idx="0">
                  <c:v>0.311490755909197</c:v>
                </c:pt>
                <c:pt idx="1">
                  <c:v>8.7754690336897298E-2</c:v>
                </c:pt>
                <c:pt idx="2">
                  <c:v>3.7405865900117498E-2</c:v>
                </c:pt>
              </c:numCache>
            </c:numRef>
          </c:val>
          <c:extLst>
            <c:ext xmlns:c16="http://schemas.microsoft.com/office/drawing/2014/chart" uri="{C3380CC4-5D6E-409C-BE32-E72D297353CC}">
              <c16:uniqueId val="{00000003-2FCD-49BD-A461-2B5C6EBA5121}"/>
            </c:ext>
          </c:extLst>
        </c:ser>
        <c:ser>
          <c:idx val="0"/>
          <c:order val="1"/>
          <c:tx>
            <c:strRef>
              <c:f>B_ENG!$A$89</c:f>
              <c:strCache>
                <c:ptCount val="1"/>
                <c:pt idx="0">
                  <c:v>  Mobile phone</c:v>
                </c:pt>
              </c:strCache>
            </c:strRef>
          </c:tx>
          <c:spPr>
            <a:solidFill>
              <a:srgbClr val="00C5E9"/>
            </a:solidFill>
          </c:spPr>
          <c:invertIfNegative val="0"/>
          <c:dLbls>
            <c:spPr>
              <a:noFill/>
              <a:ln>
                <a:noFill/>
              </a:ln>
              <a:effectLst/>
            </c:spPr>
            <c:txPr>
              <a:bodyPr/>
              <a:lstStyle/>
              <a:p>
                <a:pPr>
                  <a:defRPr b="1"/>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B_ENG!$B$87:$D$87</c:f>
              <c:strCache>
                <c:ptCount val="3"/>
                <c:pt idx="0">
                  <c:v>2006</c:v>
                </c:pt>
                <c:pt idx="1">
                  <c:v>2011</c:v>
                </c:pt>
                <c:pt idx="2">
                  <c:v>2016</c:v>
                </c:pt>
              </c:strCache>
            </c:strRef>
          </c:cat>
          <c:val>
            <c:numRef>
              <c:f>B_ENG!$B$89:$D$89</c:f>
              <c:numCache>
                <c:formatCode>0%</c:formatCode>
                <c:ptCount val="3"/>
                <c:pt idx="0">
                  <c:v>0.58670723145331205</c:v>
                </c:pt>
                <c:pt idx="1">
                  <c:v>0.64837603389146703</c:v>
                </c:pt>
                <c:pt idx="2">
                  <c:v>0.66743373515965398</c:v>
                </c:pt>
              </c:numCache>
            </c:numRef>
          </c:val>
          <c:extLst>
            <c:ext xmlns:c16="http://schemas.microsoft.com/office/drawing/2014/chart" uri="{C3380CC4-5D6E-409C-BE32-E72D297353CC}">
              <c16:uniqueId val="{00000004-2FCD-49BD-A461-2B5C6EBA5121}"/>
            </c:ext>
          </c:extLst>
        </c:ser>
        <c:ser>
          <c:idx val="2"/>
          <c:order val="2"/>
          <c:tx>
            <c:strRef>
              <c:f>B_ENG!$A$90</c:f>
              <c:strCache>
                <c:ptCount val="1"/>
                <c:pt idx="0">
                  <c:v>  Internet</c:v>
                </c:pt>
              </c:strCache>
            </c:strRef>
          </c:tx>
          <c:spPr>
            <a:solidFill>
              <a:srgbClr val="47E5FF"/>
            </a:solidFill>
          </c:spPr>
          <c:invertIfNegative val="0"/>
          <c:dLbls>
            <c:spPr>
              <a:noFill/>
              <a:ln>
                <a:noFill/>
              </a:ln>
              <a:effectLst/>
            </c:spPr>
            <c:txPr>
              <a:bodyPr/>
              <a:lstStyle/>
              <a:p>
                <a:pPr>
                  <a:defRPr b="1"/>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B_ENG!$B$87:$D$87</c:f>
              <c:strCache>
                <c:ptCount val="3"/>
                <c:pt idx="0">
                  <c:v>2006</c:v>
                </c:pt>
                <c:pt idx="1">
                  <c:v>2011</c:v>
                </c:pt>
                <c:pt idx="2">
                  <c:v>2016</c:v>
                </c:pt>
              </c:strCache>
            </c:strRef>
          </c:cat>
          <c:val>
            <c:numRef>
              <c:f>B_ENG!$B$90:$D$90</c:f>
              <c:numCache>
                <c:formatCode>0%</c:formatCode>
                <c:ptCount val="3"/>
                <c:pt idx="0">
                  <c:v>0.101802012637491</c:v>
                </c:pt>
                <c:pt idx="1">
                  <c:v>0.26386927577163599</c:v>
                </c:pt>
                <c:pt idx="2">
                  <c:v>0.29467993194569297</c:v>
                </c:pt>
              </c:numCache>
            </c:numRef>
          </c:val>
          <c:extLst>
            <c:ext xmlns:c16="http://schemas.microsoft.com/office/drawing/2014/chart" uri="{C3380CC4-5D6E-409C-BE32-E72D297353CC}">
              <c16:uniqueId val="{00000005-2FCD-49BD-A461-2B5C6EBA5121}"/>
            </c:ext>
          </c:extLst>
        </c:ser>
        <c:dLbls>
          <c:showLegendKey val="0"/>
          <c:showVal val="1"/>
          <c:showCatName val="0"/>
          <c:showSerName val="0"/>
          <c:showPercent val="0"/>
          <c:showBubbleSize val="0"/>
        </c:dLbls>
        <c:gapWidth val="40"/>
        <c:overlap val="100"/>
        <c:axId val="169661952"/>
        <c:axId val="168312128"/>
      </c:barChart>
      <c:catAx>
        <c:axId val="169661952"/>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168312128"/>
        <c:crosses val="autoZero"/>
        <c:auto val="1"/>
        <c:lblAlgn val="ctr"/>
        <c:lblOffset val="40"/>
        <c:tickLblSkip val="1"/>
        <c:tickMarkSkip val="1"/>
        <c:noMultiLvlLbl val="0"/>
      </c:catAx>
      <c:valAx>
        <c:axId val="168312128"/>
        <c:scaling>
          <c:orientation val="minMax"/>
          <c:max val="1"/>
        </c:scaling>
        <c:delete val="0"/>
        <c:axPos val="b"/>
        <c:numFmt formatCode="0%" sourceLinked="1"/>
        <c:majorTickMark val="none"/>
        <c:minorTickMark val="none"/>
        <c:tickLblPos val="none"/>
        <c:spPr>
          <a:ln w="9525">
            <a:noFill/>
          </a:ln>
        </c:spPr>
        <c:crossAx val="169661952"/>
        <c:crosses val="autoZero"/>
        <c:crossBetween val="between"/>
        <c:majorUnit val="0.25"/>
        <c:minorUnit val="0.05"/>
      </c:valAx>
      <c:spPr>
        <a:noFill/>
        <a:ln w="12700">
          <a:solidFill>
            <a:srgbClr val="969696"/>
          </a:solidFill>
          <a:prstDash val="solid"/>
        </a:ln>
      </c:spPr>
    </c:plotArea>
    <c:legend>
      <c:legendPos val="r"/>
      <c:layout>
        <c:manualLayout>
          <c:xMode val="edge"/>
          <c:yMode val="edge"/>
          <c:x val="0.119288888888889"/>
          <c:y val="0.79884722222222204"/>
          <c:w val="0.846702614379086"/>
          <c:h val="8.7183730158730099E-2"/>
        </c:manualLayout>
      </c:layout>
      <c:overlay val="0"/>
      <c:spPr>
        <a:noFill/>
        <a:ln w="9525">
          <a:solidFill>
            <a:schemeClr val="bg1">
              <a:lumMod val="50000"/>
            </a:schemeClr>
          </a:solidFill>
        </a:ln>
      </c:sp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en-US" sz="800"/>
              <a:t>Figure B</a:t>
            </a:r>
            <a:r>
              <a:rPr lang="cs-CZ" sz="800"/>
              <a:t>7</a:t>
            </a:r>
            <a:r>
              <a:rPr lang="en-US" sz="800"/>
              <a:t> Household</a:t>
            </a:r>
            <a:r>
              <a:rPr lang="cs-CZ" sz="800" baseline="0"/>
              <a:t> </a:t>
            </a:r>
            <a:r>
              <a:rPr lang="en-US" sz="800"/>
              <a:t>expenditure for telecommunication services in EU countries</a:t>
            </a:r>
            <a:r>
              <a:rPr lang="cs-CZ" sz="800"/>
              <a:t> (%)*</a:t>
            </a:r>
            <a:endParaRPr lang="en-US" sz="800"/>
          </a:p>
        </c:rich>
      </c:tx>
      <c:layout/>
      <c:overlay val="1"/>
    </c:title>
    <c:autoTitleDeleted val="0"/>
    <c:plotArea>
      <c:layout>
        <c:manualLayout>
          <c:layoutTarget val="inner"/>
          <c:xMode val="edge"/>
          <c:yMode val="edge"/>
          <c:x val="6.5949831649831703E-2"/>
          <c:y val="9.8363888888888903E-2"/>
          <c:w val="0.90411750841750804"/>
          <c:h val="0.60817932098765404"/>
        </c:manualLayout>
      </c:layout>
      <c:barChart>
        <c:barDir val="col"/>
        <c:grouping val="clustered"/>
        <c:varyColors val="0"/>
        <c:ser>
          <c:idx val="2"/>
          <c:order val="2"/>
          <c:tx>
            <c:strRef>
              <c:f>B_ENG!$D$109</c:f>
              <c:strCache>
                <c:ptCount val="1"/>
                <c:pt idx="0">
                  <c:v>2016</c:v>
                </c:pt>
              </c:strCache>
            </c:strRef>
          </c:tx>
          <c:spPr>
            <a:solidFill>
              <a:srgbClr val="009BB4"/>
            </a:solidFill>
          </c:spPr>
          <c:invertIfNegative val="0"/>
          <c:dPt>
            <c:idx val="10"/>
            <c:invertIfNegative val="0"/>
            <c:bubble3D val="0"/>
            <c:spPr>
              <a:solidFill>
                <a:srgbClr val="009BB4"/>
              </a:solidFill>
              <a:ln w="9525">
                <a:solidFill>
                  <a:srgbClr val="FF0000"/>
                </a:solidFill>
              </a:ln>
            </c:spPr>
            <c:extLst>
              <c:ext xmlns:c16="http://schemas.microsoft.com/office/drawing/2014/chart" uri="{C3380CC4-5D6E-409C-BE32-E72D297353CC}">
                <c16:uniqueId val="{00000001-F611-497A-81B7-BDFC360B8E4D}"/>
              </c:ext>
            </c:extLst>
          </c:dPt>
          <c:dPt>
            <c:idx val="19"/>
            <c:invertIfNegative val="0"/>
            <c:bubble3D val="0"/>
            <c:spPr>
              <a:solidFill>
                <a:srgbClr val="009BB4"/>
              </a:solidFill>
              <a:ln w="9525">
                <a:solidFill>
                  <a:srgbClr val="FF0000"/>
                </a:solidFill>
              </a:ln>
            </c:spPr>
            <c:extLst>
              <c:ext xmlns:c16="http://schemas.microsoft.com/office/drawing/2014/chart" uri="{C3380CC4-5D6E-409C-BE32-E72D297353CC}">
                <c16:uniqueId val="{00000003-F611-497A-81B7-BDFC360B8E4D}"/>
              </c:ext>
            </c:extLst>
          </c:dPt>
          <c:cat>
            <c:strRef>
              <c:f>B_ENG!$A$110:$A$137</c:f>
              <c:strCache>
                <c:ptCount val="28"/>
                <c:pt idx="0">
                  <c:v>Greece</c:v>
                </c:pt>
                <c:pt idx="1">
                  <c:v>Romania</c:v>
                </c:pt>
                <c:pt idx="2">
                  <c:v>Bulgaria</c:v>
                </c:pt>
                <c:pt idx="3">
                  <c:v>Hungary</c:v>
                </c:pt>
                <c:pt idx="4">
                  <c:v>Slovakia</c:v>
                </c:pt>
                <c:pt idx="5">
                  <c:v>Cyprus</c:v>
                </c:pt>
                <c:pt idx="6">
                  <c:v>Sweden</c:v>
                </c:pt>
                <c:pt idx="7">
                  <c:v>Malta</c:v>
                </c:pt>
                <c:pt idx="8">
                  <c:v>Slovenia</c:v>
                </c:pt>
                <c:pt idx="9">
                  <c:v>Netherlands</c:v>
                </c:pt>
                <c:pt idx="10">
                  <c:v>Czech Republic</c:v>
                </c:pt>
                <c:pt idx="11">
                  <c:v>Latvia</c:v>
                </c:pt>
                <c:pt idx="12">
                  <c:v>Ireland</c:v>
                </c:pt>
                <c:pt idx="13">
                  <c:v>Spain</c:v>
                </c:pt>
                <c:pt idx="14">
                  <c:v>Germany</c:v>
                </c:pt>
                <c:pt idx="15">
                  <c:v>Poland</c:v>
                </c:pt>
                <c:pt idx="16">
                  <c:v>Lithuania</c:v>
                </c:pt>
                <c:pt idx="17">
                  <c:v>Portugal</c:v>
                </c:pt>
                <c:pt idx="18">
                  <c:v>Estonia</c:v>
                </c:pt>
                <c:pt idx="19">
                  <c:v>EU28</c:v>
                </c:pt>
                <c:pt idx="20">
                  <c:v>Belgium</c:v>
                </c:pt>
                <c:pt idx="21">
                  <c:v>France</c:v>
                </c:pt>
                <c:pt idx="22">
                  <c:v>Denmark</c:v>
                </c:pt>
                <c:pt idx="23">
                  <c:v>Finland</c:v>
                </c:pt>
                <c:pt idx="24">
                  <c:v>United Kingdom</c:v>
                </c:pt>
                <c:pt idx="25">
                  <c:v>Italy</c:v>
                </c:pt>
                <c:pt idx="26">
                  <c:v>Luxembourg </c:v>
                </c:pt>
                <c:pt idx="27">
                  <c:v>Austria</c:v>
                </c:pt>
              </c:strCache>
            </c:strRef>
          </c:cat>
          <c:val>
            <c:numRef>
              <c:f>B_ENG!$D$110:$D$137</c:f>
              <c:numCache>
                <c:formatCode>0.00%</c:formatCode>
                <c:ptCount val="28"/>
                <c:pt idx="0">
                  <c:v>4.2954882220106301E-2</c:v>
                </c:pt>
                <c:pt idx="1">
                  <c:v>3.95251750281507E-2</c:v>
                </c:pt>
                <c:pt idx="2">
                  <c:v>3.61567985986785E-2</c:v>
                </c:pt>
                <c:pt idx="3">
                  <c:v>3.5937165248761199E-2</c:v>
                </c:pt>
                <c:pt idx="4">
                  <c:v>3.0993901222278498E-2</c:v>
                </c:pt>
                <c:pt idx="5">
                  <c:v>2.9684985876211201E-2</c:v>
                </c:pt>
                <c:pt idx="6">
                  <c:v>2.7834664643825599E-2</c:v>
                </c:pt>
                <c:pt idx="7">
                  <c:v>2.6268467261380098E-2</c:v>
                </c:pt>
                <c:pt idx="8">
                  <c:v>2.5850060014543701E-2</c:v>
                </c:pt>
                <c:pt idx="9">
                  <c:v>2.5650297330436202E-2</c:v>
                </c:pt>
                <c:pt idx="10">
                  <c:v>2.51802243288431E-2</c:v>
                </c:pt>
                <c:pt idx="11">
                  <c:v>2.5140087838861101E-2</c:v>
                </c:pt>
                <c:pt idx="12">
                  <c:v>2.3879847901436602E-2</c:v>
                </c:pt>
                <c:pt idx="13">
                  <c:v>2.3333684797180201E-2</c:v>
                </c:pt>
                <c:pt idx="14">
                  <c:v>2.32061707346445E-2</c:v>
                </c:pt>
                <c:pt idx="15">
                  <c:v>2.2626537464385001E-2</c:v>
                </c:pt>
                <c:pt idx="16">
                  <c:v>2.2454812608188102E-2</c:v>
                </c:pt>
                <c:pt idx="17">
                  <c:v>2.2454452006519202E-2</c:v>
                </c:pt>
                <c:pt idx="18">
                  <c:v>2.1730958560816301E-2</c:v>
                </c:pt>
                <c:pt idx="19">
                  <c:v>2.0552903548816299E-2</c:v>
                </c:pt>
                <c:pt idx="20">
                  <c:v>2.0526231981715201E-2</c:v>
                </c:pt>
                <c:pt idx="21">
                  <c:v>2.0165406188414801E-2</c:v>
                </c:pt>
                <c:pt idx="22">
                  <c:v>1.8768751253971899E-2</c:v>
                </c:pt>
                <c:pt idx="23">
                  <c:v>1.8202998559411002E-2</c:v>
                </c:pt>
                <c:pt idx="24">
                  <c:v>1.7992279235868502E-2</c:v>
                </c:pt>
                <c:pt idx="25">
                  <c:v>1.6327091240636801E-2</c:v>
                </c:pt>
                <c:pt idx="26">
                  <c:v>1.38753920226158E-2</c:v>
                </c:pt>
                <c:pt idx="27">
                  <c:v>1.3709195338712499E-2</c:v>
                </c:pt>
              </c:numCache>
            </c:numRef>
          </c:val>
          <c:extLst>
            <c:ext xmlns:c16="http://schemas.microsoft.com/office/drawing/2014/chart" uri="{C3380CC4-5D6E-409C-BE32-E72D297353CC}">
              <c16:uniqueId val="{00000004-F611-497A-81B7-BDFC360B8E4D}"/>
            </c:ext>
          </c:extLst>
        </c:ser>
        <c:dLbls>
          <c:showLegendKey val="0"/>
          <c:showVal val="0"/>
          <c:showCatName val="0"/>
          <c:showSerName val="0"/>
          <c:showPercent val="0"/>
          <c:showBubbleSize val="0"/>
        </c:dLbls>
        <c:gapWidth val="50"/>
        <c:axId val="169811968"/>
        <c:axId val="168311552"/>
      </c:barChart>
      <c:barChart>
        <c:barDir val="col"/>
        <c:grouping val="clustered"/>
        <c:varyColors val="0"/>
        <c:ser>
          <c:idx val="1"/>
          <c:order val="1"/>
          <c:tx>
            <c:strRef>
              <c:f>B_ENG!$C$109</c:f>
              <c:strCache>
                <c:ptCount val="1"/>
                <c:pt idx="0">
                  <c:v>2006</c:v>
                </c:pt>
              </c:strCache>
            </c:strRef>
          </c:tx>
          <c:spPr>
            <a:solidFill>
              <a:srgbClr val="47E5FF"/>
            </a:solidFill>
          </c:spPr>
          <c:invertIfNegative val="0"/>
          <c:cat>
            <c:strRef>
              <c:f>B_ENG!$A$110:$A$137</c:f>
              <c:strCache>
                <c:ptCount val="28"/>
                <c:pt idx="0">
                  <c:v>Greece</c:v>
                </c:pt>
                <c:pt idx="1">
                  <c:v>Romania</c:v>
                </c:pt>
                <c:pt idx="2">
                  <c:v>Bulgaria</c:v>
                </c:pt>
                <c:pt idx="3">
                  <c:v>Hungary</c:v>
                </c:pt>
                <c:pt idx="4">
                  <c:v>Slovakia</c:v>
                </c:pt>
                <c:pt idx="5">
                  <c:v>Cyprus</c:v>
                </c:pt>
                <c:pt idx="6">
                  <c:v>Sweden</c:v>
                </c:pt>
                <c:pt idx="7">
                  <c:v>Malta</c:v>
                </c:pt>
                <c:pt idx="8">
                  <c:v>Slovenia</c:v>
                </c:pt>
                <c:pt idx="9">
                  <c:v>Netherlands</c:v>
                </c:pt>
                <c:pt idx="10">
                  <c:v>Czech Republic</c:v>
                </c:pt>
                <c:pt idx="11">
                  <c:v>Latvia</c:v>
                </c:pt>
                <c:pt idx="12">
                  <c:v>Ireland</c:v>
                </c:pt>
                <c:pt idx="13">
                  <c:v>Spain</c:v>
                </c:pt>
                <c:pt idx="14">
                  <c:v>Germany</c:v>
                </c:pt>
                <c:pt idx="15">
                  <c:v>Poland</c:v>
                </c:pt>
                <c:pt idx="16">
                  <c:v>Lithuania</c:v>
                </c:pt>
                <c:pt idx="17">
                  <c:v>Portugal</c:v>
                </c:pt>
                <c:pt idx="18">
                  <c:v>Estonia</c:v>
                </c:pt>
                <c:pt idx="19">
                  <c:v>EU28</c:v>
                </c:pt>
                <c:pt idx="20">
                  <c:v>Belgium</c:v>
                </c:pt>
                <c:pt idx="21">
                  <c:v>France</c:v>
                </c:pt>
                <c:pt idx="22">
                  <c:v>Denmark</c:v>
                </c:pt>
                <c:pt idx="23">
                  <c:v>Finland</c:v>
                </c:pt>
                <c:pt idx="24">
                  <c:v>United Kingdom</c:v>
                </c:pt>
                <c:pt idx="25">
                  <c:v>Italy</c:v>
                </c:pt>
                <c:pt idx="26">
                  <c:v>Luxembourg </c:v>
                </c:pt>
                <c:pt idx="27">
                  <c:v>Austria</c:v>
                </c:pt>
              </c:strCache>
            </c:strRef>
          </c:cat>
          <c:val>
            <c:numRef>
              <c:f>B_ENG!$C$110:$C$137</c:f>
              <c:numCache>
                <c:formatCode>0.00%</c:formatCode>
                <c:ptCount val="28"/>
                <c:pt idx="0">
                  <c:v>3.6324783377041897E-2</c:v>
                </c:pt>
                <c:pt idx="1">
                  <c:v>1.3616667924813201E-2</c:v>
                </c:pt>
                <c:pt idx="2">
                  <c:v>3.8679315043892597E-2</c:v>
                </c:pt>
                <c:pt idx="3">
                  <c:v>3.6881606807799401E-2</c:v>
                </c:pt>
                <c:pt idx="4">
                  <c:v>3.4276281590882897E-2</c:v>
                </c:pt>
                <c:pt idx="5">
                  <c:v>2.9140437017766599E-2</c:v>
                </c:pt>
                <c:pt idx="6">
                  <c:v>2.99286683476436E-2</c:v>
                </c:pt>
                <c:pt idx="7">
                  <c:v>3.0695519401884901E-2</c:v>
                </c:pt>
                <c:pt idx="8">
                  <c:v>3.1754625488442198E-2</c:v>
                </c:pt>
                <c:pt idx="9">
                  <c:v>3.8237659403362302E-2</c:v>
                </c:pt>
                <c:pt idx="10">
                  <c:v>3.05834039523524E-2</c:v>
                </c:pt>
                <c:pt idx="11">
                  <c:v>3.08289841000121E-2</c:v>
                </c:pt>
                <c:pt idx="12">
                  <c:v>3.11556852371591E-2</c:v>
                </c:pt>
                <c:pt idx="13">
                  <c:v>2.4075896041896999E-2</c:v>
                </c:pt>
                <c:pt idx="14">
                  <c:v>2.4860480443310198E-2</c:v>
                </c:pt>
                <c:pt idx="15">
                  <c:v>3.1521994404090502E-2</c:v>
                </c:pt>
                <c:pt idx="16">
                  <c:v>2.2042322803001599E-2</c:v>
                </c:pt>
                <c:pt idx="17">
                  <c:v>3.03108410022544E-2</c:v>
                </c:pt>
                <c:pt idx="18">
                  <c:v>2.2690649932530699E-2</c:v>
                </c:pt>
                <c:pt idx="19">
                  <c:v>2.4510553917992201E-2</c:v>
                </c:pt>
                <c:pt idx="20">
                  <c:v>2.41197672932171E-2</c:v>
                </c:pt>
                <c:pt idx="21">
                  <c:v>2.7104418414819201E-2</c:v>
                </c:pt>
                <c:pt idx="22">
                  <c:v>1.7883491594462099E-2</c:v>
                </c:pt>
                <c:pt idx="23">
                  <c:v>2.26208198685596E-2</c:v>
                </c:pt>
                <c:pt idx="24">
                  <c:v>1.8290064104991E-2</c:v>
                </c:pt>
                <c:pt idx="25">
                  <c:v>2.2949976183438799E-2</c:v>
                </c:pt>
                <c:pt idx="26">
                  <c:v>1.46293912924279E-2</c:v>
                </c:pt>
                <c:pt idx="27">
                  <c:v>2.23796337763424E-2</c:v>
                </c:pt>
              </c:numCache>
            </c:numRef>
          </c:val>
          <c:extLst>
            <c:ext xmlns:c16="http://schemas.microsoft.com/office/drawing/2014/chart" uri="{C3380CC4-5D6E-409C-BE32-E72D297353CC}">
              <c16:uniqueId val="{00000005-F611-497A-81B7-BDFC360B8E4D}"/>
            </c:ext>
          </c:extLst>
        </c:ser>
        <c:dLbls>
          <c:showLegendKey val="0"/>
          <c:showVal val="0"/>
          <c:showCatName val="0"/>
          <c:showSerName val="0"/>
          <c:showPercent val="0"/>
          <c:showBubbleSize val="0"/>
        </c:dLbls>
        <c:gapWidth val="230"/>
        <c:axId val="169813504"/>
        <c:axId val="165306944"/>
      </c:barChart>
      <c:scatterChart>
        <c:scatterStyle val="lineMarker"/>
        <c:varyColors val="0"/>
        <c:ser>
          <c:idx val="0"/>
          <c:order val="0"/>
          <c:tx>
            <c:strRef>
              <c:f>B_ENG!$B$109</c:f>
              <c:strCache>
                <c:ptCount val="1"/>
                <c:pt idx="0">
                  <c:v>1996</c:v>
                </c:pt>
              </c:strCache>
            </c:strRef>
          </c:tx>
          <c:spPr>
            <a:ln w="28575">
              <a:noFill/>
            </a:ln>
          </c:spPr>
          <c:marker>
            <c:symbol val="triangle"/>
            <c:size val="6"/>
            <c:spPr>
              <a:solidFill>
                <a:schemeClr val="tx1"/>
              </a:solidFill>
              <a:ln>
                <a:noFill/>
              </a:ln>
            </c:spPr>
          </c:marker>
          <c:xVal>
            <c:strRef>
              <c:f>B_ENG!$A$110:$A$137</c:f>
              <c:strCache>
                <c:ptCount val="28"/>
                <c:pt idx="0">
                  <c:v>Greece</c:v>
                </c:pt>
                <c:pt idx="1">
                  <c:v>Romania</c:v>
                </c:pt>
                <c:pt idx="2">
                  <c:v>Bulgaria</c:v>
                </c:pt>
                <c:pt idx="3">
                  <c:v>Hungary</c:v>
                </c:pt>
                <c:pt idx="4">
                  <c:v>Slovakia</c:v>
                </c:pt>
                <c:pt idx="5">
                  <c:v>Cyprus</c:v>
                </c:pt>
                <c:pt idx="6">
                  <c:v>Sweden</c:v>
                </c:pt>
                <c:pt idx="7">
                  <c:v>Malta</c:v>
                </c:pt>
                <c:pt idx="8">
                  <c:v>Slovenia</c:v>
                </c:pt>
                <c:pt idx="9">
                  <c:v>Netherlands</c:v>
                </c:pt>
                <c:pt idx="10">
                  <c:v>Czech Republic</c:v>
                </c:pt>
                <c:pt idx="11">
                  <c:v>Latvia</c:v>
                </c:pt>
                <c:pt idx="12">
                  <c:v>Ireland</c:v>
                </c:pt>
                <c:pt idx="13">
                  <c:v>Spain</c:v>
                </c:pt>
                <c:pt idx="14">
                  <c:v>Germany</c:v>
                </c:pt>
                <c:pt idx="15">
                  <c:v>Poland</c:v>
                </c:pt>
                <c:pt idx="16">
                  <c:v>Lithuania</c:v>
                </c:pt>
                <c:pt idx="17">
                  <c:v>Portugal</c:v>
                </c:pt>
                <c:pt idx="18">
                  <c:v>Estonia</c:v>
                </c:pt>
                <c:pt idx="19">
                  <c:v>EU28</c:v>
                </c:pt>
                <c:pt idx="20">
                  <c:v>Belgium</c:v>
                </c:pt>
                <c:pt idx="21">
                  <c:v>France</c:v>
                </c:pt>
                <c:pt idx="22">
                  <c:v>Denmark</c:v>
                </c:pt>
                <c:pt idx="23">
                  <c:v>Finland</c:v>
                </c:pt>
                <c:pt idx="24">
                  <c:v>United Kingdom</c:v>
                </c:pt>
                <c:pt idx="25">
                  <c:v>Italy</c:v>
                </c:pt>
                <c:pt idx="26">
                  <c:v>Luxembourg </c:v>
                </c:pt>
                <c:pt idx="27">
                  <c:v>Austria</c:v>
                </c:pt>
              </c:strCache>
            </c:strRef>
          </c:xVal>
          <c:yVal>
            <c:numRef>
              <c:f>B_ENG!$B$110:$B$137</c:f>
              <c:numCache>
                <c:formatCode>0.00%</c:formatCode>
                <c:ptCount val="28"/>
                <c:pt idx="0">
                  <c:v>1.57142929262333E-2</c:v>
                </c:pt>
                <c:pt idx="1">
                  <c:v>8.5355490510811097E-3</c:v>
                </c:pt>
                <c:pt idx="2">
                  <c:v>3.3606169027430598E-2</c:v>
                </c:pt>
                <c:pt idx="3">
                  <c:v>2.1808992514184899E-2</c:v>
                </c:pt>
                <c:pt idx="4">
                  <c:v>1.9600452318130401E-2</c:v>
                </c:pt>
                <c:pt idx="5">
                  <c:v>2.3775898449831401E-2</c:v>
                </c:pt>
                <c:pt idx="6">
                  <c:v>2.0745098864034001E-2</c:v>
                </c:pt>
                <c:pt idx="7">
                  <c:v>2.3035952063914799E-2</c:v>
                </c:pt>
                <c:pt idx="8">
                  <c:v>1.7499294383291002E-2</c:v>
                </c:pt>
                <c:pt idx="9">
                  <c:v>2.0121183062575199E-2</c:v>
                </c:pt>
                <c:pt idx="10">
                  <c:v>1.5228689651084801E-2</c:v>
                </c:pt>
                <c:pt idx="11">
                  <c:v>1.2437487822303001E-2</c:v>
                </c:pt>
                <c:pt idx="12">
                  <c:v>1.65064761343366E-2</c:v>
                </c:pt>
                <c:pt idx="13">
                  <c:v>1.6064643812428801E-2</c:v>
                </c:pt>
                <c:pt idx="14">
                  <c:v>1.61130816832099E-2</c:v>
                </c:pt>
                <c:pt idx="15">
                  <c:v>2.0692299996665199E-2</c:v>
                </c:pt>
                <c:pt idx="16">
                  <c:v>8.6701160676828405E-3</c:v>
                </c:pt>
                <c:pt idx="17">
                  <c:v>2.00924589093525E-2</c:v>
                </c:pt>
                <c:pt idx="18">
                  <c:v>1.53197528802805E-2</c:v>
                </c:pt>
                <c:pt idx="19">
                  <c:v>1.6275497346727501E-2</c:v>
                </c:pt>
                <c:pt idx="20">
                  <c:v>1.52441779115605E-2</c:v>
                </c:pt>
                <c:pt idx="21">
                  <c:v>1.7783398341653201E-2</c:v>
                </c:pt>
                <c:pt idx="22">
                  <c:v>1.5958247118860701E-2</c:v>
                </c:pt>
                <c:pt idx="23">
                  <c:v>1.53129611827942E-2</c:v>
                </c:pt>
                <c:pt idx="24">
                  <c:v>1.44380275112477E-2</c:v>
                </c:pt>
                <c:pt idx="25">
                  <c:v>1.7623298231983098E-2</c:v>
                </c:pt>
                <c:pt idx="26">
                  <c:v>1.24148676836471E-2</c:v>
                </c:pt>
                <c:pt idx="27">
                  <c:v>1.50886085652551E-2</c:v>
                </c:pt>
              </c:numCache>
            </c:numRef>
          </c:yVal>
          <c:smooth val="0"/>
          <c:extLst>
            <c:ext xmlns:c16="http://schemas.microsoft.com/office/drawing/2014/chart" uri="{C3380CC4-5D6E-409C-BE32-E72D297353CC}">
              <c16:uniqueId val="{00000006-F611-497A-81B7-BDFC360B8E4D}"/>
            </c:ext>
          </c:extLst>
        </c:ser>
        <c:dLbls>
          <c:showLegendKey val="0"/>
          <c:showVal val="0"/>
          <c:showCatName val="0"/>
          <c:showSerName val="0"/>
          <c:showPercent val="0"/>
          <c:showBubbleSize val="0"/>
        </c:dLbls>
        <c:axId val="169811968"/>
        <c:axId val="168311552"/>
      </c:scatterChart>
      <c:catAx>
        <c:axId val="169811968"/>
        <c:scaling>
          <c:orientation val="minMax"/>
        </c:scaling>
        <c:delete val="0"/>
        <c:axPos val="b"/>
        <c:numFmt formatCode="General" sourceLinked="0"/>
        <c:majorTickMark val="out"/>
        <c:minorTickMark val="none"/>
        <c:tickLblPos val="nextTo"/>
        <c:spPr>
          <a:ln w="3175">
            <a:solidFill>
              <a:schemeClr val="tx1"/>
            </a:solidFill>
          </a:ln>
        </c:spPr>
        <c:crossAx val="168311552"/>
        <c:crosses val="autoZero"/>
        <c:auto val="1"/>
        <c:lblAlgn val="ctr"/>
        <c:lblOffset val="100"/>
        <c:noMultiLvlLbl val="0"/>
      </c:catAx>
      <c:valAx>
        <c:axId val="168311552"/>
        <c:scaling>
          <c:orientation val="minMax"/>
          <c:max val="4.4999999999999998E-2"/>
          <c:min val="0"/>
        </c:scaling>
        <c:delete val="0"/>
        <c:axPos val="l"/>
        <c:majorGridlines>
          <c:spPr>
            <a:ln w="12700">
              <a:solidFill>
                <a:srgbClr val="A6A6A6"/>
              </a:solidFill>
            </a:ln>
          </c:spPr>
        </c:majorGridlines>
        <c:numFmt formatCode="0.0%" sourceLinked="0"/>
        <c:majorTickMark val="out"/>
        <c:minorTickMark val="none"/>
        <c:tickLblPos val="nextTo"/>
        <c:crossAx val="169811968"/>
        <c:crosses val="autoZero"/>
        <c:crossBetween val="between"/>
        <c:majorUnit val="5.0000000000000001E-3"/>
        <c:minorUnit val="1E-3"/>
      </c:valAx>
      <c:valAx>
        <c:axId val="165306944"/>
        <c:scaling>
          <c:orientation val="minMax"/>
          <c:max val="4.4999999999999998E-2"/>
        </c:scaling>
        <c:delete val="0"/>
        <c:axPos val="r"/>
        <c:numFmt formatCode="0.00%" sourceLinked="1"/>
        <c:majorTickMark val="none"/>
        <c:minorTickMark val="none"/>
        <c:tickLblPos val="none"/>
        <c:crossAx val="169813504"/>
        <c:crosses val="max"/>
        <c:crossBetween val="between"/>
        <c:majorUnit val="1E-3"/>
      </c:valAx>
      <c:catAx>
        <c:axId val="169813504"/>
        <c:scaling>
          <c:orientation val="minMax"/>
        </c:scaling>
        <c:delete val="1"/>
        <c:axPos val="b"/>
        <c:numFmt formatCode="General" sourceLinked="0"/>
        <c:majorTickMark val="out"/>
        <c:minorTickMark val="none"/>
        <c:tickLblPos val="none"/>
        <c:crossAx val="165306944"/>
        <c:crosses val="autoZero"/>
        <c:auto val="1"/>
        <c:lblAlgn val="ctr"/>
        <c:lblOffset val="100"/>
        <c:noMultiLvlLbl val="0"/>
      </c:catAx>
      <c:spPr>
        <a:ln>
          <a:solidFill>
            <a:schemeClr val="tx1">
              <a:tint val="75000"/>
              <a:shade val="95000"/>
              <a:satMod val="105000"/>
            </a:schemeClr>
          </a:solidFill>
        </a:ln>
      </c:spPr>
    </c:plotArea>
    <c:legend>
      <c:legendPos val="r"/>
      <c:layout>
        <c:manualLayout>
          <c:xMode val="edge"/>
          <c:yMode val="edge"/>
          <c:x val="0.88760897435897501"/>
          <c:y val="0.15439197530864199"/>
          <c:w val="6.6467291255752806E-2"/>
          <c:h val="0.17457314814814801"/>
        </c:manualLayout>
      </c:layout>
      <c:overlay val="0"/>
      <c:spPr>
        <a:solidFill>
          <a:schemeClr val="bg1"/>
        </a:solidFill>
        <a:ln>
          <a:solidFill>
            <a:schemeClr val="tx1">
              <a:tint val="75000"/>
              <a:shade val="95000"/>
              <a:satMod val="105000"/>
            </a:schemeClr>
          </a:solidFill>
        </a:ln>
      </c:spPr>
    </c:legend>
    <c:plotVisOnly val="1"/>
    <c:dispBlanksAs val="gap"/>
    <c:showDLblsOverMax val="0"/>
  </c:chart>
  <c:spPr>
    <a:noFill/>
    <a:ln>
      <a:noFill/>
    </a:ln>
  </c:spPr>
  <c:txPr>
    <a:bodyPr/>
    <a:lstStyle/>
    <a:p>
      <a:pPr>
        <a:defRPr sz="800">
          <a:latin typeface="Arial" panose="020B0604020202020204" pitchFamily="34" charset="0"/>
          <a:cs typeface="Arial" panose="020B0604020202020204" pitchFamily="34" charset="0"/>
        </a:defRPr>
      </a:pPr>
      <a:endParaRPr lang="cs-CZ"/>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en-US" sz="800" b="1"/>
              <a:t>Figure B</a:t>
            </a:r>
            <a:r>
              <a:rPr lang="cs-CZ" sz="800" b="1"/>
              <a:t>8</a:t>
            </a:r>
            <a:r>
              <a:rPr lang="en-US" sz="800" b="1"/>
              <a:t> </a:t>
            </a:r>
            <a:r>
              <a:rPr lang="cs-CZ" sz="800" b="1" i="0" u="none" strike="noStrike" baseline="0">
                <a:effectLst/>
              </a:rPr>
              <a:t>Households in the Czech Republic </a:t>
            </a:r>
          </a:p>
          <a:p>
            <a:pPr>
              <a:defRPr sz="800" b="1"/>
            </a:pPr>
            <a:r>
              <a:rPr lang="cs-CZ" sz="800" b="1" i="0" u="none" strike="noStrike" baseline="0">
                <a:effectLst/>
              </a:rPr>
              <a:t>with access to a computer at home </a:t>
            </a:r>
            <a:endParaRPr lang="en-US" sz="800" b="1" i="0"/>
          </a:p>
        </c:rich>
      </c:tx>
      <c:layout/>
      <c:overlay val="1"/>
    </c:title>
    <c:autoTitleDeleted val="0"/>
    <c:plotArea>
      <c:layout>
        <c:manualLayout>
          <c:layoutTarget val="inner"/>
          <c:xMode val="edge"/>
          <c:yMode val="edge"/>
          <c:x val="2.2538872296135399E-2"/>
          <c:y val="0.173091666666667"/>
          <c:w val="0.95492225540772901"/>
          <c:h val="0.62718333333333398"/>
        </c:manualLayout>
      </c:layout>
      <c:barChart>
        <c:barDir val="col"/>
        <c:grouping val="clustered"/>
        <c:varyColors val="0"/>
        <c:ser>
          <c:idx val="2"/>
          <c:order val="0"/>
          <c:tx>
            <c:strRef>
              <c:f>B_ENG!$A$143</c:f>
              <c:strCache>
                <c:ptCount val="1"/>
                <c:pt idx="0">
                  <c:v> Millions</c:v>
                </c:pt>
              </c:strCache>
            </c:strRef>
          </c:tx>
          <c:spPr>
            <a:solidFill>
              <a:srgbClr val="009BB4"/>
            </a:solidFill>
            <a:ln w="25400">
              <a:noFill/>
            </a:ln>
          </c:spPr>
          <c:invertIfNegative val="0"/>
          <c:dLbls>
            <c:numFmt formatCode="#,##0.0" sourceLinked="0"/>
            <c:spPr>
              <a:noFill/>
              <a:ln>
                <a:noFill/>
              </a:ln>
              <a:effectLst/>
            </c:spPr>
            <c:txPr>
              <a:bodyPr rot="0" vert="horz"/>
              <a:lstStyle/>
              <a:p>
                <a:pPr>
                  <a:defRPr b="1">
                    <a:solidFill>
                      <a:schemeClr val="bg1"/>
                    </a:solidFill>
                  </a:defRPr>
                </a:pPr>
                <a:endParaRPr lang="cs-CZ"/>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B_ENG!$B$142:$I$142</c:f>
              <c:numCache>
                <c:formatCode>@</c:formatCode>
                <c:ptCount val="8"/>
                <c:pt idx="0">
                  <c:v>2003</c:v>
                </c:pt>
                <c:pt idx="1">
                  <c:v>2005</c:v>
                </c:pt>
                <c:pt idx="2">
                  <c:v>2007</c:v>
                </c:pt>
                <c:pt idx="3">
                  <c:v>2009</c:v>
                </c:pt>
                <c:pt idx="4">
                  <c:v>2011</c:v>
                </c:pt>
                <c:pt idx="5">
                  <c:v>2013</c:v>
                </c:pt>
                <c:pt idx="6">
                  <c:v>2015</c:v>
                </c:pt>
                <c:pt idx="7">
                  <c:v>2017</c:v>
                </c:pt>
              </c:numCache>
            </c:numRef>
          </c:cat>
          <c:val>
            <c:numRef>
              <c:f>B_ENG!$B$143:$I$143</c:f>
              <c:numCache>
                <c:formatCode>#,##0.0</c:formatCode>
                <c:ptCount val="8"/>
                <c:pt idx="0">
                  <c:v>0.96599999999999997</c:v>
                </c:pt>
                <c:pt idx="1">
                  <c:v>1.2318321497875999</c:v>
                </c:pt>
                <c:pt idx="2">
                  <c:v>1.6780274477208259</c:v>
                </c:pt>
                <c:pt idx="3">
                  <c:v>2.334657146824997</c:v>
                </c:pt>
                <c:pt idx="4">
                  <c:v>2.6562540000000001</c:v>
                </c:pt>
                <c:pt idx="5">
                  <c:v>2.8966159999999901</c:v>
                </c:pt>
                <c:pt idx="6">
                  <c:v>3.1104940000000001</c:v>
                </c:pt>
                <c:pt idx="7">
                  <c:v>3.3426812401429999</c:v>
                </c:pt>
              </c:numCache>
            </c:numRef>
          </c:val>
          <c:extLst>
            <c:ext xmlns:c16="http://schemas.microsoft.com/office/drawing/2014/chart" uri="{C3380CC4-5D6E-409C-BE32-E72D297353CC}">
              <c16:uniqueId val="{00000000-869E-4153-93C1-EC8A5613F907}"/>
            </c:ext>
          </c:extLst>
        </c:ser>
        <c:dLbls>
          <c:showLegendKey val="0"/>
          <c:showVal val="0"/>
          <c:showCatName val="0"/>
          <c:showSerName val="0"/>
          <c:showPercent val="0"/>
          <c:showBubbleSize val="0"/>
        </c:dLbls>
        <c:gapWidth val="40"/>
        <c:axId val="169812480"/>
        <c:axId val="165308672"/>
      </c:barChart>
      <c:lineChart>
        <c:grouping val="standard"/>
        <c:varyColors val="0"/>
        <c:ser>
          <c:idx val="0"/>
          <c:order val="1"/>
          <c:tx>
            <c:strRef>
              <c:f>B_ENG!$A$144</c:f>
              <c:strCache>
                <c:ptCount val="1"/>
                <c:pt idx="0">
                  <c:v> As % of all households</c:v>
                </c:pt>
              </c:strCache>
            </c:strRef>
          </c:tx>
          <c:spPr>
            <a:ln w="12700">
              <a:solidFill>
                <a:srgbClr val="009BB4"/>
              </a:solidFill>
            </a:ln>
          </c:spPr>
          <c:marker>
            <c:symbol val="diamond"/>
            <c:size val="4"/>
            <c:spPr>
              <a:solidFill>
                <a:srgbClr val="47E5FF"/>
              </a:solidFill>
              <a:ln w="12700">
                <a:solidFill>
                  <a:srgbClr val="009BB4"/>
                </a:solidFill>
              </a:ln>
            </c:spPr>
          </c:marker>
          <c:dLbls>
            <c:numFmt formatCode="0.0%" sourceLinked="0"/>
            <c:spPr>
              <a:noFill/>
              <a:ln>
                <a:noFill/>
              </a:ln>
              <a:effectLst/>
            </c:spPr>
            <c:txPr>
              <a:bodyPr rot="0" vert="horz"/>
              <a:lstStyle/>
              <a:p>
                <a:pPr>
                  <a:defRPr b="1" i="1"/>
                </a:pPr>
                <a:endParaRPr lang="cs-CZ"/>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B_ENG!$B$142:$I$142</c:f>
              <c:numCache>
                <c:formatCode>@</c:formatCode>
                <c:ptCount val="8"/>
                <c:pt idx="0">
                  <c:v>2003</c:v>
                </c:pt>
                <c:pt idx="1">
                  <c:v>2005</c:v>
                </c:pt>
                <c:pt idx="2">
                  <c:v>2007</c:v>
                </c:pt>
                <c:pt idx="3">
                  <c:v>2009</c:v>
                </c:pt>
                <c:pt idx="4">
                  <c:v>2011</c:v>
                </c:pt>
                <c:pt idx="5">
                  <c:v>2013</c:v>
                </c:pt>
                <c:pt idx="6">
                  <c:v>2015</c:v>
                </c:pt>
                <c:pt idx="7">
                  <c:v>2017</c:v>
                </c:pt>
              </c:numCache>
            </c:numRef>
          </c:cat>
          <c:val>
            <c:numRef>
              <c:f>B_ENG!$B$144:$I$144</c:f>
              <c:numCache>
                <c:formatCode>0.0%</c:formatCode>
                <c:ptCount val="8"/>
                <c:pt idx="0">
                  <c:v>0.23799999999999999</c:v>
                </c:pt>
                <c:pt idx="1">
                  <c:v>0.29957328482995998</c:v>
                </c:pt>
                <c:pt idx="2">
                  <c:v>0.39611875989541401</c:v>
                </c:pt>
                <c:pt idx="3">
                  <c:v>0.54172856891207199</c:v>
                </c:pt>
                <c:pt idx="4">
                  <c:v>0.64750454258032197</c:v>
                </c:pt>
                <c:pt idx="5">
                  <c:v>0.68145633137330797</c:v>
                </c:pt>
                <c:pt idx="6">
                  <c:v>0.73099999999999998</c:v>
                </c:pt>
                <c:pt idx="7">
                  <c:v>0.76299186249920803</c:v>
                </c:pt>
              </c:numCache>
            </c:numRef>
          </c:val>
          <c:smooth val="0"/>
          <c:extLst>
            <c:ext xmlns:c16="http://schemas.microsoft.com/office/drawing/2014/chart" uri="{C3380CC4-5D6E-409C-BE32-E72D297353CC}">
              <c16:uniqueId val="{00000001-869E-4153-93C1-EC8A5613F907}"/>
            </c:ext>
          </c:extLst>
        </c:ser>
        <c:dLbls>
          <c:showLegendKey val="0"/>
          <c:showVal val="0"/>
          <c:showCatName val="0"/>
          <c:showSerName val="0"/>
          <c:showPercent val="0"/>
          <c:showBubbleSize val="0"/>
        </c:dLbls>
        <c:marker val="1"/>
        <c:smooth val="0"/>
        <c:axId val="169918464"/>
        <c:axId val="154099008"/>
      </c:lineChart>
      <c:catAx>
        <c:axId val="169812480"/>
        <c:scaling>
          <c:orientation val="minMax"/>
        </c:scaling>
        <c:delete val="0"/>
        <c:axPos val="b"/>
        <c:numFmt formatCode="@" sourceLinked="1"/>
        <c:majorTickMark val="out"/>
        <c:minorTickMark val="none"/>
        <c:tickLblPos val="nextTo"/>
        <c:spPr>
          <a:ln w="3175">
            <a:solidFill>
              <a:srgbClr val="000000"/>
            </a:solidFill>
            <a:prstDash val="solid"/>
          </a:ln>
        </c:spPr>
        <c:txPr>
          <a:bodyPr rot="0" vert="horz"/>
          <a:lstStyle/>
          <a:p>
            <a:pPr>
              <a:defRPr/>
            </a:pPr>
            <a:endParaRPr lang="cs-CZ"/>
          </a:p>
        </c:txPr>
        <c:crossAx val="165308672"/>
        <c:crosses val="autoZero"/>
        <c:auto val="1"/>
        <c:lblAlgn val="ctr"/>
        <c:lblOffset val="140"/>
        <c:tickLblSkip val="1"/>
        <c:tickMarkSkip val="1"/>
        <c:noMultiLvlLbl val="0"/>
      </c:catAx>
      <c:valAx>
        <c:axId val="165308672"/>
        <c:scaling>
          <c:orientation val="minMax"/>
          <c:max val="5"/>
          <c:min val="0"/>
        </c:scaling>
        <c:delete val="0"/>
        <c:axPos val="l"/>
        <c:numFmt formatCode="#,##0.0" sourceLinked="1"/>
        <c:majorTickMark val="none"/>
        <c:minorTickMark val="none"/>
        <c:tickLblPos val="none"/>
        <c:spPr>
          <a:ln w="9525">
            <a:noFill/>
          </a:ln>
        </c:spPr>
        <c:crossAx val="169812480"/>
        <c:crosses val="autoZero"/>
        <c:crossBetween val="between"/>
        <c:majorUnit val="1"/>
        <c:minorUnit val="0.1"/>
      </c:valAx>
      <c:catAx>
        <c:axId val="169918464"/>
        <c:scaling>
          <c:orientation val="minMax"/>
        </c:scaling>
        <c:delete val="1"/>
        <c:axPos val="b"/>
        <c:numFmt formatCode="@" sourceLinked="1"/>
        <c:majorTickMark val="out"/>
        <c:minorTickMark val="none"/>
        <c:tickLblPos val="none"/>
        <c:crossAx val="154099008"/>
        <c:crosses val="autoZero"/>
        <c:auto val="1"/>
        <c:lblAlgn val="ctr"/>
        <c:lblOffset val="100"/>
        <c:noMultiLvlLbl val="0"/>
      </c:catAx>
      <c:valAx>
        <c:axId val="154099008"/>
        <c:scaling>
          <c:orientation val="minMax"/>
          <c:max val="1.1000000000000001"/>
          <c:min val="0"/>
        </c:scaling>
        <c:delete val="0"/>
        <c:axPos val="r"/>
        <c:numFmt formatCode="0.0%" sourceLinked="1"/>
        <c:majorTickMark val="none"/>
        <c:minorTickMark val="none"/>
        <c:tickLblPos val="none"/>
        <c:crossAx val="169918464"/>
        <c:crosses val="max"/>
        <c:crossBetween val="between"/>
        <c:majorUnit val="0.01"/>
        <c:minorUnit val="1E-3"/>
      </c:valAx>
      <c:spPr>
        <a:noFill/>
        <a:ln w="12700">
          <a:solidFill>
            <a:srgbClr val="969696"/>
          </a:solidFill>
          <a:prstDash val="solid"/>
        </a:ln>
      </c:spPr>
    </c:plotArea>
    <c:legend>
      <c:legendPos val="l"/>
      <c:legendEntry>
        <c:idx val="1"/>
        <c:txPr>
          <a:bodyPr/>
          <a:lstStyle/>
          <a:p>
            <a:pPr>
              <a:defRPr i="0"/>
            </a:pPr>
            <a:endParaRPr lang="cs-CZ"/>
          </a:p>
        </c:txPr>
      </c:legendEntry>
      <c:layout>
        <c:manualLayout>
          <c:xMode val="edge"/>
          <c:yMode val="edge"/>
          <c:x val="2.5900462962963E-2"/>
          <c:y val="0.181263888888889"/>
          <c:w val="0.51328333333333298"/>
          <c:h val="0.15387142857142899"/>
        </c:manualLayout>
      </c:layout>
      <c:overlay val="0"/>
      <c:spPr>
        <a:noFill/>
        <a:ln>
          <a:solidFill>
            <a:schemeClr val="bg1">
              <a:lumMod val="50000"/>
            </a:schemeClr>
          </a:solidFill>
        </a:ln>
      </c:sp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b="1"/>
            </a:pPr>
            <a:r>
              <a:rPr lang="en-US" sz="800" b="1"/>
              <a:t>Figure B</a:t>
            </a:r>
            <a:r>
              <a:rPr lang="cs-CZ" sz="800" b="1"/>
              <a:t>9</a:t>
            </a:r>
            <a:r>
              <a:rPr lang="en-US" sz="800" b="1"/>
              <a:t> </a:t>
            </a:r>
            <a:r>
              <a:rPr lang="cs-CZ" sz="800" b="1"/>
              <a:t>Czech</a:t>
            </a:r>
            <a:r>
              <a:rPr lang="cs-CZ" sz="800" b="1" baseline="0"/>
              <a:t> households with a computer </a:t>
            </a:r>
          </a:p>
          <a:p>
            <a:pPr>
              <a:defRPr sz="800" b="1"/>
            </a:pPr>
            <a:r>
              <a:rPr lang="cs-CZ" sz="800" b="1" baseline="0"/>
              <a:t>by type </a:t>
            </a:r>
            <a:r>
              <a:rPr lang="en-US" sz="800" b="1"/>
              <a:t>of computer used </a:t>
            </a:r>
            <a:r>
              <a:rPr lang="cs-CZ" sz="800" b="1"/>
              <a:t>at home (%)*</a:t>
            </a:r>
            <a:endParaRPr lang="en-US" sz="800" b="1"/>
          </a:p>
        </c:rich>
      </c:tx>
      <c:layout/>
      <c:overlay val="1"/>
    </c:title>
    <c:autoTitleDeleted val="0"/>
    <c:plotArea>
      <c:layout>
        <c:manualLayout>
          <c:layoutTarget val="inner"/>
          <c:xMode val="edge"/>
          <c:yMode val="edge"/>
          <c:x val="0.126361819867022"/>
          <c:y val="0.16950051090941901"/>
          <c:w val="0.84571648056188198"/>
          <c:h val="0.55214436619718299"/>
        </c:manualLayout>
      </c:layout>
      <c:barChart>
        <c:barDir val="bar"/>
        <c:grouping val="percentStacked"/>
        <c:varyColors val="0"/>
        <c:ser>
          <c:idx val="4"/>
          <c:order val="0"/>
          <c:tx>
            <c:strRef>
              <c:f>B_ENG!$A$148</c:f>
              <c:strCache>
                <c:ptCount val="1"/>
                <c:pt idx="0">
                  <c:v> Portable only</c:v>
                </c:pt>
              </c:strCache>
            </c:strRef>
          </c:tx>
          <c:spPr>
            <a:solidFill>
              <a:srgbClr val="009BB4"/>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8CC5-43CE-B819-3F747E9C72CF}"/>
                </c:ext>
              </c:extLst>
            </c:dLbl>
            <c:dLbl>
              <c:idx val="2"/>
              <c:layout>
                <c:manualLayout>
                  <c:x val="4.5864038765585698E-3"/>
                  <c:y val="0"/>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CC5-43CE-B819-3F747E9C72CF}"/>
                </c:ext>
              </c:extLst>
            </c:dLbl>
            <c:spPr>
              <a:noFill/>
              <a:ln>
                <a:noFill/>
              </a:ln>
              <a:effectLst/>
            </c:spPr>
            <c:txPr>
              <a:bodyPr/>
              <a:lstStyle/>
              <a:p>
                <a:pPr>
                  <a:defRPr b="1">
                    <a:solidFill>
                      <a:schemeClr val="bg1"/>
                    </a:solidFill>
                  </a:defRPr>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B_ENG!$B$147:$G$147</c:f>
              <c:strCache>
                <c:ptCount val="6"/>
                <c:pt idx="0">
                  <c:v>2006</c:v>
                </c:pt>
                <c:pt idx="1">
                  <c:v>2009</c:v>
                </c:pt>
                <c:pt idx="2">
                  <c:v>2011</c:v>
                </c:pt>
                <c:pt idx="3">
                  <c:v>2013</c:v>
                </c:pt>
                <c:pt idx="4">
                  <c:v>2015</c:v>
                </c:pt>
                <c:pt idx="5">
                  <c:v>2017</c:v>
                </c:pt>
              </c:strCache>
            </c:strRef>
          </c:cat>
          <c:val>
            <c:numRef>
              <c:f>B_ENG!$B$148:$G$148</c:f>
              <c:numCache>
                <c:formatCode>0%</c:formatCode>
                <c:ptCount val="6"/>
                <c:pt idx="0">
                  <c:v>3.4760711322273798E-2</c:v>
                </c:pt>
                <c:pt idx="1">
                  <c:v>0.15234889459409801</c:v>
                </c:pt>
                <c:pt idx="2">
                  <c:v>0.21355530737241801</c:v>
                </c:pt>
                <c:pt idx="3">
                  <c:v>0.32066913267220398</c:v>
                </c:pt>
                <c:pt idx="4">
                  <c:v>0.42613166911750999</c:v>
                </c:pt>
                <c:pt idx="5">
                  <c:v>0.49979861809709802</c:v>
                </c:pt>
              </c:numCache>
            </c:numRef>
          </c:val>
          <c:extLst>
            <c:ext xmlns:c16="http://schemas.microsoft.com/office/drawing/2014/chart" uri="{C3380CC4-5D6E-409C-BE32-E72D297353CC}">
              <c16:uniqueId val="{00000002-8CC5-43CE-B819-3F747E9C72CF}"/>
            </c:ext>
          </c:extLst>
        </c:ser>
        <c:ser>
          <c:idx val="0"/>
          <c:order val="1"/>
          <c:tx>
            <c:strRef>
              <c:f>B_ENG!$A$149</c:f>
              <c:strCache>
                <c:ptCount val="1"/>
                <c:pt idx="0">
                  <c:v> Both desktop and portable</c:v>
                </c:pt>
              </c:strCache>
            </c:strRef>
          </c:tx>
          <c:spPr>
            <a:solidFill>
              <a:srgbClr val="00C5E9"/>
            </a:solidFill>
          </c:spPr>
          <c:invertIfNegative val="0"/>
          <c:dLbls>
            <c:spPr>
              <a:noFill/>
              <a:ln>
                <a:noFill/>
              </a:ln>
              <a:effectLst/>
            </c:spPr>
            <c:txPr>
              <a:bodyPr/>
              <a:lstStyle/>
              <a:p>
                <a:pPr>
                  <a:defRPr b="1"/>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B_ENG!$B$147:$G$147</c:f>
              <c:strCache>
                <c:ptCount val="6"/>
                <c:pt idx="0">
                  <c:v>2006</c:v>
                </c:pt>
                <c:pt idx="1">
                  <c:v>2009</c:v>
                </c:pt>
                <c:pt idx="2">
                  <c:v>2011</c:v>
                </c:pt>
                <c:pt idx="3">
                  <c:v>2013</c:v>
                </c:pt>
                <c:pt idx="4">
                  <c:v>2015</c:v>
                </c:pt>
                <c:pt idx="5">
                  <c:v>2017</c:v>
                </c:pt>
              </c:strCache>
            </c:strRef>
          </c:cat>
          <c:val>
            <c:numRef>
              <c:f>B_ENG!$B$149:$G$149</c:f>
              <c:numCache>
                <c:formatCode>0%</c:formatCode>
                <c:ptCount val="6"/>
                <c:pt idx="0">
                  <c:v>0.144767747424043</c:v>
                </c:pt>
                <c:pt idx="1">
                  <c:v>0.21025796022450999</c:v>
                </c:pt>
                <c:pt idx="2">
                  <c:v>0.289481071245348</c:v>
                </c:pt>
                <c:pt idx="3">
                  <c:v>0.31114985321529498</c:v>
                </c:pt>
                <c:pt idx="4">
                  <c:v>0.32324383200867801</c:v>
                </c:pt>
                <c:pt idx="5">
                  <c:v>0.31291772739240198</c:v>
                </c:pt>
              </c:numCache>
            </c:numRef>
          </c:val>
          <c:extLst>
            <c:ext xmlns:c16="http://schemas.microsoft.com/office/drawing/2014/chart" uri="{C3380CC4-5D6E-409C-BE32-E72D297353CC}">
              <c16:uniqueId val="{00000003-8CC5-43CE-B819-3F747E9C72CF}"/>
            </c:ext>
          </c:extLst>
        </c:ser>
        <c:ser>
          <c:idx val="2"/>
          <c:order val="2"/>
          <c:tx>
            <c:strRef>
              <c:f>B_ENG!$A$150</c:f>
              <c:strCache>
                <c:ptCount val="1"/>
                <c:pt idx="0">
                  <c:v> Desktop only</c:v>
                </c:pt>
              </c:strCache>
            </c:strRef>
          </c:tx>
          <c:spPr>
            <a:solidFill>
              <a:srgbClr val="47E5FF"/>
            </a:solidFill>
          </c:spPr>
          <c:invertIfNegative val="0"/>
          <c:dLbls>
            <c:spPr>
              <a:noFill/>
              <a:ln>
                <a:noFill/>
              </a:ln>
              <a:effectLst/>
            </c:spPr>
            <c:txPr>
              <a:bodyPr/>
              <a:lstStyle/>
              <a:p>
                <a:pPr>
                  <a:defRPr b="1"/>
                </a:pPr>
                <a:endParaRPr lang="cs-CZ"/>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B_ENG!$B$147:$G$147</c:f>
              <c:strCache>
                <c:ptCount val="6"/>
                <c:pt idx="0">
                  <c:v>2006</c:v>
                </c:pt>
                <c:pt idx="1">
                  <c:v>2009</c:v>
                </c:pt>
                <c:pt idx="2">
                  <c:v>2011</c:v>
                </c:pt>
                <c:pt idx="3">
                  <c:v>2013</c:v>
                </c:pt>
                <c:pt idx="4">
                  <c:v>2015</c:v>
                </c:pt>
                <c:pt idx="5">
                  <c:v>2017</c:v>
                </c:pt>
              </c:strCache>
            </c:strRef>
          </c:cat>
          <c:val>
            <c:numRef>
              <c:f>B_ENG!$B$150:$G$150</c:f>
              <c:numCache>
                <c:formatCode>0%</c:formatCode>
                <c:ptCount val="6"/>
                <c:pt idx="0">
                  <c:v>0.81833547111602201</c:v>
                </c:pt>
                <c:pt idx="1">
                  <c:v>0.63739314518139101</c:v>
                </c:pt>
                <c:pt idx="2">
                  <c:v>0.49696362138223599</c:v>
                </c:pt>
                <c:pt idx="3">
                  <c:v>0.36818101411250898</c:v>
                </c:pt>
                <c:pt idx="4">
                  <c:v>0.25062417738147102</c:v>
                </c:pt>
                <c:pt idx="5">
                  <c:v>0.18728365451050299</c:v>
                </c:pt>
              </c:numCache>
            </c:numRef>
          </c:val>
          <c:extLst>
            <c:ext xmlns:c16="http://schemas.microsoft.com/office/drawing/2014/chart" uri="{C3380CC4-5D6E-409C-BE32-E72D297353CC}">
              <c16:uniqueId val="{00000004-8CC5-43CE-B819-3F747E9C72CF}"/>
            </c:ext>
          </c:extLst>
        </c:ser>
        <c:dLbls>
          <c:showLegendKey val="0"/>
          <c:showVal val="1"/>
          <c:showCatName val="0"/>
          <c:showSerName val="0"/>
          <c:showPercent val="0"/>
          <c:showBubbleSize val="0"/>
        </c:dLbls>
        <c:gapWidth val="50"/>
        <c:overlap val="100"/>
        <c:axId val="169815040"/>
        <c:axId val="165310400"/>
      </c:barChart>
      <c:catAx>
        <c:axId val="169815040"/>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a:pPr>
            <a:endParaRPr lang="cs-CZ"/>
          </a:p>
        </c:txPr>
        <c:crossAx val="165310400"/>
        <c:crosses val="autoZero"/>
        <c:auto val="1"/>
        <c:lblAlgn val="ctr"/>
        <c:lblOffset val="40"/>
        <c:tickLblSkip val="1"/>
        <c:tickMarkSkip val="1"/>
        <c:noMultiLvlLbl val="0"/>
      </c:catAx>
      <c:valAx>
        <c:axId val="165310400"/>
        <c:scaling>
          <c:orientation val="minMax"/>
          <c:max val="1"/>
        </c:scaling>
        <c:delete val="0"/>
        <c:axPos val="b"/>
        <c:numFmt formatCode="0%" sourceLinked="1"/>
        <c:majorTickMark val="none"/>
        <c:minorTickMark val="none"/>
        <c:tickLblPos val="none"/>
        <c:spPr>
          <a:ln w="9525">
            <a:noFill/>
          </a:ln>
        </c:spPr>
        <c:crossAx val="169815040"/>
        <c:crosses val="autoZero"/>
        <c:crossBetween val="between"/>
        <c:majorUnit val="0.25"/>
        <c:minorUnit val="0.05"/>
      </c:valAx>
      <c:spPr>
        <a:noFill/>
        <a:ln w="12700">
          <a:solidFill>
            <a:srgbClr val="969696"/>
          </a:solidFill>
          <a:prstDash val="solid"/>
        </a:ln>
      </c:spPr>
    </c:plotArea>
    <c:legend>
      <c:legendPos val="r"/>
      <c:layout>
        <c:manualLayout>
          <c:xMode val="edge"/>
          <c:yMode val="edge"/>
          <c:x val="4.0844881398252202E-2"/>
          <c:y val="0.74452269170579"/>
          <c:w val="0.92440051679586599"/>
          <c:h val="9.00582942097026E-2"/>
        </c:manualLayout>
      </c:layout>
      <c:overlay val="0"/>
      <c:spPr>
        <a:noFill/>
        <a:ln w="9525">
          <a:solidFill>
            <a:schemeClr val="bg1">
              <a:lumMod val="50000"/>
            </a:schemeClr>
          </a:solidFill>
        </a:ln>
      </c:spPr>
    </c:legend>
    <c:plotVisOnly val="1"/>
    <c:dispBlanksAs val="gap"/>
    <c:showDLblsOverMax val="0"/>
  </c:chart>
  <c:spPr>
    <a:solidFill>
      <a:srgbClr val="FFFFFF"/>
    </a:solidFill>
    <a:ln w="9525">
      <a:noFill/>
    </a:ln>
  </c:spPr>
  <c:txPr>
    <a:bodyPr/>
    <a:lstStyle/>
    <a:p>
      <a:pPr>
        <a:defRPr sz="800" b="0" i="0" u="none" strike="noStrike" baseline="0">
          <a:solidFill>
            <a:srgbClr val="000000"/>
          </a:solidFill>
          <a:latin typeface="Arial CE"/>
          <a:ea typeface="Arial CE"/>
          <a:cs typeface="Arial CE"/>
        </a:defRPr>
      </a:pPr>
      <a:endParaRPr lang="cs-CZ"/>
    </a:p>
  </c:txPr>
  <c:externalData r:id="rId1">
    <c:autoUpdate val="0"/>
  </c:externalData>
  <c:userShapes r:id="rId2"/>
</c:chartSpace>
</file>

<file path=word/drawings/_rels/drawing5.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0.26814</cdr:x>
      <cdr:y>0.89706</cdr:y>
    </cdr:from>
    <cdr:to>
      <cdr:x>0.98702</cdr:x>
      <cdr:y>0.9714</cdr:y>
    </cdr:to>
    <cdr:sp macro="" textlink="">
      <cdr:nvSpPr>
        <cdr:cNvPr id="2" name="TextovéPole 1"/>
        <cdr:cNvSpPr txBox="1"/>
      </cdr:nvSpPr>
      <cdr:spPr>
        <a:xfrm xmlns:a="http://schemas.openxmlformats.org/drawingml/2006/main">
          <a:off x="809626" y="2260590"/>
          <a:ext cx="2170608" cy="18733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Czech Statistical Office 2018, Household Budget Survey</a:t>
          </a:r>
        </a:p>
      </cdr:txBody>
    </cdr:sp>
  </cdr:relSizeAnchor>
</c:userShapes>
</file>

<file path=word/drawings/drawing10.xml><?xml version="1.0" encoding="utf-8"?>
<c:userShapes xmlns:c="http://schemas.openxmlformats.org/drawingml/2006/chart">
  <cdr:relSizeAnchor xmlns:cdr="http://schemas.openxmlformats.org/drawingml/2006/chartDrawing">
    <cdr:from>
      <cdr:x>0.68095</cdr:x>
      <cdr:y>0.92016</cdr:y>
    </cdr:from>
    <cdr:to>
      <cdr:x>0.96898</cdr:x>
      <cdr:y>0.97924</cdr:y>
    </cdr:to>
    <cdr:sp macro="" textlink="">
      <cdr:nvSpPr>
        <cdr:cNvPr id="2" name="TextovéPole 1"/>
        <cdr:cNvSpPr txBox="1"/>
      </cdr:nvSpPr>
      <cdr:spPr>
        <a:xfrm xmlns:a="http://schemas.openxmlformats.org/drawingml/2006/main">
          <a:off x="4067175" y="2926767"/>
          <a:ext cx="1720358" cy="18790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0.01618</cdr:x>
      <cdr:y>0.86823</cdr:y>
    </cdr:from>
    <cdr:to>
      <cdr:x>0.8689</cdr:x>
      <cdr:y>0.94368</cdr:y>
    </cdr:to>
    <cdr:sp macro="" textlink="">
      <cdr:nvSpPr>
        <cdr:cNvPr id="3" name="TextovéPole 1"/>
        <cdr:cNvSpPr txBox="1"/>
      </cdr:nvSpPr>
      <cdr:spPr>
        <a:xfrm xmlns:a="http://schemas.openxmlformats.org/drawingml/2006/main">
          <a:off x="98424" y="2813049"/>
          <a:ext cx="5187951" cy="24447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i="0">
              <a:latin typeface="Arial" panose="020B0604020202020204" pitchFamily="34" charset="0"/>
              <a:cs typeface="Arial" panose="020B0604020202020204" pitchFamily="34" charset="0"/>
            </a:rPr>
            <a:t>* as a percantage of all households in a given country where at least one member is younger than 75 years</a:t>
          </a:r>
        </a:p>
      </cdr:txBody>
    </cdr:sp>
  </cdr:relSizeAnchor>
</c:userShapes>
</file>

<file path=word/drawings/drawing11.xml><?xml version="1.0" encoding="utf-8"?>
<c:userShapes xmlns:c="http://schemas.openxmlformats.org/drawingml/2006/chart">
  <cdr:relSizeAnchor xmlns:cdr="http://schemas.openxmlformats.org/drawingml/2006/chartDrawing">
    <cdr:from>
      <cdr:x>0.00968</cdr:x>
      <cdr:y>0.91017</cdr:y>
    </cdr:from>
    <cdr:to>
      <cdr:x>0.99506</cdr:x>
      <cdr:y>0.97986</cdr:y>
    </cdr:to>
    <cdr:sp macro="" textlink="">
      <cdr:nvSpPr>
        <cdr:cNvPr id="3" name="TextovéPole 1"/>
        <cdr:cNvSpPr txBox="1"/>
      </cdr:nvSpPr>
      <cdr:spPr>
        <a:xfrm xmlns:a="http://schemas.openxmlformats.org/drawingml/2006/main">
          <a:off x="28575" y="2457450"/>
          <a:ext cx="2908848" cy="18816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userShapes>
</file>

<file path=word/drawings/drawing12.xml><?xml version="1.0" encoding="utf-8"?>
<c:userShapes xmlns:c="http://schemas.openxmlformats.org/drawingml/2006/chart">
  <cdr:relSizeAnchor xmlns:cdr="http://schemas.openxmlformats.org/drawingml/2006/chartDrawing">
    <cdr:from>
      <cdr:x>0.00615</cdr:x>
      <cdr:y>0.84466</cdr:y>
    </cdr:from>
    <cdr:to>
      <cdr:x>0.99149</cdr:x>
      <cdr:y>0.94316</cdr:y>
    </cdr:to>
    <cdr:sp macro="" textlink="">
      <cdr:nvSpPr>
        <cdr:cNvPr id="2" name="TextovéPole 1"/>
        <cdr:cNvSpPr txBox="1"/>
      </cdr:nvSpPr>
      <cdr:spPr>
        <a:xfrm xmlns:a="http://schemas.openxmlformats.org/drawingml/2006/main">
          <a:off x="19050" y="2584659"/>
          <a:ext cx="3050613" cy="3014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anose="020B0604020202020204" pitchFamily="34" charset="0"/>
              <a:cs typeface="Arial" panose="020B0604020202020204" pitchFamily="34" charset="0"/>
            </a:rPr>
            <a:t>* as a percentage of all HHs of a given type with a computer</a:t>
          </a:r>
        </a:p>
        <a:p xmlns:a="http://schemas.openxmlformats.org/drawingml/2006/main">
          <a:pPr algn="l"/>
          <a:r>
            <a:rPr lang="cs-CZ" sz="800">
              <a:latin typeface="Arial" panose="020B0604020202020204" pitchFamily="34" charset="0"/>
              <a:cs typeface="Arial" panose="020B0604020202020204" pitchFamily="34" charset="0"/>
            </a:rPr>
            <a:t>** Households without children </a:t>
          </a:r>
        </a:p>
      </cdr:txBody>
    </cdr:sp>
  </cdr:relSizeAnchor>
  <cdr:relSizeAnchor xmlns:cdr="http://schemas.openxmlformats.org/drawingml/2006/chartDrawing">
    <cdr:from>
      <cdr:x>0.05226</cdr:x>
      <cdr:y>0.9272</cdr:y>
    </cdr:from>
    <cdr:to>
      <cdr:x>0.98101</cdr:x>
      <cdr:y>0.99689</cdr:y>
    </cdr:to>
    <cdr:sp macro="" textlink="">
      <cdr:nvSpPr>
        <cdr:cNvPr id="4" name="TextovéPole 1"/>
        <cdr:cNvSpPr txBox="1"/>
      </cdr:nvSpPr>
      <cdr:spPr>
        <a:xfrm xmlns:a="http://schemas.openxmlformats.org/drawingml/2006/main">
          <a:off x="161812" y="2837224"/>
          <a:ext cx="2875410" cy="21325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userShapes>
</file>

<file path=word/drawings/drawing13.xml><?xml version="1.0" encoding="utf-8"?>
<c:userShapes xmlns:c="http://schemas.openxmlformats.org/drawingml/2006/chart">
  <cdr:relSizeAnchor xmlns:cdr="http://schemas.openxmlformats.org/drawingml/2006/chartDrawing">
    <cdr:from>
      <cdr:x>0</cdr:x>
      <cdr:y>0.90166</cdr:y>
    </cdr:from>
    <cdr:to>
      <cdr:x>0.97561</cdr:x>
      <cdr:y>0.97486</cdr:y>
    </cdr:to>
    <cdr:sp macro="" textlink="">
      <cdr:nvSpPr>
        <cdr:cNvPr id="3" name="TextovéPole 1"/>
        <cdr:cNvSpPr txBox="1"/>
      </cdr:nvSpPr>
      <cdr:spPr>
        <a:xfrm xmlns:a="http://schemas.openxmlformats.org/drawingml/2006/main">
          <a:off x="0" y="2486012"/>
          <a:ext cx="2880000" cy="20182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userShapes>
</file>

<file path=word/drawings/drawing14.xml><?xml version="1.0" encoding="utf-8"?>
<c:userShapes xmlns:c="http://schemas.openxmlformats.org/drawingml/2006/chart">
  <cdr:relSizeAnchor xmlns:cdr="http://schemas.openxmlformats.org/drawingml/2006/chartDrawing">
    <cdr:from>
      <cdr:x>0</cdr:x>
      <cdr:y>0.82116</cdr:y>
    </cdr:from>
    <cdr:to>
      <cdr:x>0.98534</cdr:x>
      <cdr:y>0.91161</cdr:y>
    </cdr:to>
    <cdr:sp macro="" textlink="">
      <cdr:nvSpPr>
        <cdr:cNvPr id="2" name="TextovéPole 1"/>
        <cdr:cNvSpPr txBox="1"/>
      </cdr:nvSpPr>
      <cdr:spPr>
        <a:xfrm xmlns:a="http://schemas.openxmlformats.org/drawingml/2006/main">
          <a:off x="0" y="2364938"/>
          <a:ext cx="3086085" cy="2604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itchFamily="34" charset="0"/>
              <a:cs typeface="Arial" pitchFamily="34" charset="0"/>
            </a:rPr>
            <a:t>* </a:t>
          </a:r>
          <a:r>
            <a:rPr lang="cs-CZ" sz="800">
              <a:latin typeface="Arial" pitchFamily="34" charset="0"/>
              <a:ea typeface="+mn-ea"/>
              <a:cs typeface="Arial" pitchFamily="34" charset="0"/>
            </a:rPr>
            <a:t>as a percentage of all households of a given type</a:t>
          </a:r>
        </a:p>
        <a:p xmlns:a="http://schemas.openxmlformats.org/drawingml/2006/main">
          <a:pPr algn="l"/>
          <a:r>
            <a:rPr lang="cs-CZ" sz="800">
              <a:latin typeface="Arial" pitchFamily="34" charset="0"/>
              <a:ea typeface="+mn-ea"/>
              <a:cs typeface="Arial" pitchFamily="34" charset="0"/>
            </a:rPr>
            <a:t>** HHs without children </a:t>
          </a:r>
          <a:endParaRPr lang="cs-CZ" sz="800">
            <a:latin typeface="Arial" pitchFamily="34" charset="0"/>
            <a:cs typeface="Arial" pitchFamily="34" charset="0"/>
          </a:endParaRPr>
        </a:p>
      </cdr:txBody>
    </cdr:sp>
  </cdr:relSizeAnchor>
  <cdr:relSizeAnchor xmlns:cdr="http://schemas.openxmlformats.org/drawingml/2006/chartDrawing">
    <cdr:from>
      <cdr:x>0.0401</cdr:x>
      <cdr:y>0.91216</cdr:y>
    </cdr:from>
    <cdr:to>
      <cdr:x>0.93734</cdr:x>
      <cdr:y>0.98311</cdr:y>
    </cdr:to>
    <cdr:sp macro="" textlink="">
      <cdr:nvSpPr>
        <cdr:cNvPr id="5" name="TextovéPole 1"/>
        <cdr:cNvSpPr txBox="1"/>
      </cdr:nvSpPr>
      <cdr:spPr>
        <a:xfrm xmlns:a="http://schemas.openxmlformats.org/drawingml/2006/main">
          <a:off x="152399" y="2571750"/>
          <a:ext cx="3409951" cy="2000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dr:relSizeAnchor xmlns:cdr="http://schemas.openxmlformats.org/drawingml/2006/chartDrawing">
    <cdr:from>
      <cdr:x>0.02433</cdr:x>
      <cdr:y>0</cdr:y>
    </cdr:from>
    <cdr:to>
      <cdr:x>0.98236</cdr:x>
      <cdr:y>0.129</cdr:y>
    </cdr:to>
    <cdr:sp macro="" textlink="">
      <cdr:nvSpPr>
        <cdr:cNvPr id="3" name="Textové pole 2"/>
        <cdr:cNvSpPr txBox="1"/>
      </cdr:nvSpPr>
      <cdr:spPr>
        <a:xfrm xmlns:a="http://schemas.openxmlformats.org/drawingml/2006/main">
          <a:off x="76200" y="0"/>
          <a:ext cx="3000375" cy="371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en-GB" sz="800" b="1">
              <a:effectLst/>
              <a:latin typeface="Arial" panose="020B0604020202020204" pitchFamily="34" charset="0"/>
              <a:ea typeface="+mn-ea"/>
              <a:cs typeface="Arial" panose="020B0604020202020204" pitchFamily="34" charset="0"/>
            </a:rPr>
            <a:t>Figure B14 Households in the Czech Republic </a:t>
          </a:r>
          <a:endParaRPr lang="cs-CZ" sz="800" b="1">
            <a:effectLst/>
            <a:latin typeface="Arial" panose="020B0604020202020204" pitchFamily="34" charset="0"/>
            <a:ea typeface="+mn-ea"/>
            <a:cs typeface="Arial" panose="020B0604020202020204" pitchFamily="34" charset="0"/>
          </a:endParaRPr>
        </a:p>
        <a:p xmlns:a="http://schemas.openxmlformats.org/drawingml/2006/main">
          <a:pPr marL="0" marR="0" indent="0" algn="ctr" defTabSz="914400" eaLnBrk="1" fontAlgn="auto" latinLnBrk="0" hangingPunct="1">
            <a:lnSpc>
              <a:spcPct val="100000"/>
            </a:lnSpc>
            <a:spcBef>
              <a:spcPts val="0"/>
            </a:spcBef>
            <a:spcAft>
              <a:spcPts val="0"/>
            </a:spcAft>
            <a:buClrTx/>
            <a:buSzTx/>
            <a:buFontTx/>
            <a:buNone/>
            <a:tabLst/>
            <a:defRPr/>
          </a:pPr>
          <a:r>
            <a:rPr lang="en-GB" sz="800" b="1" u="sng">
              <a:effectLst/>
              <a:latin typeface="Arial" panose="020B0604020202020204" pitchFamily="34" charset="0"/>
              <a:ea typeface="+mn-ea"/>
              <a:cs typeface="Arial" panose="020B0604020202020204" pitchFamily="34" charset="0"/>
            </a:rPr>
            <a:t>without access</a:t>
          </a:r>
          <a:r>
            <a:rPr lang="en-GB" sz="800" b="1">
              <a:effectLst/>
              <a:latin typeface="Arial" panose="020B0604020202020204" pitchFamily="34" charset="0"/>
              <a:ea typeface="+mn-ea"/>
              <a:cs typeface="Arial" panose="020B0604020202020204" pitchFamily="34" charset="0"/>
            </a:rPr>
            <a:t> to the internet at home (%)*</a:t>
          </a:r>
          <a:endParaRPr lang="cs-CZ" sz="800" b="1">
            <a:effectLst/>
            <a:latin typeface="Arial" panose="020B0604020202020204" pitchFamily="34" charset="0"/>
            <a:ea typeface="+mn-ea"/>
            <a:cs typeface="Arial" panose="020B0604020202020204" pitchFamily="34" charset="0"/>
          </a:endParaRPr>
        </a:p>
        <a:p xmlns:a="http://schemas.openxmlformats.org/drawingml/2006/main">
          <a:endParaRPr lang="cs-CZ" sz="1100"/>
        </a:p>
      </cdr:txBody>
    </cdr:sp>
  </cdr:relSizeAnchor>
</c:userShapes>
</file>

<file path=word/drawings/drawing15.xml><?xml version="1.0" encoding="utf-8"?>
<c:userShapes xmlns:c="http://schemas.openxmlformats.org/drawingml/2006/chart">
  <cdr:relSizeAnchor xmlns:cdr="http://schemas.openxmlformats.org/drawingml/2006/chartDrawing">
    <cdr:from>
      <cdr:x>0.75461</cdr:x>
      <cdr:y>0.91509</cdr:y>
    </cdr:from>
    <cdr:to>
      <cdr:x>0.96898</cdr:x>
      <cdr:y>0.9819</cdr:y>
    </cdr:to>
    <cdr:sp macro="" textlink="">
      <cdr:nvSpPr>
        <cdr:cNvPr id="2" name="TextovéPole 1"/>
        <cdr:cNvSpPr txBox="1"/>
      </cdr:nvSpPr>
      <cdr:spPr>
        <a:xfrm xmlns:a="http://schemas.openxmlformats.org/drawingml/2006/main">
          <a:off x="4591050" y="2964893"/>
          <a:ext cx="1304224" cy="2164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0.00992</cdr:x>
      <cdr:y>0.86137</cdr:y>
    </cdr:from>
    <cdr:to>
      <cdr:x>0.96127</cdr:x>
      <cdr:y>0.97602</cdr:y>
    </cdr:to>
    <cdr:sp macro="" textlink="">
      <cdr:nvSpPr>
        <cdr:cNvPr id="4" name="TextovéPole 1"/>
        <cdr:cNvSpPr txBox="1"/>
      </cdr:nvSpPr>
      <cdr:spPr>
        <a:xfrm xmlns:a="http://schemas.openxmlformats.org/drawingml/2006/main">
          <a:off x="60352" y="2790839"/>
          <a:ext cx="5787997" cy="37146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i="0">
              <a:latin typeface="Arial" panose="020B0604020202020204" pitchFamily="34" charset="0"/>
              <a:cs typeface="Arial" panose="020B0604020202020204" pitchFamily="34" charset="0"/>
            </a:rPr>
            <a:t>* as a percantage of all low income households in a given country where at least one member is younger than 75 years</a:t>
          </a:r>
        </a:p>
      </cdr:txBody>
    </cdr:sp>
  </cdr:relSizeAnchor>
  <cdr:relSizeAnchor xmlns:cdr="http://schemas.openxmlformats.org/drawingml/2006/chartDrawing">
    <cdr:from>
      <cdr:x>0</cdr:x>
      <cdr:y>0.02352</cdr:y>
    </cdr:from>
    <cdr:to>
      <cdr:x>0.99989</cdr:x>
      <cdr:y>0.10583</cdr:y>
    </cdr:to>
    <cdr:sp macro="" textlink="">
      <cdr:nvSpPr>
        <cdr:cNvPr id="3" name="TextovéPole 2"/>
        <cdr:cNvSpPr txBox="1"/>
      </cdr:nvSpPr>
      <cdr:spPr>
        <a:xfrm xmlns:a="http://schemas.openxmlformats.org/drawingml/2006/main">
          <a:off x="0" y="74810"/>
          <a:ext cx="5972175" cy="261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rtl="0"/>
          <a:r>
            <a:rPr lang="en-US" sz="800" b="1" i="0" baseline="0">
              <a:effectLst/>
              <a:latin typeface="Arial" panose="020B0604020202020204" pitchFamily="34" charset="0"/>
              <a:ea typeface="+mn-ea"/>
              <a:cs typeface="Arial" panose="020B0604020202020204" pitchFamily="34" charset="0"/>
            </a:rPr>
            <a:t>Figure B</a:t>
          </a:r>
          <a:r>
            <a:rPr lang="cs-CZ" sz="800" b="1" i="0" baseline="0">
              <a:effectLst/>
              <a:latin typeface="Arial" panose="020B0604020202020204" pitchFamily="34" charset="0"/>
              <a:ea typeface="+mn-ea"/>
              <a:cs typeface="Arial" panose="020B0604020202020204" pitchFamily="34" charset="0"/>
            </a:rPr>
            <a:t>15</a:t>
          </a:r>
          <a:r>
            <a:rPr lang="en-US" sz="800" b="1" i="0" baseline="0">
              <a:effectLst/>
              <a:latin typeface="Arial" panose="020B0604020202020204" pitchFamily="34" charset="0"/>
              <a:ea typeface="+mn-ea"/>
              <a:cs typeface="Arial" panose="020B0604020202020204" pitchFamily="34" charset="0"/>
            </a:rPr>
            <a:t> Low income households (first quartile) in EU countries</a:t>
          </a:r>
          <a:r>
            <a:rPr lang="cs-CZ" sz="800" b="1" i="0" baseline="0">
              <a:effectLst/>
              <a:latin typeface="Arial" panose="020B0604020202020204" pitchFamily="34" charset="0"/>
              <a:ea typeface="+mn-ea"/>
              <a:cs typeface="Arial" panose="020B0604020202020204" pitchFamily="34" charset="0"/>
            </a:rPr>
            <a:t> </a:t>
          </a:r>
          <a:r>
            <a:rPr lang="en-US" sz="800" b="1" i="0" u="sng" baseline="0">
              <a:effectLst/>
              <a:latin typeface="Arial" panose="020B0604020202020204" pitchFamily="34" charset="0"/>
              <a:ea typeface="+mn-ea"/>
              <a:cs typeface="Arial" panose="020B0604020202020204" pitchFamily="34" charset="0"/>
            </a:rPr>
            <a:t>without</a:t>
          </a:r>
          <a:r>
            <a:rPr lang="cs-CZ" sz="800" b="1" i="0" u="sng" baseline="0">
              <a:effectLst/>
              <a:latin typeface="Arial" panose="020B0604020202020204" pitchFamily="34" charset="0"/>
              <a:ea typeface="+mn-ea"/>
              <a:cs typeface="Arial" panose="020B0604020202020204" pitchFamily="34" charset="0"/>
            </a:rPr>
            <a:t> </a:t>
          </a:r>
          <a:r>
            <a:rPr lang="en-US" sz="800" b="1" i="0" u="sng" baseline="0">
              <a:effectLst/>
              <a:latin typeface="Arial" panose="020B0604020202020204" pitchFamily="34" charset="0"/>
              <a:ea typeface="+mn-ea"/>
              <a:cs typeface="Arial" panose="020B0604020202020204" pitchFamily="34" charset="0"/>
            </a:rPr>
            <a:t>access</a:t>
          </a:r>
          <a:r>
            <a:rPr lang="cs-CZ" sz="800" b="1" i="0" u="none" baseline="0">
              <a:effectLst/>
              <a:latin typeface="Arial" panose="020B0604020202020204" pitchFamily="34" charset="0"/>
              <a:ea typeface="+mn-ea"/>
              <a:cs typeface="Arial" panose="020B0604020202020204" pitchFamily="34" charset="0"/>
            </a:rPr>
            <a:t> </a:t>
          </a:r>
          <a:r>
            <a:rPr lang="cs-CZ" sz="800" b="1" i="0" baseline="0">
              <a:effectLst/>
              <a:latin typeface="Arial" panose="020B0604020202020204" pitchFamily="34" charset="0"/>
              <a:ea typeface="+mn-ea"/>
              <a:cs typeface="Arial" panose="020B0604020202020204" pitchFamily="34" charset="0"/>
            </a:rPr>
            <a:t>to the internet at home (%)*</a:t>
          </a:r>
          <a:endParaRPr lang="cs-CZ" sz="800">
            <a:effectLst/>
            <a:latin typeface="Arial" panose="020B0604020202020204" pitchFamily="34" charset="0"/>
            <a:cs typeface="Arial" panose="020B0604020202020204" pitchFamily="34" charset="0"/>
          </a:endParaRPr>
        </a:p>
        <a:p xmlns:a="http://schemas.openxmlformats.org/drawingml/2006/main">
          <a:endParaRPr lang="cs-CZ" sz="1100"/>
        </a:p>
      </cdr:txBody>
    </cdr:sp>
  </cdr:relSizeAnchor>
</c:userShapes>
</file>

<file path=word/drawings/drawing16.xml><?xml version="1.0" encoding="utf-8"?>
<c:userShapes xmlns:c="http://schemas.openxmlformats.org/drawingml/2006/chart">
  <cdr:relSizeAnchor xmlns:cdr="http://schemas.openxmlformats.org/drawingml/2006/chartDrawing">
    <cdr:from>
      <cdr:x>0</cdr:x>
      <cdr:y>0.91092</cdr:y>
    </cdr:from>
    <cdr:to>
      <cdr:x>0.98538</cdr:x>
      <cdr:y>0.991</cdr:y>
    </cdr:to>
    <cdr:sp macro="" textlink="">
      <cdr:nvSpPr>
        <cdr:cNvPr id="3" name="TextovéPole 1"/>
        <cdr:cNvSpPr txBox="1"/>
      </cdr:nvSpPr>
      <cdr:spPr>
        <a:xfrm xmlns:a="http://schemas.openxmlformats.org/drawingml/2006/main">
          <a:off x="0" y="2295525"/>
          <a:ext cx="2908848" cy="2018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dr:relSizeAnchor xmlns:cdr="http://schemas.openxmlformats.org/drawingml/2006/chartDrawing">
    <cdr:from>
      <cdr:x>0.04841</cdr:x>
      <cdr:y>0</cdr:y>
    </cdr:from>
    <cdr:to>
      <cdr:x>0.95848</cdr:x>
      <cdr:y>0.14365</cdr:y>
    </cdr:to>
    <cdr:sp macro="" textlink="">
      <cdr:nvSpPr>
        <cdr:cNvPr id="2" name="Textové pole 1"/>
        <cdr:cNvSpPr txBox="1"/>
      </cdr:nvSpPr>
      <cdr:spPr>
        <a:xfrm xmlns:a="http://schemas.openxmlformats.org/drawingml/2006/main">
          <a:off x="142875" y="0"/>
          <a:ext cx="2686050" cy="3619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cs-CZ" sz="800" b="1">
              <a:latin typeface="Arial" panose="020B0604020202020204" pitchFamily="34" charset="0"/>
              <a:cs typeface="Arial" panose="020B0604020202020204" pitchFamily="34" charset="0"/>
            </a:rPr>
            <a:t>Figure B16</a:t>
          </a:r>
          <a:r>
            <a:rPr lang="cs-CZ" sz="800" b="1" baseline="0">
              <a:latin typeface="Arial" panose="020B0604020202020204" pitchFamily="34" charset="0"/>
              <a:cs typeface="Arial" panose="020B0604020202020204" pitchFamily="34" charset="0"/>
            </a:rPr>
            <a:t> Households in the Czech Republic </a:t>
          </a:r>
          <a:r>
            <a:rPr lang="cs-CZ" sz="800" b="1" u="sng" baseline="0">
              <a:latin typeface="Arial" panose="020B0604020202020204" pitchFamily="34" charset="0"/>
              <a:cs typeface="Arial" panose="020B0604020202020204" pitchFamily="34" charset="0"/>
            </a:rPr>
            <a:t>without access </a:t>
          </a:r>
          <a:r>
            <a:rPr lang="cs-CZ" sz="800" b="1" baseline="0">
              <a:latin typeface="Arial" panose="020B0604020202020204" pitchFamily="34" charset="0"/>
              <a:cs typeface="Arial" panose="020B0604020202020204" pitchFamily="34" charset="0"/>
            </a:rPr>
            <a:t>to the internet at home</a:t>
          </a:r>
          <a:endParaRPr lang="cs-CZ" sz="800" b="1">
            <a:latin typeface="Arial" panose="020B0604020202020204" pitchFamily="34" charset="0"/>
            <a:cs typeface="Arial" panose="020B0604020202020204" pitchFamily="34" charset="0"/>
          </a:endParaRPr>
        </a:p>
      </cdr:txBody>
    </cdr:sp>
  </cdr:relSizeAnchor>
</c:userShapes>
</file>

<file path=word/drawings/drawing17.xml><?xml version="1.0" encoding="utf-8"?>
<c:userShapes xmlns:c="http://schemas.openxmlformats.org/drawingml/2006/chart">
  <cdr:relSizeAnchor xmlns:cdr="http://schemas.openxmlformats.org/drawingml/2006/chartDrawing">
    <cdr:from>
      <cdr:x>0</cdr:x>
      <cdr:y>0.79249</cdr:y>
    </cdr:from>
    <cdr:to>
      <cdr:x>0.98534</cdr:x>
      <cdr:y>0.91203</cdr:y>
    </cdr:to>
    <cdr:sp macro="" textlink="">
      <cdr:nvSpPr>
        <cdr:cNvPr id="2" name="TextovéPole 1"/>
        <cdr:cNvSpPr txBox="1"/>
      </cdr:nvSpPr>
      <cdr:spPr>
        <a:xfrm xmlns:a="http://schemas.openxmlformats.org/drawingml/2006/main">
          <a:off x="0" y="2185014"/>
          <a:ext cx="3086085" cy="32958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cs-CZ" sz="800">
              <a:latin typeface="Arial" pitchFamily="34" charset="0"/>
              <a:ea typeface="+mn-ea"/>
              <a:cs typeface="Arial" pitchFamily="34" charset="0"/>
            </a:rPr>
            <a:t>* as a percentage of all households without the internet</a:t>
          </a:r>
        </a:p>
        <a:p xmlns:a="http://schemas.openxmlformats.org/drawingml/2006/main">
          <a:pPr algn="l"/>
          <a:r>
            <a:rPr lang="cs-CZ" sz="800" baseline="0">
              <a:latin typeface="Arial" panose="020B0604020202020204" pitchFamily="34" charset="0"/>
              <a:cs typeface="Arial" panose="020B0604020202020204" pitchFamily="34" charset="0"/>
            </a:rPr>
            <a:t>** more reasons possible</a:t>
          </a:r>
        </a:p>
        <a:p xmlns:a="http://schemas.openxmlformats.org/drawingml/2006/main">
          <a:pPr algn="l"/>
          <a:endParaRPr lang="cs-CZ"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cdr:x>
      <cdr:y>0.90336</cdr:y>
    </cdr:from>
    <cdr:to>
      <cdr:x>0.92875</cdr:x>
      <cdr:y>0.98344</cdr:y>
    </cdr:to>
    <cdr:sp macro="" textlink="">
      <cdr:nvSpPr>
        <cdr:cNvPr id="4" name="TextovéPole 1"/>
        <cdr:cNvSpPr txBox="1"/>
      </cdr:nvSpPr>
      <cdr:spPr>
        <a:xfrm xmlns:a="http://schemas.openxmlformats.org/drawingml/2006/main">
          <a:off x="0" y="2276475"/>
          <a:ext cx="2908848" cy="20180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dr:relSizeAnchor xmlns:cdr="http://schemas.openxmlformats.org/drawingml/2006/chartDrawing">
    <cdr:from>
      <cdr:x>0.02129</cdr:x>
      <cdr:y>0</cdr:y>
    </cdr:from>
    <cdr:to>
      <cdr:x>0.98839</cdr:x>
      <cdr:y>0.14741</cdr:y>
    </cdr:to>
    <cdr:sp macro="" textlink="">
      <cdr:nvSpPr>
        <cdr:cNvPr id="3" name="TextovéPole 2"/>
        <cdr:cNvSpPr txBox="1"/>
      </cdr:nvSpPr>
      <cdr:spPr>
        <a:xfrm xmlns:a="http://schemas.openxmlformats.org/drawingml/2006/main">
          <a:off x="66676" y="0"/>
          <a:ext cx="3028950" cy="3714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rtl="0"/>
          <a:r>
            <a:rPr lang="cs-CZ" sz="800" b="1" i="0" baseline="0">
              <a:effectLst/>
              <a:latin typeface="Arial" panose="020B0604020202020204" pitchFamily="34" charset="0"/>
              <a:ea typeface="+mn-ea"/>
              <a:cs typeface="Arial" panose="020B0604020202020204" pitchFamily="34" charset="0"/>
            </a:rPr>
            <a:t>Figure B17 Main reasons for Czech households </a:t>
          </a:r>
          <a:endParaRPr lang="cs-CZ" sz="800">
            <a:effectLst/>
            <a:latin typeface="Arial" panose="020B0604020202020204" pitchFamily="34" charset="0"/>
            <a:cs typeface="Arial" panose="020B0604020202020204" pitchFamily="34" charset="0"/>
          </a:endParaRPr>
        </a:p>
        <a:p xmlns:a="http://schemas.openxmlformats.org/drawingml/2006/main">
          <a:pPr algn="ctr" rtl="0"/>
          <a:r>
            <a:rPr lang="cs-CZ" sz="800" b="1" i="0" baseline="0">
              <a:effectLst/>
              <a:latin typeface="Arial" panose="020B0604020202020204" pitchFamily="34" charset="0"/>
              <a:ea typeface="+mn-ea"/>
              <a:cs typeface="Arial" panose="020B0604020202020204" pitchFamily="34" charset="0"/>
            </a:rPr>
            <a:t>for not having access to the internet at home (%)*, **</a:t>
          </a:r>
          <a:endParaRPr lang="cs-CZ" sz="800">
            <a:effectLst/>
            <a:latin typeface="Arial" panose="020B0604020202020204" pitchFamily="34" charset="0"/>
            <a:cs typeface="Arial" panose="020B0604020202020204" pitchFamily="34" charset="0"/>
          </a:endParaRPr>
        </a:p>
        <a:p xmlns:a="http://schemas.openxmlformats.org/drawingml/2006/main">
          <a:pPr algn="ctr"/>
          <a:endParaRPr lang="cs-CZ" sz="1100"/>
        </a:p>
      </cdr:txBody>
    </cdr:sp>
  </cdr:relSizeAnchor>
</c:userShapes>
</file>

<file path=word/drawings/drawing18.xml><?xml version="1.0" encoding="utf-8"?>
<c:userShapes xmlns:c="http://schemas.openxmlformats.org/drawingml/2006/chart">
  <cdr:relSizeAnchor xmlns:cdr="http://schemas.openxmlformats.org/drawingml/2006/chartDrawing">
    <cdr:from>
      <cdr:x>0.00615</cdr:x>
      <cdr:y>0.81124</cdr:y>
    </cdr:from>
    <cdr:to>
      <cdr:x>0.91681</cdr:x>
      <cdr:y>0.90169</cdr:y>
    </cdr:to>
    <cdr:sp macro="" textlink="">
      <cdr:nvSpPr>
        <cdr:cNvPr id="2" name="TextovéPole 1"/>
        <cdr:cNvSpPr txBox="1"/>
      </cdr:nvSpPr>
      <cdr:spPr>
        <a:xfrm xmlns:a="http://schemas.openxmlformats.org/drawingml/2006/main">
          <a:off x="19051" y="2336363"/>
          <a:ext cx="2819400" cy="26049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itchFamily="34" charset="0"/>
              <a:cs typeface="Arial" pitchFamily="34" charset="0"/>
            </a:rPr>
            <a:t>* </a:t>
          </a:r>
          <a:r>
            <a:rPr lang="cs-CZ" sz="800">
              <a:latin typeface="Arial" pitchFamily="34" charset="0"/>
              <a:ea typeface="+mn-ea"/>
              <a:cs typeface="Arial" pitchFamily="34" charset="0"/>
            </a:rPr>
            <a:t>as a percentage of all households with the internet </a:t>
          </a:r>
        </a:p>
        <a:p xmlns:a="http://schemas.openxmlformats.org/drawingml/2006/main">
          <a:pPr algn="l"/>
          <a:r>
            <a:rPr lang="cs-CZ" sz="800">
              <a:latin typeface="Arial" pitchFamily="34" charset="0"/>
              <a:ea typeface="+mn-ea"/>
              <a:cs typeface="Arial" pitchFamily="34" charset="0"/>
            </a:rPr>
            <a:t> in given municipalities size</a:t>
          </a:r>
          <a:endParaRPr lang="cs-CZ" sz="800">
            <a:latin typeface="Arial" pitchFamily="34" charset="0"/>
            <a:cs typeface="Arial" pitchFamily="34" charset="0"/>
          </a:endParaRPr>
        </a:p>
      </cdr:txBody>
    </cdr:sp>
  </cdr:relSizeAnchor>
  <cdr:relSizeAnchor xmlns:cdr="http://schemas.openxmlformats.org/drawingml/2006/chartDrawing">
    <cdr:from>
      <cdr:x>0.04922</cdr:x>
      <cdr:y>0.9063</cdr:y>
    </cdr:from>
    <cdr:to>
      <cdr:x>0.97797</cdr:x>
      <cdr:y>0.97368</cdr:y>
    </cdr:to>
    <cdr:sp macro="" textlink="">
      <cdr:nvSpPr>
        <cdr:cNvPr id="4" name="TextovéPole 1"/>
        <cdr:cNvSpPr txBox="1"/>
      </cdr:nvSpPr>
      <cdr:spPr>
        <a:xfrm xmlns:a="http://schemas.openxmlformats.org/drawingml/2006/main">
          <a:off x="152400" y="2610144"/>
          <a:ext cx="2875410" cy="19405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dr:relSizeAnchor xmlns:cdr="http://schemas.openxmlformats.org/drawingml/2006/chartDrawing">
    <cdr:from>
      <cdr:x>0.04308</cdr:x>
      <cdr:y>3.6078E-7</cdr:y>
    </cdr:from>
    <cdr:to>
      <cdr:x>0.97846</cdr:x>
      <cdr:y>0.18213</cdr:y>
    </cdr:to>
    <cdr:sp macro="" textlink="">
      <cdr:nvSpPr>
        <cdr:cNvPr id="3" name="Textové pole 2"/>
        <cdr:cNvSpPr txBox="1"/>
      </cdr:nvSpPr>
      <cdr:spPr>
        <a:xfrm xmlns:a="http://schemas.openxmlformats.org/drawingml/2006/main">
          <a:off x="133360" y="1"/>
          <a:ext cx="2895585" cy="5048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marL="0" marR="0" indent="0" algn="ctr" defTabSz="914400" rtl="0" eaLnBrk="1" fontAlgn="auto" latinLnBrk="0" hangingPunct="1">
            <a:lnSpc>
              <a:spcPct val="100000"/>
            </a:lnSpc>
            <a:spcBef>
              <a:spcPts val="0"/>
            </a:spcBef>
            <a:spcAft>
              <a:spcPts val="0"/>
            </a:spcAft>
            <a:buClrTx/>
            <a:buSzTx/>
            <a:buFontTx/>
            <a:buNone/>
            <a:tabLst/>
            <a:defRPr/>
          </a:pPr>
          <a:r>
            <a:rPr lang="cs-CZ" sz="800" b="1">
              <a:latin typeface="Arial" panose="020B0604020202020204" pitchFamily="34" charset="0"/>
              <a:cs typeface="Arial" panose="020B0604020202020204" pitchFamily="34" charset="0"/>
            </a:rPr>
            <a:t>Figure B18 Type of connection used by Czech households to access internet at home by size of their municipalities (no. of inhabitants); 2017 (%)*</a:t>
          </a:r>
          <a:endParaRPr lang="en-US" sz="800" b="1">
            <a:latin typeface="Arial" panose="020B0604020202020204" pitchFamily="34" charset="0"/>
            <a:cs typeface="Arial" panose="020B0604020202020204" pitchFamily="34" charset="0"/>
          </a:endParaRPr>
        </a:p>
        <a:p xmlns:a="http://schemas.openxmlformats.org/drawingml/2006/main">
          <a:endParaRPr lang="cs-CZ" sz="1100"/>
        </a:p>
      </cdr:txBody>
    </cdr:sp>
  </cdr:relSizeAnchor>
</c:userShapes>
</file>

<file path=word/drawings/drawing19.xml><?xml version="1.0" encoding="utf-8"?>
<c:userShapes xmlns:c="http://schemas.openxmlformats.org/drawingml/2006/chart">
  <cdr:relSizeAnchor xmlns:cdr="http://schemas.openxmlformats.org/drawingml/2006/chartDrawing">
    <cdr:from>
      <cdr:x>0.07325</cdr:x>
      <cdr:y>0.91369</cdr:y>
    </cdr:from>
    <cdr:to>
      <cdr:x>0.97351</cdr:x>
      <cdr:y>0.97712</cdr:y>
    </cdr:to>
    <cdr:sp macro="" textlink="">
      <cdr:nvSpPr>
        <cdr:cNvPr id="3" name="TextovéPole 1"/>
        <cdr:cNvSpPr txBox="1"/>
      </cdr:nvSpPr>
      <cdr:spPr>
        <a:xfrm xmlns:a="http://schemas.openxmlformats.org/drawingml/2006/main">
          <a:off x="219074" y="2663087"/>
          <a:ext cx="2692547" cy="1848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userShapes>
</file>

<file path=word/drawings/drawing2.xml><?xml version="1.0" encoding="utf-8"?>
<c:userShapes xmlns:c="http://schemas.openxmlformats.org/drawingml/2006/chart">
  <cdr:relSizeAnchor xmlns:cdr="http://schemas.openxmlformats.org/drawingml/2006/chartDrawing">
    <cdr:from>
      <cdr:x>0.23732</cdr:x>
      <cdr:y>0.93486</cdr:y>
    </cdr:from>
    <cdr:to>
      <cdr:x>0.96898</cdr:x>
      <cdr:y>0.98227</cdr:y>
    </cdr:to>
    <cdr:sp macro="" textlink="">
      <cdr:nvSpPr>
        <cdr:cNvPr id="2" name="TextovéPole 1"/>
        <cdr:cNvSpPr txBox="1"/>
      </cdr:nvSpPr>
      <cdr:spPr>
        <a:xfrm xmlns:a="http://schemas.openxmlformats.org/drawingml/2006/main">
          <a:off x="1443855" y="3028950"/>
          <a:ext cx="4451419" cy="15360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European Commission 2017, Eurobarometer 438 E-Communications Survey</a:t>
          </a:r>
        </a:p>
      </cdr:txBody>
    </cdr:sp>
  </cdr:relSizeAnchor>
  <cdr:relSizeAnchor xmlns:cdr="http://schemas.openxmlformats.org/drawingml/2006/chartDrawing">
    <cdr:from>
      <cdr:x>0.03444</cdr:x>
      <cdr:y>0.88782</cdr:y>
    </cdr:from>
    <cdr:to>
      <cdr:x>0.74678</cdr:x>
      <cdr:y>0.94368</cdr:y>
    </cdr:to>
    <cdr:sp macro="" textlink="">
      <cdr:nvSpPr>
        <cdr:cNvPr id="3" name="TextovéPole 2"/>
        <cdr:cNvSpPr txBox="1"/>
      </cdr:nvSpPr>
      <cdr:spPr>
        <a:xfrm xmlns:a="http://schemas.openxmlformats.org/drawingml/2006/main">
          <a:off x="209550" y="2876549"/>
          <a:ext cx="4333875" cy="1809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cs-CZ" sz="800">
              <a:latin typeface="Arial" panose="020B0604020202020204" pitchFamily="34" charset="0"/>
              <a:cs typeface="Arial" panose="020B0604020202020204" pitchFamily="34" charset="0"/>
            </a:rPr>
            <a:t>* as a percentage of all households in a given</a:t>
          </a:r>
          <a:r>
            <a:rPr lang="cs-CZ" sz="800" baseline="0">
              <a:latin typeface="Arial" panose="020B0604020202020204" pitchFamily="34" charset="0"/>
              <a:cs typeface="Arial" panose="020B0604020202020204" pitchFamily="34" charset="0"/>
            </a:rPr>
            <a:t> country</a:t>
          </a:r>
          <a:endParaRPr lang="cs-CZ" sz="800">
            <a:latin typeface="Arial" panose="020B0604020202020204" pitchFamily="34" charset="0"/>
            <a:cs typeface="Arial" panose="020B0604020202020204" pitchFamily="34"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0.91974</cdr:y>
    </cdr:from>
    <cdr:to>
      <cdr:x>1</cdr:x>
      <cdr:y>0.97896</cdr:y>
    </cdr:to>
    <cdr:sp macro="" textlink="">
      <cdr:nvSpPr>
        <cdr:cNvPr id="2" name="TextovéPole 1"/>
        <cdr:cNvSpPr txBox="1"/>
      </cdr:nvSpPr>
      <cdr:spPr>
        <a:xfrm xmlns:a="http://schemas.openxmlformats.org/drawingml/2006/main">
          <a:off x="171450" y="2317744"/>
          <a:ext cx="3024000" cy="14923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itchFamily="34" charset="0"/>
              <a:ea typeface="+mn-ea"/>
              <a:cs typeface="Arial" pitchFamily="34" charset="0"/>
            </a:rPr>
            <a:t>Source: CZSO 2018, Household Budget Survey</a:t>
          </a:r>
          <a:endParaRPr lang="cs-CZ" sz="800">
            <a:latin typeface="Arial" pitchFamily="34" charset="0"/>
            <a:cs typeface="Arial" pitchFamily="34" charset="0"/>
          </a:endParaRPr>
        </a:p>
        <a:p xmlns:a="http://schemas.openxmlformats.org/drawingml/2006/main">
          <a:pPr algn="r"/>
          <a:endParaRPr lang="cs-CZ" sz="800">
            <a:latin typeface="Arial" pitchFamily="34" charset="0"/>
            <a:cs typeface="Arial" pitchFamily="34" charset="0"/>
          </a:endParaRPr>
        </a:p>
      </cdr:txBody>
    </cdr:sp>
  </cdr:relSizeAnchor>
  <cdr:relSizeAnchor xmlns:cdr="http://schemas.openxmlformats.org/drawingml/2006/chartDrawing">
    <cdr:from>
      <cdr:x>0.00904</cdr:x>
      <cdr:y>0.82777</cdr:y>
    </cdr:from>
    <cdr:to>
      <cdr:x>0.94684</cdr:x>
      <cdr:y>0.88446</cdr:y>
    </cdr:to>
    <cdr:sp macro="" textlink="">
      <cdr:nvSpPr>
        <cdr:cNvPr id="3" name="TextovéPole 1"/>
        <cdr:cNvSpPr txBox="1"/>
      </cdr:nvSpPr>
      <cdr:spPr>
        <a:xfrm xmlns:a="http://schemas.openxmlformats.org/drawingml/2006/main">
          <a:off x="28306" y="2085977"/>
          <a:ext cx="2937189" cy="1428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anose="020B0604020202020204" pitchFamily="34" charset="0"/>
              <a:cs typeface="Arial" panose="020B0604020202020204" pitchFamily="34" charset="0"/>
            </a:rPr>
            <a:t>* per 1 member aged 6+ living </a:t>
          </a:r>
          <a:r>
            <a:rPr lang="cs-CZ" sz="800" baseline="0">
              <a:latin typeface="Arial" panose="020B0604020202020204" pitchFamily="34" charset="0"/>
              <a:cs typeface="Arial" panose="020B0604020202020204" pitchFamily="34" charset="0"/>
            </a:rPr>
            <a:t>in a given type of household</a:t>
          </a:r>
          <a:endParaRPr lang="cs-CZ" sz="800">
            <a:latin typeface="Arial" panose="020B0604020202020204" pitchFamily="34" charset="0"/>
            <a:cs typeface="Arial" panose="020B0604020202020204"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0.89958</cdr:y>
    </cdr:from>
    <cdr:to>
      <cdr:x>0.98824</cdr:x>
      <cdr:y>0.9588</cdr:y>
    </cdr:to>
    <cdr:sp macro="" textlink="">
      <cdr:nvSpPr>
        <cdr:cNvPr id="3" name="TextovéPole 1"/>
        <cdr:cNvSpPr txBox="1"/>
      </cdr:nvSpPr>
      <cdr:spPr>
        <a:xfrm xmlns:a="http://schemas.openxmlformats.org/drawingml/2006/main">
          <a:off x="0" y="2266938"/>
          <a:ext cx="3024014" cy="14923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Budget Survey</a:t>
          </a:r>
          <a:endParaRPr lang="cs-CZ" sz="800">
            <a:latin typeface="Arial" pitchFamily="34" charset="0"/>
            <a:cs typeface="Arial" pitchFamily="34" charset="0"/>
          </a:endParaRPr>
        </a:p>
        <a:p xmlns:a="http://schemas.openxmlformats.org/drawingml/2006/main">
          <a:pPr algn="r"/>
          <a:endParaRPr lang="cs-CZ" sz="800">
            <a:latin typeface="Arial" pitchFamily="34" charset="0"/>
            <a:cs typeface="Arial" pitchFamily="34"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cdr:y>
    </cdr:from>
    <cdr:to>
      <cdr:x>0.00797</cdr:x>
      <cdr:y>0.00968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cdr:x>
      <cdr:y>0</cdr:y>
    </cdr:from>
    <cdr:to>
      <cdr:x>0.00797</cdr:x>
      <cdr:y>0.00968</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0"/>
          <a:ext cx="24386" cy="24386"/>
        </a:xfrm>
        <a:prstGeom xmlns:a="http://schemas.openxmlformats.org/drawingml/2006/main" prst="rect">
          <a:avLst/>
        </a:prstGeom>
      </cdr:spPr>
    </cdr:pic>
  </cdr:relSizeAnchor>
  <cdr:relSizeAnchor xmlns:cdr="http://schemas.openxmlformats.org/drawingml/2006/chartDrawing">
    <cdr:from>
      <cdr:x>0.01687</cdr:x>
      <cdr:y>0.90281</cdr:y>
    </cdr:from>
    <cdr:to>
      <cdr:x>0.96867</cdr:x>
      <cdr:y>0.96419</cdr:y>
    </cdr:to>
    <cdr:sp macro="" textlink="">
      <cdr:nvSpPr>
        <cdr:cNvPr id="5" name="TextovéPole 1"/>
        <cdr:cNvSpPr txBox="1"/>
      </cdr:nvSpPr>
      <cdr:spPr>
        <a:xfrm xmlns:a="http://schemas.openxmlformats.org/drawingml/2006/main">
          <a:off x="66675" y="3362324"/>
          <a:ext cx="3762376" cy="2286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a:t>
          </a:r>
          <a:r>
            <a:rPr lang="en-GB" sz="800" i="1">
              <a:effectLst/>
              <a:latin typeface="Arial" panose="020B0604020202020204" pitchFamily="34" charset="0"/>
              <a:ea typeface="+mn-ea"/>
              <a:cs typeface="Arial" panose="020B0604020202020204" pitchFamily="34" charset="0"/>
            </a:rPr>
            <a:t>National Accounts </a:t>
          </a:r>
          <a:endParaRPr lang="cs-CZ" sz="800" i="1">
            <a:latin typeface="Arial" pitchFamily="34" charset="0"/>
            <a:cs typeface="Arial" pitchFamily="34"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0.91974</cdr:y>
    </cdr:from>
    <cdr:to>
      <cdr:x>1</cdr:x>
      <cdr:y>0.97896</cdr:y>
    </cdr:to>
    <cdr:sp macro="" textlink="">
      <cdr:nvSpPr>
        <cdr:cNvPr id="2" name="TextovéPole 1"/>
        <cdr:cNvSpPr txBox="1"/>
      </cdr:nvSpPr>
      <cdr:spPr>
        <a:xfrm xmlns:a="http://schemas.openxmlformats.org/drawingml/2006/main">
          <a:off x="171450" y="2317744"/>
          <a:ext cx="3024000" cy="14923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itchFamily="34" charset="0"/>
              <a:ea typeface="+mn-ea"/>
              <a:cs typeface="Arial" pitchFamily="34" charset="0"/>
            </a:rPr>
            <a:t>Source: CZSO 2018, Household Budget Survey</a:t>
          </a:r>
          <a:endParaRPr lang="cs-CZ" sz="800">
            <a:latin typeface="Arial" pitchFamily="34" charset="0"/>
            <a:cs typeface="Arial" pitchFamily="34" charset="0"/>
          </a:endParaRPr>
        </a:p>
        <a:p xmlns:a="http://schemas.openxmlformats.org/drawingml/2006/main">
          <a:pPr algn="r"/>
          <a:endParaRPr lang="cs-CZ" sz="800">
            <a:latin typeface="Arial" pitchFamily="34" charset="0"/>
            <a:cs typeface="Arial" pitchFamily="34"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0.23732</cdr:x>
      <cdr:y>0.91509</cdr:y>
    </cdr:from>
    <cdr:to>
      <cdr:x>0.96898</cdr:x>
      <cdr:y>0.98227</cdr:y>
    </cdr:to>
    <cdr:sp macro="" textlink="">
      <cdr:nvSpPr>
        <cdr:cNvPr id="2" name="TextovéPole 1"/>
        <cdr:cNvSpPr txBox="1"/>
      </cdr:nvSpPr>
      <cdr:spPr>
        <a:xfrm xmlns:a="http://schemas.openxmlformats.org/drawingml/2006/main">
          <a:off x="1409700" y="2635461"/>
          <a:ext cx="4346025" cy="1934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anose="020B0604020202020204" pitchFamily="34" charset="0"/>
              <a:cs typeface="Arial" panose="020B0604020202020204" pitchFamily="34" charset="0"/>
            </a:rPr>
            <a:t>Source: Eurostat 2018</a:t>
          </a:r>
        </a:p>
      </cdr:txBody>
    </cdr:sp>
  </cdr:relSizeAnchor>
  <cdr:relSizeAnchor xmlns:cdr="http://schemas.openxmlformats.org/drawingml/2006/chartDrawing">
    <cdr:from>
      <cdr:x>1.67425E-7</cdr:x>
      <cdr:y>0.90056</cdr:y>
    </cdr:from>
    <cdr:to>
      <cdr:x>0.71492</cdr:x>
      <cdr:y>0.97602</cdr:y>
    </cdr:to>
    <cdr:sp macro="" textlink="">
      <cdr:nvSpPr>
        <cdr:cNvPr id="3" name="TextovéPole 1"/>
        <cdr:cNvSpPr txBox="1"/>
      </cdr:nvSpPr>
      <cdr:spPr>
        <a:xfrm xmlns:a="http://schemas.openxmlformats.org/drawingml/2006/main">
          <a:off x="1" y="2864425"/>
          <a:ext cx="4270075" cy="24001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i="0">
              <a:latin typeface="Arial" panose="020B0604020202020204" pitchFamily="34" charset="0"/>
              <a:cs typeface="Arial" panose="020B0604020202020204" pitchFamily="34" charset="0"/>
            </a:rPr>
            <a:t>* as a percantage of total household consumption expenditure in a given country</a:t>
          </a:r>
        </a:p>
      </cdr:txBody>
    </cdr:sp>
  </cdr:relSizeAnchor>
</c:userShapes>
</file>

<file path=word/drawings/drawing8.xml><?xml version="1.0" encoding="utf-8"?>
<c:userShapes xmlns:c="http://schemas.openxmlformats.org/drawingml/2006/chart">
  <cdr:relSizeAnchor xmlns:cdr="http://schemas.openxmlformats.org/drawingml/2006/chartDrawing">
    <cdr:from>
      <cdr:x>0.02649</cdr:x>
      <cdr:y>0.90429</cdr:y>
    </cdr:from>
    <cdr:to>
      <cdr:x>1</cdr:x>
      <cdr:y>0.97896</cdr:y>
    </cdr:to>
    <cdr:sp macro="" textlink="">
      <cdr:nvSpPr>
        <cdr:cNvPr id="2" name="TextovéPole 1"/>
        <cdr:cNvSpPr txBox="1"/>
      </cdr:nvSpPr>
      <cdr:spPr>
        <a:xfrm xmlns:a="http://schemas.openxmlformats.org/drawingml/2006/main">
          <a:off x="89105" y="1953266"/>
          <a:ext cx="3060000" cy="16128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cs-CZ" sz="800" i="1">
              <a:latin typeface="Arial" pitchFamily="34" charset="0"/>
              <a:ea typeface="+mn-ea"/>
              <a:cs typeface="Arial" pitchFamily="34" charset="0"/>
            </a:rPr>
            <a:t>Source: CZSO 2018, Household ICT usage survey</a:t>
          </a:r>
          <a:endParaRPr lang="cs-CZ" sz="800" i="1">
            <a:latin typeface="Arial" pitchFamily="34" charset="0"/>
            <a:cs typeface="Arial" pitchFamily="34" charset="0"/>
          </a:endParaRPr>
        </a:p>
      </cdr:txBody>
    </cdr:sp>
  </cdr:relSizeAnchor>
</c:userShapes>
</file>

<file path=word/drawings/drawing9.xml><?xml version="1.0" encoding="utf-8"?>
<c:userShapes xmlns:c="http://schemas.openxmlformats.org/drawingml/2006/chart">
  <cdr:relSizeAnchor xmlns:cdr="http://schemas.openxmlformats.org/drawingml/2006/chartDrawing">
    <cdr:from>
      <cdr:x>0</cdr:x>
      <cdr:y>0.90182</cdr:y>
    </cdr:from>
    <cdr:to>
      <cdr:x>0.93955</cdr:x>
      <cdr:y>0.97544</cdr:y>
    </cdr:to>
    <cdr:sp macro="" textlink="">
      <cdr:nvSpPr>
        <cdr:cNvPr id="4" name="TextovéPole 1"/>
        <cdr:cNvSpPr txBox="1"/>
      </cdr:nvSpPr>
      <cdr:spPr>
        <a:xfrm xmlns:a="http://schemas.openxmlformats.org/drawingml/2006/main">
          <a:off x="0" y="2305050"/>
          <a:ext cx="2908848" cy="18816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pPr algn="r"/>
          <a:r>
            <a:rPr lang="cs-CZ" sz="800" i="1">
              <a:latin typeface="Arial" pitchFamily="34" charset="0"/>
              <a:cs typeface="Arial" pitchFamily="34" charset="0"/>
            </a:rPr>
            <a:t>Source: CZSO 2018, Household ICT usage survey</a:t>
          </a:r>
        </a:p>
      </cdr:txBody>
    </cdr:sp>
  </cdr:relSizeAnchor>
  <cdr:relSizeAnchor xmlns:cdr="http://schemas.openxmlformats.org/drawingml/2006/chartDrawing">
    <cdr:from>
      <cdr:x>0.04261</cdr:x>
      <cdr:y>0.84344</cdr:y>
    </cdr:from>
    <cdr:to>
      <cdr:x>0.92773</cdr:x>
      <cdr:y>0.92418</cdr:y>
    </cdr:to>
    <cdr:sp macro="" textlink="">
      <cdr:nvSpPr>
        <cdr:cNvPr id="3" name="TextovéPole 1"/>
        <cdr:cNvSpPr txBox="1"/>
      </cdr:nvSpPr>
      <cdr:spPr>
        <a:xfrm xmlns:a="http://schemas.openxmlformats.org/drawingml/2006/main">
          <a:off x="136525" y="2155825"/>
          <a:ext cx="2835917" cy="20636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cs-CZ" sz="800">
              <a:latin typeface="Arial" panose="020B0604020202020204" pitchFamily="34" charset="0"/>
              <a:cs typeface="Arial" panose="020B0604020202020204" pitchFamily="34" charset="0"/>
            </a:rPr>
            <a:t>* as a percentage of households with a computer</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A8F1E-7B40-45CA-A613-4E67BCB6C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bar EN_2017-08-14-1.dotx</Template>
  <TotalTime>10</TotalTime>
  <Pages>10</Pages>
  <Words>3027</Words>
  <Characters>17866</Characters>
  <Application>Microsoft Office Word</Application>
  <DocSecurity>0</DocSecurity>
  <Lines>148</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Kotrbatá</dc:creator>
  <cp:keywords/>
  <cp:lastModifiedBy>Alena Kotrbatá</cp:lastModifiedBy>
  <cp:revision>1</cp:revision>
  <cp:lastPrinted>2014-07-17T14:07:00Z</cp:lastPrinted>
  <dcterms:created xsi:type="dcterms:W3CDTF">2019-01-10T06:21:00Z</dcterms:created>
  <dcterms:modified xsi:type="dcterms:W3CDTF">2019-01-10T06:34:00Z</dcterms:modified>
</cp:coreProperties>
</file>