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6D94B" w14:textId="77777777" w:rsidR="00477325" w:rsidRPr="001177EF" w:rsidRDefault="00733870" w:rsidP="00151EE9">
      <w:pPr>
        <w:pStyle w:val="Nadpis2"/>
        <w:spacing w:after="120"/>
        <w:rPr>
          <w:i/>
          <w:lang w:val="en-GB"/>
        </w:rPr>
      </w:pPr>
      <w:r w:rsidRPr="001177EF">
        <w:rPr>
          <w:i/>
          <w:lang w:val="en-GB"/>
        </w:rPr>
        <w:t>Methodological notes</w:t>
      </w:r>
    </w:p>
    <w:p w14:paraId="157AC98C" w14:textId="0FA3C1CE" w:rsidR="009047D4" w:rsidRDefault="009047D4" w:rsidP="00D360C9">
      <w:pPr>
        <w:spacing w:after="0"/>
        <w:rPr>
          <w:rFonts w:cs="Arial"/>
          <w:i/>
          <w:lang w:val="en-GB"/>
        </w:rPr>
      </w:pPr>
      <w:r w:rsidRPr="001177EF">
        <w:rPr>
          <w:rFonts w:cs="Arial"/>
          <w:i/>
          <w:lang w:val="en-GB"/>
        </w:rPr>
        <w:t xml:space="preserve">All data refer to citizens of </w:t>
      </w:r>
      <w:r w:rsidR="00424243" w:rsidRPr="001177EF">
        <w:rPr>
          <w:bCs/>
          <w:i/>
          <w:lang w:val="en-GB"/>
        </w:rPr>
        <w:t>Czechia</w:t>
      </w:r>
      <w:r w:rsidRPr="001177EF">
        <w:rPr>
          <w:rFonts w:cs="Arial"/>
          <w:i/>
          <w:lang w:val="en-GB"/>
        </w:rPr>
        <w:t xml:space="preserve"> and foreigners with permanent residence </w:t>
      </w:r>
      <w:r w:rsidR="00861C58">
        <w:rPr>
          <w:rFonts w:cs="Arial"/>
          <w:i/>
          <w:lang w:val="en-GB"/>
        </w:rPr>
        <w:t>in Czechia</w:t>
      </w:r>
      <w:r w:rsidRPr="001177EF">
        <w:rPr>
          <w:rFonts w:cs="Arial"/>
          <w:i/>
          <w:lang w:val="en-GB"/>
        </w:rPr>
        <w:t>, third-country nationals with temporary residence in the territory o</w:t>
      </w:r>
      <w:r w:rsidR="005F4EC8" w:rsidRPr="001177EF">
        <w:rPr>
          <w:rFonts w:cs="Arial"/>
          <w:i/>
          <w:lang w:val="en-GB"/>
        </w:rPr>
        <w:t xml:space="preserve">f </w:t>
      </w:r>
      <w:r w:rsidR="00424243" w:rsidRPr="001177EF">
        <w:rPr>
          <w:rFonts w:cs="Arial"/>
          <w:i/>
          <w:lang w:val="en-GB"/>
        </w:rPr>
        <w:t>Czechia</w:t>
      </w:r>
      <w:r w:rsidR="005F4EC8" w:rsidRPr="001177EF">
        <w:rPr>
          <w:rFonts w:cs="Arial"/>
          <w:i/>
          <w:lang w:val="en-GB"/>
        </w:rPr>
        <w:t xml:space="preserve"> based on a </w:t>
      </w:r>
      <w:r w:rsidRPr="001177EF">
        <w:rPr>
          <w:rFonts w:cs="Arial"/>
          <w:i/>
          <w:lang w:val="en-GB"/>
        </w:rPr>
        <w:t xml:space="preserve">long-term visa (over 90 days), nationals of the EU Member States, Norway, Switzerland, Iceland, Liechtenstein and their family members with notified temporary residence in the territory of </w:t>
      </w:r>
      <w:r w:rsidR="00424243" w:rsidRPr="001177EF">
        <w:rPr>
          <w:rFonts w:cs="Arial"/>
          <w:i/>
          <w:lang w:val="en-GB"/>
        </w:rPr>
        <w:t>Czechia</w:t>
      </w:r>
      <w:r w:rsidRPr="001177EF">
        <w:rPr>
          <w:rFonts w:cs="Arial"/>
          <w:i/>
          <w:lang w:val="en-GB"/>
        </w:rPr>
        <w:t xml:space="preserve"> and foreigners </w:t>
      </w:r>
      <w:r w:rsidR="00090182">
        <w:rPr>
          <w:rFonts w:cs="Arial"/>
          <w:i/>
          <w:lang w:val="en-GB"/>
        </w:rPr>
        <w:t>granted international protection</w:t>
      </w:r>
      <w:r w:rsidRPr="001177EF">
        <w:rPr>
          <w:rFonts w:cs="Arial"/>
          <w:i/>
          <w:lang w:val="en-GB"/>
        </w:rPr>
        <w:t xml:space="preserve"> </w:t>
      </w:r>
      <w:r w:rsidR="00861C58">
        <w:rPr>
          <w:rFonts w:cs="Arial"/>
          <w:i/>
          <w:lang w:val="en-GB"/>
        </w:rPr>
        <w:t>in Czechia</w:t>
      </w:r>
      <w:r w:rsidRPr="001177EF">
        <w:rPr>
          <w:rFonts w:cs="Arial"/>
          <w:i/>
          <w:lang w:val="en-GB"/>
        </w:rPr>
        <w:t>.</w:t>
      </w:r>
      <w:r w:rsidR="00090182">
        <w:rPr>
          <w:rFonts w:cs="Arial"/>
          <w:i/>
          <w:lang w:val="en-GB"/>
        </w:rPr>
        <w:t xml:space="preserve"> </w:t>
      </w:r>
      <w:r w:rsidR="00090182" w:rsidRPr="00090182">
        <w:rPr>
          <w:rFonts w:cs="Arial"/>
          <w:i/>
          <w:lang w:val="en-GB"/>
        </w:rPr>
        <w:t xml:space="preserve">Since 2022, persons granted temporary protection in </w:t>
      </w:r>
      <w:r w:rsidR="00090182">
        <w:rPr>
          <w:rFonts w:cs="Arial"/>
          <w:i/>
          <w:lang w:val="en-GB"/>
        </w:rPr>
        <w:t>Czechia</w:t>
      </w:r>
      <w:r w:rsidR="00090182" w:rsidRPr="00090182">
        <w:rPr>
          <w:rFonts w:cs="Arial"/>
          <w:i/>
          <w:lang w:val="en-GB"/>
        </w:rPr>
        <w:t xml:space="preserve"> with usual residence </w:t>
      </w:r>
      <w:r w:rsidR="00090182">
        <w:rPr>
          <w:rFonts w:cs="Arial"/>
          <w:i/>
          <w:lang w:val="en-GB"/>
        </w:rPr>
        <w:t>in Czechia</w:t>
      </w:r>
      <w:r w:rsidR="00090182" w:rsidRPr="00090182">
        <w:rPr>
          <w:rFonts w:cs="Arial"/>
          <w:i/>
          <w:lang w:val="en-GB"/>
        </w:rPr>
        <w:t xml:space="preserve"> </w:t>
      </w:r>
      <w:r w:rsidR="00090182">
        <w:rPr>
          <w:rFonts w:cs="Arial"/>
          <w:i/>
          <w:lang w:val="en-GB"/>
        </w:rPr>
        <w:t xml:space="preserve">have also been included in </w:t>
      </w:r>
      <w:r w:rsidR="00090182" w:rsidRPr="00090182">
        <w:rPr>
          <w:rFonts w:cs="Arial"/>
          <w:i/>
          <w:lang w:val="en-GB"/>
        </w:rPr>
        <w:t>the population.</w:t>
      </w:r>
    </w:p>
    <w:p w14:paraId="1B7F16FD" w14:textId="3EDCA9B5" w:rsidR="00D360C9" w:rsidRPr="001177EF" w:rsidRDefault="00D360C9" w:rsidP="009047D4">
      <w:pPr>
        <w:rPr>
          <w:rFonts w:cs="Arial"/>
          <w:i/>
          <w:lang w:val="en-GB"/>
        </w:rPr>
      </w:pPr>
      <w:r w:rsidRPr="00D360C9">
        <w:rPr>
          <w:rFonts w:cs="Arial"/>
          <w:i/>
          <w:lang w:val="en-GB"/>
        </w:rPr>
        <w:t>For more detailed information see</w:t>
      </w:r>
      <w:r>
        <w:rPr>
          <w:rFonts w:cs="Arial"/>
          <w:i/>
          <w:lang w:val="en-GB"/>
        </w:rPr>
        <w:t xml:space="preserve"> </w:t>
      </w:r>
      <w:hyperlink r:id="rId8" w:history="1">
        <w:r w:rsidRPr="00DE76DC">
          <w:rPr>
            <w:rStyle w:val="Hypertextovodkaz"/>
            <w:rFonts w:cs="Arial"/>
            <w:i/>
            <w:lang w:val="en-GB"/>
          </w:rPr>
          <w:t>https://csu.gov.cz/population-methodology</w:t>
        </w:r>
      </w:hyperlink>
      <w:r>
        <w:rPr>
          <w:rFonts w:cs="Arial"/>
          <w:i/>
          <w:lang w:val="en-GB"/>
        </w:rPr>
        <w:t>.</w:t>
      </w:r>
    </w:p>
    <w:p w14:paraId="7141788D" w14:textId="590CE18E" w:rsidR="00555B33" w:rsidRPr="001177EF" w:rsidRDefault="00555B33" w:rsidP="00555B33">
      <w:pPr>
        <w:rPr>
          <w:rFonts w:cs="Arial"/>
          <w:i/>
          <w:szCs w:val="20"/>
          <w:lang w:val="en-GB"/>
        </w:rPr>
      </w:pPr>
      <w:r w:rsidRPr="001177EF">
        <w:rPr>
          <w:rFonts w:cs="Arial"/>
          <w:i/>
          <w:lang w:val="en-GB"/>
        </w:rPr>
        <w:t xml:space="preserve">For definitions of demographic events and the most </w:t>
      </w:r>
      <w:r w:rsidR="005C67D1" w:rsidRPr="001177EF">
        <w:rPr>
          <w:rFonts w:cs="Arial"/>
          <w:i/>
          <w:lang w:val="en-GB"/>
        </w:rPr>
        <w:t>commonly,</w:t>
      </w:r>
      <w:r w:rsidRPr="001177EF">
        <w:rPr>
          <w:rFonts w:cs="Arial"/>
          <w:i/>
          <w:lang w:val="en-GB"/>
        </w:rPr>
        <w:t xml:space="preserve"> used demographic indicators see</w:t>
      </w:r>
      <w:r w:rsidRPr="001177EF">
        <w:rPr>
          <w:i/>
          <w:lang w:val="en-GB"/>
        </w:rPr>
        <w:t xml:space="preserve"> </w:t>
      </w:r>
      <w:hyperlink r:id="rId9" w:history="1">
        <w:r w:rsidR="006F7D78" w:rsidRPr="00DE76DC">
          <w:rPr>
            <w:rStyle w:val="Hypertextovodkaz"/>
            <w:i/>
          </w:rPr>
          <w:t>https://csu.gov.cz/population-change-methodology</w:t>
        </w:r>
      </w:hyperlink>
      <w:r w:rsidR="002502E1">
        <w:rPr>
          <w:i/>
        </w:rPr>
        <w:t>.</w:t>
      </w:r>
      <w:r w:rsidRPr="001177EF">
        <w:rPr>
          <w:rFonts w:cs="Arial"/>
          <w:i/>
          <w:lang w:val="en-GB"/>
        </w:rPr>
        <w:t xml:space="preserve"> </w:t>
      </w:r>
    </w:p>
    <w:p w14:paraId="77BA9A8D" w14:textId="77777777" w:rsidR="00555B33" w:rsidRPr="001177EF" w:rsidRDefault="00555B33" w:rsidP="00555B33">
      <w:pPr>
        <w:rPr>
          <w:rFonts w:cs="Arial"/>
          <w:i/>
          <w:szCs w:val="20"/>
          <w:lang w:val="en-GB"/>
        </w:rPr>
      </w:pPr>
      <w:r w:rsidRPr="001177EF">
        <w:rPr>
          <w:rFonts w:cs="Arial"/>
          <w:i/>
          <w:lang w:val="en-GB"/>
        </w:rPr>
        <w:t xml:space="preserve">Age (in years, days) means completed age. </w:t>
      </w:r>
    </w:p>
    <w:p w14:paraId="32591173" w14:textId="4ED18318" w:rsidR="00E053D6" w:rsidRPr="001177EF" w:rsidRDefault="00E053D6" w:rsidP="00CC7A90">
      <w:pPr>
        <w:pStyle w:val="A-tabvtext2"/>
      </w:pPr>
      <w:r w:rsidRPr="001177EF">
        <w:t xml:space="preserve">From 2021, the </w:t>
      </w:r>
      <w:r w:rsidRPr="001177EF">
        <w:rPr>
          <w:rStyle w:val="jlqj4b"/>
          <w:rFonts w:eastAsia="MS Gothic"/>
        </w:rPr>
        <w:t>Administrative Districts of Municipalities with Extended Powers</w:t>
      </w:r>
      <w:r w:rsidRPr="001177EF">
        <w:t xml:space="preserve"> (‘</w:t>
      </w:r>
      <w:r w:rsidR="007422EB" w:rsidRPr="001177EF">
        <w:t>AD</w:t>
      </w:r>
      <w:r w:rsidRPr="001177EF">
        <w:t xml:space="preserve"> </w:t>
      </w:r>
      <w:r w:rsidR="007422EB" w:rsidRPr="001177EF">
        <w:t>MEP</w:t>
      </w:r>
      <w:r w:rsidRPr="001177EF">
        <w:t>’</w:t>
      </w:r>
      <w:r w:rsidR="005F4EC8" w:rsidRPr="001177EF">
        <w:t>) are defined by </w:t>
      </w:r>
      <w:r w:rsidRPr="001177EF">
        <w:rPr>
          <w:rStyle w:val="jlqj4b"/>
          <w:rFonts w:eastAsia="MS Gothic"/>
        </w:rPr>
        <w:t>the Act No 51/2020 Sb, on the Territorial Administrative Division of the State</w:t>
      </w:r>
      <w:r w:rsidRPr="001177EF">
        <w:t xml:space="preserve">, </w:t>
      </w:r>
      <w:r w:rsidR="00CF0AC5" w:rsidRPr="001177EF">
        <w:t xml:space="preserve">and </w:t>
      </w:r>
      <w:r w:rsidRPr="001177EF">
        <w:t xml:space="preserve">by implementing Decree No 346/2020 Sb, </w:t>
      </w:r>
      <w:r w:rsidR="00CF0AC5" w:rsidRPr="001177EF">
        <w:rPr>
          <w:rStyle w:val="jlqj4b"/>
          <w:rFonts w:eastAsia="MS Gothic"/>
        </w:rPr>
        <w:t xml:space="preserve">on the determination of </w:t>
      </w:r>
      <w:r w:rsidR="00EC484A" w:rsidRPr="001177EF">
        <w:rPr>
          <w:rStyle w:val="jlqj4b"/>
          <w:rFonts w:eastAsia="MS Gothic"/>
        </w:rPr>
        <w:t xml:space="preserve">the </w:t>
      </w:r>
      <w:r w:rsidR="00CF0AC5" w:rsidRPr="001177EF">
        <w:rPr>
          <w:rStyle w:val="jlqj4b"/>
          <w:rFonts w:eastAsia="MS Gothic"/>
        </w:rPr>
        <w:t>administrative districts of municipalities with extended powers, the territory of districts of the capital city of Prague and the inclusion of certain</w:t>
      </w:r>
      <w:r w:rsidR="005F4EC8" w:rsidRPr="001177EF">
        <w:rPr>
          <w:rStyle w:val="jlqj4b"/>
          <w:rFonts w:eastAsia="MS Gothic"/>
        </w:rPr>
        <w:t xml:space="preserve"> municipalities to </w:t>
      </w:r>
      <w:r w:rsidR="00CF0AC5" w:rsidRPr="001177EF">
        <w:rPr>
          <w:rStyle w:val="jlqj4b"/>
          <w:rFonts w:eastAsia="MS Gothic"/>
        </w:rPr>
        <w:t xml:space="preserve">another district </w:t>
      </w:r>
      <w:r w:rsidRPr="001177EF">
        <w:t>(in previous years th</w:t>
      </w:r>
      <w:r w:rsidR="00CF0AC5" w:rsidRPr="001177EF">
        <w:t>ey were dete</w:t>
      </w:r>
      <w:r w:rsidR="00F417B1" w:rsidRPr="001177EF">
        <w:t xml:space="preserve">rmined by </w:t>
      </w:r>
      <w:r w:rsidR="00EC484A" w:rsidRPr="001177EF">
        <w:t xml:space="preserve">the </w:t>
      </w:r>
      <w:r w:rsidR="00F417B1" w:rsidRPr="001177EF">
        <w:t xml:space="preserve">Decree No 388/2002 Sb </w:t>
      </w:r>
      <w:r w:rsidR="00CF0AC5" w:rsidRPr="001177EF">
        <w:t>as</w:t>
      </w:r>
      <w:r w:rsidR="004E7EBA" w:rsidRPr="001177EF">
        <w:t xml:space="preserve"> subsequently</w:t>
      </w:r>
      <w:r w:rsidR="00F417B1" w:rsidRPr="001177EF">
        <w:t xml:space="preserve"> </w:t>
      </w:r>
      <w:r w:rsidR="00CF0AC5" w:rsidRPr="001177EF">
        <w:t>amended</w:t>
      </w:r>
      <w:r w:rsidRPr="001177EF">
        <w:t>)</w:t>
      </w:r>
      <w:r w:rsidR="00CF0AC5" w:rsidRPr="001177EF">
        <w:t>.</w:t>
      </w:r>
      <w:r w:rsidRPr="001177EF">
        <w:t xml:space="preserve"> </w:t>
      </w:r>
    </w:p>
    <w:p w14:paraId="1DFF38F4" w14:textId="4125C921" w:rsidR="00E55C75" w:rsidRPr="001177EF" w:rsidRDefault="00CF0AC5" w:rsidP="00E55C75">
      <w:pPr>
        <w:rPr>
          <w:rFonts w:cs="Arial"/>
          <w:i/>
          <w:lang w:val="en-GB"/>
        </w:rPr>
      </w:pPr>
      <w:r w:rsidRPr="001177EF">
        <w:rPr>
          <w:rFonts w:cs="Arial"/>
          <w:i/>
          <w:lang w:val="en-GB"/>
        </w:rPr>
        <w:t xml:space="preserve">The codes given after the name of the </w:t>
      </w:r>
      <w:r w:rsidR="007422EB" w:rsidRPr="001177EF">
        <w:rPr>
          <w:rFonts w:cs="Arial"/>
          <w:i/>
          <w:lang w:val="en-GB"/>
        </w:rPr>
        <w:t>AD MEP</w:t>
      </w:r>
      <w:r w:rsidRPr="001177EF">
        <w:rPr>
          <w:rFonts w:cs="Arial"/>
          <w:i/>
          <w:lang w:val="en-GB"/>
        </w:rPr>
        <w:t xml:space="preserve"> are the codes according to the </w:t>
      </w:r>
      <w:r w:rsidR="007422EB" w:rsidRPr="001177EF">
        <w:rPr>
          <w:rFonts w:cs="Arial"/>
          <w:i/>
          <w:lang w:val="en-GB"/>
        </w:rPr>
        <w:t>AD MEP</w:t>
      </w:r>
      <w:r w:rsidR="00E55C75" w:rsidRPr="001177EF">
        <w:rPr>
          <w:rFonts w:cs="Arial"/>
          <w:i/>
          <w:lang w:val="en-GB"/>
        </w:rPr>
        <w:t xml:space="preserve"> n</w:t>
      </w:r>
      <w:r w:rsidRPr="001177EF">
        <w:rPr>
          <w:rFonts w:cs="Arial"/>
          <w:i/>
          <w:lang w:val="en-GB"/>
        </w:rPr>
        <w:t>omenclature</w:t>
      </w:r>
      <w:r w:rsidR="00097B5E" w:rsidRPr="001177EF">
        <w:rPr>
          <w:rFonts w:cs="Arial"/>
          <w:i/>
          <w:lang w:val="en-GB"/>
        </w:rPr>
        <w:t>.</w:t>
      </w:r>
    </w:p>
    <w:p w14:paraId="6338A9C0" w14:textId="117B7253" w:rsidR="00F73ECE" w:rsidRPr="001177EF" w:rsidRDefault="00F73ECE" w:rsidP="00F73ECE">
      <w:pPr>
        <w:rPr>
          <w:rFonts w:cs="Arial"/>
          <w:i/>
          <w:szCs w:val="20"/>
          <w:lang w:val="en-GB"/>
        </w:rPr>
      </w:pPr>
      <w:r w:rsidRPr="001177EF">
        <w:rPr>
          <w:rFonts w:cs="Arial"/>
          <w:i/>
          <w:lang w:val="en-GB"/>
        </w:rPr>
        <w:t>The publication contains data on the population and population change of the individual administrative districts of municipalities with extended powers in the ten-year time series 201</w:t>
      </w:r>
      <w:r w:rsidR="00287E17">
        <w:rPr>
          <w:rFonts w:cs="Arial"/>
          <w:i/>
          <w:lang w:val="en-GB"/>
        </w:rPr>
        <w:t>6</w:t>
      </w:r>
      <w:r w:rsidR="00AF5AEA" w:rsidRPr="001177EF">
        <w:rPr>
          <w:rFonts w:cs="Arial"/>
          <w:i/>
          <w:lang w:val="en-GB"/>
        </w:rPr>
        <w:t>–</w:t>
      </w:r>
      <w:r w:rsidRPr="001177EF">
        <w:rPr>
          <w:rFonts w:cs="Arial"/>
          <w:i/>
          <w:lang w:val="en-GB"/>
        </w:rPr>
        <w:t>202</w:t>
      </w:r>
      <w:r w:rsidR="00287E17">
        <w:rPr>
          <w:rFonts w:cs="Arial"/>
          <w:i/>
          <w:lang w:val="en-GB"/>
        </w:rPr>
        <w:t>5</w:t>
      </w:r>
      <w:r w:rsidRPr="001177EF">
        <w:rPr>
          <w:i/>
          <w:lang w:val="en-GB"/>
        </w:rPr>
        <w:t xml:space="preserve"> </w:t>
      </w:r>
      <w:r w:rsidRPr="001177EF">
        <w:rPr>
          <w:rFonts w:cs="Arial"/>
          <w:i/>
          <w:lang w:val="en-GB"/>
        </w:rPr>
        <w:t xml:space="preserve">with all data referring to the </w:t>
      </w:r>
      <w:r w:rsidR="00BF014D" w:rsidRPr="001177EF">
        <w:rPr>
          <w:rFonts w:cs="Arial"/>
          <w:b/>
          <w:i/>
          <w:lang w:val="en-GB"/>
        </w:rPr>
        <w:t>territory of the</w:t>
      </w:r>
      <w:r w:rsidRPr="001177EF">
        <w:rPr>
          <w:rFonts w:cs="Arial"/>
          <w:b/>
          <w:i/>
          <w:lang w:val="en-GB"/>
        </w:rPr>
        <w:t xml:space="preserve"> given </w:t>
      </w:r>
      <w:r w:rsidR="002E1443" w:rsidRPr="001177EF">
        <w:rPr>
          <w:rFonts w:cs="Arial"/>
          <w:b/>
          <w:i/>
          <w:lang w:val="en-GB"/>
        </w:rPr>
        <w:t>SO ORP</w:t>
      </w:r>
      <w:r w:rsidRPr="001177EF">
        <w:rPr>
          <w:rFonts w:cs="Arial"/>
          <w:i/>
          <w:lang w:val="en-GB"/>
        </w:rPr>
        <w:t xml:space="preserve"> valid </w:t>
      </w:r>
      <w:r w:rsidRPr="001177EF">
        <w:rPr>
          <w:rFonts w:cs="Arial"/>
          <w:b/>
          <w:i/>
          <w:lang w:val="en-GB"/>
        </w:rPr>
        <w:t>as of 1 January 202</w:t>
      </w:r>
      <w:r w:rsidR="00287E17">
        <w:rPr>
          <w:rFonts w:cs="Arial"/>
          <w:b/>
          <w:i/>
          <w:lang w:val="en-GB"/>
        </w:rPr>
        <w:t>6</w:t>
      </w:r>
      <w:r w:rsidRPr="001177EF">
        <w:rPr>
          <w:rFonts w:cs="Arial"/>
          <w:i/>
          <w:lang w:val="en-GB"/>
        </w:rPr>
        <w:t xml:space="preserve">. The presented data for </w:t>
      </w:r>
      <w:r w:rsidR="00BF014D" w:rsidRPr="001177EF">
        <w:rPr>
          <w:rFonts w:cs="Arial"/>
          <w:i/>
          <w:lang w:val="en-GB"/>
        </w:rPr>
        <w:t xml:space="preserve">the </w:t>
      </w:r>
      <w:r w:rsidRPr="001177EF">
        <w:rPr>
          <w:rFonts w:cs="Arial"/>
          <w:i/>
          <w:lang w:val="en-GB"/>
        </w:rPr>
        <w:t xml:space="preserve">individual </w:t>
      </w:r>
      <w:r w:rsidR="0034624B" w:rsidRPr="001177EF">
        <w:rPr>
          <w:rFonts w:cs="Arial"/>
          <w:i/>
          <w:lang w:val="en-GB"/>
        </w:rPr>
        <w:t xml:space="preserve">administrative districts </w:t>
      </w:r>
      <w:r w:rsidRPr="001177EF">
        <w:rPr>
          <w:rFonts w:cs="Arial"/>
          <w:i/>
          <w:lang w:val="en-GB"/>
        </w:rPr>
        <w:t>are thus fully comparable over time</w:t>
      </w:r>
      <w:r w:rsidRPr="001177EF">
        <w:rPr>
          <w:rStyle w:val="Znakapoznpodarou"/>
          <w:rFonts w:cs="Arial"/>
          <w:i/>
          <w:lang w:val="en-GB"/>
        </w:rPr>
        <w:footnoteReference w:id="1"/>
      </w:r>
      <w:r w:rsidRPr="001177EF">
        <w:rPr>
          <w:rFonts w:cs="Arial"/>
          <w:i/>
          <w:lang w:val="en-GB"/>
        </w:rPr>
        <w:t xml:space="preserve">. </w:t>
      </w:r>
      <w:r w:rsidR="0034624B" w:rsidRPr="001177EF">
        <w:rPr>
          <w:rFonts w:cs="Arial"/>
          <w:i/>
          <w:lang w:val="en-GB"/>
        </w:rPr>
        <w:t xml:space="preserve">There are 205 </w:t>
      </w:r>
      <w:r w:rsidR="007422EB" w:rsidRPr="001177EF">
        <w:rPr>
          <w:rFonts w:cs="Arial"/>
          <w:i/>
          <w:lang w:val="en-GB"/>
        </w:rPr>
        <w:t>AD MEP</w:t>
      </w:r>
      <w:r w:rsidR="00BF014D" w:rsidRPr="001177EF">
        <w:rPr>
          <w:rFonts w:cs="Arial"/>
          <w:i/>
          <w:lang w:val="en-GB"/>
        </w:rPr>
        <w:t>s</w:t>
      </w:r>
      <w:r w:rsidR="0034624B" w:rsidRPr="001177EF">
        <w:rPr>
          <w:rFonts w:cs="Arial"/>
          <w:i/>
          <w:lang w:val="en-GB"/>
        </w:rPr>
        <w:t xml:space="preserve"> </w:t>
      </w:r>
      <w:r w:rsidR="00861C58">
        <w:rPr>
          <w:rFonts w:cs="Arial"/>
          <w:i/>
          <w:lang w:val="en-GB"/>
        </w:rPr>
        <w:t>in Czechia</w:t>
      </w:r>
      <w:r w:rsidR="0034624B" w:rsidRPr="001177EF">
        <w:rPr>
          <w:rFonts w:cs="Arial"/>
          <w:i/>
          <w:lang w:val="en-GB"/>
        </w:rPr>
        <w:t>, Prague is not included.</w:t>
      </w:r>
    </w:p>
    <w:p w14:paraId="7C56812A" w14:textId="44E92174" w:rsidR="00CC7A90" w:rsidRPr="00CC7A90" w:rsidRDefault="000B515F" w:rsidP="00CC7A90">
      <w:pPr>
        <w:pStyle w:val="A-tabvtext2"/>
      </w:pPr>
      <w:r w:rsidRPr="00CC7A90">
        <w:t xml:space="preserve">The following territorial changes </w:t>
      </w:r>
      <w:r w:rsidR="005D30FB" w:rsidRPr="00CC7A90">
        <w:t xml:space="preserve">of the </w:t>
      </w:r>
      <w:r w:rsidR="007422EB" w:rsidRPr="00CC7A90">
        <w:t>AD MEP</w:t>
      </w:r>
      <w:r w:rsidR="005D30FB" w:rsidRPr="00CC7A90">
        <w:t xml:space="preserve"> took place in this period:</w:t>
      </w:r>
    </w:p>
    <w:p w14:paraId="02D66DDF" w14:textId="2E1D6C69" w:rsidR="00CC7A90" w:rsidRPr="00CC7A90" w:rsidRDefault="005347CB" w:rsidP="00CC7A90">
      <w:pPr>
        <w:pStyle w:val="A-tabvtext2"/>
      </w:pPr>
      <w:r w:rsidRPr="00CC7A90">
        <w:t>As of 1 January 2021</w:t>
      </w:r>
      <w:r w:rsidR="00F37789">
        <w:t>,</w:t>
      </w:r>
      <w:r w:rsidRPr="00CC7A90">
        <w:t xml:space="preserve"> the municipalities of Bříství, Kounice and Vykáň </w:t>
      </w:r>
      <w:r w:rsidR="008536B3" w:rsidRPr="00CC7A90">
        <w:t>were moved from</w:t>
      </w:r>
      <w:r w:rsidR="00290332" w:rsidRPr="00CC7A90">
        <w:t xml:space="preserve"> the AD MEP of </w:t>
      </w:r>
      <w:r w:rsidRPr="00CC7A90">
        <w:t>Český Brod to the AD MEP</w:t>
      </w:r>
      <w:r w:rsidR="008536B3" w:rsidRPr="00CC7A90">
        <w:t xml:space="preserve"> of Lysá nad Labem, the municipality of </w:t>
      </w:r>
      <w:r w:rsidR="00290332" w:rsidRPr="00CC7A90">
        <w:t>Frýdštejn was moved from the AD </w:t>
      </w:r>
      <w:r w:rsidR="008536B3" w:rsidRPr="00CC7A90">
        <w:t>MEP of Turnov to the AD MEP of Jablonec nad Nisou, and the municipality of the Věžnice was moved from the AD MEP of Jihlava to the AD MEP of Havlíčkův Brod.</w:t>
      </w:r>
    </w:p>
    <w:p w14:paraId="0E3C3733" w14:textId="0FD14A79" w:rsidR="004E6586" w:rsidRDefault="004E6586" w:rsidP="00383E64">
      <w:pPr>
        <w:rPr>
          <w:i/>
          <w:lang w:val="en-GB"/>
        </w:rPr>
      </w:pPr>
      <w:r w:rsidRPr="001177EF">
        <w:rPr>
          <w:i/>
          <w:lang w:val="en-GB"/>
        </w:rPr>
        <w:t>As of 1 January 2023</w:t>
      </w:r>
      <w:r w:rsidR="00F37789">
        <w:rPr>
          <w:i/>
          <w:lang w:val="en-GB"/>
        </w:rPr>
        <w:t>,</w:t>
      </w:r>
      <w:r w:rsidRPr="001177EF">
        <w:rPr>
          <w:i/>
          <w:lang w:val="en-GB"/>
        </w:rPr>
        <w:t xml:space="preserve"> the municipality of Přemyslovice was moved from the AD MEP of Prostějov to the AD MEP of Konice.</w:t>
      </w:r>
    </w:p>
    <w:p w14:paraId="57436048" w14:textId="6B22B8EE" w:rsidR="00CC7A90" w:rsidRPr="00CC7A90" w:rsidRDefault="00CC7A90" w:rsidP="00CC7A90">
      <w:pPr>
        <w:pStyle w:val="A-tabvtext2"/>
      </w:pPr>
      <w:r w:rsidRPr="00CC7A90">
        <w:t>As of 1 January 202</w:t>
      </w:r>
      <w:r>
        <w:t>6</w:t>
      </w:r>
      <w:r w:rsidR="00F37789">
        <w:t>,</w:t>
      </w:r>
      <w:r w:rsidRPr="00CC7A90">
        <w:t xml:space="preserve"> the municipalit</w:t>
      </w:r>
      <w:r w:rsidR="00506040">
        <w:t>y</w:t>
      </w:r>
      <w:r w:rsidRPr="00CC7A90">
        <w:t xml:space="preserve"> </w:t>
      </w:r>
      <w:r w:rsidR="00506040" w:rsidRPr="00506040">
        <w:t>Libomyšl</w:t>
      </w:r>
      <w:r w:rsidRPr="00CC7A90">
        <w:t xml:space="preserve"> w</w:t>
      </w:r>
      <w:r w:rsidR="00506040">
        <w:t>as</w:t>
      </w:r>
      <w:r w:rsidRPr="00CC7A90">
        <w:t xml:space="preserve"> moved from the AD MEP of </w:t>
      </w:r>
      <w:r w:rsidR="00506040" w:rsidRPr="00506040">
        <w:t>Hořovice</w:t>
      </w:r>
      <w:r w:rsidRPr="00CC7A90">
        <w:t xml:space="preserve"> to the AD MEP of </w:t>
      </w:r>
      <w:r w:rsidR="00506040" w:rsidRPr="00506040">
        <w:t>Beroun</w:t>
      </w:r>
      <w:r w:rsidRPr="00CC7A90">
        <w:t xml:space="preserve">, the municipality of </w:t>
      </w:r>
      <w:r w:rsidR="00506040" w:rsidRPr="00506040">
        <w:t>Velký Třebešov</w:t>
      </w:r>
      <w:r w:rsidR="00506040" w:rsidRPr="00CC7A90">
        <w:t xml:space="preserve"> </w:t>
      </w:r>
      <w:r w:rsidRPr="00CC7A90">
        <w:t xml:space="preserve">was moved from the AD MEP of </w:t>
      </w:r>
      <w:r w:rsidR="00506040" w:rsidRPr="00506040">
        <w:t>Jaroměř</w:t>
      </w:r>
      <w:r w:rsidR="00506040" w:rsidRPr="00CC7A90">
        <w:t xml:space="preserve"> </w:t>
      </w:r>
      <w:r w:rsidRPr="00CC7A90">
        <w:t xml:space="preserve">to the AD MEP of </w:t>
      </w:r>
      <w:r w:rsidR="00506040" w:rsidRPr="00506040">
        <w:t>Náchod</w:t>
      </w:r>
      <w:r w:rsidRPr="00CC7A90">
        <w:t xml:space="preserve">, and the municipality of the </w:t>
      </w:r>
      <w:r w:rsidR="00506040">
        <w:t>Bohuňovice</w:t>
      </w:r>
      <w:r w:rsidRPr="00CC7A90">
        <w:t xml:space="preserve"> was moved from the AD MEP of </w:t>
      </w:r>
      <w:r w:rsidR="00506040">
        <w:t>Olomouc</w:t>
      </w:r>
      <w:r w:rsidRPr="00CC7A90">
        <w:t xml:space="preserve"> to the AD MEP of </w:t>
      </w:r>
      <w:r w:rsidR="00506040">
        <w:t>Šternberk</w:t>
      </w:r>
      <w:r w:rsidRPr="00CC7A90">
        <w:t>.</w:t>
      </w:r>
    </w:p>
    <w:p w14:paraId="517381B2" w14:textId="77777777" w:rsidR="00CC7A90" w:rsidRPr="001177EF" w:rsidRDefault="00CC7A90" w:rsidP="00383E64">
      <w:pPr>
        <w:rPr>
          <w:i/>
          <w:lang w:val="en-GB"/>
        </w:rPr>
      </w:pPr>
    </w:p>
    <w:p w14:paraId="5C0BAF10" w14:textId="638DC073" w:rsidR="002831B6" w:rsidRPr="001177EF" w:rsidRDefault="002831B6" w:rsidP="002831B6">
      <w:pPr>
        <w:rPr>
          <w:rFonts w:cs="Arial"/>
          <w:i/>
          <w:szCs w:val="20"/>
          <w:lang w:val="en-GB"/>
        </w:rPr>
      </w:pPr>
      <w:r w:rsidRPr="001177EF">
        <w:rPr>
          <w:rFonts w:cs="Arial"/>
          <w:i/>
          <w:lang w:val="en-GB"/>
        </w:rPr>
        <w:t>Marriages are territorially classified according to the groom's place of residence (unless otherwise stated).  The average age of the groom/bride at marriage is based on the distributio</w:t>
      </w:r>
      <w:r w:rsidR="00290332" w:rsidRPr="001177EF">
        <w:rPr>
          <w:rFonts w:cs="Arial"/>
          <w:i/>
          <w:lang w:val="en-GB"/>
        </w:rPr>
        <w:t>n of the number of marriages by </w:t>
      </w:r>
      <w:r w:rsidRPr="001177EF">
        <w:rPr>
          <w:rFonts w:cs="Arial"/>
          <w:i/>
          <w:lang w:val="en-GB"/>
        </w:rPr>
        <w:t xml:space="preserve">age of groom/bride. </w:t>
      </w:r>
    </w:p>
    <w:p w14:paraId="4EC6968C" w14:textId="16AC8BED" w:rsidR="002831B6" w:rsidRPr="001177EF" w:rsidRDefault="002831B6" w:rsidP="009047D4">
      <w:pPr>
        <w:rPr>
          <w:rFonts w:cs="Arial"/>
          <w:i/>
          <w:szCs w:val="20"/>
          <w:lang w:val="en-GB"/>
        </w:rPr>
      </w:pPr>
      <w:r w:rsidRPr="001177EF">
        <w:rPr>
          <w:rFonts w:cs="Arial"/>
          <w:i/>
          <w:lang w:val="en-GB"/>
        </w:rPr>
        <w:t xml:space="preserve">Data on divorces are provided to the Czech Statistical Office by the Ministry of Justice of </w:t>
      </w:r>
      <w:r w:rsidR="00424243" w:rsidRPr="001177EF">
        <w:rPr>
          <w:rFonts w:cs="Arial"/>
          <w:i/>
          <w:lang w:val="en-GB"/>
        </w:rPr>
        <w:t>Czechia</w:t>
      </w:r>
      <w:r w:rsidRPr="001177EF">
        <w:rPr>
          <w:rFonts w:cs="Arial"/>
          <w:i/>
          <w:lang w:val="en-GB"/>
        </w:rPr>
        <w:t xml:space="preserve">. Divorces are territorially classified </w:t>
      </w:r>
      <w:r w:rsidRPr="001177EF">
        <w:rPr>
          <w:rFonts w:cs="Arial"/>
          <w:i/>
          <w:szCs w:val="20"/>
          <w:lang w:val="en-GB"/>
        </w:rPr>
        <w:t>according to the last common residence of the married couple. The duration of the marriage is based on the date of the marriage and the date when divorce became legally effective.</w:t>
      </w:r>
    </w:p>
    <w:p w14:paraId="1CDE03A6" w14:textId="08C5FE25" w:rsidR="002831B6" w:rsidRPr="001177EF" w:rsidRDefault="002831B6" w:rsidP="002831B6">
      <w:pPr>
        <w:spacing w:before="240"/>
        <w:rPr>
          <w:rFonts w:cs="Arial"/>
          <w:i/>
          <w:szCs w:val="20"/>
          <w:lang w:val="en-GB"/>
        </w:rPr>
      </w:pPr>
      <w:r w:rsidRPr="001177EF">
        <w:rPr>
          <w:rFonts w:cs="Arial"/>
          <w:i/>
          <w:lang w:val="en-GB"/>
        </w:rPr>
        <w:t xml:space="preserve">The </w:t>
      </w:r>
      <w:r w:rsidRPr="001177EF">
        <w:rPr>
          <w:rFonts w:cs="Arial"/>
          <w:i/>
          <w:szCs w:val="20"/>
          <w:lang w:val="en-GB"/>
        </w:rPr>
        <w:t xml:space="preserve">births are </w:t>
      </w:r>
      <w:r w:rsidRPr="001177EF">
        <w:rPr>
          <w:rFonts w:cs="Arial"/>
          <w:i/>
          <w:lang w:val="en-GB"/>
        </w:rPr>
        <w:t>territorially</w:t>
      </w:r>
      <w:r w:rsidRPr="001177EF">
        <w:rPr>
          <w:rFonts w:cs="Arial"/>
          <w:i/>
          <w:szCs w:val="20"/>
          <w:lang w:val="en-GB"/>
        </w:rPr>
        <w:t xml:space="preserve"> classified according to the mother's place of residence at the time of birth.</w:t>
      </w:r>
      <w:r w:rsidR="000B62FF">
        <w:rPr>
          <w:rFonts w:cs="Arial"/>
          <w:i/>
          <w:szCs w:val="20"/>
          <w:lang w:val="en-GB"/>
        </w:rPr>
        <w:t xml:space="preserve"> T</w:t>
      </w:r>
      <w:r w:rsidRPr="001177EF">
        <w:rPr>
          <w:rFonts w:cs="Arial"/>
          <w:i/>
          <w:szCs w:val="20"/>
          <w:lang w:val="en-GB"/>
        </w:rPr>
        <w:t>he birth order is collected only for live births and from live birth</w:t>
      </w:r>
      <w:r w:rsidR="00290332" w:rsidRPr="001177EF">
        <w:rPr>
          <w:rFonts w:cs="Arial"/>
          <w:i/>
          <w:szCs w:val="20"/>
          <w:lang w:val="en-GB"/>
        </w:rPr>
        <w:t>s. The average age of mother at </w:t>
      </w:r>
      <w:r w:rsidRPr="001177EF">
        <w:rPr>
          <w:rFonts w:cs="Arial"/>
          <w:i/>
          <w:szCs w:val="20"/>
          <w:lang w:val="en-GB"/>
        </w:rPr>
        <w:t>childbirth is based on the distribution of the number of live births by age of mother.</w:t>
      </w:r>
    </w:p>
    <w:p w14:paraId="72CE0D7C" w14:textId="07355B19" w:rsidR="002831B6" w:rsidRPr="001177EF" w:rsidRDefault="00DE76DC" w:rsidP="00DE76DC">
      <w:pPr>
        <w:spacing w:before="240" w:after="0"/>
        <w:rPr>
          <w:rFonts w:cs="Arial"/>
          <w:i/>
          <w:noProof/>
          <w:lang w:val="en-GB"/>
        </w:rPr>
      </w:pPr>
      <w:r w:rsidRPr="00DE76DC">
        <w:rPr>
          <w:rFonts w:cs="Arial"/>
          <w:i/>
          <w:noProof/>
          <w:lang w:val="en-GB"/>
        </w:rPr>
        <w:t>Abortions are territorially classified according to the woman</w:t>
      </w:r>
      <w:r w:rsidRPr="00DE76DC">
        <w:rPr>
          <w:rFonts w:cs="Arial"/>
          <w:i/>
          <w:noProof/>
          <w:szCs w:val="20"/>
          <w:lang w:val="en-GB"/>
        </w:rPr>
        <w:t>'</w:t>
      </w:r>
      <w:r w:rsidRPr="00DE76DC">
        <w:rPr>
          <w:rFonts w:cs="Arial"/>
          <w:i/>
          <w:noProof/>
          <w:lang w:val="en-GB"/>
        </w:rPr>
        <w:t>s place of residence at the time of the abortion.</w:t>
      </w:r>
      <w:r>
        <w:rPr>
          <w:rFonts w:cs="Arial"/>
          <w:i/>
          <w:noProof/>
          <w:lang w:val="en-GB"/>
        </w:rPr>
        <w:t xml:space="preserve"> </w:t>
      </w:r>
      <w:r w:rsidR="00F42AF2" w:rsidRPr="00F42AF2">
        <w:rPr>
          <w:rFonts w:cs="Arial"/>
          <w:i/>
          <w:lang w:val="en-GB"/>
        </w:rPr>
        <w:t>The time series ends in 2023, as from 2024, abortions are no longer included in the demographic statistics processed by the Czech Statistical Office.</w:t>
      </w:r>
    </w:p>
    <w:p w14:paraId="185B7EBF" w14:textId="5C6D9C10" w:rsidR="002831B6" w:rsidRPr="001177EF" w:rsidRDefault="002831B6" w:rsidP="002831B6">
      <w:pPr>
        <w:spacing w:before="240"/>
        <w:rPr>
          <w:rFonts w:cs="Arial"/>
          <w:i/>
          <w:szCs w:val="20"/>
          <w:lang w:val="en-GB"/>
        </w:rPr>
      </w:pPr>
      <w:r w:rsidRPr="001177EF">
        <w:rPr>
          <w:rFonts w:cs="Arial"/>
          <w:i/>
          <w:lang w:val="en-GB"/>
        </w:rPr>
        <w:t>Causes of death are coded according to the 10th revision of the Internationa</w:t>
      </w:r>
      <w:r w:rsidR="00290332" w:rsidRPr="001177EF">
        <w:rPr>
          <w:rFonts w:cs="Arial"/>
          <w:i/>
          <w:lang w:val="en-GB"/>
        </w:rPr>
        <w:t>l Statistical Classification of </w:t>
      </w:r>
      <w:r w:rsidRPr="001177EF">
        <w:rPr>
          <w:rFonts w:cs="Arial"/>
          <w:i/>
          <w:lang w:val="en-GB"/>
        </w:rPr>
        <w:t xml:space="preserve">Diseases and Related Health Problems (ICD-10) and its updates issued by the World Health Organization (WHO). Since 2011, the Czech Statistical Office has been selecting the underlying cause of death automatically, using the programme for automated coding (IRIS). </w:t>
      </w:r>
    </w:p>
    <w:p w14:paraId="1D70ECEF" w14:textId="28050A23" w:rsidR="002831B6" w:rsidRPr="001177EF" w:rsidRDefault="002831B6" w:rsidP="002831B6">
      <w:pPr>
        <w:rPr>
          <w:rFonts w:cs="Arial"/>
          <w:i/>
          <w:lang w:val="en-GB"/>
        </w:rPr>
      </w:pPr>
      <w:r w:rsidRPr="001177EF">
        <w:rPr>
          <w:rFonts w:cs="Arial"/>
          <w:i/>
          <w:lang w:val="en-GB"/>
        </w:rPr>
        <w:t>Data on migration (immigrants, emigrants, net migration) refer to the changes of permanent res</w:t>
      </w:r>
      <w:r w:rsidR="00290332" w:rsidRPr="001177EF">
        <w:rPr>
          <w:rFonts w:cs="Arial"/>
          <w:i/>
          <w:lang w:val="en-GB"/>
        </w:rPr>
        <w:t>idence, or in </w:t>
      </w:r>
      <w:r w:rsidRPr="001177EF">
        <w:rPr>
          <w:rFonts w:cs="Arial"/>
          <w:i/>
          <w:lang w:val="en-GB"/>
        </w:rPr>
        <w:t xml:space="preserve">case of foreigners also of temporary residence (see above), from a municipality to other municipality across the borders </w:t>
      </w:r>
      <w:r w:rsidR="0031274C" w:rsidRPr="001177EF">
        <w:rPr>
          <w:rFonts w:cs="Arial"/>
          <w:i/>
          <w:lang w:val="en-GB"/>
        </w:rPr>
        <w:t>of the</w:t>
      </w:r>
      <w:r w:rsidRPr="001177EF">
        <w:rPr>
          <w:rFonts w:cs="Arial"/>
          <w:i/>
          <w:lang w:val="en-GB"/>
        </w:rPr>
        <w:t xml:space="preserve"> AD MEP or </w:t>
      </w:r>
      <w:r w:rsidR="00B5138A" w:rsidRPr="001177EF">
        <w:rPr>
          <w:rFonts w:cs="Arial"/>
          <w:i/>
          <w:lang w:val="en-GB"/>
        </w:rPr>
        <w:t>from/in the AD MEP abroad/from abroad</w:t>
      </w:r>
      <w:r w:rsidRPr="001177EF">
        <w:rPr>
          <w:rFonts w:cs="Arial"/>
          <w:i/>
          <w:lang w:val="en-GB"/>
        </w:rPr>
        <w:t xml:space="preserve">. The publication presents data for total migration, i.e. in aggregate of internal and external migration. In addition, the inter-municipal migration within the </w:t>
      </w:r>
      <w:r w:rsidR="0031274C" w:rsidRPr="001177EF">
        <w:rPr>
          <w:rFonts w:cs="Arial"/>
          <w:i/>
          <w:lang w:val="en-GB"/>
        </w:rPr>
        <w:t>AD MEP is also presented (with the exception of the AD MEP of Brno, which is consisted of one municipality</w:t>
      </w:r>
      <w:r w:rsidR="00B5138A" w:rsidRPr="001177EF">
        <w:rPr>
          <w:rFonts w:cs="Arial"/>
          <w:i/>
          <w:lang w:val="en-GB"/>
        </w:rPr>
        <w:t xml:space="preserve"> only</w:t>
      </w:r>
      <w:r w:rsidR="0031274C" w:rsidRPr="001177EF">
        <w:rPr>
          <w:rFonts w:cs="Arial"/>
          <w:i/>
          <w:lang w:val="en-GB"/>
        </w:rPr>
        <w:t>).</w:t>
      </w:r>
    </w:p>
    <w:p w14:paraId="3EA00F1F" w14:textId="77777777" w:rsidR="002831B6" w:rsidRPr="001177EF" w:rsidRDefault="002831B6" w:rsidP="00CC7A90">
      <w:pPr>
        <w:pStyle w:val="A-tabvtext2"/>
        <w:rPr>
          <w:highlight w:val="cyan"/>
        </w:rPr>
      </w:pPr>
    </w:p>
    <w:p w14:paraId="733BE1B0" w14:textId="77777777" w:rsidR="0031274C" w:rsidRPr="001177EF" w:rsidRDefault="0031274C" w:rsidP="0031274C">
      <w:pPr>
        <w:contextualSpacing/>
        <w:rPr>
          <w:rFonts w:cs="Arial"/>
          <w:lang w:val="en-GB"/>
        </w:rPr>
      </w:pPr>
      <w:r w:rsidRPr="001177EF">
        <w:rPr>
          <w:rFonts w:cs="Arial"/>
          <w:lang w:val="en-GB"/>
        </w:rPr>
        <w:t>Symbols used in the tables:</w:t>
      </w:r>
    </w:p>
    <w:p w14:paraId="5B4E041D" w14:textId="77777777" w:rsidR="0031274C" w:rsidRPr="001177EF" w:rsidRDefault="0031274C" w:rsidP="0031274C">
      <w:pPr>
        <w:ind w:left="357"/>
        <w:contextualSpacing/>
        <w:rPr>
          <w:lang w:val="en-GB"/>
        </w:rPr>
      </w:pPr>
    </w:p>
    <w:p w14:paraId="5B00AB05" w14:textId="77777777" w:rsidR="0031274C" w:rsidRPr="001177EF" w:rsidRDefault="0031274C" w:rsidP="0031274C">
      <w:pPr>
        <w:contextualSpacing/>
        <w:rPr>
          <w:lang w:val="en-GB"/>
        </w:rPr>
      </w:pPr>
      <w:r w:rsidRPr="001177EF">
        <w:rPr>
          <w:lang w:val="en-GB"/>
        </w:rPr>
        <w:t xml:space="preserve">Hyphen (-) </w:t>
      </w:r>
      <w:r w:rsidRPr="001177EF">
        <w:rPr>
          <w:lang w:val="en-GB"/>
        </w:rPr>
        <w:tab/>
        <w:t>in place of the number indicates that the phenomenon did not occur</w:t>
      </w:r>
    </w:p>
    <w:p w14:paraId="43ADBA87" w14:textId="77777777" w:rsidR="0031274C" w:rsidRPr="001177EF" w:rsidRDefault="0031274C" w:rsidP="0031274C">
      <w:pPr>
        <w:contextualSpacing/>
        <w:rPr>
          <w:lang w:val="en-GB"/>
        </w:rPr>
      </w:pPr>
      <w:r w:rsidRPr="001177EF">
        <w:rPr>
          <w:lang w:val="en-GB"/>
        </w:rPr>
        <w:t>Dot (.)</w:t>
      </w:r>
      <w:r w:rsidRPr="001177EF">
        <w:rPr>
          <w:lang w:val="en-GB"/>
        </w:rPr>
        <w:tab/>
      </w:r>
      <w:r w:rsidRPr="001177EF">
        <w:rPr>
          <w:lang w:val="en-GB"/>
        </w:rPr>
        <w:tab/>
        <w:t>in place of the number indicates that the data is not available or is unreliable</w:t>
      </w:r>
    </w:p>
    <w:p w14:paraId="7AD9B377" w14:textId="77777777" w:rsidR="0031274C" w:rsidRPr="001177EF" w:rsidRDefault="0031274C" w:rsidP="0031274C">
      <w:pPr>
        <w:ind w:left="1418" w:hanging="1418"/>
        <w:contextualSpacing/>
        <w:rPr>
          <w:lang w:val="en-GB"/>
        </w:rPr>
      </w:pPr>
      <w:r w:rsidRPr="001177EF">
        <w:rPr>
          <w:lang w:val="en-GB"/>
        </w:rPr>
        <w:t>Letter (x)</w:t>
      </w:r>
      <w:r w:rsidRPr="001177EF">
        <w:rPr>
          <w:lang w:val="en-GB"/>
        </w:rPr>
        <w:tab/>
        <w:t>a horizontal cross in place of the number indicates that record is not possible for logical reasons</w:t>
      </w:r>
    </w:p>
    <w:p w14:paraId="0CC6E80D" w14:textId="77777777" w:rsidR="0031274C" w:rsidRPr="001177EF" w:rsidRDefault="0031274C" w:rsidP="0031274C">
      <w:pPr>
        <w:spacing w:before="120"/>
        <w:rPr>
          <w:rFonts w:cs="Arial"/>
          <w:i/>
          <w:color w:val="FF0000"/>
          <w:lang w:val="en-GB"/>
        </w:rPr>
      </w:pPr>
    </w:p>
    <w:p w14:paraId="55F4FB56" w14:textId="6ABC13A5" w:rsidR="009047D4" w:rsidRPr="001177EF" w:rsidRDefault="009047D4">
      <w:pPr>
        <w:spacing w:after="0" w:line="240" w:lineRule="auto"/>
        <w:rPr>
          <w:rFonts w:cs="Arial"/>
          <w:i/>
          <w:szCs w:val="20"/>
          <w:lang w:val="en-GB"/>
        </w:rPr>
      </w:pPr>
    </w:p>
    <w:sectPr w:rsidR="009047D4" w:rsidRPr="001177EF" w:rsidSect="0094759D">
      <w:headerReference w:type="even" r:id="rId10"/>
      <w:headerReference w:type="default" r:id="rId11"/>
      <w:footerReference w:type="even" r:id="rId12"/>
      <w:footerReference w:type="default" r:id="rId13"/>
      <w:pgSz w:w="11906" w:h="16838" w:code="9"/>
      <w:pgMar w:top="1134" w:right="1134" w:bottom="1418" w:left="1134" w:header="510" w:footer="680"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A780D" w14:textId="77777777" w:rsidR="00971365" w:rsidRDefault="00971365" w:rsidP="00E71A58">
      <w:r>
        <w:separator/>
      </w:r>
    </w:p>
  </w:endnote>
  <w:endnote w:type="continuationSeparator" w:id="0">
    <w:p w14:paraId="2915B2B0" w14:textId="77777777" w:rsidR="00971365" w:rsidRDefault="00971365" w:rsidP="00E71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Times New Roman"/>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 Pro">
    <w:charset w:val="00"/>
    <w:family w:val="auto"/>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28B8D" w14:textId="23F6A734" w:rsidR="00284876" w:rsidRPr="004E6586" w:rsidRDefault="00733870" w:rsidP="00A418BC">
    <w:pPr>
      <w:pStyle w:val="Zpat"/>
      <w:rPr>
        <w:i/>
        <w:szCs w:val="16"/>
      </w:rPr>
    </w:pPr>
    <w:r>
      <w:rPr>
        <w:szCs w:val="16"/>
      </w:rPr>
      <w:t>6</w:t>
    </w:r>
    <w:r w:rsidR="00284876" w:rsidRPr="00F1639F">
      <w:rPr>
        <w:szCs w:val="16"/>
      </w:rPr>
      <w:tab/>
    </w:r>
    <w:r w:rsidR="00C63CD7" w:rsidRPr="00F56C70">
      <w:rPr>
        <w:rStyle w:val="ZpatChar"/>
        <w:iCs/>
        <w:szCs w:val="16"/>
      </w:rPr>
      <w:t>20</w:t>
    </w:r>
    <w:r w:rsidR="002C20CA" w:rsidRPr="00F56C70">
      <w:rPr>
        <w:rStyle w:val="ZpatChar"/>
        <w:iCs/>
        <w:szCs w:val="16"/>
      </w:rPr>
      <w:t>1</w:t>
    </w:r>
    <w:r w:rsidR="00053B8A" w:rsidRPr="00F56C70">
      <w:rPr>
        <w:rStyle w:val="ZpatChar"/>
        <w:iCs/>
        <w:szCs w:val="16"/>
      </w:rPr>
      <w:t>6</w:t>
    </w:r>
    <w:r w:rsidR="00AF5AEA" w:rsidRPr="00F56C70">
      <w:rPr>
        <w:rStyle w:val="ZpatChar"/>
        <w:iCs/>
        <w:szCs w:val="16"/>
      </w:rPr>
      <w:t>–</w:t>
    </w:r>
    <w:r w:rsidR="00C63B15" w:rsidRPr="00F56C70">
      <w:rPr>
        <w:rStyle w:val="ZpatChar"/>
        <w:iCs/>
        <w:szCs w:val="16"/>
      </w:rPr>
      <w:t>20</w:t>
    </w:r>
    <w:r w:rsidR="00B50F63" w:rsidRPr="00F56C70">
      <w:rPr>
        <w:rStyle w:val="ZpatChar"/>
        <w:iCs/>
        <w:szCs w:val="16"/>
      </w:rPr>
      <w:t>2</w:t>
    </w:r>
    <w:r w:rsidR="00053B8A" w:rsidRPr="00F56C70">
      <w:rPr>
        <w:rStyle w:val="ZpatChar"/>
        <w:iCs/>
        <w:szCs w:val="16"/>
      </w:rPr>
      <w:t>5</w:t>
    </w:r>
    <w:r w:rsidR="00877ED3">
      <w:rPr>
        <w:rStyle w:val="ZpatChar"/>
        <w:i/>
        <w:szCs w:val="16"/>
      </w:rPr>
      <w:tab/>
    </w:r>
    <w:r w:rsidR="00877ED3">
      <w:rPr>
        <w:szCs w:val="16"/>
      </w:rPr>
      <w:t xml:space="preserve">ČSÚ / </w:t>
    </w:r>
    <w:r w:rsidR="00877ED3" w:rsidRPr="001868DF">
      <w:rPr>
        <w:i/>
        <w:iCs/>
        <w:szCs w:val="16"/>
      </w:rPr>
      <w:t>CZSO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F4B4C" w14:textId="09C86A58" w:rsidR="00284876" w:rsidRPr="00F1639F" w:rsidRDefault="00877ED3" w:rsidP="00A418BC">
    <w:pPr>
      <w:pStyle w:val="Zpat"/>
      <w:rPr>
        <w:szCs w:val="16"/>
      </w:rPr>
    </w:pPr>
    <w:r>
      <w:rPr>
        <w:szCs w:val="16"/>
      </w:rPr>
      <w:t xml:space="preserve">ČSÚ / </w:t>
    </w:r>
    <w:r w:rsidRPr="001868DF">
      <w:rPr>
        <w:i/>
        <w:iCs/>
        <w:szCs w:val="16"/>
      </w:rPr>
      <w:t>CZSO</w:t>
    </w:r>
    <w:r w:rsidR="00284876" w:rsidRPr="00F1639F">
      <w:rPr>
        <w:szCs w:val="16"/>
      </w:rPr>
      <w:tab/>
    </w:r>
    <w:r w:rsidR="00E97C22" w:rsidRPr="00F56C70">
      <w:rPr>
        <w:rStyle w:val="ZpatChar"/>
        <w:iCs/>
        <w:szCs w:val="16"/>
      </w:rPr>
      <w:t>20</w:t>
    </w:r>
    <w:r w:rsidR="002C20CA" w:rsidRPr="00F56C70">
      <w:rPr>
        <w:rStyle w:val="ZpatChar"/>
        <w:iCs/>
        <w:szCs w:val="16"/>
      </w:rPr>
      <w:t>1</w:t>
    </w:r>
    <w:r w:rsidR="00053B8A" w:rsidRPr="00F56C70">
      <w:rPr>
        <w:rStyle w:val="ZpatChar"/>
        <w:iCs/>
        <w:szCs w:val="16"/>
      </w:rPr>
      <w:t>6</w:t>
    </w:r>
    <w:r w:rsidR="00AF5AEA" w:rsidRPr="00F56C70">
      <w:rPr>
        <w:rStyle w:val="ZpatChar"/>
        <w:iCs/>
        <w:szCs w:val="16"/>
      </w:rPr>
      <w:t>–</w:t>
    </w:r>
    <w:r w:rsidR="00284876" w:rsidRPr="00F56C70">
      <w:rPr>
        <w:rStyle w:val="ZpatChar"/>
        <w:iCs/>
        <w:szCs w:val="16"/>
      </w:rPr>
      <w:t>20</w:t>
    </w:r>
    <w:r w:rsidR="00B50F63" w:rsidRPr="00F56C70">
      <w:rPr>
        <w:rStyle w:val="ZpatChar"/>
        <w:iCs/>
        <w:szCs w:val="16"/>
      </w:rPr>
      <w:t>2</w:t>
    </w:r>
    <w:r w:rsidR="00053B8A" w:rsidRPr="00F56C70">
      <w:rPr>
        <w:rStyle w:val="ZpatChar"/>
        <w:iCs/>
        <w:szCs w:val="16"/>
      </w:rPr>
      <w:t>5</w:t>
    </w:r>
    <w:r w:rsidR="00284876" w:rsidRPr="00F1639F">
      <w:rPr>
        <w:szCs w:val="16"/>
      </w:rPr>
      <w:tab/>
    </w:r>
    <w:r w:rsidR="0094759D" w:rsidRPr="0094759D">
      <w:rPr>
        <w:szCs w:val="16"/>
      </w:rPr>
      <w:fldChar w:fldCharType="begin"/>
    </w:r>
    <w:r w:rsidR="0094759D" w:rsidRPr="0094759D">
      <w:rPr>
        <w:szCs w:val="16"/>
      </w:rPr>
      <w:instrText>PAGE   \* MERGEFORMAT</w:instrText>
    </w:r>
    <w:r w:rsidR="0094759D" w:rsidRPr="0094759D">
      <w:rPr>
        <w:szCs w:val="16"/>
      </w:rPr>
      <w:fldChar w:fldCharType="separate"/>
    </w:r>
    <w:r w:rsidR="00EB3214">
      <w:rPr>
        <w:szCs w:val="16"/>
      </w:rPr>
      <w:t>5</w:t>
    </w:r>
    <w:r w:rsidR="0094759D" w:rsidRPr="0094759D">
      <w:rPr>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E5A46" w14:textId="77777777" w:rsidR="00971365" w:rsidRDefault="00971365" w:rsidP="00E71A58">
      <w:r>
        <w:separator/>
      </w:r>
    </w:p>
  </w:footnote>
  <w:footnote w:type="continuationSeparator" w:id="0">
    <w:p w14:paraId="347BBFA5" w14:textId="77777777" w:rsidR="00971365" w:rsidRDefault="00971365" w:rsidP="00E71A58">
      <w:r>
        <w:continuationSeparator/>
      </w:r>
    </w:p>
  </w:footnote>
  <w:footnote w:id="1">
    <w:p w14:paraId="62045417" w14:textId="05116AD4" w:rsidR="00F73ECE" w:rsidRPr="00E75754" w:rsidRDefault="00F73ECE" w:rsidP="00F73ECE">
      <w:pPr>
        <w:rPr>
          <w:rFonts w:cs="Arial"/>
          <w:i/>
          <w:sz w:val="18"/>
          <w:szCs w:val="18"/>
        </w:rPr>
      </w:pPr>
      <w:r w:rsidRPr="00E75754">
        <w:rPr>
          <w:rStyle w:val="Znakapoznpodarou"/>
          <w:i/>
          <w:sz w:val="18"/>
          <w:szCs w:val="18"/>
        </w:rPr>
        <w:footnoteRef/>
      </w:r>
      <w:r w:rsidRPr="00E75754">
        <w:rPr>
          <w:i/>
          <w:sz w:val="18"/>
          <w:szCs w:val="18"/>
        </w:rPr>
        <w:t xml:space="preserve"> </w:t>
      </w:r>
      <w:r w:rsidRPr="00E75754">
        <w:rPr>
          <w:i/>
          <w:sz w:val="18"/>
          <w:szCs w:val="18"/>
          <w:lang w:val="en-GB"/>
        </w:rPr>
        <w:t xml:space="preserve">In the case of a change in the territorial </w:t>
      </w:r>
      <w:r>
        <w:rPr>
          <w:i/>
          <w:sz w:val="18"/>
          <w:szCs w:val="18"/>
          <w:lang w:val="en-GB"/>
        </w:rPr>
        <w:t>determination</w:t>
      </w:r>
      <w:r w:rsidRPr="00E75754">
        <w:rPr>
          <w:i/>
          <w:sz w:val="18"/>
          <w:szCs w:val="18"/>
          <w:lang w:val="en-GB"/>
        </w:rPr>
        <w:t xml:space="preserve"> of a</w:t>
      </w:r>
      <w:r w:rsidR="00EC484A">
        <w:rPr>
          <w:i/>
          <w:sz w:val="18"/>
          <w:szCs w:val="18"/>
          <w:lang w:val="en-GB"/>
        </w:rPr>
        <w:t>n</w:t>
      </w:r>
      <w:r w:rsidRPr="00E75754">
        <w:rPr>
          <w:i/>
          <w:sz w:val="18"/>
          <w:szCs w:val="18"/>
          <w:lang w:val="en-GB"/>
        </w:rPr>
        <w:t xml:space="preserve"> </w:t>
      </w:r>
      <w:r w:rsidR="004E7EBA">
        <w:rPr>
          <w:i/>
          <w:sz w:val="18"/>
          <w:szCs w:val="18"/>
          <w:lang w:val="en-GB"/>
        </w:rPr>
        <w:t>AD MEP</w:t>
      </w:r>
      <w:r w:rsidRPr="00E75754">
        <w:rPr>
          <w:i/>
          <w:sz w:val="18"/>
          <w:szCs w:val="18"/>
          <w:lang w:val="en-GB"/>
        </w:rPr>
        <w:t xml:space="preserve"> in a given time series, the data presented here </w:t>
      </w:r>
      <w:r>
        <w:rPr>
          <w:i/>
          <w:sz w:val="18"/>
          <w:szCs w:val="18"/>
          <w:lang w:val="en-GB"/>
        </w:rPr>
        <w:t>for</w:t>
      </w:r>
      <w:r w:rsidR="00290332">
        <w:rPr>
          <w:i/>
          <w:sz w:val="18"/>
          <w:szCs w:val="18"/>
          <w:lang w:val="en-GB"/>
        </w:rPr>
        <w:t> </w:t>
      </w:r>
      <w:r w:rsidRPr="00E75754">
        <w:rPr>
          <w:i/>
          <w:sz w:val="18"/>
          <w:szCs w:val="18"/>
          <w:lang w:val="en-GB"/>
        </w:rPr>
        <w:t xml:space="preserve">the years </w:t>
      </w:r>
      <w:r>
        <w:rPr>
          <w:i/>
          <w:sz w:val="18"/>
          <w:szCs w:val="18"/>
          <w:lang w:val="en-GB"/>
        </w:rPr>
        <w:t>prior to</w:t>
      </w:r>
      <w:r w:rsidRPr="00E75754">
        <w:rPr>
          <w:i/>
          <w:sz w:val="18"/>
          <w:szCs w:val="18"/>
          <w:lang w:val="en-GB"/>
        </w:rPr>
        <w:t xml:space="preserve"> this change differ from the data presented in other outputs of demographic statistics </w:t>
      </w:r>
      <w:r>
        <w:rPr>
          <w:i/>
          <w:sz w:val="18"/>
          <w:szCs w:val="18"/>
          <w:lang w:val="en-GB"/>
        </w:rPr>
        <w:t xml:space="preserve">of the Czech Statistical Office </w:t>
      </w:r>
      <w:r w:rsidRPr="00E75754">
        <w:rPr>
          <w:i/>
          <w:sz w:val="18"/>
          <w:szCs w:val="18"/>
          <w:lang w:val="en-GB"/>
        </w:rPr>
        <w:t xml:space="preserve">and </w:t>
      </w:r>
      <w:r>
        <w:rPr>
          <w:i/>
          <w:sz w:val="18"/>
          <w:szCs w:val="18"/>
          <w:lang w:val="en-GB"/>
        </w:rPr>
        <w:t xml:space="preserve">in </w:t>
      </w:r>
      <w:r w:rsidRPr="00E75754">
        <w:rPr>
          <w:i/>
          <w:sz w:val="18"/>
          <w:szCs w:val="18"/>
          <w:lang w:val="en-GB"/>
        </w:rPr>
        <w:t xml:space="preserve">the </w:t>
      </w:r>
      <w:proofErr w:type="gramStart"/>
      <w:r>
        <w:rPr>
          <w:i/>
          <w:sz w:val="18"/>
          <w:szCs w:val="18"/>
          <w:lang w:val="en-GB"/>
        </w:rPr>
        <w:t>P</w:t>
      </w:r>
      <w:r w:rsidRPr="00E75754">
        <w:rPr>
          <w:i/>
          <w:sz w:val="18"/>
          <w:szCs w:val="18"/>
          <w:lang w:val="en-GB"/>
        </w:rPr>
        <w:t>ublic</w:t>
      </w:r>
      <w:proofErr w:type="gramEnd"/>
      <w:r w:rsidRPr="00E75754">
        <w:rPr>
          <w:i/>
          <w:sz w:val="18"/>
          <w:szCs w:val="18"/>
          <w:lang w:val="en-GB"/>
        </w:rPr>
        <w:t xml:space="preserve"> database for </w:t>
      </w:r>
      <w:r w:rsidR="004E7EBA">
        <w:rPr>
          <w:i/>
          <w:sz w:val="18"/>
          <w:szCs w:val="18"/>
          <w:lang w:val="en-GB"/>
        </w:rPr>
        <w:t>the</w:t>
      </w:r>
      <w:r w:rsidRPr="00E75754">
        <w:rPr>
          <w:i/>
          <w:sz w:val="18"/>
          <w:szCs w:val="18"/>
          <w:lang w:val="en-GB"/>
        </w:rPr>
        <w:t xml:space="preserve"> given </w:t>
      </w:r>
      <w:r w:rsidR="004E7EBA">
        <w:rPr>
          <w:i/>
          <w:sz w:val="18"/>
          <w:szCs w:val="18"/>
          <w:lang w:val="en-GB"/>
        </w:rPr>
        <w:t>AD MEP</w:t>
      </w:r>
      <w:r w:rsidRPr="00E75754">
        <w:rPr>
          <w:i/>
          <w:sz w:val="18"/>
          <w:szCs w:val="18"/>
          <w:lang w:val="en-GB"/>
        </w:rPr>
        <w:t xml:space="preserve"> and year.</w:t>
      </w:r>
      <w:r w:rsidRPr="00E75754">
        <w:rPr>
          <w:i/>
          <w:sz w:val="18"/>
          <w:szCs w:val="18"/>
        </w:rPr>
        <w:t xml:space="preserve"> </w:t>
      </w:r>
    </w:p>
    <w:p w14:paraId="5B1AE34D" w14:textId="77777777" w:rsidR="00F73ECE" w:rsidRDefault="00F73ECE" w:rsidP="00F73ECE">
      <w:pPr>
        <w:pStyle w:val="Textpoznpodarou"/>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EAA1F" w14:textId="77777777" w:rsidR="0050362F" w:rsidRDefault="0050362F" w:rsidP="0050362F">
    <w:pPr>
      <w:pStyle w:val="Zhlav"/>
    </w:pPr>
    <w:r w:rsidRPr="00625F34">
      <w:t>Demografická ročenka správních obvodů obcí s rozšířenou působností</w:t>
    </w:r>
  </w:p>
  <w:p w14:paraId="0B916119" w14:textId="77777777" w:rsidR="00284876" w:rsidRPr="0050362F" w:rsidRDefault="0050362F" w:rsidP="0050362F">
    <w:pPr>
      <w:pStyle w:val="Zhlav"/>
      <w:rPr>
        <w:i/>
        <w:lang w:val="en-US"/>
      </w:rPr>
    </w:pPr>
    <w:r w:rsidRPr="00625F34">
      <w:rPr>
        <w:i/>
        <w:lang w:val="en-US"/>
      </w:rPr>
      <w:t>Demographic Yearbook of Administrative Districts of Municipalities with Extended Powers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F3B58" w14:textId="77777777" w:rsidR="0050362F" w:rsidRDefault="0050362F" w:rsidP="0050362F">
    <w:pPr>
      <w:pStyle w:val="Zhlav"/>
    </w:pPr>
    <w:r w:rsidRPr="00625F34">
      <w:t>Demografická ročenka správních obvodů obcí s rozšířenou působností</w:t>
    </w:r>
  </w:p>
  <w:p w14:paraId="48246B78" w14:textId="77777777" w:rsidR="0050362F" w:rsidRPr="003C31BE" w:rsidRDefault="0050362F" w:rsidP="0050362F">
    <w:pPr>
      <w:pStyle w:val="Zhlav"/>
      <w:rPr>
        <w:i/>
        <w:lang w:val="en-US"/>
      </w:rPr>
    </w:pPr>
    <w:r w:rsidRPr="00625F34">
      <w:rPr>
        <w:i/>
        <w:lang w:val="en-US"/>
      </w:rPr>
      <w:t>Demographic Yearbook of Administrative Districts of Municipalities with Extended Powers</w:t>
    </w:r>
  </w:p>
  <w:p w14:paraId="383BC5E4" w14:textId="77777777" w:rsidR="003C31BE" w:rsidRPr="0050362F" w:rsidRDefault="003C31BE" w:rsidP="0050362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FAAF"/>
      </v:shape>
    </w:pict>
  </w:numPicBullet>
  <w:abstractNum w:abstractNumId="0" w15:restartNumberingAfterBreak="0">
    <w:nsid w:val="FFFFFF7C"/>
    <w:multiLevelType w:val="singleLevel"/>
    <w:tmpl w:val="49CEEC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EC69A9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37A1C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623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965B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DE27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7AED3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8C5B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C8EEA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18AD8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230231"/>
    <w:multiLevelType w:val="hybridMultilevel"/>
    <w:tmpl w:val="6C1A9F32"/>
    <w:lvl w:ilvl="0" w:tplc="E8688ACC">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58473A1"/>
    <w:multiLevelType w:val="hybridMultilevel"/>
    <w:tmpl w:val="7984410C"/>
    <w:lvl w:ilvl="0" w:tplc="3712003C">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607274E"/>
    <w:multiLevelType w:val="hybridMultilevel"/>
    <w:tmpl w:val="3E5E1636"/>
    <w:lvl w:ilvl="0" w:tplc="1A8A8E7A">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5C45199"/>
    <w:multiLevelType w:val="hybridMultilevel"/>
    <w:tmpl w:val="30C8C3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5F10E85"/>
    <w:multiLevelType w:val="hybridMultilevel"/>
    <w:tmpl w:val="599AF972"/>
    <w:lvl w:ilvl="0" w:tplc="1A8A8E7A">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5B443D1"/>
    <w:multiLevelType w:val="hybridMultilevel"/>
    <w:tmpl w:val="F74A8FA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8384A27"/>
    <w:multiLevelType w:val="hybridMultilevel"/>
    <w:tmpl w:val="1050503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C581760"/>
    <w:multiLevelType w:val="hybridMultilevel"/>
    <w:tmpl w:val="CFEE97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68A01BFA"/>
    <w:multiLevelType w:val="hybridMultilevel"/>
    <w:tmpl w:val="FDB0F6E8"/>
    <w:lvl w:ilvl="0" w:tplc="04050005">
      <w:start w:val="1"/>
      <w:numFmt w:val="bullet"/>
      <w:lvlText w:val=""/>
      <w:lvlJc w:val="left"/>
      <w:pPr>
        <w:tabs>
          <w:tab w:val="num" w:pos="720"/>
        </w:tabs>
        <w:ind w:left="720" w:hanging="360"/>
      </w:pPr>
      <w:rPr>
        <w:rFonts w:ascii="Wingdings" w:hAnsi="Wingdings" w:hint="default"/>
      </w:rPr>
    </w:lvl>
    <w:lvl w:ilvl="1" w:tplc="0405000F">
      <w:start w:val="1"/>
      <w:numFmt w:val="decimal"/>
      <w:lvlText w:val="%2."/>
      <w:lvlJc w:val="left"/>
      <w:pPr>
        <w:tabs>
          <w:tab w:val="num" w:pos="1440"/>
        </w:tabs>
        <w:ind w:left="1440" w:hanging="360"/>
      </w:p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F4D1B9B"/>
    <w:multiLevelType w:val="hybridMultilevel"/>
    <w:tmpl w:val="82BE28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78CC7463"/>
    <w:multiLevelType w:val="hybridMultilevel"/>
    <w:tmpl w:val="82CEAB90"/>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2125616842">
    <w:abstractNumId w:val="16"/>
  </w:num>
  <w:num w:numId="2" w16cid:durableId="1230337153">
    <w:abstractNumId w:val="8"/>
  </w:num>
  <w:num w:numId="3" w16cid:durableId="1650092840">
    <w:abstractNumId w:val="3"/>
  </w:num>
  <w:num w:numId="4" w16cid:durableId="1602831449">
    <w:abstractNumId w:val="2"/>
  </w:num>
  <w:num w:numId="5" w16cid:durableId="1254624813">
    <w:abstractNumId w:val="1"/>
  </w:num>
  <w:num w:numId="6" w16cid:durableId="2106656811">
    <w:abstractNumId w:val="0"/>
  </w:num>
  <w:num w:numId="7" w16cid:durableId="864059020">
    <w:abstractNumId w:val="9"/>
  </w:num>
  <w:num w:numId="8" w16cid:durableId="560334719">
    <w:abstractNumId w:val="7"/>
  </w:num>
  <w:num w:numId="9" w16cid:durableId="1182934032">
    <w:abstractNumId w:val="6"/>
  </w:num>
  <w:num w:numId="10" w16cid:durableId="1052928242">
    <w:abstractNumId w:val="5"/>
  </w:num>
  <w:num w:numId="11" w16cid:durableId="1161195114">
    <w:abstractNumId w:val="4"/>
  </w:num>
  <w:num w:numId="12" w16cid:durableId="32465994">
    <w:abstractNumId w:val="11"/>
  </w:num>
  <w:num w:numId="13" w16cid:durableId="1944143942">
    <w:abstractNumId w:val="17"/>
  </w:num>
  <w:num w:numId="14" w16cid:durableId="286930326">
    <w:abstractNumId w:val="13"/>
  </w:num>
  <w:num w:numId="15" w16cid:durableId="618953601">
    <w:abstractNumId w:val="19"/>
  </w:num>
  <w:num w:numId="16" w16cid:durableId="1147938024">
    <w:abstractNumId w:val="15"/>
  </w:num>
  <w:num w:numId="17" w16cid:durableId="342125615">
    <w:abstractNumId w:val="20"/>
  </w:num>
  <w:num w:numId="18" w16cid:durableId="1660617490">
    <w:abstractNumId w:val="18"/>
  </w:num>
  <w:num w:numId="19" w16cid:durableId="1515920827">
    <w:abstractNumId w:val="12"/>
  </w:num>
  <w:num w:numId="20" w16cid:durableId="2060736800">
    <w:abstractNumId w:val="14"/>
  </w:num>
  <w:num w:numId="21" w16cid:durableId="2853552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4"/>
  <w:defaultTabStop w:val="709"/>
  <w:hyphenationZone w:val="425"/>
  <w:evenAndOddHeaders/>
  <w:drawingGridHorizontalSpacing w:val="110"/>
  <w:displayHorizontalDrawingGridEvery w:val="2"/>
  <w:characterSpacingControl w:val="doNotCompress"/>
  <w:hdrShapeDefaults>
    <o:shapedefaults v:ext="edit" spidmax="2050">
      <o:colormru v:ext="edit" colors="#ecf4dd,#eaecee,#fcec0a,#fcecdb,#f1daf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21D"/>
    <w:rsid w:val="00000702"/>
    <w:rsid w:val="0000209D"/>
    <w:rsid w:val="00004D5A"/>
    <w:rsid w:val="000056D5"/>
    <w:rsid w:val="0000764C"/>
    <w:rsid w:val="0000767A"/>
    <w:rsid w:val="00010702"/>
    <w:rsid w:val="000140E0"/>
    <w:rsid w:val="000234D6"/>
    <w:rsid w:val="00023D29"/>
    <w:rsid w:val="00024D68"/>
    <w:rsid w:val="00026389"/>
    <w:rsid w:val="00031AE0"/>
    <w:rsid w:val="000322EF"/>
    <w:rsid w:val="00033FCD"/>
    <w:rsid w:val="0003592A"/>
    <w:rsid w:val="00036330"/>
    <w:rsid w:val="00041CEC"/>
    <w:rsid w:val="0004694F"/>
    <w:rsid w:val="000514FF"/>
    <w:rsid w:val="000522E4"/>
    <w:rsid w:val="00053244"/>
    <w:rsid w:val="00053B8A"/>
    <w:rsid w:val="00060C89"/>
    <w:rsid w:val="000610E1"/>
    <w:rsid w:val="00062EC5"/>
    <w:rsid w:val="00062F22"/>
    <w:rsid w:val="000712B3"/>
    <w:rsid w:val="00080BC7"/>
    <w:rsid w:val="0008263E"/>
    <w:rsid w:val="00082C19"/>
    <w:rsid w:val="00085395"/>
    <w:rsid w:val="00087634"/>
    <w:rsid w:val="00087F2B"/>
    <w:rsid w:val="00090182"/>
    <w:rsid w:val="000974D1"/>
    <w:rsid w:val="0009799E"/>
    <w:rsid w:val="00097B5E"/>
    <w:rsid w:val="000A1183"/>
    <w:rsid w:val="000A256D"/>
    <w:rsid w:val="000A3A2C"/>
    <w:rsid w:val="000A7ED2"/>
    <w:rsid w:val="000B515F"/>
    <w:rsid w:val="000B62FF"/>
    <w:rsid w:val="000C3408"/>
    <w:rsid w:val="000C6AFD"/>
    <w:rsid w:val="000D5637"/>
    <w:rsid w:val="000E6FBD"/>
    <w:rsid w:val="000E7857"/>
    <w:rsid w:val="00100F5C"/>
    <w:rsid w:val="00104C4C"/>
    <w:rsid w:val="00111291"/>
    <w:rsid w:val="0011325A"/>
    <w:rsid w:val="001177EF"/>
    <w:rsid w:val="0012192F"/>
    <w:rsid w:val="00125710"/>
    <w:rsid w:val="00125D69"/>
    <w:rsid w:val="00133565"/>
    <w:rsid w:val="001405FA"/>
    <w:rsid w:val="001410FA"/>
    <w:rsid w:val="001425C3"/>
    <w:rsid w:val="00151EE9"/>
    <w:rsid w:val="00155321"/>
    <w:rsid w:val="0015557D"/>
    <w:rsid w:val="001574B7"/>
    <w:rsid w:val="0016256B"/>
    <w:rsid w:val="00163793"/>
    <w:rsid w:val="001706D6"/>
    <w:rsid w:val="001714F2"/>
    <w:rsid w:val="001770D9"/>
    <w:rsid w:val="00184B08"/>
    <w:rsid w:val="00185010"/>
    <w:rsid w:val="001A552F"/>
    <w:rsid w:val="001A6BC7"/>
    <w:rsid w:val="001A7411"/>
    <w:rsid w:val="001B2CA9"/>
    <w:rsid w:val="001B3110"/>
    <w:rsid w:val="001B4729"/>
    <w:rsid w:val="001B6C09"/>
    <w:rsid w:val="001C05CD"/>
    <w:rsid w:val="001D231C"/>
    <w:rsid w:val="001D68B2"/>
    <w:rsid w:val="001E7E48"/>
    <w:rsid w:val="001F4597"/>
    <w:rsid w:val="001F6E5B"/>
    <w:rsid w:val="0020179B"/>
    <w:rsid w:val="002118B9"/>
    <w:rsid w:val="00213C0A"/>
    <w:rsid w:val="00216AAF"/>
    <w:rsid w:val="00217C5B"/>
    <w:rsid w:val="002200A4"/>
    <w:rsid w:val="0022139E"/>
    <w:rsid w:val="002252E0"/>
    <w:rsid w:val="002255F6"/>
    <w:rsid w:val="00227850"/>
    <w:rsid w:val="00230C6E"/>
    <w:rsid w:val="002323DB"/>
    <w:rsid w:val="00236443"/>
    <w:rsid w:val="00242BCB"/>
    <w:rsid w:val="00242C1B"/>
    <w:rsid w:val="002436BA"/>
    <w:rsid w:val="00244A15"/>
    <w:rsid w:val="00247319"/>
    <w:rsid w:val="0024799E"/>
    <w:rsid w:val="002502E1"/>
    <w:rsid w:val="00253C0F"/>
    <w:rsid w:val="00270A33"/>
    <w:rsid w:val="00271465"/>
    <w:rsid w:val="002831B6"/>
    <w:rsid w:val="00284876"/>
    <w:rsid w:val="00285412"/>
    <w:rsid w:val="00287E17"/>
    <w:rsid w:val="00290332"/>
    <w:rsid w:val="0029097D"/>
    <w:rsid w:val="002A16D4"/>
    <w:rsid w:val="002A230C"/>
    <w:rsid w:val="002B2E75"/>
    <w:rsid w:val="002B5138"/>
    <w:rsid w:val="002C20CA"/>
    <w:rsid w:val="002C43BD"/>
    <w:rsid w:val="002D0E59"/>
    <w:rsid w:val="002E02A1"/>
    <w:rsid w:val="002E1443"/>
    <w:rsid w:val="002E4E4C"/>
    <w:rsid w:val="002E57D3"/>
    <w:rsid w:val="002E6C66"/>
    <w:rsid w:val="00304771"/>
    <w:rsid w:val="003052D4"/>
    <w:rsid w:val="00306C5B"/>
    <w:rsid w:val="0031274C"/>
    <w:rsid w:val="00313BFB"/>
    <w:rsid w:val="00314619"/>
    <w:rsid w:val="003209D6"/>
    <w:rsid w:val="0032656E"/>
    <w:rsid w:val="00332190"/>
    <w:rsid w:val="00344668"/>
    <w:rsid w:val="0034624B"/>
    <w:rsid w:val="003462D9"/>
    <w:rsid w:val="003527A3"/>
    <w:rsid w:val="00361F25"/>
    <w:rsid w:val="003657F3"/>
    <w:rsid w:val="003719A2"/>
    <w:rsid w:val="00374712"/>
    <w:rsid w:val="003818DC"/>
    <w:rsid w:val="00383E64"/>
    <w:rsid w:val="00385D98"/>
    <w:rsid w:val="003860B1"/>
    <w:rsid w:val="003A2B4D"/>
    <w:rsid w:val="003A478C"/>
    <w:rsid w:val="003A5525"/>
    <w:rsid w:val="003A6B38"/>
    <w:rsid w:val="003B5A32"/>
    <w:rsid w:val="003B7305"/>
    <w:rsid w:val="003C31BE"/>
    <w:rsid w:val="003C3490"/>
    <w:rsid w:val="003D3BEB"/>
    <w:rsid w:val="003D65D0"/>
    <w:rsid w:val="003D6920"/>
    <w:rsid w:val="003E4C91"/>
    <w:rsid w:val="003F313C"/>
    <w:rsid w:val="003F551C"/>
    <w:rsid w:val="003F612D"/>
    <w:rsid w:val="00407C13"/>
    <w:rsid w:val="00410638"/>
    <w:rsid w:val="00424243"/>
    <w:rsid w:val="00432A58"/>
    <w:rsid w:val="00434617"/>
    <w:rsid w:val="00440869"/>
    <w:rsid w:val="00440900"/>
    <w:rsid w:val="004441A0"/>
    <w:rsid w:val="004512D0"/>
    <w:rsid w:val="00466353"/>
    <w:rsid w:val="004665B3"/>
    <w:rsid w:val="00466F65"/>
    <w:rsid w:val="00476240"/>
    <w:rsid w:val="00476439"/>
    <w:rsid w:val="00477325"/>
    <w:rsid w:val="0047735C"/>
    <w:rsid w:val="004776BC"/>
    <w:rsid w:val="0048139F"/>
    <w:rsid w:val="00481E40"/>
    <w:rsid w:val="00484ECE"/>
    <w:rsid w:val="00487475"/>
    <w:rsid w:val="004915CB"/>
    <w:rsid w:val="0049230D"/>
    <w:rsid w:val="004A0A6E"/>
    <w:rsid w:val="004A1719"/>
    <w:rsid w:val="004A3212"/>
    <w:rsid w:val="004A61C5"/>
    <w:rsid w:val="004A77DF"/>
    <w:rsid w:val="004B1417"/>
    <w:rsid w:val="004B55B7"/>
    <w:rsid w:val="004B6468"/>
    <w:rsid w:val="004C384C"/>
    <w:rsid w:val="004C3867"/>
    <w:rsid w:val="004C4CD0"/>
    <w:rsid w:val="004C70DC"/>
    <w:rsid w:val="004D0211"/>
    <w:rsid w:val="004D0794"/>
    <w:rsid w:val="004D4E7A"/>
    <w:rsid w:val="004E3AE3"/>
    <w:rsid w:val="004E6586"/>
    <w:rsid w:val="004E7EBA"/>
    <w:rsid w:val="004F06F5"/>
    <w:rsid w:val="004F0A3A"/>
    <w:rsid w:val="004F33A0"/>
    <w:rsid w:val="004F78D0"/>
    <w:rsid w:val="00501897"/>
    <w:rsid w:val="0050362F"/>
    <w:rsid w:val="00506040"/>
    <w:rsid w:val="005108C0"/>
    <w:rsid w:val="00511873"/>
    <w:rsid w:val="00512A2F"/>
    <w:rsid w:val="00513B7E"/>
    <w:rsid w:val="00515C74"/>
    <w:rsid w:val="0052007E"/>
    <w:rsid w:val="0052337A"/>
    <w:rsid w:val="0052454B"/>
    <w:rsid w:val="00525137"/>
    <w:rsid w:val="005251DD"/>
    <w:rsid w:val="00532CE7"/>
    <w:rsid w:val="0053324C"/>
    <w:rsid w:val="00534715"/>
    <w:rsid w:val="005347CB"/>
    <w:rsid w:val="00534A28"/>
    <w:rsid w:val="00541508"/>
    <w:rsid w:val="0055599F"/>
    <w:rsid w:val="00555B33"/>
    <w:rsid w:val="005567F9"/>
    <w:rsid w:val="00556C82"/>
    <w:rsid w:val="00556CA0"/>
    <w:rsid w:val="00556D68"/>
    <w:rsid w:val="005647BF"/>
    <w:rsid w:val="00572766"/>
    <w:rsid w:val="0057364B"/>
    <w:rsid w:val="00574773"/>
    <w:rsid w:val="00583FFD"/>
    <w:rsid w:val="005911BE"/>
    <w:rsid w:val="00593152"/>
    <w:rsid w:val="0059568F"/>
    <w:rsid w:val="005A10F2"/>
    <w:rsid w:val="005A21E0"/>
    <w:rsid w:val="005A28FF"/>
    <w:rsid w:val="005A3DF8"/>
    <w:rsid w:val="005A5549"/>
    <w:rsid w:val="005B03B5"/>
    <w:rsid w:val="005B121D"/>
    <w:rsid w:val="005B3BB6"/>
    <w:rsid w:val="005C06ED"/>
    <w:rsid w:val="005C4555"/>
    <w:rsid w:val="005C67D1"/>
    <w:rsid w:val="005D08AF"/>
    <w:rsid w:val="005D30FB"/>
    <w:rsid w:val="005D5802"/>
    <w:rsid w:val="005D7890"/>
    <w:rsid w:val="005E0E2D"/>
    <w:rsid w:val="005E34D5"/>
    <w:rsid w:val="005E7C78"/>
    <w:rsid w:val="005F3EB1"/>
    <w:rsid w:val="005F4EC8"/>
    <w:rsid w:val="00603926"/>
    <w:rsid w:val="00604307"/>
    <w:rsid w:val="0060487F"/>
    <w:rsid w:val="00604EAD"/>
    <w:rsid w:val="006104FB"/>
    <w:rsid w:val="00612A2F"/>
    <w:rsid w:val="00616E05"/>
    <w:rsid w:val="00624093"/>
    <w:rsid w:val="00626AD7"/>
    <w:rsid w:val="006404A7"/>
    <w:rsid w:val="006451E4"/>
    <w:rsid w:val="00645B33"/>
    <w:rsid w:val="00645EA4"/>
    <w:rsid w:val="00650584"/>
    <w:rsid w:val="006516CB"/>
    <w:rsid w:val="006532D6"/>
    <w:rsid w:val="00657E87"/>
    <w:rsid w:val="0066443B"/>
    <w:rsid w:val="00664803"/>
    <w:rsid w:val="00665BA4"/>
    <w:rsid w:val="00666019"/>
    <w:rsid w:val="0066695D"/>
    <w:rsid w:val="00667AF2"/>
    <w:rsid w:val="006710C9"/>
    <w:rsid w:val="00672A60"/>
    <w:rsid w:val="00674D89"/>
    <w:rsid w:val="00675C0E"/>
    <w:rsid w:val="00675E37"/>
    <w:rsid w:val="0068174E"/>
    <w:rsid w:val="00681DCE"/>
    <w:rsid w:val="0068260E"/>
    <w:rsid w:val="006956DF"/>
    <w:rsid w:val="00695BEF"/>
    <w:rsid w:val="006977F6"/>
    <w:rsid w:val="00697A13"/>
    <w:rsid w:val="006A109C"/>
    <w:rsid w:val="006A1D3A"/>
    <w:rsid w:val="006A2DAB"/>
    <w:rsid w:val="006A6488"/>
    <w:rsid w:val="006B344A"/>
    <w:rsid w:val="006B5AE2"/>
    <w:rsid w:val="006B78D8"/>
    <w:rsid w:val="006C113F"/>
    <w:rsid w:val="006C1EDE"/>
    <w:rsid w:val="006C56D4"/>
    <w:rsid w:val="006C6924"/>
    <w:rsid w:val="006C7CA6"/>
    <w:rsid w:val="006D3E8A"/>
    <w:rsid w:val="006D61F6"/>
    <w:rsid w:val="006E279A"/>
    <w:rsid w:val="006E313B"/>
    <w:rsid w:val="006E548E"/>
    <w:rsid w:val="006F7D78"/>
    <w:rsid w:val="00703917"/>
    <w:rsid w:val="00704A5B"/>
    <w:rsid w:val="00706AD4"/>
    <w:rsid w:val="00711308"/>
    <w:rsid w:val="007140BE"/>
    <w:rsid w:val="0071648A"/>
    <w:rsid w:val="007171F9"/>
    <w:rsid w:val="007176FD"/>
    <w:rsid w:val="007211F5"/>
    <w:rsid w:val="00725BB5"/>
    <w:rsid w:val="00730AE8"/>
    <w:rsid w:val="0073379D"/>
    <w:rsid w:val="00733870"/>
    <w:rsid w:val="0073775E"/>
    <w:rsid w:val="00741493"/>
    <w:rsid w:val="007422EB"/>
    <w:rsid w:val="00752180"/>
    <w:rsid w:val="00755202"/>
    <w:rsid w:val="00755D3A"/>
    <w:rsid w:val="007578D3"/>
    <w:rsid w:val="007609C6"/>
    <w:rsid w:val="00763086"/>
    <w:rsid w:val="0076521E"/>
    <w:rsid w:val="007661E9"/>
    <w:rsid w:val="00776169"/>
    <w:rsid w:val="00776527"/>
    <w:rsid w:val="00780EF1"/>
    <w:rsid w:val="00784831"/>
    <w:rsid w:val="00790764"/>
    <w:rsid w:val="0079453C"/>
    <w:rsid w:val="00794677"/>
    <w:rsid w:val="007B0647"/>
    <w:rsid w:val="007B4BC4"/>
    <w:rsid w:val="007B6689"/>
    <w:rsid w:val="007C5C85"/>
    <w:rsid w:val="007D34CD"/>
    <w:rsid w:val="007D40DF"/>
    <w:rsid w:val="007E7E61"/>
    <w:rsid w:val="007F0845"/>
    <w:rsid w:val="00807C82"/>
    <w:rsid w:val="0081278A"/>
    <w:rsid w:val="00816905"/>
    <w:rsid w:val="00821FF6"/>
    <w:rsid w:val="0083143E"/>
    <w:rsid w:val="00831CDE"/>
    <w:rsid w:val="00834304"/>
    <w:rsid w:val="00834FAA"/>
    <w:rsid w:val="00836086"/>
    <w:rsid w:val="00837C0B"/>
    <w:rsid w:val="0084708F"/>
    <w:rsid w:val="008477C8"/>
    <w:rsid w:val="0085114D"/>
    <w:rsid w:val="00852217"/>
    <w:rsid w:val="008536B3"/>
    <w:rsid w:val="00855408"/>
    <w:rsid w:val="00856B37"/>
    <w:rsid w:val="00856D65"/>
    <w:rsid w:val="00861B41"/>
    <w:rsid w:val="00861C58"/>
    <w:rsid w:val="0086310C"/>
    <w:rsid w:val="00863434"/>
    <w:rsid w:val="00865E4C"/>
    <w:rsid w:val="008701E4"/>
    <w:rsid w:val="00875A32"/>
    <w:rsid w:val="00876086"/>
    <w:rsid w:val="00877ED3"/>
    <w:rsid w:val="00884704"/>
    <w:rsid w:val="008873D4"/>
    <w:rsid w:val="00892F55"/>
    <w:rsid w:val="00893E85"/>
    <w:rsid w:val="00894031"/>
    <w:rsid w:val="008A0031"/>
    <w:rsid w:val="008A32D0"/>
    <w:rsid w:val="008B43D5"/>
    <w:rsid w:val="008B7C02"/>
    <w:rsid w:val="008B7D2B"/>
    <w:rsid w:val="008C0049"/>
    <w:rsid w:val="008C0E88"/>
    <w:rsid w:val="008D1E6A"/>
    <w:rsid w:val="008D2A16"/>
    <w:rsid w:val="008E2677"/>
    <w:rsid w:val="008E2C57"/>
    <w:rsid w:val="008E31FF"/>
    <w:rsid w:val="008E6F06"/>
    <w:rsid w:val="008F029B"/>
    <w:rsid w:val="008F3FC9"/>
    <w:rsid w:val="008F50C7"/>
    <w:rsid w:val="008F585B"/>
    <w:rsid w:val="008F77E9"/>
    <w:rsid w:val="009003A8"/>
    <w:rsid w:val="00902500"/>
    <w:rsid w:val="00902EFF"/>
    <w:rsid w:val="009047D4"/>
    <w:rsid w:val="0091155E"/>
    <w:rsid w:val="00912A92"/>
    <w:rsid w:val="0091728D"/>
    <w:rsid w:val="0092180B"/>
    <w:rsid w:val="00921F14"/>
    <w:rsid w:val="00923657"/>
    <w:rsid w:val="00924AC8"/>
    <w:rsid w:val="0092597A"/>
    <w:rsid w:val="00930AB9"/>
    <w:rsid w:val="00930CFE"/>
    <w:rsid w:val="00933606"/>
    <w:rsid w:val="00937AE2"/>
    <w:rsid w:val="0094427A"/>
    <w:rsid w:val="0094759D"/>
    <w:rsid w:val="0095561C"/>
    <w:rsid w:val="00956240"/>
    <w:rsid w:val="00962B9D"/>
    <w:rsid w:val="00971365"/>
    <w:rsid w:val="00974923"/>
    <w:rsid w:val="00980D3D"/>
    <w:rsid w:val="00992CF3"/>
    <w:rsid w:val="009948C0"/>
    <w:rsid w:val="009968D6"/>
    <w:rsid w:val="009A19C9"/>
    <w:rsid w:val="009A1CAB"/>
    <w:rsid w:val="009A60D1"/>
    <w:rsid w:val="009B1695"/>
    <w:rsid w:val="009B6FD3"/>
    <w:rsid w:val="009C1750"/>
    <w:rsid w:val="009C2E29"/>
    <w:rsid w:val="009C554B"/>
    <w:rsid w:val="009C719E"/>
    <w:rsid w:val="009D3ACD"/>
    <w:rsid w:val="009E3739"/>
    <w:rsid w:val="009E59C7"/>
    <w:rsid w:val="009E5DDB"/>
    <w:rsid w:val="009E7A3F"/>
    <w:rsid w:val="009F4CA7"/>
    <w:rsid w:val="00A02D97"/>
    <w:rsid w:val="00A0445B"/>
    <w:rsid w:val="00A10D66"/>
    <w:rsid w:val="00A14114"/>
    <w:rsid w:val="00A15D84"/>
    <w:rsid w:val="00A23E43"/>
    <w:rsid w:val="00A26D83"/>
    <w:rsid w:val="00A30F65"/>
    <w:rsid w:val="00A418BC"/>
    <w:rsid w:val="00A46819"/>
    <w:rsid w:val="00A46DE0"/>
    <w:rsid w:val="00A50D73"/>
    <w:rsid w:val="00A52CAD"/>
    <w:rsid w:val="00A52F76"/>
    <w:rsid w:val="00A53FC7"/>
    <w:rsid w:val="00A566E6"/>
    <w:rsid w:val="00A60F25"/>
    <w:rsid w:val="00A62CE1"/>
    <w:rsid w:val="00A6741E"/>
    <w:rsid w:val="00A74EA5"/>
    <w:rsid w:val="00A75E40"/>
    <w:rsid w:val="00A77D1D"/>
    <w:rsid w:val="00A857C0"/>
    <w:rsid w:val="00A90EDC"/>
    <w:rsid w:val="00A915EA"/>
    <w:rsid w:val="00A92428"/>
    <w:rsid w:val="00A93705"/>
    <w:rsid w:val="00A93E2C"/>
    <w:rsid w:val="00AA2996"/>
    <w:rsid w:val="00AA3FE9"/>
    <w:rsid w:val="00AA52BF"/>
    <w:rsid w:val="00AA559A"/>
    <w:rsid w:val="00AB2AF1"/>
    <w:rsid w:val="00AC1083"/>
    <w:rsid w:val="00AC3B80"/>
    <w:rsid w:val="00AD306C"/>
    <w:rsid w:val="00AD6FEE"/>
    <w:rsid w:val="00AE09B3"/>
    <w:rsid w:val="00AE1A83"/>
    <w:rsid w:val="00AF107E"/>
    <w:rsid w:val="00AF2218"/>
    <w:rsid w:val="00AF5AEA"/>
    <w:rsid w:val="00B00913"/>
    <w:rsid w:val="00B01593"/>
    <w:rsid w:val="00B017DF"/>
    <w:rsid w:val="00B10A4D"/>
    <w:rsid w:val="00B17E71"/>
    <w:rsid w:val="00B17FDE"/>
    <w:rsid w:val="00B21224"/>
    <w:rsid w:val="00B2379C"/>
    <w:rsid w:val="00B24E6B"/>
    <w:rsid w:val="00B2687D"/>
    <w:rsid w:val="00B32DDB"/>
    <w:rsid w:val="00B34528"/>
    <w:rsid w:val="00B402FC"/>
    <w:rsid w:val="00B447D4"/>
    <w:rsid w:val="00B46604"/>
    <w:rsid w:val="00B50F63"/>
    <w:rsid w:val="00B5138A"/>
    <w:rsid w:val="00B55F5E"/>
    <w:rsid w:val="00B5752E"/>
    <w:rsid w:val="00B6362E"/>
    <w:rsid w:val="00B63A11"/>
    <w:rsid w:val="00B64C24"/>
    <w:rsid w:val="00B6608F"/>
    <w:rsid w:val="00B679FB"/>
    <w:rsid w:val="00B76D1E"/>
    <w:rsid w:val="00B80EC6"/>
    <w:rsid w:val="00B85736"/>
    <w:rsid w:val="00B92D1D"/>
    <w:rsid w:val="00B938C5"/>
    <w:rsid w:val="00B95940"/>
    <w:rsid w:val="00BA42B5"/>
    <w:rsid w:val="00BB2376"/>
    <w:rsid w:val="00BB46F3"/>
    <w:rsid w:val="00BB4CB1"/>
    <w:rsid w:val="00BB4F98"/>
    <w:rsid w:val="00BC4555"/>
    <w:rsid w:val="00BC7154"/>
    <w:rsid w:val="00BD366B"/>
    <w:rsid w:val="00BD6D50"/>
    <w:rsid w:val="00BE18B9"/>
    <w:rsid w:val="00BE2495"/>
    <w:rsid w:val="00BE3108"/>
    <w:rsid w:val="00BF014D"/>
    <w:rsid w:val="00BF1578"/>
    <w:rsid w:val="00C21F94"/>
    <w:rsid w:val="00C27913"/>
    <w:rsid w:val="00C33B68"/>
    <w:rsid w:val="00C36A79"/>
    <w:rsid w:val="00C405D4"/>
    <w:rsid w:val="00C439CE"/>
    <w:rsid w:val="00C446ED"/>
    <w:rsid w:val="00C4513B"/>
    <w:rsid w:val="00C54697"/>
    <w:rsid w:val="00C55411"/>
    <w:rsid w:val="00C62881"/>
    <w:rsid w:val="00C63B15"/>
    <w:rsid w:val="00C63CD7"/>
    <w:rsid w:val="00C6752D"/>
    <w:rsid w:val="00C73885"/>
    <w:rsid w:val="00C747B1"/>
    <w:rsid w:val="00C82191"/>
    <w:rsid w:val="00C8621D"/>
    <w:rsid w:val="00C90CF4"/>
    <w:rsid w:val="00C92EB6"/>
    <w:rsid w:val="00C93389"/>
    <w:rsid w:val="00C96CCE"/>
    <w:rsid w:val="00CA36DE"/>
    <w:rsid w:val="00CB27BE"/>
    <w:rsid w:val="00CB2C9B"/>
    <w:rsid w:val="00CB4930"/>
    <w:rsid w:val="00CC2E7D"/>
    <w:rsid w:val="00CC7A90"/>
    <w:rsid w:val="00CD10A5"/>
    <w:rsid w:val="00CD2076"/>
    <w:rsid w:val="00CD793A"/>
    <w:rsid w:val="00CE670B"/>
    <w:rsid w:val="00CF0AC5"/>
    <w:rsid w:val="00CF1B4E"/>
    <w:rsid w:val="00CF3F68"/>
    <w:rsid w:val="00CF51EC"/>
    <w:rsid w:val="00CF73AE"/>
    <w:rsid w:val="00CF7FF0"/>
    <w:rsid w:val="00D040DD"/>
    <w:rsid w:val="00D13986"/>
    <w:rsid w:val="00D25F28"/>
    <w:rsid w:val="00D27973"/>
    <w:rsid w:val="00D360C9"/>
    <w:rsid w:val="00D43F76"/>
    <w:rsid w:val="00D462B3"/>
    <w:rsid w:val="00D50F46"/>
    <w:rsid w:val="00D6594D"/>
    <w:rsid w:val="00D6621D"/>
    <w:rsid w:val="00D66223"/>
    <w:rsid w:val="00D73C6C"/>
    <w:rsid w:val="00D8084C"/>
    <w:rsid w:val="00D87334"/>
    <w:rsid w:val="00D905AE"/>
    <w:rsid w:val="00DA3F5B"/>
    <w:rsid w:val="00DA7C0C"/>
    <w:rsid w:val="00DB2EC8"/>
    <w:rsid w:val="00DB5695"/>
    <w:rsid w:val="00DB7F9D"/>
    <w:rsid w:val="00DC5B3B"/>
    <w:rsid w:val="00DC75CB"/>
    <w:rsid w:val="00DD0E27"/>
    <w:rsid w:val="00DD129F"/>
    <w:rsid w:val="00DD1FAB"/>
    <w:rsid w:val="00DD487E"/>
    <w:rsid w:val="00DD685B"/>
    <w:rsid w:val="00DE76DC"/>
    <w:rsid w:val="00DF42FF"/>
    <w:rsid w:val="00E01C0E"/>
    <w:rsid w:val="00E037DD"/>
    <w:rsid w:val="00E03F9A"/>
    <w:rsid w:val="00E04694"/>
    <w:rsid w:val="00E053D6"/>
    <w:rsid w:val="00E117C5"/>
    <w:rsid w:val="00E12789"/>
    <w:rsid w:val="00E12B1E"/>
    <w:rsid w:val="00E17262"/>
    <w:rsid w:val="00E253A2"/>
    <w:rsid w:val="00E3309D"/>
    <w:rsid w:val="00E50156"/>
    <w:rsid w:val="00E53470"/>
    <w:rsid w:val="00E539F6"/>
    <w:rsid w:val="00E55C75"/>
    <w:rsid w:val="00E6519D"/>
    <w:rsid w:val="00E67696"/>
    <w:rsid w:val="00E70131"/>
    <w:rsid w:val="00E71A58"/>
    <w:rsid w:val="00E72A7A"/>
    <w:rsid w:val="00E75C94"/>
    <w:rsid w:val="00E87E40"/>
    <w:rsid w:val="00E902EF"/>
    <w:rsid w:val="00E93820"/>
    <w:rsid w:val="00E96E34"/>
    <w:rsid w:val="00E97C22"/>
    <w:rsid w:val="00EA03E7"/>
    <w:rsid w:val="00EA0C68"/>
    <w:rsid w:val="00EB3214"/>
    <w:rsid w:val="00EC03D7"/>
    <w:rsid w:val="00EC1E33"/>
    <w:rsid w:val="00EC484A"/>
    <w:rsid w:val="00ED2353"/>
    <w:rsid w:val="00ED62C6"/>
    <w:rsid w:val="00ED64C1"/>
    <w:rsid w:val="00ED675E"/>
    <w:rsid w:val="00EE02F0"/>
    <w:rsid w:val="00EE3446"/>
    <w:rsid w:val="00EE3E78"/>
    <w:rsid w:val="00EE4B1B"/>
    <w:rsid w:val="00EF150D"/>
    <w:rsid w:val="00EF1F5A"/>
    <w:rsid w:val="00F04811"/>
    <w:rsid w:val="00F0488C"/>
    <w:rsid w:val="00F0585C"/>
    <w:rsid w:val="00F107AB"/>
    <w:rsid w:val="00F11F46"/>
    <w:rsid w:val="00F15AAA"/>
    <w:rsid w:val="00F15BEF"/>
    <w:rsid w:val="00F1639F"/>
    <w:rsid w:val="00F21092"/>
    <w:rsid w:val="00F24407"/>
    <w:rsid w:val="00F24D23"/>
    <w:rsid w:val="00F24FAA"/>
    <w:rsid w:val="00F3364D"/>
    <w:rsid w:val="00F37789"/>
    <w:rsid w:val="00F417B1"/>
    <w:rsid w:val="00F42A72"/>
    <w:rsid w:val="00F42AF2"/>
    <w:rsid w:val="00F437CC"/>
    <w:rsid w:val="00F47067"/>
    <w:rsid w:val="00F50768"/>
    <w:rsid w:val="00F510D8"/>
    <w:rsid w:val="00F525EB"/>
    <w:rsid w:val="00F56C70"/>
    <w:rsid w:val="00F63DDE"/>
    <w:rsid w:val="00F63FB7"/>
    <w:rsid w:val="00F649D2"/>
    <w:rsid w:val="00F6602B"/>
    <w:rsid w:val="00F66749"/>
    <w:rsid w:val="00F73A0C"/>
    <w:rsid w:val="00F73ECE"/>
    <w:rsid w:val="00F756DB"/>
    <w:rsid w:val="00F85066"/>
    <w:rsid w:val="00F97E17"/>
    <w:rsid w:val="00FA03C7"/>
    <w:rsid w:val="00FA262A"/>
    <w:rsid w:val="00FA5D4D"/>
    <w:rsid w:val="00FB453E"/>
    <w:rsid w:val="00FB69FE"/>
    <w:rsid w:val="00FC0E5F"/>
    <w:rsid w:val="00FC1A95"/>
    <w:rsid w:val="00FC56DE"/>
    <w:rsid w:val="00FC684B"/>
    <w:rsid w:val="00FE2F78"/>
    <w:rsid w:val="00FF7B9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ecf4dd,#eaecee,#fcec0a,#fcecdb,#f1daf5"/>
    </o:shapedefaults>
    <o:shapelayout v:ext="edit">
      <o:idmap v:ext="edit" data="2"/>
    </o:shapelayout>
  </w:shapeDefaults>
  <w:decimalSymbol w:val=","/>
  <w:listSeparator w:val=";"/>
  <w14:docId w14:val="5E9E0852"/>
  <w15:docId w15:val="{B14DEC83-2AB4-4783-BCAF-439EC7CEF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iPriority="0"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F42FF"/>
    <w:pPr>
      <w:spacing w:after="240" w:line="288" w:lineRule="auto"/>
    </w:pPr>
    <w:rPr>
      <w:rFonts w:ascii="Arial" w:eastAsia="Times New Roman" w:hAnsi="Arial"/>
      <w:szCs w:val="24"/>
    </w:rPr>
  </w:style>
  <w:style w:type="paragraph" w:styleId="Nadpis1">
    <w:name w:val="heading 1"/>
    <w:next w:val="Normln"/>
    <w:link w:val="Nadpis1Char"/>
    <w:uiPriority w:val="9"/>
    <w:qFormat/>
    <w:rsid w:val="00BE3108"/>
    <w:pPr>
      <w:keepNext/>
      <w:keepLines/>
      <w:spacing w:after="100" w:line="288" w:lineRule="auto"/>
      <w:contextualSpacing/>
      <w:outlineLvl w:val="0"/>
    </w:pPr>
    <w:rPr>
      <w:rFonts w:ascii="Arial" w:eastAsia="MS Gothic" w:hAnsi="Arial"/>
      <w:b/>
      <w:bCs/>
      <w:sz w:val="32"/>
      <w:szCs w:val="28"/>
    </w:rPr>
  </w:style>
  <w:style w:type="paragraph" w:styleId="Nadpis2">
    <w:name w:val="heading 2"/>
    <w:next w:val="Normln"/>
    <w:link w:val="Nadpis2Char"/>
    <w:uiPriority w:val="9"/>
    <w:qFormat/>
    <w:rsid w:val="00BE3108"/>
    <w:pPr>
      <w:keepNext/>
      <w:keepLines/>
      <w:spacing w:line="288" w:lineRule="auto"/>
      <w:outlineLvl w:val="1"/>
    </w:pPr>
    <w:rPr>
      <w:rFonts w:ascii="Arial" w:eastAsia="MS Gothic" w:hAnsi="Arial"/>
      <w:b/>
      <w:bCs/>
      <w:sz w:val="28"/>
      <w:szCs w:val="26"/>
    </w:rPr>
  </w:style>
  <w:style w:type="paragraph" w:styleId="Nadpis3">
    <w:name w:val="heading 3"/>
    <w:next w:val="Normln"/>
    <w:link w:val="Nadpis3Char"/>
    <w:uiPriority w:val="9"/>
    <w:qFormat/>
    <w:rsid w:val="00BE3108"/>
    <w:pPr>
      <w:keepNext/>
      <w:keepLines/>
      <w:spacing w:line="288" w:lineRule="auto"/>
      <w:outlineLvl w:val="2"/>
    </w:pPr>
    <w:rPr>
      <w:rFonts w:ascii="Arial" w:eastAsia="MS Gothic" w:hAnsi="Arial"/>
      <w:b/>
      <w:bCs/>
      <w:sz w:val="24"/>
      <w:szCs w:val="24"/>
    </w:rPr>
  </w:style>
  <w:style w:type="paragraph" w:styleId="Nadpis4">
    <w:name w:val="heading 4"/>
    <w:next w:val="Normln"/>
    <w:link w:val="Nadpis4Char"/>
    <w:uiPriority w:val="9"/>
    <w:qFormat/>
    <w:rsid w:val="00BE3108"/>
    <w:pPr>
      <w:keepNext/>
      <w:keepLines/>
      <w:spacing w:line="288" w:lineRule="auto"/>
      <w:outlineLvl w:val="3"/>
    </w:pPr>
    <w:rPr>
      <w:rFonts w:ascii="Arial" w:eastAsia="MS Gothic" w:hAnsi="Arial"/>
      <w:b/>
      <w:bCs/>
      <w:iCs/>
      <w:szCs w:val="24"/>
    </w:rPr>
  </w:style>
  <w:style w:type="paragraph" w:styleId="Nadpis9">
    <w:name w:val="heading 9"/>
    <w:basedOn w:val="Normln"/>
    <w:next w:val="Normln"/>
    <w:link w:val="Nadpis9Char"/>
    <w:uiPriority w:val="9"/>
    <w:semiHidden/>
    <w:unhideWhenUsed/>
    <w:qFormat/>
    <w:rsid w:val="00A30F65"/>
    <w:pPr>
      <w:spacing w:before="240" w:after="60"/>
      <w:outlineLvl w:val="8"/>
    </w:pPr>
    <w:rPr>
      <w:rFonts w:ascii="Cambria" w:hAnsi="Cambria"/>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rsid w:val="00BE3108"/>
    <w:rPr>
      <w:rFonts w:ascii="Arial" w:eastAsia="MS Gothic" w:hAnsi="Arial"/>
      <w:b/>
      <w:bCs/>
      <w:sz w:val="32"/>
      <w:szCs w:val="28"/>
    </w:rPr>
  </w:style>
  <w:style w:type="character" w:customStyle="1" w:styleId="Nadpis2Char">
    <w:name w:val="Nadpis 2 Char"/>
    <w:link w:val="Nadpis2"/>
    <w:uiPriority w:val="9"/>
    <w:rsid w:val="00BE3108"/>
    <w:rPr>
      <w:rFonts w:ascii="Arial" w:eastAsia="MS Gothic" w:hAnsi="Arial"/>
      <w:b/>
      <w:bCs/>
      <w:sz w:val="28"/>
      <w:szCs w:val="26"/>
    </w:rPr>
  </w:style>
  <w:style w:type="character" w:customStyle="1" w:styleId="Nadpis3Char">
    <w:name w:val="Nadpis 3 Char"/>
    <w:link w:val="Nadpis3"/>
    <w:uiPriority w:val="9"/>
    <w:rsid w:val="00BE3108"/>
    <w:rPr>
      <w:rFonts w:ascii="Arial" w:eastAsia="MS Gothic" w:hAnsi="Arial"/>
      <w:b/>
      <w:bCs/>
      <w:sz w:val="24"/>
      <w:szCs w:val="24"/>
    </w:rPr>
  </w:style>
  <w:style w:type="character" w:customStyle="1" w:styleId="Nadpis4Char">
    <w:name w:val="Nadpis 4 Char"/>
    <w:link w:val="Nadpis4"/>
    <w:uiPriority w:val="9"/>
    <w:rsid w:val="00BE3108"/>
    <w:rPr>
      <w:rFonts w:ascii="Arial" w:eastAsia="MS Gothic" w:hAnsi="Arial"/>
      <w:b/>
      <w:bCs/>
      <w:iCs/>
      <w:szCs w:val="24"/>
    </w:rPr>
  </w:style>
  <w:style w:type="character" w:customStyle="1" w:styleId="Nadpis9Char">
    <w:name w:val="Nadpis 9 Char"/>
    <w:link w:val="Nadpis9"/>
    <w:uiPriority w:val="9"/>
    <w:semiHidden/>
    <w:rsid w:val="00A30F65"/>
    <w:rPr>
      <w:rFonts w:ascii="Cambria" w:eastAsia="Times New Roman" w:hAnsi="Cambria" w:cs="Times New Roman"/>
      <w:sz w:val="22"/>
      <w:szCs w:val="22"/>
    </w:rPr>
  </w:style>
  <w:style w:type="character" w:styleId="Hypertextovodkaz">
    <w:name w:val="Hyperlink"/>
    <w:uiPriority w:val="99"/>
    <w:rsid w:val="00E71A58"/>
    <w:rPr>
      <w:color w:val="0000FF"/>
      <w:u w:val="single"/>
    </w:rPr>
  </w:style>
  <w:style w:type="paragraph" w:styleId="Zhlav">
    <w:name w:val="header"/>
    <w:link w:val="ZhlavChar"/>
    <w:uiPriority w:val="99"/>
    <w:unhideWhenUsed/>
    <w:qFormat/>
    <w:rsid w:val="00A418BC"/>
    <w:pPr>
      <w:spacing w:line="288" w:lineRule="auto"/>
    </w:pPr>
    <w:rPr>
      <w:rFonts w:ascii="Arial" w:hAnsi="Arial"/>
      <w:sz w:val="16"/>
      <w:szCs w:val="22"/>
      <w:lang w:eastAsia="en-US"/>
    </w:rPr>
  </w:style>
  <w:style w:type="character" w:customStyle="1" w:styleId="ZhlavChar">
    <w:name w:val="Záhlaví Char"/>
    <w:link w:val="Zhlav"/>
    <w:uiPriority w:val="99"/>
    <w:rsid w:val="00A418BC"/>
    <w:rPr>
      <w:rFonts w:ascii="Arial" w:hAnsi="Arial"/>
      <w:sz w:val="16"/>
      <w:szCs w:val="22"/>
      <w:lang w:eastAsia="en-US"/>
    </w:rPr>
  </w:style>
  <w:style w:type="paragraph" w:styleId="Zpat">
    <w:name w:val="footer"/>
    <w:link w:val="ZpatChar"/>
    <w:uiPriority w:val="99"/>
    <w:unhideWhenUsed/>
    <w:qFormat/>
    <w:rsid w:val="00031AE0"/>
    <w:pPr>
      <w:tabs>
        <w:tab w:val="center" w:pos="4820"/>
        <w:tab w:val="right" w:pos="9639"/>
      </w:tabs>
    </w:pPr>
    <w:rPr>
      <w:rFonts w:ascii="Arial" w:hAnsi="Arial" w:cs="Arial"/>
      <w:noProof/>
      <w:sz w:val="16"/>
      <w:lang w:eastAsia="en-US"/>
    </w:rPr>
  </w:style>
  <w:style w:type="character" w:customStyle="1" w:styleId="ZpatChar">
    <w:name w:val="Zápatí Char"/>
    <w:link w:val="Zpat"/>
    <w:uiPriority w:val="99"/>
    <w:rsid w:val="00031AE0"/>
    <w:rPr>
      <w:rFonts w:ascii="Arial" w:hAnsi="Arial" w:cs="Arial"/>
      <w:noProof/>
      <w:sz w:val="16"/>
      <w:lang w:eastAsia="en-US"/>
    </w:rPr>
  </w:style>
  <w:style w:type="paragraph" w:styleId="Textbubliny">
    <w:name w:val="Balloon Text"/>
    <w:basedOn w:val="Normln"/>
    <w:link w:val="TextbublinyChar"/>
    <w:uiPriority w:val="99"/>
    <w:semiHidden/>
    <w:unhideWhenUsed/>
    <w:rsid w:val="00E71A58"/>
    <w:rPr>
      <w:rFonts w:ascii="Tahoma" w:eastAsia="Calibri" w:hAnsi="Tahoma"/>
      <w:sz w:val="16"/>
      <w:szCs w:val="16"/>
      <w:lang w:val="x-none" w:eastAsia="x-none"/>
    </w:rPr>
  </w:style>
  <w:style w:type="character" w:customStyle="1" w:styleId="TextbublinyChar">
    <w:name w:val="Text bubliny Char"/>
    <w:link w:val="Textbubliny"/>
    <w:uiPriority w:val="99"/>
    <w:semiHidden/>
    <w:rsid w:val="00E71A58"/>
    <w:rPr>
      <w:rFonts w:ascii="Tahoma" w:hAnsi="Tahoma" w:cs="Tahoma"/>
      <w:sz w:val="16"/>
      <w:szCs w:val="16"/>
    </w:rPr>
  </w:style>
  <w:style w:type="paragraph" w:customStyle="1" w:styleId="Zkladnodstavec">
    <w:name w:val="[Základní odstavec]"/>
    <w:link w:val="ZkladnodstavecChar"/>
    <w:uiPriority w:val="99"/>
    <w:rsid w:val="0008263E"/>
    <w:pPr>
      <w:autoSpaceDE w:val="0"/>
      <w:autoSpaceDN w:val="0"/>
      <w:adjustRightInd w:val="0"/>
      <w:spacing w:line="276" w:lineRule="auto"/>
      <w:textAlignment w:val="center"/>
    </w:pPr>
    <w:rPr>
      <w:rFonts w:ascii="Arial" w:hAnsi="Arial" w:cs="Minion Pro"/>
      <w:color w:val="000000"/>
      <w:szCs w:val="24"/>
    </w:rPr>
  </w:style>
  <w:style w:type="character" w:customStyle="1" w:styleId="ZkladnodstavecChar">
    <w:name w:val="[Základní odstavec] Char"/>
    <w:link w:val="Zkladnodstavec"/>
    <w:uiPriority w:val="99"/>
    <w:rsid w:val="0008263E"/>
    <w:rPr>
      <w:rFonts w:ascii="Arial" w:hAnsi="Arial" w:cs="Minion Pro"/>
      <w:color w:val="000000"/>
      <w:szCs w:val="24"/>
    </w:rPr>
  </w:style>
  <w:style w:type="paragraph" w:styleId="Obsah1">
    <w:name w:val="toc 1"/>
    <w:basedOn w:val="Obsahpoloky"/>
    <w:next w:val="Obsahpoloky"/>
    <w:autoRedefine/>
    <w:uiPriority w:val="39"/>
    <w:unhideWhenUsed/>
    <w:rsid w:val="00FC1A95"/>
  </w:style>
  <w:style w:type="paragraph" w:customStyle="1" w:styleId="TLIdentifikace-sted">
    <w:name w:val="TL Identifikace - střed"/>
    <w:qFormat/>
    <w:rsid w:val="009A60D1"/>
    <w:pPr>
      <w:spacing w:after="200" w:line="288" w:lineRule="auto"/>
    </w:pPr>
    <w:rPr>
      <w:rFonts w:ascii="Arial" w:eastAsia="Times New Roman" w:hAnsi="Arial"/>
      <w:sz w:val="24"/>
      <w:szCs w:val="24"/>
    </w:rPr>
  </w:style>
  <w:style w:type="paragraph" w:customStyle="1" w:styleId="Obsah">
    <w:name w:val="Obsah"/>
    <w:next w:val="Normln"/>
    <w:qFormat/>
    <w:rsid w:val="002E57D3"/>
    <w:pPr>
      <w:spacing w:after="80" w:line="288" w:lineRule="auto"/>
    </w:pPr>
    <w:rPr>
      <w:rFonts w:ascii="Arial" w:eastAsia="Times New Roman" w:hAnsi="Arial"/>
      <w:b/>
      <w:color w:val="747678"/>
      <w:sz w:val="32"/>
      <w:szCs w:val="24"/>
    </w:rPr>
  </w:style>
  <w:style w:type="paragraph" w:customStyle="1" w:styleId="Obsahpoloky">
    <w:name w:val="Obsah položky"/>
    <w:qFormat/>
    <w:rsid w:val="00616E05"/>
    <w:pPr>
      <w:tabs>
        <w:tab w:val="right" w:leader="dot" w:pos="9639"/>
      </w:tabs>
      <w:spacing w:line="288" w:lineRule="auto"/>
    </w:pPr>
    <w:rPr>
      <w:rFonts w:ascii="Arial" w:eastAsia="Times New Roman" w:hAnsi="Arial"/>
      <w:szCs w:val="24"/>
    </w:rPr>
  </w:style>
  <w:style w:type="paragraph" w:customStyle="1" w:styleId="Box1">
    <w:name w:val="Box 1"/>
    <w:next w:val="Normln"/>
    <w:qFormat/>
    <w:rsid w:val="00BE3108"/>
    <w:pPr>
      <w:shd w:val="clear" w:color="auto" w:fill="E3E3E3"/>
      <w:spacing w:before="240" w:after="240" w:line="288" w:lineRule="auto"/>
      <w:ind w:left="709"/>
      <w:contextualSpacing/>
    </w:pPr>
    <w:rPr>
      <w:rFonts w:ascii="Arial" w:hAnsi="Arial" w:cs="Arial"/>
    </w:rPr>
  </w:style>
  <w:style w:type="paragraph" w:customStyle="1" w:styleId="Box2">
    <w:name w:val="Box 2"/>
    <w:qFormat/>
    <w:rsid w:val="00F0585C"/>
    <w:pPr>
      <w:spacing w:before="240" w:after="240" w:line="288" w:lineRule="auto"/>
      <w:ind w:left="709"/>
      <w:contextualSpacing/>
    </w:pPr>
    <w:rPr>
      <w:rFonts w:ascii="Arial" w:hAnsi="Arial" w:cs="Arial"/>
    </w:rPr>
  </w:style>
  <w:style w:type="paragraph" w:styleId="Seznam">
    <w:name w:val="List"/>
    <w:basedOn w:val="Normln"/>
    <w:uiPriority w:val="99"/>
    <w:unhideWhenUsed/>
    <w:qFormat/>
    <w:rsid w:val="00481E40"/>
    <w:pPr>
      <w:contextualSpacing/>
    </w:pPr>
  </w:style>
  <w:style w:type="character" w:styleId="Siln">
    <w:name w:val="Strong"/>
    <w:aliases w:val="Tučné"/>
    <w:uiPriority w:val="22"/>
    <w:qFormat/>
    <w:rsid w:val="00EC03D7"/>
    <w:rPr>
      <w:rFonts w:ascii="Arial" w:hAnsi="Arial"/>
      <w:b/>
      <w:bCs/>
      <w:sz w:val="20"/>
    </w:rPr>
  </w:style>
  <w:style w:type="paragraph" w:customStyle="1" w:styleId="TLKontaktyerven">
    <w:name w:val="TL Kontakty červené"/>
    <w:basedOn w:val="Normln"/>
    <w:qFormat/>
    <w:rsid w:val="002E57D3"/>
    <w:pPr>
      <w:spacing w:after="40"/>
      <w:contextualSpacing/>
    </w:pPr>
    <w:rPr>
      <w:b/>
      <w:caps/>
      <w:color w:val="747678"/>
      <w:sz w:val="24"/>
    </w:rPr>
  </w:style>
  <w:style w:type="paragraph" w:customStyle="1" w:styleId="TLKontakty">
    <w:name w:val="TL Kontakty"/>
    <w:qFormat/>
    <w:rsid w:val="002E57D3"/>
    <w:pPr>
      <w:spacing w:after="160" w:line="259" w:lineRule="auto"/>
      <w:contextualSpacing/>
    </w:pPr>
    <w:rPr>
      <w:rFonts w:ascii="Arial" w:eastAsia="Times New Roman" w:hAnsi="Arial"/>
      <w:b/>
    </w:rPr>
  </w:style>
  <w:style w:type="paragraph" w:styleId="Nzev">
    <w:name w:val="Title"/>
    <w:link w:val="NzevChar"/>
    <w:uiPriority w:val="10"/>
    <w:qFormat/>
    <w:rsid w:val="000E6FBD"/>
    <w:pPr>
      <w:spacing w:line="288" w:lineRule="auto"/>
    </w:pPr>
    <w:rPr>
      <w:rFonts w:ascii="Arial" w:eastAsia="Times New Roman" w:hAnsi="Arial"/>
      <w:b/>
      <w:bCs/>
      <w:caps/>
      <w:kern w:val="28"/>
      <w:sz w:val="56"/>
      <w:szCs w:val="32"/>
    </w:rPr>
  </w:style>
  <w:style w:type="character" w:customStyle="1" w:styleId="NzevChar">
    <w:name w:val="Název Char"/>
    <w:link w:val="Nzev"/>
    <w:uiPriority w:val="10"/>
    <w:rsid w:val="000E6FBD"/>
    <w:rPr>
      <w:rFonts w:ascii="Arial" w:eastAsia="Times New Roman" w:hAnsi="Arial"/>
      <w:b/>
      <w:bCs/>
      <w:caps/>
      <w:kern w:val="28"/>
      <w:sz w:val="56"/>
      <w:szCs w:val="32"/>
    </w:rPr>
  </w:style>
  <w:style w:type="paragraph" w:styleId="Podnadpis">
    <w:name w:val="Subtitle"/>
    <w:link w:val="PodnadpisChar"/>
    <w:uiPriority w:val="11"/>
    <w:qFormat/>
    <w:rsid w:val="0012192F"/>
    <w:pPr>
      <w:spacing w:line="288" w:lineRule="auto"/>
    </w:pPr>
    <w:rPr>
      <w:rFonts w:ascii="Arial" w:eastAsia="Times New Roman" w:hAnsi="Arial" w:cs="Arial"/>
      <w:b/>
      <w:sz w:val="28"/>
      <w:szCs w:val="24"/>
    </w:rPr>
  </w:style>
  <w:style w:type="character" w:customStyle="1" w:styleId="PodnadpisChar">
    <w:name w:val="Podnadpis Char"/>
    <w:link w:val="Podnadpis"/>
    <w:uiPriority w:val="11"/>
    <w:rsid w:val="0012192F"/>
    <w:rPr>
      <w:rFonts w:ascii="Arial" w:eastAsia="Times New Roman" w:hAnsi="Arial" w:cs="Arial"/>
      <w:b/>
      <w:sz w:val="28"/>
      <w:szCs w:val="24"/>
    </w:rPr>
  </w:style>
  <w:style w:type="paragraph" w:customStyle="1" w:styleId="TL-identifikace-sted">
    <w:name w:val="TL - identifikace - střed"/>
    <w:basedOn w:val="Normln"/>
    <w:link w:val="TL-identifikace-stedChar"/>
    <w:qFormat/>
    <w:rsid w:val="00C8621D"/>
    <w:pPr>
      <w:spacing w:after="200"/>
    </w:pPr>
    <w:rPr>
      <w:sz w:val="24"/>
    </w:rPr>
  </w:style>
  <w:style w:type="character" w:customStyle="1" w:styleId="TL-identifikace-stedChar">
    <w:name w:val="TL - identifikace - střed Char"/>
    <w:link w:val="TL-identifikace-sted"/>
    <w:rsid w:val="00C8621D"/>
    <w:rPr>
      <w:rFonts w:ascii="Arial" w:eastAsia="Times New Roman" w:hAnsi="Arial"/>
      <w:sz w:val="24"/>
      <w:szCs w:val="24"/>
    </w:rPr>
  </w:style>
  <w:style w:type="paragraph" w:styleId="Obsah2">
    <w:name w:val="toc 2"/>
    <w:basedOn w:val="Obsahpoloky"/>
    <w:next w:val="Obsahpoloky"/>
    <w:autoRedefine/>
    <w:uiPriority w:val="39"/>
    <w:unhideWhenUsed/>
    <w:rsid w:val="00FC1A95"/>
    <w:pPr>
      <w:ind w:left="200"/>
    </w:pPr>
  </w:style>
  <w:style w:type="paragraph" w:styleId="Obsah3">
    <w:name w:val="toc 3"/>
    <w:basedOn w:val="Obsahpoloky"/>
    <w:next w:val="Obsahpoloky"/>
    <w:autoRedefine/>
    <w:uiPriority w:val="39"/>
    <w:unhideWhenUsed/>
    <w:rsid w:val="00FC1A95"/>
    <w:pPr>
      <w:ind w:left="400"/>
    </w:pPr>
  </w:style>
  <w:style w:type="paragraph" w:styleId="Obsah4">
    <w:name w:val="toc 4"/>
    <w:basedOn w:val="Obsahpoloky"/>
    <w:next w:val="Obsahpoloky"/>
    <w:autoRedefine/>
    <w:uiPriority w:val="39"/>
    <w:unhideWhenUsed/>
    <w:rsid w:val="00FC1A95"/>
    <w:pPr>
      <w:ind w:left="600"/>
    </w:pPr>
  </w:style>
  <w:style w:type="paragraph" w:styleId="Obsah5">
    <w:name w:val="toc 5"/>
    <w:basedOn w:val="Obsahpoloky"/>
    <w:next w:val="Obsahpoloky"/>
    <w:autoRedefine/>
    <w:uiPriority w:val="39"/>
    <w:semiHidden/>
    <w:unhideWhenUsed/>
    <w:rsid w:val="00FC1A95"/>
    <w:pPr>
      <w:ind w:left="800"/>
    </w:pPr>
  </w:style>
  <w:style w:type="paragraph" w:styleId="Obsah6">
    <w:name w:val="toc 6"/>
    <w:basedOn w:val="Obsahpoloky"/>
    <w:next w:val="Obsahpoloky"/>
    <w:autoRedefine/>
    <w:uiPriority w:val="39"/>
    <w:semiHidden/>
    <w:unhideWhenUsed/>
    <w:rsid w:val="00FC1A95"/>
    <w:pPr>
      <w:ind w:left="1000"/>
    </w:pPr>
  </w:style>
  <w:style w:type="paragraph" w:styleId="Obsah7">
    <w:name w:val="toc 7"/>
    <w:basedOn w:val="Obsahpoloky"/>
    <w:next w:val="Obsahpoloky"/>
    <w:autoRedefine/>
    <w:uiPriority w:val="39"/>
    <w:semiHidden/>
    <w:unhideWhenUsed/>
    <w:rsid w:val="00FC1A95"/>
    <w:pPr>
      <w:ind w:left="1200"/>
    </w:pPr>
  </w:style>
  <w:style w:type="paragraph" w:styleId="Obsah8">
    <w:name w:val="toc 8"/>
    <w:basedOn w:val="Obsahpoloky"/>
    <w:next w:val="Obsahpoloky"/>
    <w:autoRedefine/>
    <w:uiPriority w:val="39"/>
    <w:semiHidden/>
    <w:unhideWhenUsed/>
    <w:rsid w:val="00FC1A95"/>
    <w:pPr>
      <w:ind w:left="1400"/>
    </w:pPr>
  </w:style>
  <w:style w:type="paragraph" w:styleId="Obsah9">
    <w:name w:val="toc 9"/>
    <w:basedOn w:val="Obsahpoloky"/>
    <w:next w:val="Obsahpoloky"/>
    <w:autoRedefine/>
    <w:uiPriority w:val="39"/>
    <w:semiHidden/>
    <w:unhideWhenUsed/>
    <w:rsid w:val="00924AC8"/>
    <w:pPr>
      <w:ind w:left="1600"/>
    </w:pPr>
  </w:style>
  <w:style w:type="paragraph" w:customStyle="1" w:styleId="TL-Identifikace-dole">
    <w:name w:val="TL - Identifikace - dole"/>
    <w:basedOn w:val="Normln"/>
    <w:link w:val="TL-Identifikace-doleChar"/>
    <w:qFormat/>
    <w:rsid w:val="00C8621D"/>
    <w:pPr>
      <w:spacing w:after="200"/>
    </w:pPr>
    <w:rPr>
      <w:szCs w:val="20"/>
      <w:lang w:eastAsia="ar-SA"/>
    </w:rPr>
  </w:style>
  <w:style w:type="character" w:customStyle="1" w:styleId="TL-Identifikace-doleChar">
    <w:name w:val="TL - Identifikace - dole Char"/>
    <w:link w:val="TL-Identifikace-dole"/>
    <w:rsid w:val="00C8621D"/>
    <w:rPr>
      <w:rFonts w:ascii="Arial" w:eastAsia="Times New Roman" w:hAnsi="Arial"/>
      <w:lang w:eastAsia="ar-SA"/>
    </w:rPr>
  </w:style>
  <w:style w:type="paragraph" w:styleId="Rejstk4">
    <w:name w:val="index 4"/>
    <w:basedOn w:val="Normln"/>
    <w:next w:val="Normln"/>
    <w:autoRedefine/>
    <w:semiHidden/>
    <w:rsid w:val="00AC1083"/>
    <w:pPr>
      <w:spacing w:after="0" w:line="240" w:lineRule="auto"/>
      <w:ind w:left="800" w:hanging="200"/>
      <w:jc w:val="both"/>
    </w:pPr>
  </w:style>
  <w:style w:type="paragraph" w:styleId="Zkladntext2">
    <w:name w:val="Body Text 2"/>
    <w:basedOn w:val="Normln"/>
    <w:link w:val="Zkladntext2Char"/>
    <w:semiHidden/>
    <w:rsid w:val="00213C0A"/>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jc w:val="both"/>
    </w:pPr>
    <w:rPr>
      <w:rFonts w:cs="Arial"/>
      <w:szCs w:val="20"/>
    </w:rPr>
  </w:style>
  <w:style w:type="character" w:customStyle="1" w:styleId="Zkladntext2Char">
    <w:name w:val="Základní text 2 Char"/>
    <w:link w:val="Zkladntext2"/>
    <w:semiHidden/>
    <w:rsid w:val="00213C0A"/>
    <w:rPr>
      <w:rFonts w:ascii="Arial" w:eastAsia="Times New Roman" w:hAnsi="Arial" w:cs="Arial"/>
    </w:rPr>
  </w:style>
  <w:style w:type="paragraph" w:styleId="Zkladntextodsazen">
    <w:name w:val="Body Text Indent"/>
    <w:basedOn w:val="Normln"/>
    <w:link w:val="ZkladntextodsazenChar"/>
    <w:uiPriority w:val="99"/>
    <w:unhideWhenUsed/>
    <w:rsid w:val="00284876"/>
    <w:pPr>
      <w:spacing w:after="120"/>
      <w:ind w:left="283"/>
    </w:pPr>
  </w:style>
  <w:style w:type="character" w:customStyle="1" w:styleId="ZkladntextodsazenChar">
    <w:name w:val="Základní text odsazený Char"/>
    <w:link w:val="Zkladntextodsazen"/>
    <w:uiPriority w:val="99"/>
    <w:rsid w:val="00284876"/>
    <w:rPr>
      <w:rFonts w:ascii="Arial" w:eastAsia="Times New Roman" w:hAnsi="Arial"/>
      <w:szCs w:val="24"/>
    </w:rPr>
  </w:style>
  <w:style w:type="paragraph" w:styleId="Zkladntext">
    <w:name w:val="Body Text"/>
    <w:basedOn w:val="Normln"/>
    <w:link w:val="ZkladntextChar"/>
    <w:uiPriority w:val="99"/>
    <w:semiHidden/>
    <w:unhideWhenUsed/>
    <w:rsid w:val="00270A33"/>
    <w:pPr>
      <w:spacing w:after="120"/>
    </w:pPr>
  </w:style>
  <w:style w:type="character" w:customStyle="1" w:styleId="ZkladntextChar">
    <w:name w:val="Základní text Char"/>
    <w:link w:val="Zkladntext"/>
    <w:uiPriority w:val="99"/>
    <w:semiHidden/>
    <w:rsid w:val="00270A33"/>
    <w:rPr>
      <w:rFonts w:ascii="Arial" w:eastAsia="Times New Roman" w:hAnsi="Arial"/>
      <w:szCs w:val="24"/>
    </w:rPr>
  </w:style>
  <w:style w:type="character" w:styleId="Sledovanodkaz">
    <w:name w:val="FollowedHyperlink"/>
    <w:basedOn w:val="Standardnpsmoodstavce"/>
    <w:uiPriority w:val="99"/>
    <w:semiHidden/>
    <w:unhideWhenUsed/>
    <w:rsid w:val="00F50768"/>
    <w:rPr>
      <w:color w:val="800080" w:themeColor="followedHyperlink"/>
      <w:u w:val="single"/>
    </w:rPr>
  </w:style>
  <w:style w:type="paragraph" w:customStyle="1" w:styleId="A-tabvtext2">
    <w:name w:val="A-tab_v_text2"/>
    <w:basedOn w:val="Normln"/>
    <w:next w:val="Normln"/>
    <w:autoRedefine/>
    <w:rsid w:val="00CC7A90"/>
    <w:pPr>
      <w:autoSpaceDE w:val="0"/>
      <w:autoSpaceDN w:val="0"/>
      <w:adjustRightInd w:val="0"/>
    </w:pPr>
    <w:rPr>
      <w:rFonts w:cs="Arial"/>
      <w:i/>
      <w:lang w:val="en-GB"/>
    </w:rPr>
  </w:style>
  <w:style w:type="paragraph" w:styleId="Textpoznpodarou">
    <w:name w:val="footnote text"/>
    <w:basedOn w:val="Normln"/>
    <w:link w:val="TextpoznpodarouChar"/>
    <w:semiHidden/>
    <w:unhideWhenUsed/>
    <w:rsid w:val="0015557D"/>
    <w:pPr>
      <w:spacing w:after="0" w:line="240" w:lineRule="auto"/>
    </w:pPr>
    <w:rPr>
      <w:szCs w:val="20"/>
    </w:rPr>
  </w:style>
  <w:style w:type="character" w:customStyle="1" w:styleId="TextpoznpodarouChar">
    <w:name w:val="Text pozn. pod čarou Char"/>
    <w:basedOn w:val="Standardnpsmoodstavce"/>
    <w:link w:val="Textpoznpodarou"/>
    <w:semiHidden/>
    <w:rsid w:val="0015557D"/>
    <w:rPr>
      <w:rFonts w:ascii="Arial" w:eastAsia="Times New Roman" w:hAnsi="Arial"/>
    </w:rPr>
  </w:style>
  <w:style w:type="character" w:styleId="Znakapoznpodarou">
    <w:name w:val="footnote reference"/>
    <w:basedOn w:val="Standardnpsmoodstavce"/>
    <w:semiHidden/>
    <w:unhideWhenUsed/>
    <w:rsid w:val="0015557D"/>
    <w:rPr>
      <w:vertAlign w:val="superscript"/>
    </w:rPr>
  </w:style>
  <w:style w:type="character" w:customStyle="1" w:styleId="jlqj4b">
    <w:name w:val="jlqj4b"/>
    <w:basedOn w:val="Standardnpsmoodstavce"/>
    <w:rsid w:val="00E053D6"/>
  </w:style>
  <w:style w:type="character" w:styleId="Odkaznakoment">
    <w:name w:val="annotation reference"/>
    <w:basedOn w:val="Standardnpsmoodstavce"/>
    <w:uiPriority w:val="99"/>
    <w:semiHidden/>
    <w:unhideWhenUsed/>
    <w:rsid w:val="00E55C75"/>
    <w:rPr>
      <w:sz w:val="16"/>
      <w:szCs w:val="16"/>
    </w:rPr>
  </w:style>
  <w:style w:type="paragraph" w:styleId="Textkomente">
    <w:name w:val="annotation text"/>
    <w:basedOn w:val="Normln"/>
    <w:link w:val="TextkomenteChar"/>
    <w:uiPriority w:val="99"/>
    <w:semiHidden/>
    <w:unhideWhenUsed/>
    <w:rsid w:val="00E55C75"/>
    <w:pPr>
      <w:spacing w:line="240" w:lineRule="auto"/>
    </w:pPr>
    <w:rPr>
      <w:szCs w:val="20"/>
    </w:rPr>
  </w:style>
  <w:style w:type="character" w:customStyle="1" w:styleId="TextkomenteChar">
    <w:name w:val="Text komentáře Char"/>
    <w:basedOn w:val="Standardnpsmoodstavce"/>
    <w:link w:val="Textkomente"/>
    <w:uiPriority w:val="99"/>
    <w:semiHidden/>
    <w:rsid w:val="00E55C75"/>
    <w:rPr>
      <w:rFonts w:ascii="Arial" w:eastAsia="Times New Roman" w:hAnsi="Arial"/>
    </w:rPr>
  </w:style>
  <w:style w:type="paragraph" w:styleId="Pedmtkomente">
    <w:name w:val="annotation subject"/>
    <w:basedOn w:val="Textkomente"/>
    <w:next w:val="Textkomente"/>
    <w:link w:val="PedmtkomenteChar"/>
    <w:uiPriority w:val="99"/>
    <w:semiHidden/>
    <w:unhideWhenUsed/>
    <w:rsid w:val="00E55C75"/>
    <w:rPr>
      <w:b/>
      <w:bCs/>
    </w:rPr>
  </w:style>
  <w:style w:type="character" w:customStyle="1" w:styleId="PedmtkomenteChar">
    <w:name w:val="Předmět komentáře Char"/>
    <w:basedOn w:val="TextkomenteChar"/>
    <w:link w:val="Pedmtkomente"/>
    <w:uiPriority w:val="99"/>
    <w:semiHidden/>
    <w:rsid w:val="00E55C75"/>
    <w:rPr>
      <w:rFonts w:ascii="Arial" w:eastAsia="Times New Roman" w:hAnsi="Arial"/>
      <w:b/>
      <w:bCs/>
    </w:rPr>
  </w:style>
  <w:style w:type="character" w:customStyle="1" w:styleId="viiyi">
    <w:name w:val="viiyi"/>
    <w:basedOn w:val="Standardnpsmoodstavce"/>
    <w:rsid w:val="007422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699">
      <w:bodyDiv w:val="1"/>
      <w:marLeft w:val="0"/>
      <w:marRight w:val="0"/>
      <w:marTop w:val="0"/>
      <w:marBottom w:val="0"/>
      <w:divBdr>
        <w:top w:val="none" w:sz="0" w:space="0" w:color="auto"/>
        <w:left w:val="none" w:sz="0" w:space="0" w:color="auto"/>
        <w:bottom w:val="none" w:sz="0" w:space="0" w:color="auto"/>
        <w:right w:val="none" w:sz="0" w:space="0" w:color="auto"/>
      </w:divBdr>
    </w:div>
    <w:div w:id="264115308">
      <w:bodyDiv w:val="1"/>
      <w:marLeft w:val="0"/>
      <w:marRight w:val="0"/>
      <w:marTop w:val="0"/>
      <w:marBottom w:val="0"/>
      <w:divBdr>
        <w:top w:val="none" w:sz="0" w:space="0" w:color="auto"/>
        <w:left w:val="none" w:sz="0" w:space="0" w:color="auto"/>
        <w:bottom w:val="none" w:sz="0" w:space="0" w:color="auto"/>
        <w:right w:val="none" w:sz="0" w:space="0" w:color="auto"/>
      </w:divBdr>
    </w:div>
    <w:div w:id="493226895">
      <w:bodyDiv w:val="1"/>
      <w:marLeft w:val="0"/>
      <w:marRight w:val="0"/>
      <w:marTop w:val="0"/>
      <w:marBottom w:val="0"/>
      <w:divBdr>
        <w:top w:val="none" w:sz="0" w:space="0" w:color="auto"/>
        <w:left w:val="none" w:sz="0" w:space="0" w:color="auto"/>
        <w:bottom w:val="none" w:sz="0" w:space="0" w:color="auto"/>
        <w:right w:val="none" w:sz="0" w:space="0" w:color="auto"/>
      </w:divBdr>
    </w:div>
    <w:div w:id="533806547">
      <w:bodyDiv w:val="1"/>
      <w:marLeft w:val="0"/>
      <w:marRight w:val="0"/>
      <w:marTop w:val="0"/>
      <w:marBottom w:val="0"/>
      <w:divBdr>
        <w:top w:val="none" w:sz="0" w:space="0" w:color="auto"/>
        <w:left w:val="none" w:sz="0" w:space="0" w:color="auto"/>
        <w:bottom w:val="none" w:sz="0" w:space="0" w:color="auto"/>
        <w:right w:val="none" w:sz="0" w:space="0" w:color="auto"/>
      </w:divBdr>
    </w:div>
    <w:div w:id="683020579">
      <w:bodyDiv w:val="1"/>
      <w:marLeft w:val="0"/>
      <w:marRight w:val="0"/>
      <w:marTop w:val="0"/>
      <w:marBottom w:val="0"/>
      <w:divBdr>
        <w:top w:val="none" w:sz="0" w:space="0" w:color="auto"/>
        <w:left w:val="none" w:sz="0" w:space="0" w:color="auto"/>
        <w:bottom w:val="none" w:sz="0" w:space="0" w:color="auto"/>
        <w:right w:val="none" w:sz="0" w:space="0" w:color="auto"/>
      </w:divBdr>
    </w:div>
    <w:div w:id="1208487203">
      <w:bodyDiv w:val="1"/>
      <w:marLeft w:val="0"/>
      <w:marRight w:val="0"/>
      <w:marTop w:val="0"/>
      <w:marBottom w:val="0"/>
      <w:divBdr>
        <w:top w:val="none" w:sz="0" w:space="0" w:color="auto"/>
        <w:left w:val="none" w:sz="0" w:space="0" w:color="auto"/>
        <w:bottom w:val="none" w:sz="0" w:space="0" w:color="auto"/>
        <w:right w:val="none" w:sz="0" w:space="0" w:color="auto"/>
      </w:divBdr>
    </w:div>
    <w:div w:id="1405689476">
      <w:bodyDiv w:val="1"/>
      <w:marLeft w:val="0"/>
      <w:marRight w:val="0"/>
      <w:marTop w:val="0"/>
      <w:marBottom w:val="0"/>
      <w:divBdr>
        <w:top w:val="none" w:sz="0" w:space="0" w:color="auto"/>
        <w:left w:val="none" w:sz="0" w:space="0" w:color="auto"/>
        <w:bottom w:val="none" w:sz="0" w:space="0" w:color="auto"/>
        <w:right w:val="none" w:sz="0" w:space="0" w:color="auto"/>
      </w:divBdr>
    </w:div>
    <w:div w:id="1486582325">
      <w:bodyDiv w:val="1"/>
      <w:marLeft w:val="0"/>
      <w:marRight w:val="0"/>
      <w:marTop w:val="0"/>
      <w:marBottom w:val="0"/>
      <w:divBdr>
        <w:top w:val="none" w:sz="0" w:space="0" w:color="auto"/>
        <w:left w:val="none" w:sz="0" w:space="0" w:color="auto"/>
        <w:bottom w:val="none" w:sz="0" w:space="0" w:color="auto"/>
        <w:right w:val="none" w:sz="0" w:space="0" w:color="auto"/>
      </w:divBdr>
    </w:div>
    <w:div w:id="1529023475">
      <w:bodyDiv w:val="1"/>
      <w:marLeft w:val="0"/>
      <w:marRight w:val="0"/>
      <w:marTop w:val="0"/>
      <w:marBottom w:val="0"/>
      <w:divBdr>
        <w:top w:val="none" w:sz="0" w:space="0" w:color="auto"/>
        <w:left w:val="none" w:sz="0" w:space="0" w:color="auto"/>
        <w:bottom w:val="none" w:sz="0" w:space="0" w:color="auto"/>
        <w:right w:val="none" w:sz="0" w:space="0" w:color="auto"/>
      </w:divBdr>
    </w:div>
    <w:div w:id="1893350832">
      <w:bodyDiv w:val="1"/>
      <w:marLeft w:val="0"/>
      <w:marRight w:val="0"/>
      <w:marTop w:val="0"/>
      <w:marBottom w:val="0"/>
      <w:divBdr>
        <w:top w:val="none" w:sz="0" w:space="0" w:color="auto"/>
        <w:left w:val="none" w:sz="0" w:space="0" w:color="auto"/>
        <w:bottom w:val="none" w:sz="0" w:space="0" w:color="auto"/>
        <w:right w:val="none" w:sz="0" w:space="0" w:color="auto"/>
      </w:divBdr>
    </w:div>
    <w:div w:id="2088262363">
      <w:bodyDiv w:val="1"/>
      <w:marLeft w:val="0"/>
      <w:marRight w:val="0"/>
      <w:marTop w:val="0"/>
      <w:marBottom w:val="0"/>
      <w:divBdr>
        <w:top w:val="none" w:sz="0" w:space="0" w:color="auto"/>
        <w:left w:val="none" w:sz="0" w:space="0" w:color="auto"/>
        <w:bottom w:val="none" w:sz="0" w:space="0" w:color="auto"/>
        <w:right w:val="none" w:sz="0" w:space="0" w:color="auto"/>
      </w:divBdr>
    </w:div>
    <w:div w:id="21109235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csu.gov.cz/population-methodolog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su.gov.cz/population-change-methodology"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_M&#237;&#353;a\vnit&#345;n&#237;_p&#345;edpisy\&#353;ablony%202016\publikace%20&#269;ernob&#237;l&#225;%20dvoujazy&#269;n&#225;.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48AF3-58A7-44BA-91AF-D189A1FCE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publikace černobílá dvoujazyčná.dot</Template>
  <TotalTime>1047</TotalTime>
  <Pages>2</Pages>
  <Words>763</Words>
  <Characters>4503</Characters>
  <Application>Microsoft Office Word</Application>
  <DocSecurity>0</DocSecurity>
  <Lines>37</Lines>
  <Paragraphs>10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Methodological notes</vt:lpstr>
      <vt:lpstr/>
    </vt:vector>
  </TitlesOfParts>
  <Company>CSU</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Methodological notes</dc:title>
  <dc:creator>ČSÚ</dc:creator>
  <cp:lastModifiedBy>Bílík Jan</cp:lastModifiedBy>
  <cp:revision>105</cp:revision>
  <cp:lastPrinted>2024-09-05T07:44:00Z</cp:lastPrinted>
  <dcterms:created xsi:type="dcterms:W3CDTF">2018-06-04T08:54:00Z</dcterms:created>
  <dcterms:modified xsi:type="dcterms:W3CDTF">2026-09-21T10:49:00Z</dcterms:modified>
</cp:coreProperties>
</file>