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B2" w:rsidRDefault="00250CB3">
      <w:pPr>
        <w:pStyle w:val="Nadpis2"/>
        <w:spacing w:before="0" w:after="0"/>
        <w:jc w:val="center"/>
        <w:rPr>
          <w:sz w:val="28"/>
        </w:rPr>
      </w:pPr>
      <w:r>
        <w:rPr>
          <w:sz w:val="28"/>
        </w:rPr>
        <w:t>Metodické vysvětlivky</w:t>
      </w:r>
    </w:p>
    <w:p w:rsidR="001D34B2" w:rsidRDefault="001D34B2">
      <w:pPr>
        <w:rPr>
          <w:szCs w:val="20"/>
        </w:rPr>
      </w:pPr>
    </w:p>
    <w:p w:rsidR="001D34B2" w:rsidRDefault="00250CB3">
      <w:pPr>
        <w:spacing w:line="276" w:lineRule="auto"/>
        <w:outlineLvl w:val="0"/>
        <w:rPr>
          <w:rFonts w:cs="Arial"/>
        </w:rPr>
      </w:pPr>
      <w:r>
        <w:rPr>
          <w:rFonts w:cs="Arial"/>
        </w:rPr>
        <w:t>S</w:t>
      </w:r>
      <w:bookmarkStart w:id="0" w:name="_GoBack"/>
      <w:bookmarkEnd w:id="0"/>
      <w:r>
        <w:rPr>
          <w:rFonts w:cs="Arial"/>
        </w:rPr>
        <w:t xml:space="preserve">trukturální šetření vinice se provádí ve všech státech Evropské unie s minimální výměrou </w:t>
      </w:r>
      <w:r>
        <w:t xml:space="preserve">500 ha vinic </w:t>
      </w:r>
      <w:r>
        <w:rPr>
          <w:rFonts w:cs="Arial"/>
        </w:rPr>
        <w:t>na základě nařízení Evropského parlamentu a Rady (EU) č. 1337/2011 ze dne 13. prosince 2011 o evropské statistice trvalých kultur</w:t>
      </w:r>
      <w:r>
        <w:rPr>
          <w:rFonts w:cs="Arial"/>
        </w:rPr>
        <w:t xml:space="preserve"> a o zrušení nařízení Rady (EHS) č. 357/79 a směrnice Evropského parlamentu a Rady 2001/109/ES (dále jen Nařízení). První šetření proběhlo v roce 2015. Šetření Vinice 2020 je v pořadí druhé a zároveň poslední podle tohoto Nařízení. Další zjišťování, které </w:t>
      </w:r>
      <w:r>
        <w:rPr>
          <w:rFonts w:cs="Arial"/>
        </w:rPr>
        <w:t>se bude zabývat věkovou a odrůdovou skladbou vinic, proběhne v roce 2026 jako samostatný modul v rámci Integrovaného šetření v zemědělství.</w:t>
      </w:r>
    </w:p>
    <w:p w:rsidR="001D34B2" w:rsidRDefault="001D34B2">
      <w:pPr>
        <w:pStyle w:val="Zkladntextodsazen"/>
        <w:spacing w:line="276" w:lineRule="auto"/>
        <w:ind w:firstLine="0"/>
        <w:rPr>
          <w:rFonts w:ascii="Arial" w:hAnsi="Arial" w:cs="Arial"/>
          <w:sz w:val="20"/>
        </w:rPr>
      </w:pPr>
    </w:p>
    <w:p w:rsidR="001D34B2" w:rsidRDefault="00250CB3">
      <w:pPr>
        <w:pStyle w:val="Zkladntextodsazen"/>
        <w:spacing w:line="276" w:lineRule="auto"/>
        <w:ind w:firstLine="0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>Zdrojem dat byl v souladu s Nařízením registr vinic, který vede Ústřední kontrolní a zkušební ústav zemědělský (ÚKZ</w:t>
      </w:r>
      <w:r>
        <w:rPr>
          <w:rFonts w:ascii="Arial" w:hAnsi="Arial" w:cs="Arial"/>
          <w:sz w:val="20"/>
        </w:rPr>
        <w:t>ÚZ). Statistické šetření zahrnovalo všechny pěstitele révy vinné evidované v Registru vinic k 31. červenci 2020.</w:t>
      </w:r>
    </w:p>
    <w:p w:rsidR="001D34B2" w:rsidRDefault="001D34B2">
      <w:pPr>
        <w:pStyle w:val="Zkladntextodsazen"/>
        <w:spacing w:line="276" w:lineRule="auto"/>
        <w:ind w:firstLine="0"/>
        <w:rPr>
          <w:rFonts w:ascii="Arial" w:hAnsi="Arial" w:cs="Arial"/>
          <w:sz w:val="20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 xml:space="preserve">Předmětem zjišťování byl počet pěstitelů révy vinné a výměra vinic podle druhu produkce, specializace, odrůd a stáří výsadby v dalším členění </w:t>
      </w:r>
      <w:r>
        <w:rPr>
          <w:rFonts w:cs="Arial"/>
        </w:rPr>
        <w:t>v souladu s přílohou II Nařízení.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>Druh produkce zahrnuje vinice s moštovými odrůdami vhodnými k výrobě vín s chráněným označením původu (dále jen CHOP) a chráněným zeměpisným označením (dále jen CHZO) v členění na vinice plodící a ještě neplodící. Dále se</w:t>
      </w:r>
      <w:r>
        <w:rPr>
          <w:rFonts w:cs="Arial"/>
        </w:rPr>
        <w:t xml:space="preserve"> sledují vinice určené k produkci vegetativního množitelského materiálu révy a ostatní vinice, které zahrnují především šlechtitelské plochy a genofond. Z důvodu ochrany individuálních údajů jsou poslední dvě kategorie ve výstupních tabulkách sloučené. 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>P</w:t>
      </w:r>
      <w:r>
        <w:rPr>
          <w:rFonts w:cs="Arial"/>
        </w:rPr>
        <w:t>ěstitelé vinné révy podle specializace se dělí na subjekty s vinicemi určenými výhradně pro výrobu vína s dalším členěním na výrobu vína CHOP a CHZO, subjekty výhradně s vinicemi určenými k jiné produkci než pro výrobu vína a subjekty s vinicemi určenými k</w:t>
      </w:r>
      <w:r>
        <w:rPr>
          <w:rFonts w:cs="Arial"/>
        </w:rPr>
        <w:t xml:space="preserve"> několika druhům produkce. Poslední dvě kategorie specializace jsou ve výstupních tabulkách sloučené z důvodu ochrany individuálních údajů. 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>Pěstitelé podle druhu produkce a specializace jsou zařazeni do velikostních skupin podle výměry vinic.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>Šetření se</w:t>
      </w:r>
      <w:r>
        <w:rPr>
          <w:rFonts w:cs="Arial"/>
        </w:rPr>
        <w:t xml:space="preserve"> dále vztahuje na zjištění věkové a odrůdové skladby vinic. Do šetření jsou zahrnuté hlavní odrůdy révy vinné, které se pěstovaly ve sledovaném roce na ploše </w:t>
      </w:r>
      <w:r>
        <w:rPr>
          <w:sz w:val="21"/>
          <w:szCs w:val="21"/>
        </w:rPr>
        <w:t>nejméně 500 ha.</w:t>
      </w:r>
      <w:r>
        <w:rPr>
          <w:rFonts w:cs="Arial"/>
        </w:rPr>
        <w:t xml:space="preserve"> Odrůdy jsou zařazené do tří skupin podle barvy: modré, bílé a jiných barev než mod</w:t>
      </w:r>
      <w:r>
        <w:rPr>
          <w:rFonts w:cs="Arial"/>
        </w:rPr>
        <w:t xml:space="preserve">ré nebo bílé (ve výstupních tabulkách označené jako „ostatní odrůdy“). Odrůdy s menší výměrou než 500 ha jsou uvedené v jednotlivých skupinách odrůd v součtové položce ostatní. 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>Seznam odrůd s výměrou nad 500 ha:</w:t>
      </w:r>
    </w:p>
    <w:p w:rsidR="001D34B2" w:rsidRDefault="00250CB3">
      <w:pPr>
        <w:pStyle w:val="Zkladntext"/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Modré odrůdy:</w:t>
      </w:r>
      <w:r>
        <w:t xml:space="preserve"> </w:t>
      </w:r>
      <w:r>
        <w:rPr>
          <w:rFonts w:cs="Arial"/>
        </w:rPr>
        <w:t>Frankovka, Modrý Portugal, R</w:t>
      </w:r>
      <w:r>
        <w:rPr>
          <w:rFonts w:cs="Arial"/>
        </w:rPr>
        <w:t>ulandské modré, Svatovavřinecké, Zweigeltrebe</w:t>
      </w:r>
    </w:p>
    <w:p w:rsidR="001D34B2" w:rsidRDefault="00250CB3">
      <w:pPr>
        <w:pStyle w:val="Zkladntext"/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Bílé odrůdy: Chardonnay, Müller Thurgau, Pálava, Rulandské bílé, Ryzlink rýnský, Ryzlink vlašský, Sauvignon, Veltlínské zelené</w:t>
      </w:r>
    </w:p>
    <w:p w:rsidR="001D34B2" w:rsidRDefault="00250CB3">
      <w:pPr>
        <w:pStyle w:val="Zkladntext"/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Odrůdy jiných barev než modré nebo bílé (ostatní odrůdy): Rulandské šedé</w:t>
      </w:r>
      <w:r>
        <w:rPr>
          <w:rFonts w:cs="Arial"/>
        </w:rPr>
        <w:t>, Tramín červený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t>Regionální členění podle krajů (úroveň NUTS 3) je uvedené u vinic a pěstitelů révy vinné podle druhu produkce, stáří výsadby a odrůd na základě Klasifikace statistických územních jednotek (CZ-NUTS).</w:t>
      </w:r>
      <w:r>
        <w:rPr>
          <w:rFonts w:cs="Arial"/>
        </w:rPr>
        <w:t xml:space="preserve"> Pěstitelé jsou zařazeni do jednotlivých</w:t>
      </w:r>
      <w:r>
        <w:rPr>
          <w:rFonts w:cs="Arial"/>
        </w:rPr>
        <w:t xml:space="preserve"> krajů podle převažující výměry vinic. 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Zkladntext"/>
        <w:spacing w:line="276" w:lineRule="auto"/>
        <w:rPr>
          <w:rFonts w:cs="Arial"/>
        </w:rPr>
      </w:pPr>
      <w:r>
        <w:rPr>
          <w:rFonts w:cs="Arial"/>
        </w:rPr>
        <w:t xml:space="preserve">V předložené publikaci je uvedené také základní porovnání s výsledky šetření Vinice 2015. </w:t>
      </w:r>
    </w:p>
    <w:p w:rsidR="001D34B2" w:rsidRDefault="001D34B2">
      <w:pPr>
        <w:pStyle w:val="Zkladntext"/>
        <w:spacing w:line="276" w:lineRule="auto"/>
        <w:rPr>
          <w:rFonts w:cs="Arial"/>
        </w:rPr>
      </w:pPr>
    </w:p>
    <w:p w:rsidR="001D34B2" w:rsidRDefault="00250CB3">
      <w:pPr>
        <w:pStyle w:val="Nadpis4"/>
        <w:spacing w:line="276" w:lineRule="auto"/>
        <w:jc w:val="left"/>
        <w:rPr>
          <w:rFonts w:cs="Arial"/>
          <w:b w:val="0"/>
          <w:bCs w:val="0"/>
          <w:sz w:val="20"/>
        </w:rPr>
      </w:pPr>
      <w:r>
        <w:rPr>
          <w:rFonts w:cs="Arial"/>
          <w:b w:val="0"/>
          <w:bCs w:val="0"/>
          <w:sz w:val="20"/>
        </w:rPr>
        <w:t>POUŽITÉ ZNAČKY V TABULKÁCH PUBLIKACE:</w:t>
      </w:r>
    </w:p>
    <w:p w:rsidR="001D34B2" w:rsidRDefault="00250CB3">
      <w:pPr>
        <w:numPr>
          <w:ilvl w:val="0"/>
          <w:numId w:val="1"/>
        </w:numPr>
        <w:spacing w:line="276" w:lineRule="auto"/>
        <w:ind w:left="0" w:firstLine="0"/>
        <w:rPr>
          <w:rFonts w:cs="Arial"/>
        </w:rPr>
      </w:pPr>
      <w:r>
        <w:rPr>
          <w:rFonts w:cs="Arial"/>
        </w:rPr>
        <w:t>jev se nevyskytoval</w:t>
      </w:r>
    </w:p>
    <w:p w:rsidR="001D34B2" w:rsidRDefault="00250CB3">
      <w:pPr>
        <w:spacing w:line="276" w:lineRule="auto"/>
        <w:rPr>
          <w:rFonts w:cs="Arial"/>
        </w:rPr>
      </w:pPr>
      <w:r>
        <w:rPr>
          <w:rFonts w:cs="Arial"/>
        </w:rPr>
        <w:t>i. d.</w:t>
      </w:r>
      <w:r>
        <w:rPr>
          <w:rFonts w:cs="Arial"/>
        </w:rPr>
        <w:tab/>
        <w:t>individuální (důvěrný) údaj</w:t>
      </w:r>
    </w:p>
    <w:sectPr w:rsidR="001D34B2">
      <w:footerReference w:type="default" r:id="rId8"/>
      <w:pgSz w:w="11906" w:h="16838"/>
      <w:pgMar w:top="1134" w:right="1134" w:bottom="1134" w:left="1134" w:header="0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B3" w:rsidRDefault="00250CB3">
      <w:r>
        <w:separator/>
      </w:r>
    </w:p>
  </w:endnote>
  <w:endnote w:type="continuationSeparator" w:id="0">
    <w:p w:rsidR="00250CB3" w:rsidRDefault="0025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B2" w:rsidRDefault="00250CB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D34B2" w:rsidRDefault="001D34B2">
                          <w:pPr>
                            <w:pStyle w:val="Zpa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240.35pt;margin-top:0.05pt;width:1.1pt;height:11.35pt;mso-position-horizontal:center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B3" w:rsidRDefault="00250CB3">
      <w:r>
        <w:separator/>
      </w:r>
    </w:p>
  </w:footnote>
  <w:footnote w:type="continuationSeparator" w:id="0">
    <w:p w:rsidR="00250CB3" w:rsidRDefault="0025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130E"/>
    <w:multiLevelType w:val="multilevel"/>
    <w:tmpl w:val="8CECAF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93356"/>
    <w:multiLevelType w:val="multilevel"/>
    <w:tmpl w:val="29668D0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938E4"/>
    <w:multiLevelType w:val="multilevel"/>
    <w:tmpl w:val="868AE39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B2"/>
    <w:rsid w:val="001D34B2"/>
    <w:rsid w:val="00250CB3"/>
    <w:rsid w:val="00A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BED"/>
  <w15:docId w15:val="{DE568311-EBA8-458D-9097-D561827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after="120"/>
      <w:jc w:val="center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TextbublinyChar">
    <w:name w:val="Text bubliny Char"/>
    <w:link w:val="Textbubliny"/>
    <w:uiPriority w:val="99"/>
    <w:semiHidden/>
    <w:qFormat/>
    <w:rsid w:val="00CE5B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560BB"/>
    <w:rPr>
      <w:b/>
      <w:bCs/>
    </w:rPr>
  </w:style>
  <w:style w:type="character" w:customStyle="1" w:styleId="highlight">
    <w:name w:val="highlight"/>
    <w:basedOn w:val="Standardnpsmoodstavce"/>
    <w:qFormat/>
    <w:rsid w:val="00306501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semiHidden/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"/>
      <w:sz w:val="28"/>
      <w:szCs w:val="32"/>
    </w:rPr>
  </w:style>
  <w:style w:type="paragraph" w:customStyle="1" w:styleId="normalnsodrkami">
    <w:name w:val="normalní s odrážkami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qFormat/>
    <w:pPr>
      <w:spacing w:line="360" w:lineRule="auto"/>
      <w:ind w:firstLine="709"/>
    </w:pPr>
    <w:rPr>
      <w:rFonts w:cs="Arial"/>
      <w:sz w:val="24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hAnsi="Times New Roman"/>
      <w:sz w:val="24"/>
    </w:rPr>
  </w:style>
  <w:style w:type="paragraph" w:styleId="Zkladntext2">
    <w:name w:val="Body Text 2"/>
    <w:basedOn w:val="Normln"/>
    <w:semiHidden/>
    <w:qFormat/>
    <w:pPr>
      <w:jc w:val="left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5B9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ln"/>
    <w:qFormat/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3526-1BAC-4FD7-B7B6-E6124C1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CSU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system service</dc:creator>
  <dc:description/>
  <cp:lastModifiedBy>lhotska4724</cp:lastModifiedBy>
  <cp:revision>2</cp:revision>
  <cp:lastPrinted>2021-01-12T08:50:00Z</cp:lastPrinted>
  <dcterms:created xsi:type="dcterms:W3CDTF">2021-01-19T13:21:00Z</dcterms:created>
  <dcterms:modified xsi:type="dcterms:W3CDTF">2021-01-19T13:21:00Z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