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276C" w14:textId="3CDD3412" w:rsidR="00AD7F5A" w:rsidRPr="0090524C" w:rsidRDefault="00AD7F5A" w:rsidP="00AD7F5A">
      <w:pPr>
        <w:pStyle w:val="Nadpis1"/>
        <w:numPr>
          <w:ilvl w:val="0"/>
          <w:numId w:val="14"/>
        </w:numPr>
        <w:spacing w:before="240" w:after="0" w:line="360" w:lineRule="auto"/>
        <w:contextualSpacing w:val="0"/>
        <w:jc w:val="both"/>
      </w:pPr>
      <w:r w:rsidRPr="0090524C">
        <w:t>Metodická část</w:t>
      </w:r>
    </w:p>
    <w:p w14:paraId="18AA2AB0" w14:textId="601810C2" w:rsidR="009E4E16" w:rsidRPr="0090524C" w:rsidRDefault="009E4E16" w:rsidP="00B53CEE">
      <w:pPr>
        <w:jc w:val="both"/>
        <w:rPr>
          <w:szCs w:val="22"/>
        </w:rPr>
      </w:pPr>
      <w:r w:rsidRPr="0090524C">
        <w:rPr>
          <w:szCs w:val="22"/>
        </w:rPr>
        <w:t xml:space="preserve">Výběrové šetření </w:t>
      </w:r>
      <w:r w:rsidRPr="0090524C">
        <w:rPr>
          <w:i/>
          <w:szCs w:val="22"/>
        </w:rPr>
        <w:t>Finanční situace domácností (FSD)</w:t>
      </w:r>
      <w:r w:rsidRPr="0090524C">
        <w:rPr>
          <w:szCs w:val="22"/>
        </w:rPr>
        <w:t xml:space="preserve"> provádí Český statistický úřad (ČSÚ) ve spolupráci s Českou národní bankou (ČNB) od roku 2020. Šetření je koordinováno Evropskou centrální bankou jako Household Finance and Consumption Survey (HFCS) a probíhá ve</w:t>
      </w:r>
      <w:r w:rsidRPr="0090524C">
        <w:rPr>
          <w:sz w:val="18"/>
        </w:rPr>
        <w:t> </w:t>
      </w:r>
      <w:r w:rsidRPr="0090524C">
        <w:rPr>
          <w:szCs w:val="22"/>
        </w:rPr>
        <w:t>tříleté periodicitě ve státech s měnou euro a v několika dalších zemích (ECB 2023a, ECB 2023b). Výsledkem FSD jsou jedinečné údaje, které nelze zjistit jiným způsobem než přímým dotazováním v domácnostech. Česká ver</w:t>
      </w:r>
      <w:r w:rsidR="004C553E">
        <w:rPr>
          <w:szCs w:val="22"/>
        </w:rPr>
        <w:t>ze šetření probíhá každoročně a </w:t>
      </w:r>
      <w:r w:rsidRPr="0090524C">
        <w:rPr>
          <w:szCs w:val="22"/>
        </w:rPr>
        <w:t>získané údaje jsou využívány jak na národní úrovni institucemi jako jsou ČNB nebo ČSÚ, tak i na mezinárodní úrovni.</w:t>
      </w:r>
    </w:p>
    <w:p w14:paraId="53346200" w14:textId="18F273C4" w:rsidR="009E4E16" w:rsidRPr="0090524C" w:rsidRDefault="009E4E16" w:rsidP="00B53CEE">
      <w:pPr>
        <w:jc w:val="both"/>
        <w:rPr>
          <w:szCs w:val="22"/>
        </w:rPr>
      </w:pPr>
      <w:r w:rsidRPr="0090524C">
        <w:rPr>
          <w:szCs w:val="22"/>
        </w:rPr>
        <w:t>Šetření FSD si klade za cíl zmapovat situaci českých domácností z hlediska jejich finančních a majetkových poměrů. Z výsledných údajů se získává mimo jiné i ukazatel tzv. čistého jmění, ke kterému je vedle zjištěných příjmů domácností potřeba znát také odhad hodnoty jejich majetku</w:t>
      </w:r>
      <w:r w:rsidR="00E55B15">
        <w:rPr>
          <w:szCs w:val="22"/>
        </w:rPr>
        <w:t xml:space="preserve"> a závazků</w:t>
      </w:r>
      <w:r w:rsidRPr="0090524C">
        <w:rPr>
          <w:szCs w:val="22"/>
        </w:rPr>
        <w:t>. Výsledky mají poskytnout podklad pro posouzení chování domácností v souvislosti s tím, jaké používají nástroje finančního trhu, jaká je celková míra jejich zadlužení a jak je jejich majetek zatížen případnými půjčkami a úvěry. Další předností je, že výsledná data z tohoto zjišťování jsou z hlediska metodologie mezinárodně srovnatelná, a je proto možné sledovat výsledné ukazatele napříč eurozónou.</w:t>
      </w:r>
    </w:p>
    <w:p w14:paraId="1BA07F75" w14:textId="77777777" w:rsidR="009E4E16" w:rsidRPr="0090524C" w:rsidRDefault="009E4E16" w:rsidP="00B53CEE">
      <w:pPr>
        <w:jc w:val="both"/>
        <w:rPr>
          <w:szCs w:val="22"/>
        </w:rPr>
      </w:pPr>
      <w:r w:rsidRPr="0090524C">
        <w:rPr>
          <w:szCs w:val="22"/>
        </w:rPr>
        <w:t>Podobně jako šetření Statistika rodinných účtů (SRÚ) probíhá FSD formou integrace do šetření Životní podmínky, které je národní verzí šetření European Union – Statistics on Income and Living Conditions (dále jen SILC), tj. na podsouboru domácností náhodně vybraných pro šetření SILC.</w:t>
      </w:r>
    </w:p>
    <w:p w14:paraId="4783425F" w14:textId="715E7120" w:rsidR="009E4E16" w:rsidRPr="0090524C" w:rsidRDefault="009E4E16" w:rsidP="009E4E16"/>
    <w:p w14:paraId="5075D136" w14:textId="1B365423" w:rsidR="009E4E16" w:rsidRPr="0090524C" w:rsidRDefault="009E4E16" w:rsidP="009E4E16">
      <w:pPr>
        <w:pStyle w:val="Nadpis2"/>
        <w:numPr>
          <w:ilvl w:val="1"/>
          <w:numId w:val="14"/>
        </w:numPr>
        <w:spacing w:before="360" w:after="120" w:line="360" w:lineRule="auto"/>
        <w:ind w:left="578" w:hanging="578"/>
        <w:jc w:val="both"/>
      </w:pPr>
      <w:bookmarkStart w:id="0" w:name="_Toc150510498"/>
      <w:bookmarkStart w:id="1" w:name="_Toc444112496"/>
      <w:bookmarkStart w:id="2" w:name="_Toc192671794"/>
      <w:r w:rsidRPr="0090524C">
        <w:t>Výběr domácností</w:t>
      </w:r>
      <w:bookmarkEnd w:id="0"/>
      <w:bookmarkEnd w:id="2"/>
    </w:p>
    <w:p w14:paraId="723C3602" w14:textId="77777777" w:rsidR="009E4E16" w:rsidRPr="0090524C" w:rsidRDefault="009E4E16" w:rsidP="005E32EC">
      <w:pPr>
        <w:jc w:val="both"/>
        <w:rPr>
          <w:szCs w:val="22"/>
        </w:rPr>
      </w:pPr>
      <w:r w:rsidRPr="0090524C">
        <w:rPr>
          <w:szCs w:val="22"/>
        </w:rPr>
        <w:t>Výběr domácností pro FSD se odvozuje ze čtyřletého panelu šetření SILC, jehož jednotkou zjišťování je byt. Při první návštěvě (1. vlna) byly do šetření zahrnuty hospodařící domácnosti a jejich členové, kteří měli ve vybraném bytě obvyklé bydliště. Při opakovaných návštěvách se šetřily pouze domácnosti, které zahrnovaly tzv. panelové osoby, tj. osoby vyšetřené při 1. vlně zjišťování.</w:t>
      </w:r>
    </w:p>
    <w:p w14:paraId="1473A2FA" w14:textId="77777777" w:rsidR="009E4E16" w:rsidRPr="0090524C" w:rsidRDefault="009E4E16" w:rsidP="005E32EC">
      <w:pPr>
        <w:jc w:val="both"/>
        <w:rPr>
          <w:szCs w:val="22"/>
        </w:rPr>
      </w:pPr>
      <w:r w:rsidRPr="0090524C">
        <w:rPr>
          <w:szCs w:val="22"/>
        </w:rPr>
        <w:t>Pro šetření FSD</w:t>
      </w:r>
      <w:r w:rsidRPr="0090524C">
        <w:rPr>
          <w:i/>
          <w:szCs w:val="22"/>
        </w:rPr>
        <w:t xml:space="preserve"> </w:t>
      </w:r>
      <w:r w:rsidRPr="0090524C">
        <w:rPr>
          <w:szCs w:val="22"/>
        </w:rPr>
        <w:t>jsou oslovovány v průběhu celého roku domácnosti ze všech krajů České republiky. Jednotkou zjišťování je hospodařící domácnost, která byla úspěšně vyšetřena při šetření SILC na 4. vlně.</w:t>
      </w:r>
    </w:p>
    <w:p w14:paraId="0AF0E1F1" w14:textId="148A3082" w:rsidR="009E4E16" w:rsidRPr="0090524C" w:rsidRDefault="009E4E16" w:rsidP="009E4E16">
      <w:pPr>
        <w:ind w:firstLine="576"/>
        <w:jc w:val="both"/>
        <w:rPr>
          <w:sz w:val="22"/>
          <w:szCs w:val="22"/>
        </w:rPr>
      </w:pPr>
      <w:r w:rsidRPr="0090524C">
        <w:rPr>
          <w:sz w:val="22"/>
          <w:szCs w:val="22"/>
        </w:rPr>
        <w:t xml:space="preserve"> </w:t>
      </w:r>
    </w:p>
    <w:p w14:paraId="20FA228F" w14:textId="77777777" w:rsidR="009E4E16" w:rsidRPr="0090524C" w:rsidRDefault="009E4E16" w:rsidP="009E4E16">
      <w:pPr>
        <w:pStyle w:val="Nadpis2"/>
        <w:numPr>
          <w:ilvl w:val="1"/>
          <w:numId w:val="14"/>
        </w:numPr>
        <w:spacing w:before="360" w:after="120" w:line="360" w:lineRule="auto"/>
        <w:ind w:left="578" w:hanging="578"/>
        <w:jc w:val="both"/>
      </w:pPr>
      <w:bookmarkStart w:id="3" w:name="_Toc150510499"/>
      <w:bookmarkStart w:id="4" w:name="_Toc192671795"/>
      <w:r w:rsidRPr="0090524C">
        <w:t>Zjišťování údajů v domácnostech, pořízení dat</w:t>
      </w:r>
      <w:bookmarkEnd w:id="3"/>
      <w:bookmarkEnd w:id="4"/>
    </w:p>
    <w:p w14:paraId="7896791F" w14:textId="77777777" w:rsidR="009E4E16" w:rsidRPr="0090524C" w:rsidRDefault="009E4E16" w:rsidP="005E32EC">
      <w:pPr>
        <w:jc w:val="both"/>
        <w:rPr>
          <w:szCs w:val="22"/>
        </w:rPr>
      </w:pPr>
      <w:r w:rsidRPr="0090524C">
        <w:rPr>
          <w:szCs w:val="22"/>
        </w:rPr>
        <w:t>Zjišťování údajů probíhalo formou osobního rozhovoru tazatele s respondentem, kdy tazatel využíval k zápisu odpovědí buď elektronický dotazník v notebooku, tzv. CAPI (Computer Assisted Personal Interviewing), nebo papírový dotazník, tzv. PAPI (Pen and Paper Interviewing), který posléze přepsal do elektronické verze. Na úrovni krajů zajišťovali pracovníci oddělení terénních zjišťování sehrání dat včetně jejich kontroly. V ústředí ČSÚ byla propojena data z dotazníků, na kterých byly provedeny závěrečné superkontroly, editace včetně imputací chybějících hodnot a závěrečné centrální zpracování.</w:t>
      </w:r>
    </w:p>
    <w:p w14:paraId="3FB1A16F" w14:textId="77777777" w:rsidR="009E4E16" w:rsidRPr="0090524C" w:rsidRDefault="009E4E16" w:rsidP="005E32EC">
      <w:pPr>
        <w:jc w:val="both"/>
        <w:rPr>
          <w:szCs w:val="22"/>
        </w:rPr>
      </w:pPr>
      <w:r w:rsidRPr="0090524C">
        <w:rPr>
          <w:szCs w:val="22"/>
        </w:rPr>
        <w:t xml:space="preserve">Rozhovor k šetření FSD většinou probíhal současně s návštěvou související s šetřeními SILC nebo SRÚ, méně často byl rozhovor uskutečněn jako samostatná návštěva. </w:t>
      </w:r>
    </w:p>
    <w:p w14:paraId="6A01B7B7" w14:textId="77777777" w:rsidR="005E32EC" w:rsidRPr="0090524C" w:rsidRDefault="005E32EC">
      <w:pPr>
        <w:spacing w:after="0" w:line="240" w:lineRule="auto"/>
        <w:rPr>
          <w:sz w:val="22"/>
          <w:szCs w:val="22"/>
        </w:rPr>
      </w:pPr>
      <w:r w:rsidRPr="0090524C">
        <w:rPr>
          <w:sz w:val="22"/>
          <w:szCs w:val="22"/>
        </w:rPr>
        <w:br w:type="page"/>
      </w:r>
    </w:p>
    <w:p w14:paraId="0E4693F1" w14:textId="38492AF4" w:rsidR="009E4E16" w:rsidRPr="0090524C" w:rsidRDefault="009E4E16" w:rsidP="005E32EC">
      <w:pPr>
        <w:jc w:val="both"/>
        <w:rPr>
          <w:sz w:val="18"/>
        </w:rPr>
      </w:pPr>
      <w:r w:rsidRPr="0090524C">
        <w:rPr>
          <w:szCs w:val="22"/>
        </w:rPr>
        <w:lastRenderedPageBreak/>
        <w:t>Obsahem dotazníku FSD byly otázky týkající se hypoték či úvěrů na nemovitosti a jiných úvěrů a půjček, které domácnost případně splácí (spotřebitelské úvěry, nákupy zboží na splátky, leasing na automobil, dluhy na kreditní kartě apod.). Předmětem zjišťování bylo dále vlastnictví majetku a  jeho odhadovaná hodnota, například nemovitosti, automobily a jiné dopravní prostředky, cennosti, případně hodnota firmy či podílu na podnikatelské činnosti. Dotazník se dále zaměřil na využívání a hodnotu finančních produktů (bankovní účty, stavební spoření, penzijní připojištění, podílové fondy, cenné papíry apod.).</w:t>
      </w:r>
    </w:p>
    <w:p w14:paraId="236D6AFE" w14:textId="77777777" w:rsidR="009E4E16" w:rsidRPr="0090524C" w:rsidRDefault="009E4E16" w:rsidP="009E4E16">
      <w:pPr>
        <w:pStyle w:val="Nadpis2"/>
        <w:numPr>
          <w:ilvl w:val="1"/>
          <w:numId w:val="14"/>
        </w:numPr>
        <w:spacing w:before="360" w:after="120" w:line="360" w:lineRule="auto"/>
        <w:ind w:left="578" w:hanging="578"/>
        <w:jc w:val="both"/>
      </w:pPr>
      <w:bookmarkStart w:id="5" w:name="_Toc150510500"/>
      <w:bookmarkStart w:id="6" w:name="_Toc192671796"/>
      <w:r w:rsidRPr="0090524C">
        <w:t>Počet domácností ve FSD</w:t>
      </w:r>
      <w:bookmarkEnd w:id="5"/>
      <w:bookmarkEnd w:id="6"/>
    </w:p>
    <w:p w14:paraId="59BC5390" w14:textId="37EDA64D" w:rsidR="009E4E16" w:rsidRDefault="009E4E16" w:rsidP="009E4E16">
      <w:pPr>
        <w:jc w:val="both"/>
        <w:rPr>
          <w:szCs w:val="22"/>
        </w:rPr>
      </w:pPr>
      <w:r w:rsidRPr="0090524C">
        <w:rPr>
          <w:szCs w:val="22"/>
        </w:rPr>
        <w:t>Publikované výsledky za rok 2021 jsou zpracované z celkového počtu 3 122 hospodařících domácností sledovaných v letech 2020 a 2021, výsledky za rok 2022 jsou zpr</w:t>
      </w:r>
      <w:r w:rsidR="00431B2C">
        <w:rPr>
          <w:szCs w:val="22"/>
        </w:rPr>
        <w:t>acované z celkového počtu 3 155 </w:t>
      </w:r>
      <w:r w:rsidRPr="0090524C">
        <w:rPr>
          <w:szCs w:val="22"/>
        </w:rPr>
        <w:t>hospodařících domácností sledovaných v letech 2021 a 2022</w:t>
      </w:r>
      <w:r w:rsidR="007F1350" w:rsidRPr="0090524C">
        <w:rPr>
          <w:szCs w:val="22"/>
        </w:rPr>
        <w:t xml:space="preserve"> a výsledky za rok 2023 jsou zpracované z celkového počtu 3 246 hospodařících domácností sledovaných v letech 2022 a 2023. </w:t>
      </w:r>
      <w:r w:rsidRPr="0090524C">
        <w:rPr>
          <w:szCs w:val="22"/>
        </w:rPr>
        <w:t xml:space="preserve">Důvodem je dosažení reprezentativního vzorku domácností pro následná třídění výstupů. Konkrétní počty jsou uvedené </w:t>
      </w:r>
      <w:r w:rsidRPr="00B33BE4">
        <w:rPr>
          <w:szCs w:val="22"/>
        </w:rPr>
        <w:t>v</w:t>
      </w:r>
      <w:r w:rsidR="00BC4129" w:rsidRPr="00B33BE4">
        <w:rPr>
          <w:szCs w:val="22"/>
        </w:rPr>
        <w:t> </w:t>
      </w:r>
      <w:r w:rsidR="008E6419" w:rsidRPr="008E6419">
        <w:rPr>
          <w:szCs w:val="22"/>
        </w:rPr>
        <w:fldChar w:fldCharType="begin"/>
      </w:r>
      <w:r w:rsidR="008E6419" w:rsidRPr="008E6419">
        <w:rPr>
          <w:szCs w:val="22"/>
        </w:rPr>
        <w:instrText xml:space="preserve"> REF _Ref191456472 \h  \* MERGEFORMAT </w:instrText>
      </w:r>
      <w:r w:rsidR="008E6419" w:rsidRPr="008E6419">
        <w:rPr>
          <w:szCs w:val="22"/>
        </w:rPr>
      </w:r>
      <w:r w:rsidR="008E6419" w:rsidRPr="008E6419">
        <w:rPr>
          <w:szCs w:val="22"/>
        </w:rPr>
        <w:fldChar w:fldCharType="separate"/>
      </w:r>
      <w:r w:rsidR="00267209" w:rsidRPr="00267209">
        <w:rPr>
          <w:rFonts w:cs="Arial"/>
          <w:bCs/>
          <w:color w:val="000000"/>
          <w:szCs w:val="20"/>
        </w:rPr>
        <w:t xml:space="preserve">Tab. </w:t>
      </w:r>
      <w:r w:rsidR="00267209" w:rsidRPr="00267209">
        <w:rPr>
          <w:rFonts w:cs="Arial"/>
          <w:bCs/>
          <w:noProof/>
          <w:color w:val="000000"/>
          <w:szCs w:val="20"/>
        </w:rPr>
        <w:t>1</w:t>
      </w:r>
      <w:r w:rsidR="008E6419" w:rsidRPr="008E6419">
        <w:rPr>
          <w:szCs w:val="22"/>
        </w:rPr>
        <w:fldChar w:fldCharType="end"/>
      </w:r>
      <w:r w:rsidR="00B33BE4" w:rsidRPr="008E6419">
        <w:rPr>
          <w:szCs w:val="22"/>
        </w:rPr>
        <w:t>.</w:t>
      </w:r>
    </w:p>
    <w:tbl>
      <w:tblPr>
        <w:tblW w:w="8960" w:type="dxa"/>
        <w:tblLayout w:type="fixed"/>
        <w:tblCellMar>
          <w:left w:w="70" w:type="dxa"/>
          <w:right w:w="70" w:type="dxa"/>
        </w:tblCellMar>
        <w:tblLook w:val="04A0" w:firstRow="1" w:lastRow="0" w:firstColumn="1" w:lastColumn="0" w:noHBand="0" w:noVBand="1"/>
      </w:tblPr>
      <w:tblGrid>
        <w:gridCol w:w="4817"/>
        <w:gridCol w:w="1034"/>
        <w:gridCol w:w="345"/>
        <w:gridCol w:w="690"/>
        <w:gridCol w:w="690"/>
        <w:gridCol w:w="200"/>
        <w:gridCol w:w="150"/>
        <w:gridCol w:w="1034"/>
      </w:tblGrid>
      <w:tr w:rsidR="008E6419" w:rsidRPr="0090524C" w14:paraId="159F6012" w14:textId="77777777" w:rsidTr="008E6419">
        <w:trPr>
          <w:trHeight w:val="285"/>
        </w:trPr>
        <w:tc>
          <w:tcPr>
            <w:tcW w:w="8960" w:type="dxa"/>
            <w:gridSpan w:val="8"/>
            <w:tcBorders>
              <w:top w:val="nil"/>
              <w:left w:val="nil"/>
              <w:bottom w:val="nil"/>
              <w:right w:val="nil"/>
            </w:tcBorders>
            <w:shd w:val="clear" w:color="auto" w:fill="auto"/>
            <w:noWrap/>
            <w:vAlign w:val="bottom"/>
            <w:hideMark/>
          </w:tcPr>
          <w:p w14:paraId="1B4DE037" w14:textId="3F288F23" w:rsidR="008E6419" w:rsidRPr="008E6419" w:rsidRDefault="008E6419" w:rsidP="00B474DA">
            <w:pPr>
              <w:pStyle w:val="Titulek"/>
            </w:pPr>
            <w:bookmarkStart w:id="7" w:name="_Ref191456472"/>
            <w:bookmarkStart w:id="8" w:name="_Toc192512779"/>
            <w:r w:rsidRPr="0090524C">
              <w:t xml:space="preserve">Tab. </w:t>
            </w:r>
            <w:r w:rsidR="0057316C">
              <w:fldChar w:fldCharType="begin"/>
            </w:r>
            <w:r w:rsidR="0057316C">
              <w:instrText xml:space="preserve"> SEQ Tab. \* ARABIC </w:instrText>
            </w:r>
            <w:r w:rsidR="0057316C">
              <w:fldChar w:fldCharType="separate"/>
            </w:r>
            <w:r w:rsidR="00267209">
              <w:rPr>
                <w:noProof/>
              </w:rPr>
              <w:t>1</w:t>
            </w:r>
            <w:r w:rsidR="0057316C">
              <w:rPr>
                <w:noProof/>
              </w:rPr>
              <w:fldChar w:fldCharType="end"/>
            </w:r>
            <w:bookmarkEnd w:id="7"/>
            <w:r w:rsidRPr="0090524C">
              <w:t xml:space="preserve"> </w:t>
            </w:r>
            <w:r w:rsidR="002C3644">
              <w:t>Počet vyšetřených domácností ve FSD 2020, 2021, 2022 a 2023</w:t>
            </w:r>
            <w:bookmarkEnd w:id="8"/>
          </w:p>
        </w:tc>
      </w:tr>
      <w:tr w:rsidR="008E6419" w:rsidRPr="0090524C" w14:paraId="5C7D526C" w14:textId="77777777" w:rsidTr="008E6419">
        <w:trPr>
          <w:trHeight w:val="300"/>
        </w:trPr>
        <w:tc>
          <w:tcPr>
            <w:tcW w:w="7776" w:type="dxa"/>
            <w:gridSpan w:val="6"/>
            <w:tcBorders>
              <w:top w:val="nil"/>
              <w:left w:val="nil"/>
              <w:bottom w:val="single" w:sz="8" w:space="0" w:color="auto"/>
              <w:right w:val="nil"/>
            </w:tcBorders>
            <w:shd w:val="clear" w:color="auto" w:fill="auto"/>
            <w:noWrap/>
            <w:vAlign w:val="bottom"/>
            <w:hideMark/>
          </w:tcPr>
          <w:p w14:paraId="1E354DF6" w14:textId="04D29DE9" w:rsidR="008E6419" w:rsidRPr="0090524C" w:rsidRDefault="008E6419" w:rsidP="008B47F9">
            <w:pPr>
              <w:spacing w:after="0" w:line="240" w:lineRule="auto"/>
              <w:rPr>
                <w:rFonts w:ascii="Times New Roman" w:hAnsi="Times New Roman"/>
                <w:szCs w:val="20"/>
              </w:rPr>
            </w:pPr>
            <w:r w:rsidRPr="0090524C">
              <w:rPr>
                <w:rFonts w:cs="Arial"/>
                <w:color w:val="000000"/>
                <w:sz w:val="16"/>
                <w:szCs w:val="16"/>
              </w:rPr>
              <w:t xml:space="preserve">Zdroj: </w:t>
            </w:r>
            <w:r w:rsidR="002C3644" w:rsidRPr="002C3644">
              <w:rPr>
                <w:rFonts w:cs="Arial"/>
                <w:color w:val="000000"/>
                <w:sz w:val="16"/>
                <w:szCs w:val="16"/>
              </w:rPr>
              <w:t>Český statistický úřad</w:t>
            </w:r>
          </w:p>
        </w:tc>
        <w:tc>
          <w:tcPr>
            <w:tcW w:w="1184" w:type="dxa"/>
            <w:gridSpan w:val="2"/>
            <w:tcBorders>
              <w:top w:val="nil"/>
              <w:left w:val="nil"/>
              <w:bottom w:val="single" w:sz="8" w:space="0" w:color="auto"/>
              <w:right w:val="nil"/>
            </w:tcBorders>
            <w:shd w:val="clear" w:color="auto" w:fill="auto"/>
            <w:noWrap/>
            <w:vAlign w:val="bottom"/>
          </w:tcPr>
          <w:p w14:paraId="7DFC8B6A" w14:textId="68B97656" w:rsidR="008E6419" w:rsidRPr="0090524C" w:rsidRDefault="008E6419" w:rsidP="002C3644">
            <w:pPr>
              <w:spacing w:after="0" w:line="240" w:lineRule="auto"/>
              <w:rPr>
                <w:rFonts w:cs="Arial"/>
                <w:sz w:val="16"/>
                <w:szCs w:val="16"/>
              </w:rPr>
            </w:pPr>
          </w:p>
        </w:tc>
      </w:tr>
      <w:tr w:rsidR="008E6419" w:rsidRPr="0090524C" w14:paraId="060898F5" w14:textId="77777777" w:rsidTr="008E6419">
        <w:trPr>
          <w:trHeight w:val="567"/>
        </w:trPr>
        <w:tc>
          <w:tcPr>
            <w:tcW w:w="4817" w:type="dxa"/>
            <w:tcBorders>
              <w:top w:val="single" w:sz="8" w:space="0" w:color="auto"/>
              <w:left w:val="nil"/>
              <w:bottom w:val="single" w:sz="8" w:space="0" w:color="auto"/>
              <w:right w:val="single" w:sz="4" w:space="0" w:color="auto"/>
            </w:tcBorders>
            <w:shd w:val="clear" w:color="000000" w:fill="F6E8EE"/>
            <w:vAlign w:val="center"/>
            <w:hideMark/>
          </w:tcPr>
          <w:p w14:paraId="4ECFEF3F" w14:textId="77777777" w:rsidR="008E6419" w:rsidRPr="0090524C" w:rsidRDefault="008E6419" w:rsidP="008E6419">
            <w:pPr>
              <w:spacing w:after="0" w:line="240" w:lineRule="auto"/>
              <w:jc w:val="center"/>
              <w:rPr>
                <w:rFonts w:cs="Arial"/>
                <w:sz w:val="16"/>
                <w:szCs w:val="16"/>
              </w:rPr>
            </w:pPr>
          </w:p>
        </w:tc>
        <w:tc>
          <w:tcPr>
            <w:tcW w:w="1034" w:type="dxa"/>
            <w:tcBorders>
              <w:top w:val="single" w:sz="8" w:space="0" w:color="auto"/>
              <w:left w:val="single" w:sz="4" w:space="0" w:color="auto"/>
              <w:bottom w:val="single" w:sz="8" w:space="0" w:color="auto"/>
              <w:right w:val="single" w:sz="4" w:space="0" w:color="auto"/>
            </w:tcBorders>
            <w:shd w:val="clear" w:color="000000" w:fill="F6E8EE"/>
            <w:vAlign w:val="center"/>
          </w:tcPr>
          <w:p w14:paraId="21E25A2A" w14:textId="529E1257" w:rsidR="008E6419" w:rsidRPr="0090524C" w:rsidRDefault="008E6419" w:rsidP="008E6419">
            <w:pPr>
              <w:spacing w:after="0" w:line="240" w:lineRule="auto"/>
              <w:jc w:val="center"/>
              <w:rPr>
                <w:rFonts w:cs="Arial"/>
                <w:sz w:val="16"/>
                <w:szCs w:val="16"/>
              </w:rPr>
            </w:pPr>
            <w:r w:rsidRPr="0090524C">
              <w:rPr>
                <w:rFonts w:cs="Arial"/>
                <w:sz w:val="16"/>
                <w:szCs w:val="16"/>
              </w:rPr>
              <w:t>2020</w:t>
            </w:r>
          </w:p>
        </w:tc>
        <w:tc>
          <w:tcPr>
            <w:tcW w:w="1035" w:type="dxa"/>
            <w:gridSpan w:val="2"/>
            <w:tcBorders>
              <w:top w:val="single" w:sz="8" w:space="0" w:color="auto"/>
              <w:left w:val="single" w:sz="4" w:space="0" w:color="auto"/>
              <w:bottom w:val="single" w:sz="8" w:space="0" w:color="auto"/>
              <w:right w:val="single" w:sz="4" w:space="0" w:color="auto"/>
            </w:tcBorders>
            <w:shd w:val="clear" w:color="000000" w:fill="F6E8EE"/>
            <w:vAlign w:val="center"/>
          </w:tcPr>
          <w:p w14:paraId="1A1A20F3" w14:textId="153278D6" w:rsidR="008E6419" w:rsidRPr="0090524C" w:rsidRDefault="008E6419" w:rsidP="008E6419">
            <w:pPr>
              <w:spacing w:after="0" w:line="240" w:lineRule="auto"/>
              <w:jc w:val="center"/>
              <w:rPr>
                <w:rFonts w:cs="Arial"/>
                <w:sz w:val="16"/>
                <w:szCs w:val="16"/>
              </w:rPr>
            </w:pPr>
            <w:r w:rsidRPr="0090524C">
              <w:rPr>
                <w:rFonts w:cs="Arial"/>
                <w:sz w:val="16"/>
                <w:szCs w:val="16"/>
              </w:rPr>
              <w:t>2021</w:t>
            </w:r>
          </w:p>
        </w:tc>
        <w:tc>
          <w:tcPr>
            <w:tcW w:w="1040" w:type="dxa"/>
            <w:gridSpan w:val="3"/>
            <w:tcBorders>
              <w:top w:val="single" w:sz="8" w:space="0" w:color="auto"/>
              <w:left w:val="single" w:sz="4" w:space="0" w:color="auto"/>
              <w:bottom w:val="single" w:sz="8" w:space="0" w:color="auto"/>
              <w:right w:val="single" w:sz="4" w:space="0" w:color="auto"/>
            </w:tcBorders>
            <w:shd w:val="clear" w:color="000000" w:fill="F6E8EE"/>
            <w:vAlign w:val="center"/>
          </w:tcPr>
          <w:p w14:paraId="776ED4AE" w14:textId="111684C4" w:rsidR="008E6419" w:rsidRPr="0090524C" w:rsidRDefault="008E6419" w:rsidP="008E6419">
            <w:pPr>
              <w:spacing w:after="0" w:line="240" w:lineRule="auto"/>
              <w:jc w:val="center"/>
              <w:rPr>
                <w:rFonts w:cs="Arial"/>
                <w:sz w:val="16"/>
                <w:szCs w:val="16"/>
              </w:rPr>
            </w:pPr>
            <w:r w:rsidRPr="0090524C">
              <w:rPr>
                <w:rFonts w:cs="Arial"/>
                <w:sz w:val="16"/>
                <w:szCs w:val="16"/>
              </w:rPr>
              <w:t>2022</w:t>
            </w:r>
          </w:p>
        </w:tc>
        <w:tc>
          <w:tcPr>
            <w:tcW w:w="1034" w:type="dxa"/>
            <w:tcBorders>
              <w:top w:val="single" w:sz="8" w:space="0" w:color="auto"/>
              <w:left w:val="single" w:sz="4" w:space="0" w:color="auto"/>
              <w:bottom w:val="single" w:sz="8" w:space="0" w:color="auto"/>
              <w:right w:val="nil"/>
            </w:tcBorders>
            <w:shd w:val="clear" w:color="000000" w:fill="F6E8EE"/>
            <w:vAlign w:val="center"/>
          </w:tcPr>
          <w:p w14:paraId="71E1FF35" w14:textId="3F4866DB" w:rsidR="008E6419" w:rsidRPr="0090524C" w:rsidRDefault="008E6419" w:rsidP="008E6419">
            <w:pPr>
              <w:spacing w:after="0" w:line="240" w:lineRule="auto"/>
              <w:jc w:val="center"/>
              <w:rPr>
                <w:rFonts w:cs="Arial"/>
                <w:sz w:val="16"/>
                <w:szCs w:val="16"/>
              </w:rPr>
            </w:pPr>
            <w:r w:rsidRPr="0090524C">
              <w:rPr>
                <w:rFonts w:cs="Arial"/>
                <w:sz w:val="16"/>
                <w:szCs w:val="16"/>
              </w:rPr>
              <w:t>2023</w:t>
            </w:r>
          </w:p>
        </w:tc>
      </w:tr>
      <w:tr w:rsidR="008E6419" w:rsidRPr="0090524C" w14:paraId="5B71D713" w14:textId="77777777" w:rsidTr="008E6419">
        <w:trPr>
          <w:trHeight w:val="285"/>
        </w:trPr>
        <w:tc>
          <w:tcPr>
            <w:tcW w:w="4817" w:type="dxa"/>
            <w:tcBorders>
              <w:top w:val="single" w:sz="8" w:space="0" w:color="auto"/>
              <w:left w:val="nil"/>
              <w:bottom w:val="nil"/>
              <w:right w:val="single" w:sz="4" w:space="0" w:color="auto"/>
            </w:tcBorders>
            <w:shd w:val="clear" w:color="auto" w:fill="auto"/>
            <w:noWrap/>
            <w:vAlign w:val="bottom"/>
            <w:hideMark/>
          </w:tcPr>
          <w:p w14:paraId="12E0967F" w14:textId="02D401F9" w:rsidR="008E6419" w:rsidRPr="0090524C" w:rsidRDefault="008E6419" w:rsidP="008E6419">
            <w:pPr>
              <w:spacing w:after="0" w:line="240" w:lineRule="auto"/>
              <w:rPr>
                <w:rFonts w:cs="Arial"/>
                <w:sz w:val="16"/>
                <w:szCs w:val="16"/>
              </w:rPr>
            </w:pPr>
            <w:r w:rsidRPr="0090524C">
              <w:rPr>
                <w:rFonts w:cs="Arial"/>
                <w:sz w:val="16"/>
                <w:szCs w:val="16"/>
              </w:rPr>
              <w:t>Počet vyšetřených domácností</w:t>
            </w:r>
          </w:p>
        </w:tc>
        <w:tc>
          <w:tcPr>
            <w:tcW w:w="1034" w:type="dxa"/>
            <w:tcBorders>
              <w:top w:val="single" w:sz="8" w:space="0" w:color="auto"/>
              <w:left w:val="single" w:sz="4" w:space="0" w:color="auto"/>
              <w:bottom w:val="nil"/>
              <w:right w:val="single" w:sz="4" w:space="0" w:color="auto"/>
            </w:tcBorders>
            <w:shd w:val="clear" w:color="auto" w:fill="auto"/>
            <w:noWrap/>
            <w:vAlign w:val="bottom"/>
            <w:hideMark/>
          </w:tcPr>
          <w:p w14:paraId="492FAD44" w14:textId="7F386FDA" w:rsidR="008E6419" w:rsidRPr="0090524C" w:rsidRDefault="008E6419" w:rsidP="008E6419">
            <w:pPr>
              <w:spacing w:after="0" w:line="240" w:lineRule="auto"/>
              <w:jc w:val="right"/>
              <w:rPr>
                <w:rFonts w:cs="Arial"/>
                <w:sz w:val="16"/>
                <w:szCs w:val="16"/>
              </w:rPr>
            </w:pPr>
            <w:r w:rsidRPr="0090524C">
              <w:rPr>
                <w:rFonts w:cs="Arial"/>
                <w:sz w:val="16"/>
                <w:szCs w:val="16"/>
              </w:rPr>
              <w:t>1 571</w:t>
            </w:r>
          </w:p>
        </w:tc>
        <w:tc>
          <w:tcPr>
            <w:tcW w:w="1035" w:type="dxa"/>
            <w:gridSpan w:val="2"/>
            <w:tcBorders>
              <w:top w:val="single" w:sz="8" w:space="0" w:color="auto"/>
              <w:left w:val="single" w:sz="4" w:space="0" w:color="auto"/>
              <w:bottom w:val="nil"/>
              <w:right w:val="single" w:sz="4" w:space="0" w:color="auto"/>
            </w:tcBorders>
            <w:shd w:val="clear" w:color="auto" w:fill="auto"/>
            <w:vAlign w:val="bottom"/>
          </w:tcPr>
          <w:p w14:paraId="4CFA2F0C" w14:textId="33280212" w:rsidR="008E6419" w:rsidRPr="0090524C" w:rsidRDefault="008E6419" w:rsidP="008E6419">
            <w:pPr>
              <w:spacing w:after="0" w:line="240" w:lineRule="auto"/>
              <w:jc w:val="right"/>
              <w:rPr>
                <w:rFonts w:cs="Arial"/>
                <w:sz w:val="16"/>
                <w:szCs w:val="16"/>
              </w:rPr>
            </w:pPr>
            <w:r w:rsidRPr="0090524C">
              <w:rPr>
                <w:rFonts w:cs="Arial"/>
                <w:sz w:val="16"/>
                <w:szCs w:val="16"/>
              </w:rPr>
              <w:t>1 551</w:t>
            </w:r>
          </w:p>
        </w:tc>
        <w:tc>
          <w:tcPr>
            <w:tcW w:w="1040" w:type="dxa"/>
            <w:gridSpan w:val="3"/>
            <w:tcBorders>
              <w:top w:val="single" w:sz="8" w:space="0" w:color="auto"/>
              <w:left w:val="single" w:sz="4" w:space="0" w:color="auto"/>
              <w:bottom w:val="nil"/>
              <w:right w:val="single" w:sz="4" w:space="0" w:color="auto"/>
            </w:tcBorders>
            <w:shd w:val="clear" w:color="auto" w:fill="auto"/>
            <w:noWrap/>
            <w:vAlign w:val="bottom"/>
            <w:hideMark/>
          </w:tcPr>
          <w:p w14:paraId="34EBBFF1" w14:textId="6EA0DD9A" w:rsidR="008E6419" w:rsidRPr="0090524C" w:rsidRDefault="008E6419" w:rsidP="008E6419">
            <w:pPr>
              <w:spacing w:after="0" w:line="240" w:lineRule="auto"/>
              <w:jc w:val="right"/>
              <w:rPr>
                <w:rFonts w:cs="Arial"/>
                <w:sz w:val="16"/>
                <w:szCs w:val="16"/>
              </w:rPr>
            </w:pPr>
            <w:r w:rsidRPr="0090524C">
              <w:rPr>
                <w:rFonts w:cs="Arial"/>
                <w:sz w:val="16"/>
                <w:szCs w:val="16"/>
              </w:rPr>
              <w:t>1 604</w:t>
            </w:r>
          </w:p>
        </w:tc>
        <w:tc>
          <w:tcPr>
            <w:tcW w:w="1034" w:type="dxa"/>
            <w:tcBorders>
              <w:top w:val="single" w:sz="8" w:space="0" w:color="auto"/>
              <w:left w:val="single" w:sz="4" w:space="0" w:color="auto"/>
              <w:bottom w:val="nil"/>
              <w:right w:val="nil"/>
            </w:tcBorders>
            <w:shd w:val="clear" w:color="auto" w:fill="auto"/>
            <w:noWrap/>
            <w:vAlign w:val="bottom"/>
            <w:hideMark/>
          </w:tcPr>
          <w:p w14:paraId="532F5F8F" w14:textId="4FDF4320" w:rsidR="008E6419" w:rsidRPr="0090524C" w:rsidRDefault="008E6419" w:rsidP="008E6419">
            <w:pPr>
              <w:spacing w:after="0" w:line="240" w:lineRule="auto"/>
              <w:jc w:val="right"/>
              <w:rPr>
                <w:rFonts w:cs="Arial"/>
                <w:sz w:val="16"/>
                <w:szCs w:val="16"/>
              </w:rPr>
            </w:pPr>
            <w:r w:rsidRPr="0090524C">
              <w:rPr>
                <w:rFonts w:cs="Arial"/>
                <w:sz w:val="16"/>
                <w:szCs w:val="16"/>
              </w:rPr>
              <w:t>1 642</w:t>
            </w:r>
          </w:p>
        </w:tc>
      </w:tr>
      <w:tr w:rsidR="008E6419" w:rsidRPr="0090524C" w14:paraId="73AEFC3D" w14:textId="77777777" w:rsidTr="008E6419">
        <w:trPr>
          <w:trHeight w:val="285"/>
        </w:trPr>
        <w:tc>
          <w:tcPr>
            <w:tcW w:w="4817" w:type="dxa"/>
            <w:tcBorders>
              <w:top w:val="nil"/>
              <w:left w:val="nil"/>
              <w:right w:val="single" w:sz="4" w:space="0" w:color="auto"/>
            </w:tcBorders>
            <w:shd w:val="clear" w:color="auto" w:fill="auto"/>
            <w:noWrap/>
            <w:vAlign w:val="bottom"/>
          </w:tcPr>
          <w:p w14:paraId="3B9F4DB9" w14:textId="64084D9E" w:rsidR="008E6419" w:rsidRPr="0090524C" w:rsidRDefault="008E6419" w:rsidP="008E6419">
            <w:pPr>
              <w:spacing w:after="0" w:line="240" w:lineRule="auto"/>
              <w:rPr>
                <w:rFonts w:cs="Arial"/>
                <w:sz w:val="16"/>
                <w:szCs w:val="16"/>
              </w:rPr>
            </w:pPr>
            <w:r w:rsidRPr="0090524C">
              <w:rPr>
                <w:rFonts w:cs="Arial"/>
                <w:sz w:val="16"/>
                <w:szCs w:val="16"/>
              </w:rPr>
              <w:t>Podíl vyšetřených domácností</w:t>
            </w:r>
            <w:r w:rsidRPr="0090524C">
              <w:rPr>
                <w:rFonts w:cs="Arial"/>
                <w:sz w:val="16"/>
                <w:szCs w:val="16"/>
                <w:vertAlign w:val="superscript"/>
              </w:rPr>
              <w:t>1)</w:t>
            </w:r>
            <w:r w:rsidRPr="0090524C">
              <w:rPr>
                <w:rFonts w:cs="Arial"/>
                <w:sz w:val="16"/>
                <w:szCs w:val="16"/>
              </w:rPr>
              <w:t xml:space="preserve"> (%)</w:t>
            </w:r>
          </w:p>
        </w:tc>
        <w:tc>
          <w:tcPr>
            <w:tcW w:w="1034" w:type="dxa"/>
            <w:tcBorders>
              <w:top w:val="nil"/>
              <w:left w:val="single" w:sz="4" w:space="0" w:color="auto"/>
              <w:right w:val="single" w:sz="4" w:space="0" w:color="auto"/>
            </w:tcBorders>
            <w:shd w:val="clear" w:color="auto" w:fill="auto"/>
            <w:noWrap/>
            <w:vAlign w:val="bottom"/>
          </w:tcPr>
          <w:p w14:paraId="7AC300EF" w14:textId="19AAF1AB" w:rsidR="008E6419" w:rsidRPr="0090524C" w:rsidRDefault="008E6419" w:rsidP="008E6419">
            <w:pPr>
              <w:spacing w:after="0" w:line="240" w:lineRule="auto"/>
              <w:jc w:val="right"/>
              <w:rPr>
                <w:rFonts w:cs="Arial"/>
                <w:sz w:val="16"/>
                <w:szCs w:val="16"/>
              </w:rPr>
            </w:pPr>
            <w:r w:rsidRPr="0090524C">
              <w:rPr>
                <w:rFonts w:cs="Arial"/>
                <w:sz w:val="16"/>
                <w:szCs w:val="16"/>
              </w:rPr>
              <w:t>76,2</w:t>
            </w:r>
          </w:p>
        </w:tc>
        <w:tc>
          <w:tcPr>
            <w:tcW w:w="1035" w:type="dxa"/>
            <w:gridSpan w:val="2"/>
            <w:tcBorders>
              <w:top w:val="nil"/>
              <w:left w:val="single" w:sz="4" w:space="0" w:color="auto"/>
              <w:right w:val="single" w:sz="4" w:space="0" w:color="auto"/>
            </w:tcBorders>
            <w:shd w:val="clear" w:color="auto" w:fill="auto"/>
            <w:vAlign w:val="bottom"/>
          </w:tcPr>
          <w:p w14:paraId="69757BEF" w14:textId="4E05EF35" w:rsidR="008E6419" w:rsidRPr="0090524C" w:rsidRDefault="008E6419" w:rsidP="008E6419">
            <w:pPr>
              <w:spacing w:after="0" w:line="240" w:lineRule="auto"/>
              <w:jc w:val="right"/>
              <w:rPr>
                <w:rFonts w:cs="Arial"/>
                <w:sz w:val="16"/>
                <w:szCs w:val="16"/>
              </w:rPr>
            </w:pPr>
            <w:r w:rsidRPr="0090524C">
              <w:rPr>
                <w:rFonts w:cs="Arial"/>
                <w:sz w:val="16"/>
                <w:szCs w:val="16"/>
              </w:rPr>
              <w:t>76,4</w:t>
            </w:r>
          </w:p>
        </w:tc>
        <w:tc>
          <w:tcPr>
            <w:tcW w:w="1040" w:type="dxa"/>
            <w:gridSpan w:val="3"/>
            <w:tcBorders>
              <w:top w:val="nil"/>
              <w:left w:val="single" w:sz="4" w:space="0" w:color="auto"/>
              <w:right w:val="single" w:sz="4" w:space="0" w:color="auto"/>
            </w:tcBorders>
            <w:shd w:val="clear" w:color="auto" w:fill="auto"/>
            <w:noWrap/>
            <w:vAlign w:val="bottom"/>
          </w:tcPr>
          <w:p w14:paraId="5B2075D6" w14:textId="7E0C82AE" w:rsidR="008E6419" w:rsidRPr="0090524C" w:rsidRDefault="008E6419" w:rsidP="008E6419">
            <w:pPr>
              <w:spacing w:after="0" w:line="240" w:lineRule="auto"/>
              <w:jc w:val="right"/>
              <w:rPr>
                <w:rFonts w:cs="Arial"/>
                <w:sz w:val="16"/>
                <w:szCs w:val="16"/>
              </w:rPr>
            </w:pPr>
            <w:r w:rsidRPr="0090524C">
              <w:rPr>
                <w:rFonts w:cs="Arial"/>
                <w:sz w:val="16"/>
                <w:szCs w:val="16"/>
              </w:rPr>
              <w:t>77,7</w:t>
            </w:r>
          </w:p>
        </w:tc>
        <w:tc>
          <w:tcPr>
            <w:tcW w:w="1034" w:type="dxa"/>
            <w:tcBorders>
              <w:top w:val="nil"/>
              <w:left w:val="single" w:sz="4" w:space="0" w:color="auto"/>
              <w:right w:val="nil"/>
            </w:tcBorders>
            <w:shd w:val="clear" w:color="auto" w:fill="auto"/>
            <w:noWrap/>
            <w:vAlign w:val="bottom"/>
          </w:tcPr>
          <w:p w14:paraId="07556FCF" w14:textId="74A247A2" w:rsidR="008E6419" w:rsidRPr="0090524C" w:rsidRDefault="008E6419" w:rsidP="008E6419">
            <w:pPr>
              <w:spacing w:after="0" w:line="240" w:lineRule="auto"/>
              <w:jc w:val="right"/>
              <w:rPr>
                <w:rFonts w:cs="Arial"/>
                <w:sz w:val="16"/>
                <w:szCs w:val="16"/>
              </w:rPr>
            </w:pPr>
            <w:r w:rsidRPr="0090524C">
              <w:rPr>
                <w:rFonts w:cs="Arial"/>
                <w:sz w:val="16"/>
                <w:szCs w:val="16"/>
              </w:rPr>
              <w:t>79,6</w:t>
            </w:r>
          </w:p>
        </w:tc>
      </w:tr>
      <w:tr w:rsidR="008E6419" w:rsidRPr="0090524C" w14:paraId="1D48F984" w14:textId="77777777" w:rsidTr="008E6419">
        <w:trPr>
          <w:trHeight w:val="20"/>
        </w:trPr>
        <w:tc>
          <w:tcPr>
            <w:tcW w:w="4817" w:type="dxa"/>
            <w:tcBorders>
              <w:top w:val="nil"/>
              <w:left w:val="nil"/>
              <w:bottom w:val="nil"/>
            </w:tcBorders>
            <w:shd w:val="clear" w:color="auto" w:fill="auto"/>
            <w:noWrap/>
            <w:vAlign w:val="bottom"/>
          </w:tcPr>
          <w:p w14:paraId="1B0F982A" w14:textId="77777777" w:rsidR="008E6419" w:rsidRPr="0090524C" w:rsidRDefault="008E6419" w:rsidP="008B47F9">
            <w:pPr>
              <w:spacing w:after="0" w:line="240" w:lineRule="auto"/>
              <w:rPr>
                <w:rFonts w:cs="Arial"/>
                <w:sz w:val="16"/>
                <w:szCs w:val="16"/>
              </w:rPr>
            </w:pPr>
          </w:p>
        </w:tc>
        <w:tc>
          <w:tcPr>
            <w:tcW w:w="1379" w:type="dxa"/>
            <w:gridSpan w:val="2"/>
            <w:tcBorders>
              <w:top w:val="nil"/>
              <w:bottom w:val="nil"/>
            </w:tcBorders>
            <w:shd w:val="clear" w:color="auto" w:fill="auto"/>
            <w:noWrap/>
            <w:vAlign w:val="bottom"/>
          </w:tcPr>
          <w:p w14:paraId="404D3B3B" w14:textId="77777777" w:rsidR="008E6419" w:rsidRPr="0090524C" w:rsidRDefault="008E6419" w:rsidP="008B47F9">
            <w:pPr>
              <w:spacing w:after="0" w:line="240" w:lineRule="auto"/>
              <w:jc w:val="right"/>
              <w:rPr>
                <w:rFonts w:cs="Arial"/>
                <w:sz w:val="16"/>
                <w:szCs w:val="16"/>
              </w:rPr>
            </w:pPr>
          </w:p>
        </w:tc>
        <w:tc>
          <w:tcPr>
            <w:tcW w:w="1380" w:type="dxa"/>
            <w:gridSpan w:val="2"/>
            <w:tcBorders>
              <w:top w:val="nil"/>
              <w:bottom w:val="nil"/>
            </w:tcBorders>
            <w:shd w:val="clear" w:color="auto" w:fill="auto"/>
            <w:noWrap/>
            <w:vAlign w:val="bottom"/>
          </w:tcPr>
          <w:p w14:paraId="6DE61435" w14:textId="77777777" w:rsidR="008E6419" w:rsidRPr="0090524C" w:rsidRDefault="008E6419" w:rsidP="008B47F9">
            <w:pPr>
              <w:spacing w:after="0" w:line="240" w:lineRule="auto"/>
              <w:jc w:val="right"/>
              <w:rPr>
                <w:rFonts w:cs="Arial"/>
                <w:sz w:val="16"/>
                <w:szCs w:val="16"/>
              </w:rPr>
            </w:pPr>
          </w:p>
        </w:tc>
        <w:tc>
          <w:tcPr>
            <w:tcW w:w="1384" w:type="dxa"/>
            <w:gridSpan w:val="3"/>
            <w:tcBorders>
              <w:top w:val="nil"/>
              <w:bottom w:val="nil"/>
              <w:right w:val="nil"/>
            </w:tcBorders>
            <w:shd w:val="clear" w:color="auto" w:fill="auto"/>
            <w:noWrap/>
            <w:vAlign w:val="bottom"/>
          </w:tcPr>
          <w:p w14:paraId="2EA223ED" w14:textId="77777777" w:rsidR="008E6419" w:rsidRPr="0090524C" w:rsidRDefault="008E6419" w:rsidP="008B47F9">
            <w:pPr>
              <w:spacing w:after="0" w:line="240" w:lineRule="auto"/>
              <w:jc w:val="right"/>
              <w:rPr>
                <w:rFonts w:cs="Arial"/>
                <w:sz w:val="16"/>
                <w:szCs w:val="16"/>
              </w:rPr>
            </w:pPr>
          </w:p>
        </w:tc>
      </w:tr>
      <w:tr w:rsidR="008E6419" w:rsidRPr="0090524C" w14:paraId="6F0FC953" w14:textId="77777777" w:rsidTr="008B47F9">
        <w:trPr>
          <w:trHeight w:val="285"/>
        </w:trPr>
        <w:tc>
          <w:tcPr>
            <w:tcW w:w="8960" w:type="dxa"/>
            <w:gridSpan w:val="8"/>
            <w:tcBorders>
              <w:top w:val="nil"/>
              <w:left w:val="nil"/>
              <w:bottom w:val="nil"/>
            </w:tcBorders>
            <w:shd w:val="clear" w:color="auto" w:fill="auto"/>
            <w:noWrap/>
          </w:tcPr>
          <w:p w14:paraId="4760C42D" w14:textId="6F7BD737" w:rsidR="008E6419" w:rsidRPr="008E6419" w:rsidRDefault="008E6419" w:rsidP="008E6419">
            <w:pPr>
              <w:spacing w:after="0" w:line="240" w:lineRule="auto"/>
              <w:rPr>
                <w:sz w:val="16"/>
              </w:rPr>
            </w:pPr>
            <w:r w:rsidRPr="0090524C">
              <w:rPr>
                <w:rFonts w:cs="Arial"/>
                <w:sz w:val="16"/>
                <w:szCs w:val="16"/>
                <w:vertAlign w:val="superscript"/>
              </w:rPr>
              <w:t>1)</w:t>
            </w:r>
            <w:r w:rsidRPr="0090524C">
              <w:rPr>
                <w:rFonts w:cs="Arial"/>
                <w:sz w:val="16"/>
                <w:szCs w:val="16"/>
              </w:rPr>
              <w:t xml:space="preserve"> </w:t>
            </w:r>
            <w:r>
              <w:rPr>
                <w:rFonts w:cs="Arial"/>
                <w:sz w:val="16"/>
                <w:szCs w:val="16"/>
              </w:rPr>
              <w:t>tj. míra response</w:t>
            </w:r>
          </w:p>
          <w:p w14:paraId="1398FC32" w14:textId="21655453" w:rsidR="008E6419" w:rsidRPr="008E6419" w:rsidRDefault="008E6419" w:rsidP="008E6419">
            <w:pPr>
              <w:pStyle w:val="Odstavecseseznamem"/>
              <w:spacing w:after="0" w:line="240" w:lineRule="auto"/>
              <w:rPr>
                <w:rFonts w:cs="Arial"/>
                <w:sz w:val="16"/>
                <w:szCs w:val="16"/>
              </w:rPr>
            </w:pPr>
          </w:p>
        </w:tc>
      </w:tr>
    </w:tbl>
    <w:p w14:paraId="47EAEB5D" w14:textId="1F8B4C97" w:rsidR="007F1350" w:rsidRPr="0090524C" w:rsidRDefault="007F1350" w:rsidP="007F1350">
      <w:pPr>
        <w:pStyle w:val="Nadpis2"/>
        <w:numPr>
          <w:ilvl w:val="1"/>
          <w:numId w:val="14"/>
        </w:numPr>
        <w:spacing w:before="360" w:after="120" w:line="360" w:lineRule="auto"/>
        <w:ind w:left="578" w:hanging="578"/>
        <w:jc w:val="both"/>
      </w:pPr>
      <w:bookmarkStart w:id="9" w:name="_Toc192671797"/>
      <w:r w:rsidRPr="0090524C">
        <w:t>Přepočet dat na úhrn populace, korekce a dopočty</w:t>
      </w:r>
      <w:bookmarkEnd w:id="9"/>
    </w:p>
    <w:p w14:paraId="13072189" w14:textId="77777777" w:rsidR="007F1350" w:rsidRPr="0090524C" w:rsidRDefault="007F1350" w:rsidP="00431B2C">
      <w:pPr>
        <w:jc w:val="both"/>
        <w:rPr>
          <w:szCs w:val="22"/>
        </w:rPr>
      </w:pPr>
      <w:r w:rsidRPr="0090524C">
        <w:rPr>
          <w:szCs w:val="22"/>
        </w:rPr>
        <w:t>Výběr pro FSD tvořil podsoubor výběru domácností ze šetření SILC, jehož výsledky byly tudíž použity jako opora pro dopočty. Významná míra non-response, ovlivněná navíc návratností v rámci šetření SILC z předchozích let, narušila složení konečného datového souboru, z něhož byly výsledky FSD zpracovány.</w:t>
      </w:r>
    </w:p>
    <w:p w14:paraId="139E3DA5" w14:textId="13C648E0" w:rsidR="007F1350" w:rsidRPr="0090524C" w:rsidRDefault="007F1350" w:rsidP="007F1350">
      <w:pPr>
        <w:jc w:val="both"/>
        <w:rPr>
          <w:szCs w:val="22"/>
        </w:rPr>
      </w:pPr>
      <w:r w:rsidRPr="0090524C">
        <w:rPr>
          <w:szCs w:val="22"/>
        </w:rPr>
        <w:t>Limitujícím faktorem pro způsob dopočtů, resp. konstrukci přepočítacích koeficientů, byl však omezený rozsah souboru domácností.</w:t>
      </w:r>
    </w:p>
    <w:p w14:paraId="38AF913F" w14:textId="4E111C8B" w:rsidR="007F1350" w:rsidRPr="0090524C" w:rsidRDefault="007F1350" w:rsidP="007F1350">
      <w:pPr>
        <w:jc w:val="both"/>
        <w:rPr>
          <w:szCs w:val="22"/>
        </w:rPr>
      </w:pPr>
      <w:r w:rsidRPr="0090524C">
        <w:rPr>
          <w:szCs w:val="22"/>
        </w:rPr>
        <w:t>Samotné dopočty zahrnovaly eliminaci úplné non-response, tj. přiřazení korekčních koeficientů pro jednotlivé domácnosti s ohledem na jejich zastoupení ve vzorku FSD ve vztahu k populačním odhadům ze SILC. Pro výpočet vah byla použita iterační metoda kalibrace vah, přičemž jako opora sloužily základní odhady úhrnů podle SILC (počet domácností, osob celkem, pracujících členů, vyživovaných dětí, nepracujících důchodců a nezaměstnaných osob), včetně vybraných charakteristik používaných k třídění domácností v publikovaných výstupech:</w:t>
      </w:r>
    </w:p>
    <w:p w14:paraId="42640177" w14:textId="4C0C27A8" w:rsidR="007F1350" w:rsidRPr="0090524C" w:rsidRDefault="007F1350" w:rsidP="00915EBD">
      <w:pPr>
        <w:pStyle w:val="Odrky"/>
        <w:numPr>
          <w:ilvl w:val="0"/>
          <w:numId w:val="17"/>
        </w:numPr>
        <w:rPr>
          <w:sz w:val="20"/>
          <w:szCs w:val="22"/>
        </w:rPr>
      </w:pPr>
      <w:r w:rsidRPr="0090524C">
        <w:rPr>
          <w:sz w:val="20"/>
          <w:szCs w:val="22"/>
        </w:rPr>
        <w:t>4 skupiny domácností podle postavení osoby v čele (zaměstnanci s nižším / vyšším vzděláním, samostatně činní, důchodci);</w:t>
      </w:r>
    </w:p>
    <w:p w14:paraId="11991B6F" w14:textId="77777777" w:rsidR="007F1350" w:rsidRPr="0090524C" w:rsidRDefault="007F1350" w:rsidP="00915EBD">
      <w:pPr>
        <w:pStyle w:val="Odrky"/>
        <w:numPr>
          <w:ilvl w:val="0"/>
          <w:numId w:val="17"/>
        </w:numPr>
        <w:rPr>
          <w:sz w:val="20"/>
          <w:szCs w:val="22"/>
        </w:rPr>
      </w:pPr>
      <w:r w:rsidRPr="0090524C">
        <w:rPr>
          <w:sz w:val="20"/>
          <w:szCs w:val="22"/>
        </w:rPr>
        <w:t>4 skupiny domácností podle právní formy užívání bytu (vlastní rodinný dům, byt v osobním vlastnictví, družstevní byt, pronajatý byt);</w:t>
      </w:r>
    </w:p>
    <w:p w14:paraId="39BE25B3" w14:textId="77777777" w:rsidR="007F1350" w:rsidRPr="0090524C" w:rsidRDefault="007F1350" w:rsidP="00915EBD">
      <w:pPr>
        <w:pStyle w:val="Odrky"/>
        <w:numPr>
          <w:ilvl w:val="0"/>
          <w:numId w:val="17"/>
        </w:numPr>
        <w:rPr>
          <w:sz w:val="20"/>
          <w:szCs w:val="22"/>
        </w:rPr>
      </w:pPr>
      <w:r w:rsidRPr="0090524C">
        <w:rPr>
          <w:sz w:val="20"/>
          <w:szCs w:val="22"/>
        </w:rPr>
        <w:t>2 skupiny domácností podle počtu vyživovaných dětí (bez dětí nebo s dětmi);</w:t>
      </w:r>
    </w:p>
    <w:p w14:paraId="4EB91C98" w14:textId="17876C64" w:rsidR="007F1350" w:rsidRPr="0090524C" w:rsidRDefault="00D42A1A" w:rsidP="00915EBD">
      <w:pPr>
        <w:pStyle w:val="Odrky"/>
        <w:numPr>
          <w:ilvl w:val="0"/>
          <w:numId w:val="17"/>
        </w:numPr>
        <w:rPr>
          <w:sz w:val="20"/>
          <w:szCs w:val="22"/>
        </w:rPr>
      </w:pPr>
      <w:r w:rsidRPr="0090524C">
        <w:rPr>
          <w:sz w:val="20"/>
          <w:szCs w:val="22"/>
        </w:rPr>
        <w:t>4</w:t>
      </w:r>
      <w:r w:rsidR="007F1350" w:rsidRPr="0090524C">
        <w:rPr>
          <w:sz w:val="20"/>
          <w:szCs w:val="22"/>
        </w:rPr>
        <w:t> skupin</w:t>
      </w:r>
      <w:r w:rsidRPr="0090524C">
        <w:rPr>
          <w:sz w:val="20"/>
          <w:szCs w:val="22"/>
        </w:rPr>
        <w:t>y</w:t>
      </w:r>
      <w:r w:rsidR="007F1350" w:rsidRPr="0090524C">
        <w:rPr>
          <w:sz w:val="20"/>
          <w:szCs w:val="22"/>
        </w:rPr>
        <w:t xml:space="preserve"> domácností podle velikosti obce</w:t>
      </w:r>
      <w:r w:rsidRPr="0090524C">
        <w:rPr>
          <w:sz w:val="20"/>
          <w:szCs w:val="22"/>
        </w:rPr>
        <w:t xml:space="preserve"> (do 1 999, 2 000 </w:t>
      </w:r>
      <w:r w:rsidR="00AC067D" w:rsidRPr="0090524C">
        <w:rPr>
          <w:sz w:val="20"/>
          <w:szCs w:val="22"/>
        </w:rPr>
        <w:t>až</w:t>
      </w:r>
      <w:r w:rsidRPr="0090524C">
        <w:rPr>
          <w:sz w:val="20"/>
          <w:szCs w:val="22"/>
        </w:rPr>
        <w:t xml:space="preserve"> 9 999, </w:t>
      </w:r>
      <w:r w:rsidR="00AC067D" w:rsidRPr="0090524C">
        <w:rPr>
          <w:sz w:val="20"/>
          <w:szCs w:val="22"/>
        </w:rPr>
        <w:t>10 000 až 49 999, 50 000 a více obyvatel)</w:t>
      </w:r>
      <w:r w:rsidR="007F1350" w:rsidRPr="0090524C">
        <w:rPr>
          <w:sz w:val="20"/>
          <w:szCs w:val="22"/>
        </w:rPr>
        <w:t>;</w:t>
      </w:r>
    </w:p>
    <w:p w14:paraId="2E8AC185" w14:textId="77777777" w:rsidR="007F1350" w:rsidRPr="0090524C" w:rsidRDefault="007F1350" w:rsidP="00915EBD">
      <w:pPr>
        <w:pStyle w:val="Odrky"/>
        <w:numPr>
          <w:ilvl w:val="0"/>
          <w:numId w:val="17"/>
        </w:numPr>
        <w:rPr>
          <w:sz w:val="20"/>
          <w:szCs w:val="22"/>
        </w:rPr>
      </w:pPr>
      <w:r w:rsidRPr="0090524C">
        <w:rPr>
          <w:sz w:val="20"/>
          <w:szCs w:val="22"/>
        </w:rPr>
        <w:t>5 skupin domácností podle čistého peněžního příjmu na osobu (kvintily).</w:t>
      </w:r>
    </w:p>
    <w:p w14:paraId="1C2EDE0A" w14:textId="026C15BE" w:rsidR="007F1350" w:rsidRPr="0090524C" w:rsidRDefault="007F1350" w:rsidP="007F1350">
      <w:pPr>
        <w:spacing w:before="240"/>
        <w:jc w:val="both"/>
        <w:rPr>
          <w:szCs w:val="22"/>
        </w:rPr>
      </w:pPr>
      <w:r w:rsidRPr="0090524C">
        <w:rPr>
          <w:szCs w:val="22"/>
        </w:rPr>
        <w:t xml:space="preserve">Uvedený postup </w:t>
      </w:r>
      <w:r w:rsidR="00DD023E">
        <w:rPr>
          <w:szCs w:val="22"/>
        </w:rPr>
        <w:t>reflektuje</w:t>
      </w:r>
      <w:r w:rsidR="00DD023E" w:rsidRPr="0090524C">
        <w:rPr>
          <w:szCs w:val="22"/>
        </w:rPr>
        <w:t xml:space="preserve"> </w:t>
      </w:r>
      <w:r w:rsidRPr="0090524C">
        <w:rPr>
          <w:szCs w:val="22"/>
        </w:rPr>
        <w:t>především</w:t>
      </w:r>
      <w:r w:rsidR="008B47F9">
        <w:rPr>
          <w:szCs w:val="22"/>
        </w:rPr>
        <w:t xml:space="preserve"> sociální strukturu domácností, </w:t>
      </w:r>
      <w:r w:rsidR="00DD023E">
        <w:rPr>
          <w:szCs w:val="22"/>
        </w:rPr>
        <w:t>včetně</w:t>
      </w:r>
      <w:r w:rsidRPr="0090524C">
        <w:rPr>
          <w:szCs w:val="22"/>
        </w:rPr>
        <w:t xml:space="preserve"> příjmového rozdělení.</w:t>
      </w:r>
    </w:p>
    <w:p w14:paraId="4D08ED7D" w14:textId="3138A094" w:rsidR="007F1350" w:rsidRPr="0090524C" w:rsidRDefault="007F1350" w:rsidP="007F1350">
      <w:pPr>
        <w:jc w:val="both"/>
        <w:rPr>
          <w:szCs w:val="22"/>
        </w:rPr>
      </w:pPr>
      <w:r w:rsidRPr="0090524C">
        <w:rPr>
          <w:szCs w:val="22"/>
        </w:rPr>
        <w:lastRenderedPageBreak/>
        <w:t xml:space="preserve">Pro třídění domácností podle příjmové úrovně (kvintilů) byl každé domácnosti přiřazen za příslušný rok čistý peněžní příjem zjištěný v šetření SILC (tj. za předchozí rok). </w:t>
      </w:r>
      <w:r w:rsidR="00AC067D" w:rsidRPr="0090524C">
        <w:rPr>
          <w:szCs w:val="22"/>
        </w:rPr>
        <w:t>Rok 2021 byl zpracován z údajů za domácnosti z let 2020 a 2</w:t>
      </w:r>
      <w:r w:rsidR="00915EBD" w:rsidRPr="0090524C">
        <w:rPr>
          <w:szCs w:val="22"/>
        </w:rPr>
        <w:t>021, rok 2022 z let 2021 a 2022 a</w:t>
      </w:r>
      <w:r w:rsidR="00AC067D" w:rsidRPr="0090524C">
        <w:rPr>
          <w:szCs w:val="22"/>
        </w:rPr>
        <w:t xml:space="preserve"> rok 2023 z let 2022 a 2023. </w:t>
      </w:r>
      <w:r w:rsidR="00556147" w:rsidRPr="0090524C">
        <w:rPr>
          <w:szCs w:val="22"/>
        </w:rPr>
        <w:t>Příjmy z předchozího roku byly vždy přepočteny na příslušný rok indexe</w:t>
      </w:r>
      <w:r w:rsidR="00915EBD" w:rsidRPr="0090524C">
        <w:rPr>
          <w:szCs w:val="22"/>
        </w:rPr>
        <w:t>m růstu příjmů v šetření SILC, v</w:t>
      </w:r>
      <w:r w:rsidR="00556147" w:rsidRPr="0090524C">
        <w:rPr>
          <w:szCs w:val="22"/>
        </w:rPr>
        <w:t>ýdaje a náklady na bydlení byly přepočten</w:t>
      </w:r>
      <w:r w:rsidR="00915EBD" w:rsidRPr="0090524C">
        <w:rPr>
          <w:szCs w:val="22"/>
        </w:rPr>
        <w:t>y indexem spotřebitelských cen a c</w:t>
      </w:r>
      <w:r w:rsidRPr="0090524C">
        <w:rPr>
          <w:szCs w:val="22"/>
        </w:rPr>
        <w:t>eny nemovitostí a ceny dopravních prostředků byly přepočteny pomocí průměrných (klouzavých) meziročních indexů cen nemovitostí, resp. cen osobních automobilů.</w:t>
      </w:r>
      <w:r w:rsidR="005F7A68">
        <w:rPr>
          <w:szCs w:val="22"/>
        </w:rPr>
        <w:t xml:space="preserve"> Všechny výstupy z výběrového </w:t>
      </w:r>
      <w:r w:rsidR="00AF24FE">
        <w:rPr>
          <w:szCs w:val="22"/>
        </w:rPr>
        <w:t>zjišťování</w:t>
      </w:r>
      <w:r w:rsidR="005F7A68">
        <w:rPr>
          <w:szCs w:val="22"/>
        </w:rPr>
        <w:t xml:space="preserve"> FSD jsou publikovány po převážení na celou populaci.</w:t>
      </w:r>
    </w:p>
    <w:p w14:paraId="37ED591D" w14:textId="34E2E8C2" w:rsidR="000858BF" w:rsidRPr="0090524C" w:rsidRDefault="000858BF" w:rsidP="008A38BC">
      <w:pPr>
        <w:pStyle w:val="Nadpis2"/>
        <w:numPr>
          <w:ilvl w:val="1"/>
          <w:numId w:val="14"/>
        </w:numPr>
        <w:spacing w:before="360" w:after="120" w:line="360" w:lineRule="auto"/>
        <w:ind w:left="578" w:hanging="578"/>
        <w:jc w:val="both"/>
      </w:pPr>
      <w:r w:rsidRPr="0090524C">
        <w:tab/>
      </w:r>
      <w:bookmarkStart w:id="10" w:name="_Toc192671798"/>
      <w:bookmarkStart w:id="11" w:name="_Ref192673005"/>
      <w:r w:rsidRPr="0090524C">
        <w:t xml:space="preserve">Rozdíly </w:t>
      </w:r>
      <w:r w:rsidR="00B53CEE" w:rsidRPr="0090524C">
        <w:t xml:space="preserve">ve výstupech </w:t>
      </w:r>
      <w:r w:rsidR="003D3982" w:rsidRPr="0090524C">
        <w:t>výběrových</w:t>
      </w:r>
      <w:r w:rsidR="008A38BC" w:rsidRPr="0090524C">
        <w:t xml:space="preserve"> </w:t>
      </w:r>
      <w:r w:rsidR="003D3982" w:rsidRPr="0090524C">
        <w:t>zjišťování</w:t>
      </w:r>
      <w:r w:rsidR="004C553E">
        <w:t xml:space="preserve"> v domácnostech a </w:t>
      </w:r>
      <w:r w:rsidR="00BE6C9E" w:rsidRPr="0090524C">
        <w:t>makro-agregátů</w:t>
      </w:r>
      <w:r w:rsidR="008A38BC" w:rsidRPr="0090524C">
        <w:t xml:space="preserve"> národních účtů</w:t>
      </w:r>
      <w:bookmarkEnd w:id="10"/>
      <w:bookmarkEnd w:id="11"/>
      <w:r w:rsidRPr="0090524C">
        <w:t xml:space="preserve"> </w:t>
      </w:r>
    </w:p>
    <w:p w14:paraId="6C5B86FF" w14:textId="77777777" w:rsidR="00B53CEE" w:rsidRPr="0090524C" w:rsidRDefault="008A38BC" w:rsidP="00B53CEE">
      <w:pPr>
        <w:jc w:val="both"/>
        <w:rPr>
          <w:szCs w:val="22"/>
        </w:rPr>
      </w:pPr>
      <w:r w:rsidRPr="0090524C">
        <w:rPr>
          <w:szCs w:val="22"/>
        </w:rPr>
        <w:t>Údaje o majetkových, finančních a příjmových poměrech českých domácností lze získat ze dvou hlavních zdrojů informací: z národních účtů (NÚ) a z výběrových zjišťování v domácnostech. Při porovnání výsledků je třeba mít na vědomí koncepční rozdíly mezi mikro- a makro-přístupy</w:t>
      </w:r>
      <w:r w:rsidR="00B53CEE" w:rsidRPr="0090524C">
        <w:rPr>
          <w:szCs w:val="22"/>
        </w:rPr>
        <w:t>.</w:t>
      </w:r>
    </w:p>
    <w:p w14:paraId="1E9079CF" w14:textId="2E900AFC" w:rsidR="00B53CEE" w:rsidRPr="0090524C" w:rsidRDefault="008A38BC" w:rsidP="00915EBD">
      <w:pPr>
        <w:jc w:val="both"/>
        <w:rPr>
          <w:szCs w:val="22"/>
        </w:rPr>
      </w:pPr>
      <w:r w:rsidRPr="0090524C">
        <w:rPr>
          <w:szCs w:val="22"/>
        </w:rPr>
        <w:t>NÚ zahrnují celou ekonomiku. Výběrová zjišťování se provádí na reprezentativním vzorku domácností, jehož výběrovou jednotkou je byt. Do šetření tak nejsou zahrnuty osoby žijící v instit</w:t>
      </w:r>
      <w:r w:rsidR="004C553E">
        <w:rPr>
          <w:szCs w:val="22"/>
        </w:rPr>
        <w:t>ucionálních jednotkách (např. v </w:t>
      </w:r>
      <w:r w:rsidRPr="0090524C">
        <w:rPr>
          <w:szCs w:val="22"/>
        </w:rPr>
        <w:t xml:space="preserve">domovech pro seniory, ubytovnách, hospicích, vězení). Výběrových šetření se též neúčastní lidé bez domova na spodní hranici rozdělení bohatství. Respondenti na horním konci rozdělení také nejsou plně zastoupeni, kvůli klesající ochotě bohatších domácnosti účastnit se statistických zjišťování. </w:t>
      </w:r>
      <w:r w:rsidR="00B53CEE" w:rsidRPr="0090524C">
        <w:rPr>
          <w:szCs w:val="22"/>
        </w:rPr>
        <w:t>Právě v nejvyšší příjmové skupině existuje malá skupina domácností vlastnící vysoké hodnoty finančních aktiv, které pak nejsou na rozdíl od NÚ zahrnuty ve výsledcích domácnostních šetření.</w:t>
      </w:r>
    </w:p>
    <w:p w14:paraId="644C5582" w14:textId="297B2D33" w:rsidR="008A38BC" w:rsidRPr="0090524C" w:rsidRDefault="008A38BC" w:rsidP="00915EBD">
      <w:pPr>
        <w:jc w:val="both"/>
        <w:rPr>
          <w:szCs w:val="22"/>
        </w:rPr>
      </w:pPr>
      <w:r w:rsidRPr="0090524C">
        <w:rPr>
          <w:szCs w:val="22"/>
        </w:rPr>
        <w:t xml:space="preserve">Kromě odlišného zastoupení skupin existuje také řada koncepčních a metodických odlišností v přístupu sestavování jednotlivých ukazatelů na úrovni ekonomiky a na úrovni domácností, např. zahrnutí imputovaného nájemného nebo naturálních sociálních transferů (transfery domácnostem od vládních institucí na zdravotní péči, vzdělání apod.) do příjmů </w:t>
      </w:r>
      <w:r w:rsidR="00B53CEE" w:rsidRPr="0090524C">
        <w:rPr>
          <w:szCs w:val="22"/>
        </w:rPr>
        <w:t xml:space="preserve">a skutečné spotřeby </w:t>
      </w:r>
      <w:r w:rsidRPr="0090524C">
        <w:rPr>
          <w:szCs w:val="22"/>
        </w:rPr>
        <w:t xml:space="preserve">domácností v </w:t>
      </w:r>
      <w:r w:rsidR="00B53CEE" w:rsidRPr="0090524C">
        <w:rPr>
          <w:szCs w:val="22"/>
        </w:rPr>
        <w:t>NÚ</w:t>
      </w:r>
      <w:r w:rsidRPr="0090524C">
        <w:rPr>
          <w:szCs w:val="22"/>
        </w:rPr>
        <w:t xml:space="preserve"> oproti uvedení skutečných příjmů </w:t>
      </w:r>
      <w:r w:rsidR="00B53CEE" w:rsidRPr="0090524C">
        <w:rPr>
          <w:szCs w:val="22"/>
        </w:rPr>
        <w:t>respondenty ve výběrových</w:t>
      </w:r>
      <w:r w:rsidRPr="0090524C">
        <w:rPr>
          <w:szCs w:val="22"/>
        </w:rPr>
        <w:t xml:space="preserve"> zjišťování </w:t>
      </w:r>
      <w:r w:rsidR="00B53CEE" w:rsidRPr="0090524C">
        <w:rPr>
          <w:szCs w:val="22"/>
        </w:rPr>
        <w:t>v domácnostech</w:t>
      </w:r>
      <w:r w:rsidRPr="0090524C">
        <w:rPr>
          <w:szCs w:val="22"/>
        </w:rPr>
        <w:t>.</w:t>
      </w:r>
      <w:r w:rsidR="007124DF" w:rsidRPr="0090524C">
        <w:rPr>
          <w:szCs w:val="22"/>
        </w:rPr>
        <w:t xml:space="preserve"> Rozdíly jsou též u nefinančních aktiv, kde na rozdíl od oceňování v národních účtech jsou výstupy z domácnostních šetření založené na odpovědích respondentů.  </w:t>
      </w:r>
    </w:p>
    <w:p w14:paraId="29255AF1" w14:textId="02850C4E" w:rsidR="005F7A68" w:rsidRDefault="00E36D65" w:rsidP="005F7A68">
      <w:pPr>
        <w:jc w:val="both"/>
      </w:pPr>
      <w:r w:rsidRPr="0090524C">
        <w:rPr>
          <w:szCs w:val="22"/>
        </w:rPr>
        <w:t>V rámci ČSÚ byla zpracována analýza</w:t>
      </w:r>
      <w:r w:rsidR="005F7A68">
        <w:rPr>
          <w:szCs w:val="22"/>
        </w:rPr>
        <w:t xml:space="preserve"> srovnání vybraných dat z FSD a NÚ. </w:t>
      </w:r>
      <w:r w:rsidR="00C83506">
        <w:fldChar w:fldCharType="begin"/>
      </w:r>
      <w:r w:rsidR="00C83506">
        <w:rPr>
          <w:szCs w:val="22"/>
        </w:rPr>
        <w:instrText xml:space="preserve"> REF Tab2 \h </w:instrText>
      </w:r>
      <w:r w:rsidR="00C83506">
        <w:fldChar w:fldCharType="separate"/>
      </w:r>
      <w:r w:rsidR="00267209" w:rsidRPr="005F289D">
        <w:t xml:space="preserve">Tab. </w:t>
      </w:r>
      <w:r w:rsidR="00267209">
        <w:rPr>
          <w:noProof/>
        </w:rPr>
        <w:t>2</w:t>
      </w:r>
      <w:r w:rsidR="00C83506">
        <w:fldChar w:fldCharType="end"/>
      </w:r>
      <w:r w:rsidR="00C14F31">
        <w:t xml:space="preserve"> </w:t>
      </w:r>
      <w:r w:rsidR="005F7A68">
        <w:t>ukazuje procentní podíl vybraných ukazatelů z FSD (agregovaných</w:t>
      </w:r>
      <w:r w:rsidR="005F7A68" w:rsidRPr="00686739">
        <w:t xml:space="preserve"> n</w:t>
      </w:r>
      <w:r w:rsidR="005F7A68">
        <w:t>a celou ekonomiku) na hodnotě</w:t>
      </w:r>
      <w:r w:rsidR="005F7A68" w:rsidRPr="00686739">
        <w:t xml:space="preserve"> odpovídajících ukazatelů z</w:t>
      </w:r>
      <w:r w:rsidR="005F7A68">
        <w:t> </w:t>
      </w:r>
      <w:r w:rsidR="005F7A68" w:rsidRPr="00686739">
        <w:t>NÚ</w:t>
      </w:r>
      <w:r w:rsidR="005F7A68">
        <w:rPr>
          <w:rStyle w:val="Znakapoznpodarou"/>
        </w:rPr>
        <w:footnoteReference w:id="1"/>
      </w:r>
      <w:r w:rsidR="005F7A68">
        <w:t>, přičemž upozorňuje na rozdíly mezi těmito zdroji dat popsané výše. Výsledky ukazují, že výběrová šetření, jako je FSD, nejsou plně srovnatelná s makroekonomickými agregáty NÚ, a to především kvůli rozdílům v metodologii, pokrytí a definicích jednotlivých kategorií majetku a závazků.</w:t>
      </w:r>
    </w:p>
    <w:p w14:paraId="3B518D5C" w14:textId="7FA6E92B" w:rsidR="0057316C" w:rsidRDefault="00E36D65" w:rsidP="0090524C">
      <w:pPr>
        <w:jc w:val="both"/>
        <w:rPr>
          <w:szCs w:val="22"/>
        </w:rPr>
      </w:pPr>
      <w:r w:rsidRPr="0090524C">
        <w:rPr>
          <w:szCs w:val="22"/>
        </w:rPr>
        <w:t xml:space="preserve"> </w:t>
      </w:r>
    </w:p>
    <w:p w14:paraId="26364921" w14:textId="77777777" w:rsidR="0057316C" w:rsidRPr="000B207E" w:rsidRDefault="0057316C" w:rsidP="000B207E">
      <w:pPr>
        <w:jc w:val="both"/>
        <w:rPr>
          <w:szCs w:val="22"/>
        </w:rPr>
      </w:pPr>
      <w:r w:rsidRPr="000B207E">
        <w:rPr>
          <w:szCs w:val="22"/>
        </w:rPr>
        <w:lastRenderedPageBreak/>
        <w:t>Finanční aktiva ve FSD tvoří přibližně pětinu finančních aktiv vykázaných v NÚ, což potvrzuje, že šetření FSD není schopno zcela zachytit finanční situaci nejbohatších domácností. Tyto domácnosti vlastní značný podíl finančních aktiv a současně mají nejnižší ochotu účastnit se výběrových šetření, což vede k podhodnocení jejich skutečné finanční situace ve FSD. U finančních závazků je situace složitější. Srovnání komplikují dva faktory. Za prvé, výše zmíněný efekt nejbohatších domácností, které mají v absolutních hodnotách také největší závazky, ale nejsou plně zastoupeny v šetření. Za druhé, rozdíly v definici hypotečních úvěrů v rámci FSD. Ve FSD jsou zahrnuty pouze hypotéky, které jsou zajištěny financovanou nemovitostí, tedy hypotéky na hlavní bydlení a hypotéky na další nemovitosti. V českém trhu však existují hypotéky, které jsou zajištěny více než jednou nemovitostí (viz ČNB 2023), nebo hypotéky na družstevní byty, které nemohou být použity jako zástava. Tyto úvěry bývají zajištěny jinými nemovitostmi a ve FSD nejsou zaznamenány jako hypoteční úvěry, což ovlivňuje celkové vykázané hodnoty hypotečního zadlužení. Tyto rozdíly naznačují, že při interpretaci dat z výběrových šetření je třeba brát v úvahu nejen metodologická omezení, ale i strukturální charakteristiky domácností, které se těchto šetření účastní.</w:t>
      </w:r>
    </w:p>
    <w:tbl>
      <w:tblPr>
        <w:tblW w:w="8960" w:type="dxa"/>
        <w:tblLayout w:type="fixed"/>
        <w:tblCellMar>
          <w:left w:w="70" w:type="dxa"/>
          <w:right w:w="70" w:type="dxa"/>
        </w:tblCellMar>
        <w:tblLook w:val="04A0" w:firstRow="1" w:lastRow="0" w:firstColumn="1" w:lastColumn="0" w:noHBand="0" w:noVBand="1"/>
      </w:tblPr>
      <w:tblGrid>
        <w:gridCol w:w="4820"/>
        <w:gridCol w:w="1380"/>
        <w:gridCol w:w="1380"/>
        <w:gridCol w:w="200"/>
        <w:gridCol w:w="1180"/>
      </w:tblGrid>
      <w:tr w:rsidR="001D6F06" w:rsidRPr="0090524C" w14:paraId="6EFF8E7A" w14:textId="77777777" w:rsidTr="001D6F06">
        <w:trPr>
          <w:trHeight w:val="285"/>
        </w:trPr>
        <w:tc>
          <w:tcPr>
            <w:tcW w:w="8960" w:type="dxa"/>
            <w:gridSpan w:val="5"/>
            <w:tcBorders>
              <w:top w:val="nil"/>
              <w:left w:val="nil"/>
              <w:bottom w:val="nil"/>
              <w:right w:val="nil"/>
            </w:tcBorders>
            <w:shd w:val="clear" w:color="auto" w:fill="auto"/>
            <w:noWrap/>
            <w:vAlign w:val="bottom"/>
            <w:hideMark/>
          </w:tcPr>
          <w:p w14:paraId="44DD0B19" w14:textId="1C934F60" w:rsidR="001D6F06" w:rsidRPr="0090524C" w:rsidRDefault="005F289D" w:rsidP="005F7A68">
            <w:pPr>
              <w:pStyle w:val="Titulek"/>
              <w:rPr>
                <w:rFonts w:ascii="Times New Roman" w:hAnsi="Times New Roman"/>
              </w:rPr>
            </w:pPr>
            <w:bookmarkStart w:id="12" w:name="_Ref189656536"/>
            <w:bookmarkStart w:id="13" w:name="_Ref192000349"/>
            <w:bookmarkStart w:id="14" w:name="Tab2"/>
            <w:bookmarkStart w:id="15" w:name="Tab9"/>
            <w:bookmarkStart w:id="16" w:name="_Toc192512780"/>
            <w:r w:rsidRPr="005F289D">
              <w:t xml:space="preserve">Tab. </w:t>
            </w:r>
            <w:r w:rsidR="0057316C">
              <w:fldChar w:fldCharType="begin"/>
            </w:r>
            <w:r w:rsidR="0057316C">
              <w:instrText xml:space="preserve"> SEQ Tab. \* ARABIC </w:instrText>
            </w:r>
            <w:r w:rsidR="0057316C">
              <w:fldChar w:fldCharType="separate"/>
            </w:r>
            <w:r w:rsidR="00267209">
              <w:rPr>
                <w:noProof/>
              </w:rPr>
              <w:t>2</w:t>
            </w:r>
            <w:r w:rsidR="0057316C">
              <w:rPr>
                <w:noProof/>
              </w:rPr>
              <w:fldChar w:fldCharType="end"/>
            </w:r>
            <w:bookmarkEnd w:id="12"/>
            <w:bookmarkEnd w:id="13"/>
            <w:bookmarkEnd w:id="14"/>
            <w:r w:rsidRPr="005F289D">
              <w:t xml:space="preserve"> </w:t>
            </w:r>
            <w:bookmarkEnd w:id="15"/>
            <w:r w:rsidR="005F7A68" w:rsidRPr="00F62701">
              <w:rPr>
                <w:rFonts w:cs="Arial"/>
                <w:bCs/>
                <w:color w:val="000000"/>
                <w:szCs w:val="20"/>
              </w:rPr>
              <w:t>Vybrané ukazatele z FSD (agregované na celou ekonomiku) jako procento hodnoty odpovídajících ukazatelů z NÚ</w:t>
            </w:r>
            <w:bookmarkEnd w:id="16"/>
          </w:p>
        </w:tc>
      </w:tr>
      <w:tr w:rsidR="001D6F06" w:rsidRPr="0090524C" w14:paraId="57D019A9" w14:textId="77777777" w:rsidTr="001D6F06">
        <w:trPr>
          <w:trHeight w:val="300"/>
        </w:trPr>
        <w:tc>
          <w:tcPr>
            <w:tcW w:w="7780" w:type="dxa"/>
            <w:gridSpan w:val="4"/>
            <w:tcBorders>
              <w:top w:val="nil"/>
              <w:left w:val="nil"/>
              <w:bottom w:val="single" w:sz="8" w:space="0" w:color="auto"/>
              <w:right w:val="nil"/>
            </w:tcBorders>
            <w:shd w:val="clear" w:color="auto" w:fill="auto"/>
            <w:noWrap/>
            <w:vAlign w:val="bottom"/>
            <w:hideMark/>
          </w:tcPr>
          <w:p w14:paraId="5D09DAB3" w14:textId="76A5E180" w:rsidR="001D6F06" w:rsidRPr="0090524C" w:rsidRDefault="001D6F06" w:rsidP="001D6F06">
            <w:pPr>
              <w:spacing w:after="0" w:line="240" w:lineRule="auto"/>
              <w:rPr>
                <w:rFonts w:ascii="Times New Roman" w:hAnsi="Times New Roman"/>
                <w:szCs w:val="20"/>
              </w:rPr>
            </w:pPr>
            <w:r w:rsidRPr="0090524C">
              <w:rPr>
                <w:rFonts w:cs="Arial"/>
                <w:color w:val="000000"/>
                <w:sz w:val="16"/>
                <w:szCs w:val="16"/>
              </w:rPr>
              <w:t xml:space="preserve">Zdroj: </w:t>
            </w:r>
            <w:r>
              <w:rPr>
                <w:rFonts w:cs="Arial"/>
                <w:color w:val="000000"/>
                <w:sz w:val="16"/>
                <w:szCs w:val="16"/>
              </w:rPr>
              <w:t>NÚ k </w:t>
            </w:r>
            <w:r w:rsidR="005F289D">
              <w:rPr>
                <w:rFonts w:cs="Arial"/>
                <w:color w:val="000000"/>
                <w:sz w:val="16"/>
                <w:szCs w:val="16"/>
              </w:rPr>
              <w:t>28. 6. 2024</w:t>
            </w:r>
            <w:r>
              <w:rPr>
                <w:rFonts w:cs="Arial"/>
                <w:color w:val="000000"/>
                <w:sz w:val="16"/>
                <w:szCs w:val="16"/>
              </w:rPr>
              <w:t xml:space="preserve">, </w:t>
            </w:r>
            <w:r w:rsidRPr="0090524C">
              <w:rPr>
                <w:rFonts w:cs="Arial"/>
                <w:color w:val="000000"/>
                <w:sz w:val="16"/>
                <w:szCs w:val="16"/>
              </w:rPr>
              <w:t>FSD 2021, FSD 2022, FSD 2023</w:t>
            </w:r>
          </w:p>
        </w:tc>
        <w:tc>
          <w:tcPr>
            <w:tcW w:w="1180" w:type="dxa"/>
            <w:tcBorders>
              <w:top w:val="nil"/>
              <w:left w:val="nil"/>
              <w:bottom w:val="single" w:sz="8" w:space="0" w:color="auto"/>
              <w:right w:val="nil"/>
            </w:tcBorders>
            <w:shd w:val="clear" w:color="auto" w:fill="auto"/>
            <w:noWrap/>
            <w:vAlign w:val="bottom"/>
          </w:tcPr>
          <w:p w14:paraId="5E17F2F2" w14:textId="77777777" w:rsidR="001D6F06" w:rsidRPr="0090524C" w:rsidRDefault="001D6F06" w:rsidP="001D6F06">
            <w:pPr>
              <w:spacing w:after="0" w:line="240" w:lineRule="auto"/>
              <w:jc w:val="right"/>
              <w:rPr>
                <w:rFonts w:cs="Arial"/>
                <w:sz w:val="16"/>
                <w:szCs w:val="16"/>
              </w:rPr>
            </w:pPr>
            <w:r w:rsidRPr="0090524C">
              <w:rPr>
                <w:rFonts w:cs="Arial"/>
                <w:sz w:val="16"/>
                <w:szCs w:val="16"/>
              </w:rPr>
              <w:t>v procentech</w:t>
            </w:r>
          </w:p>
        </w:tc>
      </w:tr>
      <w:tr w:rsidR="001D6F06" w:rsidRPr="0090524C" w14:paraId="4C4B5552" w14:textId="77777777" w:rsidTr="001D6F06">
        <w:trPr>
          <w:trHeight w:val="567"/>
        </w:trPr>
        <w:tc>
          <w:tcPr>
            <w:tcW w:w="4820" w:type="dxa"/>
            <w:tcBorders>
              <w:top w:val="single" w:sz="8" w:space="0" w:color="auto"/>
              <w:left w:val="nil"/>
              <w:bottom w:val="single" w:sz="8" w:space="0" w:color="auto"/>
              <w:right w:val="single" w:sz="4" w:space="0" w:color="auto"/>
            </w:tcBorders>
            <w:shd w:val="clear" w:color="000000" w:fill="F6E8EE"/>
            <w:vAlign w:val="center"/>
            <w:hideMark/>
          </w:tcPr>
          <w:p w14:paraId="657549E0" w14:textId="77777777" w:rsidR="001D6F06" w:rsidRPr="0090524C" w:rsidRDefault="001D6F06" w:rsidP="001D6F06">
            <w:pPr>
              <w:spacing w:after="0" w:line="240" w:lineRule="auto"/>
              <w:jc w:val="center"/>
              <w:rPr>
                <w:rFonts w:cs="Arial"/>
                <w:sz w:val="16"/>
                <w:szCs w:val="16"/>
              </w:rPr>
            </w:pPr>
          </w:p>
        </w:tc>
        <w:tc>
          <w:tcPr>
            <w:tcW w:w="1380" w:type="dxa"/>
            <w:tcBorders>
              <w:top w:val="single" w:sz="8" w:space="0" w:color="auto"/>
              <w:left w:val="single" w:sz="4" w:space="0" w:color="auto"/>
              <w:bottom w:val="single" w:sz="8" w:space="0" w:color="auto"/>
              <w:right w:val="single" w:sz="4" w:space="0" w:color="auto"/>
            </w:tcBorders>
            <w:shd w:val="clear" w:color="000000" w:fill="F6E8EE"/>
            <w:vAlign w:val="center"/>
          </w:tcPr>
          <w:p w14:paraId="5F9FFC47" w14:textId="77777777" w:rsidR="001D6F06" w:rsidRPr="0090524C" w:rsidRDefault="001D6F06" w:rsidP="001D6F06">
            <w:pPr>
              <w:spacing w:after="0" w:line="240" w:lineRule="auto"/>
              <w:jc w:val="center"/>
              <w:rPr>
                <w:rFonts w:cs="Arial"/>
                <w:sz w:val="16"/>
                <w:szCs w:val="16"/>
              </w:rPr>
            </w:pPr>
            <w:r w:rsidRPr="0090524C">
              <w:rPr>
                <w:rFonts w:cs="Arial"/>
                <w:sz w:val="16"/>
                <w:szCs w:val="16"/>
              </w:rPr>
              <w:t>2021</w:t>
            </w:r>
          </w:p>
        </w:tc>
        <w:tc>
          <w:tcPr>
            <w:tcW w:w="1380" w:type="dxa"/>
            <w:tcBorders>
              <w:top w:val="single" w:sz="8" w:space="0" w:color="auto"/>
              <w:left w:val="single" w:sz="4" w:space="0" w:color="auto"/>
              <w:bottom w:val="single" w:sz="8" w:space="0" w:color="auto"/>
              <w:right w:val="single" w:sz="4" w:space="0" w:color="auto"/>
            </w:tcBorders>
            <w:shd w:val="clear" w:color="000000" w:fill="F6E8EE"/>
            <w:vAlign w:val="center"/>
          </w:tcPr>
          <w:p w14:paraId="179E0AD5" w14:textId="77777777" w:rsidR="001D6F06" w:rsidRPr="0090524C" w:rsidRDefault="001D6F06" w:rsidP="001D6F06">
            <w:pPr>
              <w:spacing w:after="0" w:line="240" w:lineRule="auto"/>
              <w:jc w:val="center"/>
              <w:rPr>
                <w:rFonts w:cs="Arial"/>
                <w:sz w:val="16"/>
                <w:szCs w:val="16"/>
              </w:rPr>
            </w:pPr>
            <w:r w:rsidRPr="0090524C">
              <w:rPr>
                <w:rFonts w:cs="Arial"/>
                <w:sz w:val="16"/>
                <w:szCs w:val="16"/>
              </w:rPr>
              <w:t>2022</w:t>
            </w:r>
          </w:p>
        </w:tc>
        <w:tc>
          <w:tcPr>
            <w:tcW w:w="1380" w:type="dxa"/>
            <w:gridSpan w:val="2"/>
            <w:tcBorders>
              <w:top w:val="single" w:sz="8" w:space="0" w:color="auto"/>
              <w:left w:val="single" w:sz="4" w:space="0" w:color="auto"/>
              <w:bottom w:val="single" w:sz="8" w:space="0" w:color="auto"/>
              <w:right w:val="nil"/>
            </w:tcBorders>
            <w:shd w:val="clear" w:color="000000" w:fill="F6E8EE"/>
            <w:vAlign w:val="center"/>
          </w:tcPr>
          <w:p w14:paraId="25125B75" w14:textId="77777777" w:rsidR="001D6F06" w:rsidRPr="0090524C" w:rsidRDefault="001D6F06" w:rsidP="001D6F06">
            <w:pPr>
              <w:spacing w:after="0" w:line="240" w:lineRule="auto"/>
              <w:jc w:val="center"/>
              <w:rPr>
                <w:rFonts w:cs="Arial"/>
                <w:sz w:val="16"/>
                <w:szCs w:val="16"/>
              </w:rPr>
            </w:pPr>
            <w:r w:rsidRPr="0090524C">
              <w:rPr>
                <w:rFonts w:cs="Arial"/>
                <w:sz w:val="16"/>
                <w:szCs w:val="16"/>
              </w:rPr>
              <w:t>2023</w:t>
            </w:r>
          </w:p>
        </w:tc>
      </w:tr>
      <w:tr w:rsidR="001D6F06" w:rsidRPr="0090524C" w14:paraId="049400BB" w14:textId="77777777" w:rsidTr="001D6F06">
        <w:trPr>
          <w:trHeight w:val="285"/>
        </w:trPr>
        <w:tc>
          <w:tcPr>
            <w:tcW w:w="4820" w:type="dxa"/>
            <w:tcBorders>
              <w:top w:val="single" w:sz="8" w:space="0" w:color="auto"/>
              <w:left w:val="nil"/>
              <w:bottom w:val="nil"/>
              <w:right w:val="single" w:sz="4" w:space="0" w:color="auto"/>
            </w:tcBorders>
            <w:shd w:val="clear" w:color="auto" w:fill="auto"/>
            <w:noWrap/>
            <w:vAlign w:val="bottom"/>
            <w:hideMark/>
          </w:tcPr>
          <w:p w14:paraId="0114FF03" w14:textId="49533783" w:rsidR="001D6F06" w:rsidRPr="0090524C" w:rsidRDefault="001D6F06" w:rsidP="001D6F06">
            <w:pPr>
              <w:spacing w:after="0" w:line="240" w:lineRule="auto"/>
              <w:rPr>
                <w:rFonts w:cs="Arial"/>
                <w:sz w:val="16"/>
                <w:szCs w:val="16"/>
              </w:rPr>
            </w:pPr>
            <w:r>
              <w:rPr>
                <w:rFonts w:cs="Arial"/>
                <w:sz w:val="16"/>
                <w:szCs w:val="16"/>
              </w:rPr>
              <w:t>Čisté jmění</w:t>
            </w:r>
            <w:r w:rsidRPr="0090524C">
              <w:rPr>
                <w:rFonts w:cs="Arial"/>
                <w:sz w:val="16"/>
                <w:szCs w:val="16"/>
                <w:vertAlign w:val="superscript"/>
              </w:rPr>
              <w:t>1)</w:t>
            </w:r>
          </w:p>
        </w:tc>
        <w:tc>
          <w:tcPr>
            <w:tcW w:w="1380" w:type="dxa"/>
            <w:tcBorders>
              <w:top w:val="single" w:sz="8" w:space="0" w:color="auto"/>
              <w:left w:val="single" w:sz="4" w:space="0" w:color="auto"/>
              <w:bottom w:val="nil"/>
              <w:right w:val="single" w:sz="4" w:space="0" w:color="auto"/>
            </w:tcBorders>
            <w:shd w:val="clear" w:color="auto" w:fill="auto"/>
            <w:noWrap/>
            <w:vAlign w:val="bottom"/>
            <w:hideMark/>
          </w:tcPr>
          <w:p w14:paraId="1D87CFDD" w14:textId="18C974C5" w:rsidR="001D6F06" w:rsidRPr="0090524C" w:rsidRDefault="005F289D" w:rsidP="001D6F06">
            <w:pPr>
              <w:spacing w:after="0" w:line="240" w:lineRule="auto"/>
              <w:jc w:val="right"/>
              <w:rPr>
                <w:rFonts w:cs="Arial"/>
                <w:sz w:val="16"/>
                <w:szCs w:val="16"/>
              </w:rPr>
            </w:pPr>
            <w:r>
              <w:rPr>
                <w:rFonts w:cs="Arial"/>
                <w:sz w:val="16"/>
                <w:szCs w:val="16"/>
              </w:rPr>
              <w:t>65</w:t>
            </w:r>
          </w:p>
        </w:tc>
        <w:tc>
          <w:tcPr>
            <w:tcW w:w="1380" w:type="dxa"/>
            <w:tcBorders>
              <w:top w:val="single" w:sz="8" w:space="0" w:color="auto"/>
              <w:left w:val="single" w:sz="4" w:space="0" w:color="auto"/>
              <w:bottom w:val="nil"/>
              <w:right w:val="single" w:sz="4" w:space="0" w:color="auto"/>
            </w:tcBorders>
            <w:shd w:val="clear" w:color="auto" w:fill="auto"/>
            <w:noWrap/>
            <w:vAlign w:val="bottom"/>
            <w:hideMark/>
          </w:tcPr>
          <w:p w14:paraId="7E3E067B" w14:textId="2888F558" w:rsidR="001D6F06" w:rsidRPr="0090524C" w:rsidRDefault="005F289D" w:rsidP="001D6F06">
            <w:pPr>
              <w:spacing w:after="0" w:line="240" w:lineRule="auto"/>
              <w:jc w:val="right"/>
              <w:rPr>
                <w:rFonts w:cs="Arial"/>
                <w:sz w:val="16"/>
                <w:szCs w:val="16"/>
              </w:rPr>
            </w:pPr>
            <w:r>
              <w:rPr>
                <w:rFonts w:cs="Arial"/>
                <w:sz w:val="16"/>
                <w:szCs w:val="16"/>
              </w:rPr>
              <w:t>62</w:t>
            </w:r>
          </w:p>
        </w:tc>
        <w:tc>
          <w:tcPr>
            <w:tcW w:w="1380" w:type="dxa"/>
            <w:gridSpan w:val="2"/>
            <w:tcBorders>
              <w:top w:val="single" w:sz="8" w:space="0" w:color="auto"/>
              <w:left w:val="single" w:sz="4" w:space="0" w:color="auto"/>
              <w:bottom w:val="nil"/>
              <w:right w:val="nil"/>
            </w:tcBorders>
            <w:shd w:val="clear" w:color="auto" w:fill="auto"/>
            <w:noWrap/>
            <w:vAlign w:val="bottom"/>
            <w:hideMark/>
          </w:tcPr>
          <w:p w14:paraId="2C8BA70A" w14:textId="0682ED19" w:rsidR="001D6F06" w:rsidRPr="0090524C" w:rsidRDefault="005F289D" w:rsidP="001D6F06">
            <w:pPr>
              <w:spacing w:after="0" w:line="240" w:lineRule="auto"/>
              <w:jc w:val="right"/>
              <w:rPr>
                <w:rFonts w:cs="Arial"/>
                <w:sz w:val="16"/>
                <w:szCs w:val="16"/>
              </w:rPr>
            </w:pPr>
            <w:r>
              <w:rPr>
                <w:rFonts w:cs="Arial"/>
                <w:sz w:val="16"/>
                <w:szCs w:val="16"/>
              </w:rPr>
              <w:t>66</w:t>
            </w:r>
          </w:p>
        </w:tc>
      </w:tr>
      <w:tr w:rsidR="001D6F06" w:rsidRPr="0090524C" w14:paraId="6CF1E3B3" w14:textId="77777777" w:rsidTr="001D6F06">
        <w:trPr>
          <w:trHeight w:val="285"/>
        </w:trPr>
        <w:tc>
          <w:tcPr>
            <w:tcW w:w="4820" w:type="dxa"/>
            <w:tcBorders>
              <w:top w:val="nil"/>
              <w:left w:val="nil"/>
              <w:bottom w:val="nil"/>
              <w:right w:val="single" w:sz="4" w:space="0" w:color="auto"/>
            </w:tcBorders>
            <w:shd w:val="clear" w:color="auto" w:fill="auto"/>
            <w:noWrap/>
            <w:vAlign w:val="bottom"/>
            <w:hideMark/>
          </w:tcPr>
          <w:p w14:paraId="3CECAE18" w14:textId="4054857B" w:rsidR="001D6F06" w:rsidRPr="0090524C" w:rsidRDefault="005F289D" w:rsidP="005F289D">
            <w:pPr>
              <w:spacing w:after="0" w:line="240" w:lineRule="auto"/>
              <w:rPr>
                <w:rFonts w:cs="Arial"/>
                <w:sz w:val="16"/>
                <w:szCs w:val="16"/>
              </w:rPr>
            </w:pPr>
            <w:r>
              <w:rPr>
                <w:rFonts w:cs="Arial"/>
                <w:sz w:val="16"/>
                <w:szCs w:val="16"/>
              </w:rPr>
              <w:t>Nefinanční aktiva</w:t>
            </w:r>
            <w:r>
              <w:rPr>
                <w:rFonts w:cs="Arial"/>
                <w:sz w:val="16"/>
                <w:szCs w:val="16"/>
                <w:vertAlign w:val="superscript"/>
              </w:rPr>
              <w:t>2</w:t>
            </w:r>
            <w:r w:rsidRPr="0090524C">
              <w:rPr>
                <w:rFonts w:cs="Arial"/>
                <w:sz w:val="16"/>
                <w:szCs w:val="16"/>
                <w:vertAlign w:val="superscript"/>
              </w:rPr>
              <w:t>)</w:t>
            </w:r>
          </w:p>
        </w:tc>
        <w:tc>
          <w:tcPr>
            <w:tcW w:w="1380" w:type="dxa"/>
            <w:tcBorders>
              <w:top w:val="nil"/>
              <w:left w:val="single" w:sz="4" w:space="0" w:color="auto"/>
              <w:bottom w:val="nil"/>
              <w:right w:val="single" w:sz="4" w:space="0" w:color="auto"/>
            </w:tcBorders>
            <w:shd w:val="clear" w:color="auto" w:fill="auto"/>
            <w:noWrap/>
            <w:vAlign w:val="bottom"/>
            <w:hideMark/>
          </w:tcPr>
          <w:p w14:paraId="5EDFB658" w14:textId="24196E6E" w:rsidR="001D6F06" w:rsidRPr="0090524C" w:rsidRDefault="005F289D" w:rsidP="001D6F06">
            <w:pPr>
              <w:spacing w:after="0" w:line="240" w:lineRule="auto"/>
              <w:jc w:val="right"/>
              <w:rPr>
                <w:rFonts w:cs="Arial"/>
                <w:sz w:val="16"/>
                <w:szCs w:val="16"/>
              </w:rPr>
            </w:pPr>
            <w:r>
              <w:rPr>
                <w:rFonts w:cs="Arial"/>
                <w:sz w:val="16"/>
                <w:szCs w:val="16"/>
              </w:rPr>
              <w:t>105</w:t>
            </w:r>
          </w:p>
        </w:tc>
        <w:tc>
          <w:tcPr>
            <w:tcW w:w="1380" w:type="dxa"/>
            <w:tcBorders>
              <w:top w:val="nil"/>
              <w:left w:val="single" w:sz="4" w:space="0" w:color="auto"/>
              <w:bottom w:val="nil"/>
              <w:right w:val="single" w:sz="4" w:space="0" w:color="auto"/>
            </w:tcBorders>
            <w:shd w:val="clear" w:color="auto" w:fill="auto"/>
            <w:noWrap/>
            <w:vAlign w:val="bottom"/>
            <w:hideMark/>
          </w:tcPr>
          <w:p w14:paraId="47632FD3" w14:textId="37C2C2F7" w:rsidR="001D6F06" w:rsidRPr="0090524C" w:rsidRDefault="005F289D" w:rsidP="001D6F06">
            <w:pPr>
              <w:spacing w:after="0" w:line="240" w:lineRule="auto"/>
              <w:jc w:val="right"/>
              <w:rPr>
                <w:rFonts w:cs="Arial"/>
                <w:sz w:val="16"/>
                <w:szCs w:val="16"/>
              </w:rPr>
            </w:pPr>
            <w:r>
              <w:rPr>
                <w:rFonts w:cs="Arial"/>
                <w:sz w:val="16"/>
                <w:szCs w:val="16"/>
              </w:rPr>
              <w:t>100</w:t>
            </w:r>
          </w:p>
        </w:tc>
        <w:tc>
          <w:tcPr>
            <w:tcW w:w="1380" w:type="dxa"/>
            <w:gridSpan w:val="2"/>
            <w:tcBorders>
              <w:top w:val="nil"/>
              <w:left w:val="single" w:sz="4" w:space="0" w:color="auto"/>
              <w:bottom w:val="nil"/>
              <w:right w:val="nil"/>
            </w:tcBorders>
            <w:shd w:val="clear" w:color="auto" w:fill="auto"/>
            <w:noWrap/>
            <w:vAlign w:val="bottom"/>
            <w:hideMark/>
          </w:tcPr>
          <w:p w14:paraId="432E9409" w14:textId="56F86BF3" w:rsidR="001D6F06" w:rsidRPr="0090524C" w:rsidRDefault="005F289D" w:rsidP="001D6F06">
            <w:pPr>
              <w:spacing w:after="0" w:line="240" w:lineRule="auto"/>
              <w:jc w:val="right"/>
              <w:rPr>
                <w:rFonts w:cs="Arial"/>
                <w:sz w:val="16"/>
                <w:szCs w:val="16"/>
              </w:rPr>
            </w:pPr>
            <w:r>
              <w:rPr>
                <w:rFonts w:cs="Arial"/>
                <w:sz w:val="16"/>
                <w:szCs w:val="16"/>
              </w:rPr>
              <w:t>107</w:t>
            </w:r>
          </w:p>
        </w:tc>
      </w:tr>
      <w:tr w:rsidR="001D6F06" w:rsidRPr="0090524C" w14:paraId="3FB4E95D" w14:textId="77777777" w:rsidTr="001D6F06">
        <w:trPr>
          <w:trHeight w:val="285"/>
        </w:trPr>
        <w:tc>
          <w:tcPr>
            <w:tcW w:w="4820" w:type="dxa"/>
            <w:tcBorders>
              <w:top w:val="nil"/>
              <w:left w:val="nil"/>
              <w:bottom w:val="nil"/>
              <w:right w:val="single" w:sz="4" w:space="0" w:color="auto"/>
            </w:tcBorders>
            <w:shd w:val="clear" w:color="auto" w:fill="auto"/>
            <w:noWrap/>
            <w:vAlign w:val="bottom"/>
          </w:tcPr>
          <w:p w14:paraId="16B94058" w14:textId="5E5662A4" w:rsidR="001D6F06" w:rsidRPr="0090524C" w:rsidRDefault="005F289D" w:rsidP="001D6F06">
            <w:pPr>
              <w:spacing w:after="0" w:line="240" w:lineRule="auto"/>
              <w:rPr>
                <w:rFonts w:cs="Arial"/>
                <w:sz w:val="16"/>
                <w:szCs w:val="16"/>
              </w:rPr>
            </w:pPr>
            <w:r>
              <w:rPr>
                <w:rFonts w:cs="Arial"/>
                <w:sz w:val="16"/>
                <w:szCs w:val="16"/>
              </w:rPr>
              <w:t>Finanční aktiva</w:t>
            </w:r>
          </w:p>
        </w:tc>
        <w:tc>
          <w:tcPr>
            <w:tcW w:w="1380" w:type="dxa"/>
            <w:tcBorders>
              <w:top w:val="nil"/>
              <w:left w:val="single" w:sz="4" w:space="0" w:color="auto"/>
              <w:bottom w:val="nil"/>
              <w:right w:val="single" w:sz="4" w:space="0" w:color="auto"/>
            </w:tcBorders>
            <w:shd w:val="clear" w:color="auto" w:fill="auto"/>
            <w:noWrap/>
            <w:vAlign w:val="bottom"/>
          </w:tcPr>
          <w:p w14:paraId="5BE61C40" w14:textId="1BC2AF7F" w:rsidR="001D6F06" w:rsidRPr="0090524C" w:rsidRDefault="005F289D" w:rsidP="001D6F06">
            <w:pPr>
              <w:spacing w:after="0" w:line="240" w:lineRule="auto"/>
              <w:jc w:val="right"/>
              <w:rPr>
                <w:rFonts w:cs="Arial"/>
                <w:sz w:val="16"/>
                <w:szCs w:val="16"/>
              </w:rPr>
            </w:pPr>
            <w:r>
              <w:rPr>
                <w:rFonts w:cs="Arial"/>
                <w:sz w:val="16"/>
                <w:szCs w:val="16"/>
              </w:rPr>
              <w:t>22</w:t>
            </w:r>
          </w:p>
        </w:tc>
        <w:tc>
          <w:tcPr>
            <w:tcW w:w="1380" w:type="dxa"/>
            <w:tcBorders>
              <w:top w:val="nil"/>
              <w:left w:val="single" w:sz="4" w:space="0" w:color="auto"/>
              <w:bottom w:val="nil"/>
              <w:right w:val="single" w:sz="4" w:space="0" w:color="auto"/>
            </w:tcBorders>
            <w:shd w:val="clear" w:color="auto" w:fill="auto"/>
            <w:noWrap/>
            <w:vAlign w:val="bottom"/>
          </w:tcPr>
          <w:p w14:paraId="25D6AA81" w14:textId="4563678D" w:rsidR="001D6F06" w:rsidRPr="0090524C" w:rsidRDefault="005F289D" w:rsidP="001D6F06">
            <w:pPr>
              <w:spacing w:after="0" w:line="240" w:lineRule="auto"/>
              <w:jc w:val="right"/>
              <w:rPr>
                <w:rFonts w:cs="Arial"/>
                <w:sz w:val="16"/>
                <w:szCs w:val="16"/>
              </w:rPr>
            </w:pPr>
            <w:r>
              <w:rPr>
                <w:rFonts w:cs="Arial"/>
                <w:sz w:val="16"/>
                <w:szCs w:val="16"/>
              </w:rPr>
              <w:t>22</w:t>
            </w:r>
          </w:p>
        </w:tc>
        <w:tc>
          <w:tcPr>
            <w:tcW w:w="1380" w:type="dxa"/>
            <w:gridSpan w:val="2"/>
            <w:tcBorders>
              <w:top w:val="nil"/>
              <w:left w:val="single" w:sz="4" w:space="0" w:color="auto"/>
              <w:bottom w:val="nil"/>
              <w:right w:val="nil"/>
            </w:tcBorders>
            <w:shd w:val="clear" w:color="auto" w:fill="auto"/>
            <w:noWrap/>
            <w:vAlign w:val="bottom"/>
          </w:tcPr>
          <w:p w14:paraId="3757D5E1" w14:textId="5ACF1331" w:rsidR="001D6F06" w:rsidRPr="0090524C" w:rsidRDefault="005F289D" w:rsidP="001D6F06">
            <w:pPr>
              <w:spacing w:after="0" w:line="240" w:lineRule="auto"/>
              <w:jc w:val="right"/>
              <w:rPr>
                <w:rFonts w:cs="Arial"/>
                <w:sz w:val="16"/>
                <w:szCs w:val="16"/>
              </w:rPr>
            </w:pPr>
            <w:r>
              <w:rPr>
                <w:rFonts w:cs="Arial"/>
                <w:sz w:val="16"/>
                <w:szCs w:val="16"/>
              </w:rPr>
              <w:t>21</w:t>
            </w:r>
          </w:p>
        </w:tc>
      </w:tr>
      <w:tr w:rsidR="001D6F06" w:rsidRPr="0090524C" w14:paraId="657B1287" w14:textId="77777777" w:rsidTr="001D6F06">
        <w:trPr>
          <w:trHeight w:val="285"/>
        </w:trPr>
        <w:tc>
          <w:tcPr>
            <w:tcW w:w="4820" w:type="dxa"/>
            <w:tcBorders>
              <w:top w:val="nil"/>
              <w:left w:val="nil"/>
              <w:bottom w:val="nil"/>
              <w:right w:val="single" w:sz="4" w:space="0" w:color="auto"/>
            </w:tcBorders>
            <w:shd w:val="clear" w:color="auto" w:fill="auto"/>
            <w:noWrap/>
            <w:vAlign w:val="bottom"/>
          </w:tcPr>
          <w:p w14:paraId="1A695959" w14:textId="5E8DDD2A" w:rsidR="001D6F06" w:rsidRPr="0090524C" w:rsidRDefault="005F289D" w:rsidP="001D6F06">
            <w:pPr>
              <w:spacing w:after="0" w:line="240" w:lineRule="auto"/>
              <w:rPr>
                <w:rFonts w:cs="Arial"/>
                <w:sz w:val="16"/>
                <w:szCs w:val="16"/>
              </w:rPr>
            </w:pPr>
            <w:r>
              <w:rPr>
                <w:rFonts w:cs="Arial"/>
                <w:sz w:val="16"/>
                <w:szCs w:val="16"/>
              </w:rPr>
              <w:t>Finanční závazky</w:t>
            </w:r>
          </w:p>
        </w:tc>
        <w:tc>
          <w:tcPr>
            <w:tcW w:w="1380" w:type="dxa"/>
            <w:tcBorders>
              <w:top w:val="nil"/>
              <w:left w:val="single" w:sz="4" w:space="0" w:color="auto"/>
              <w:bottom w:val="nil"/>
              <w:right w:val="single" w:sz="4" w:space="0" w:color="auto"/>
            </w:tcBorders>
            <w:shd w:val="clear" w:color="auto" w:fill="auto"/>
            <w:noWrap/>
            <w:vAlign w:val="bottom"/>
          </w:tcPr>
          <w:p w14:paraId="56956686" w14:textId="38EF6D20" w:rsidR="001D6F06" w:rsidRPr="0090524C" w:rsidRDefault="005F289D" w:rsidP="001D6F06">
            <w:pPr>
              <w:spacing w:after="0" w:line="240" w:lineRule="auto"/>
              <w:jc w:val="right"/>
              <w:rPr>
                <w:rFonts w:cs="Arial"/>
                <w:sz w:val="16"/>
                <w:szCs w:val="16"/>
              </w:rPr>
            </w:pPr>
            <w:r>
              <w:rPr>
                <w:rFonts w:cs="Arial"/>
                <w:sz w:val="16"/>
                <w:szCs w:val="16"/>
              </w:rPr>
              <w:t>32</w:t>
            </w:r>
          </w:p>
        </w:tc>
        <w:tc>
          <w:tcPr>
            <w:tcW w:w="1380" w:type="dxa"/>
            <w:tcBorders>
              <w:top w:val="nil"/>
              <w:left w:val="single" w:sz="4" w:space="0" w:color="auto"/>
              <w:bottom w:val="nil"/>
              <w:right w:val="single" w:sz="4" w:space="0" w:color="auto"/>
            </w:tcBorders>
            <w:shd w:val="clear" w:color="auto" w:fill="auto"/>
            <w:noWrap/>
            <w:vAlign w:val="bottom"/>
          </w:tcPr>
          <w:p w14:paraId="3C8B0F8D" w14:textId="16C071A1" w:rsidR="001D6F06" w:rsidRPr="0090524C" w:rsidRDefault="005F289D" w:rsidP="001D6F06">
            <w:pPr>
              <w:spacing w:after="0" w:line="240" w:lineRule="auto"/>
              <w:jc w:val="right"/>
              <w:rPr>
                <w:rFonts w:cs="Arial"/>
                <w:sz w:val="16"/>
                <w:szCs w:val="16"/>
              </w:rPr>
            </w:pPr>
            <w:r>
              <w:rPr>
                <w:rFonts w:cs="Arial"/>
                <w:sz w:val="16"/>
                <w:szCs w:val="16"/>
              </w:rPr>
              <w:t>31</w:t>
            </w:r>
          </w:p>
        </w:tc>
        <w:tc>
          <w:tcPr>
            <w:tcW w:w="1380" w:type="dxa"/>
            <w:gridSpan w:val="2"/>
            <w:tcBorders>
              <w:top w:val="nil"/>
              <w:left w:val="single" w:sz="4" w:space="0" w:color="auto"/>
              <w:bottom w:val="nil"/>
              <w:right w:val="nil"/>
            </w:tcBorders>
            <w:shd w:val="clear" w:color="auto" w:fill="auto"/>
            <w:noWrap/>
            <w:vAlign w:val="bottom"/>
          </w:tcPr>
          <w:p w14:paraId="3DE06B24" w14:textId="29DAC8DB" w:rsidR="001D6F06" w:rsidRPr="0090524C" w:rsidRDefault="005F289D" w:rsidP="001D6F06">
            <w:pPr>
              <w:spacing w:after="0" w:line="240" w:lineRule="auto"/>
              <w:jc w:val="right"/>
              <w:rPr>
                <w:rFonts w:cs="Arial"/>
                <w:sz w:val="16"/>
                <w:szCs w:val="16"/>
              </w:rPr>
            </w:pPr>
            <w:r>
              <w:rPr>
                <w:rFonts w:cs="Arial"/>
                <w:sz w:val="16"/>
                <w:szCs w:val="16"/>
              </w:rPr>
              <w:t>31</w:t>
            </w:r>
          </w:p>
        </w:tc>
      </w:tr>
      <w:tr w:rsidR="001D6F06" w:rsidRPr="0090524C" w14:paraId="5393C84A" w14:textId="77777777" w:rsidTr="001D6F06">
        <w:trPr>
          <w:trHeight w:val="20"/>
        </w:trPr>
        <w:tc>
          <w:tcPr>
            <w:tcW w:w="4820" w:type="dxa"/>
            <w:tcBorders>
              <w:top w:val="nil"/>
              <w:left w:val="nil"/>
              <w:bottom w:val="nil"/>
            </w:tcBorders>
            <w:shd w:val="clear" w:color="auto" w:fill="auto"/>
            <w:noWrap/>
            <w:vAlign w:val="bottom"/>
          </w:tcPr>
          <w:p w14:paraId="57ECCCB7" w14:textId="77777777" w:rsidR="001D6F06" w:rsidRPr="0090524C" w:rsidRDefault="001D6F06" w:rsidP="001D6F06">
            <w:pPr>
              <w:spacing w:after="0" w:line="240" w:lineRule="auto"/>
              <w:rPr>
                <w:rFonts w:cs="Arial"/>
                <w:sz w:val="16"/>
                <w:szCs w:val="16"/>
              </w:rPr>
            </w:pPr>
          </w:p>
        </w:tc>
        <w:tc>
          <w:tcPr>
            <w:tcW w:w="1380" w:type="dxa"/>
            <w:tcBorders>
              <w:top w:val="nil"/>
              <w:bottom w:val="nil"/>
            </w:tcBorders>
            <w:shd w:val="clear" w:color="auto" w:fill="auto"/>
            <w:noWrap/>
            <w:vAlign w:val="bottom"/>
          </w:tcPr>
          <w:p w14:paraId="32767A5F" w14:textId="77777777" w:rsidR="001D6F06" w:rsidRPr="0090524C" w:rsidRDefault="001D6F06" w:rsidP="001D6F06">
            <w:pPr>
              <w:spacing w:after="0" w:line="240" w:lineRule="auto"/>
              <w:jc w:val="right"/>
              <w:rPr>
                <w:rFonts w:cs="Arial"/>
                <w:sz w:val="16"/>
                <w:szCs w:val="16"/>
              </w:rPr>
            </w:pPr>
          </w:p>
        </w:tc>
        <w:tc>
          <w:tcPr>
            <w:tcW w:w="1380" w:type="dxa"/>
            <w:tcBorders>
              <w:top w:val="nil"/>
              <w:bottom w:val="nil"/>
            </w:tcBorders>
            <w:shd w:val="clear" w:color="auto" w:fill="auto"/>
            <w:noWrap/>
            <w:vAlign w:val="bottom"/>
          </w:tcPr>
          <w:p w14:paraId="06416BF3" w14:textId="77777777" w:rsidR="001D6F06" w:rsidRPr="0090524C" w:rsidRDefault="001D6F06" w:rsidP="001D6F06">
            <w:pPr>
              <w:spacing w:after="0" w:line="240" w:lineRule="auto"/>
              <w:jc w:val="right"/>
              <w:rPr>
                <w:rFonts w:cs="Arial"/>
                <w:sz w:val="16"/>
                <w:szCs w:val="16"/>
              </w:rPr>
            </w:pPr>
          </w:p>
        </w:tc>
        <w:tc>
          <w:tcPr>
            <w:tcW w:w="1380" w:type="dxa"/>
            <w:gridSpan w:val="2"/>
            <w:tcBorders>
              <w:top w:val="nil"/>
              <w:bottom w:val="nil"/>
              <w:right w:val="nil"/>
            </w:tcBorders>
            <w:shd w:val="clear" w:color="auto" w:fill="auto"/>
            <w:noWrap/>
            <w:vAlign w:val="bottom"/>
          </w:tcPr>
          <w:p w14:paraId="16D7102A" w14:textId="77777777" w:rsidR="001D6F06" w:rsidRPr="0090524C" w:rsidRDefault="001D6F06" w:rsidP="001D6F06">
            <w:pPr>
              <w:spacing w:after="0" w:line="240" w:lineRule="auto"/>
              <w:jc w:val="right"/>
              <w:rPr>
                <w:rFonts w:cs="Arial"/>
                <w:sz w:val="16"/>
                <w:szCs w:val="16"/>
              </w:rPr>
            </w:pPr>
          </w:p>
        </w:tc>
      </w:tr>
      <w:tr w:rsidR="001D6F06" w:rsidRPr="0090524C" w14:paraId="731F17E2" w14:textId="77777777" w:rsidTr="001D6F06">
        <w:trPr>
          <w:trHeight w:val="285"/>
        </w:trPr>
        <w:tc>
          <w:tcPr>
            <w:tcW w:w="8960" w:type="dxa"/>
            <w:gridSpan w:val="5"/>
            <w:tcBorders>
              <w:top w:val="nil"/>
              <w:left w:val="nil"/>
              <w:bottom w:val="nil"/>
            </w:tcBorders>
            <w:shd w:val="clear" w:color="auto" w:fill="auto"/>
            <w:noWrap/>
          </w:tcPr>
          <w:p w14:paraId="2603F3FB" w14:textId="10D53EAD" w:rsidR="005F289D" w:rsidRDefault="001D6F06" w:rsidP="0097003E">
            <w:pPr>
              <w:spacing w:after="0" w:line="360" w:lineRule="auto"/>
              <w:rPr>
                <w:sz w:val="16"/>
              </w:rPr>
            </w:pPr>
            <w:r w:rsidRPr="0090524C">
              <w:rPr>
                <w:rFonts w:cs="Arial"/>
                <w:sz w:val="16"/>
                <w:szCs w:val="16"/>
                <w:vertAlign w:val="superscript"/>
              </w:rPr>
              <w:t>1)</w:t>
            </w:r>
            <w:r w:rsidRPr="0090524C">
              <w:rPr>
                <w:rFonts w:cs="Arial"/>
                <w:sz w:val="16"/>
                <w:szCs w:val="16"/>
              </w:rPr>
              <w:t xml:space="preserve"> </w:t>
            </w:r>
            <w:r w:rsidR="005F289D" w:rsidRPr="005F289D">
              <w:rPr>
                <w:sz w:val="16"/>
              </w:rPr>
              <w:t>Čisté jmění = nefinanční aktiva + finanční aktiva – finanční závazky.</w:t>
            </w:r>
          </w:p>
          <w:p w14:paraId="57F9A649" w14:textId="00D51372" w:rsidR="005F289D" w:rsidRDefault="005F289D" w:rsidP="005F289D">
            <w:pPr>
              <w:spacing w:after="0" w:line="240" w:lineRule="auto"/>
              <w:rPr>
                <w:sz w:val="16"/>
              </w:rPr>
            </w:pPr>
            <w:r>
              <w:rPr>
                <w:rFonts w:cs="Arial"/>
                <w:sz w:val="16"/>
                <w:szCs w:val="16"/>
                <w:vertAlign w:val="superscript"/>
              </w:rPr>
              <w:t>2</w:t>
            </w:r>
            <w:r w:rsidRPr="0090524C">
              <w:rPr>
                <w:rFonts w:cs="Arial"/>
                <w:sz w:val="16"/>
                <w:szCs w:val="16"/>
                <w:vertAlign w:val="superscript"/>
              </w:rPr>
              <w:t>)</w:t>
            </w:r>
            <w:r w:rsidRPr="0090524C">
              <w:rPr>
                <w:rFonts w:cs="Arial"/>
                <w:sz w:val="16"/>
                <w:szCs w:val="16"/>
              </w:rPr>
              <w:t xml:space="preserve"> </w:t>
            </w:r>
            <w:r w:rsidR="005F7A68">
              <w:rPr>
                <w:sz w:val="16"/>
              </w:rPr>
              <w:t>Nefinanční aktiva vypočtená</w:t>
            </w:r>
            <w:r w:rsidR="005F7A68" w:rsidRPr="00F62701">
              <w:rPr>
                <w:sz w:val="16"/>
              </w:rPr>
              <w:t xml:space="preserve"> z dat FSD neobsahují hodnotu dopravních prostředků a jiných n</w:t>
            </w:r>
            <w:r w:rsidR="005F7A68">
              <w:rPr>
                <w:sz w:val="16"/>
              </w:rPr>
              <w:t>emovitostí než hlavního bydlení</w:t>
            </w:r>
            <w:r w:rsidR="005F7A68" w:rsidRPr="00F62701">
              <w:rPr>
                <w:sz w:val="16"/>
              </w:rPr>
              <w:t xml:space="preserve"> tak</w:t>
            </w:r>
            <w:r w:rsidR="005F7A68">
              <w:rPr>
                <w:sz w:val="16"/>
              </w:rPr>
              <w:t>,</w:t>
            </w:r>
            <w:r w:rsidR="005F7A68" w:rsidRPr="00F62701">
              <w:rPr>
                <w:sz w:val="16"/>
              </w:rPr>
              <w:t xml:space="preserve"> aby byla výsledná hodnota srovnatelná s hodnotou nefinančních aktiv podle definice NÚ.</w:t>
            </w:r>
          </w:p>
          <w:p w14:paraId="67779F17" w14:textId="3040D0B3" w:rsidR="005F289D" w:rsidRPr="0090524C" w:rsidRDefault="005F289D" w:rsidP="001D6F06">
            <w:pPr>
              <w:spacing w:after="0" w:line="240" w:lineRule="auto"/>
              <w:rPr>
                <w:rFonts w:cs="Arial"/>
                <w:sz w:val="16"/>
                <w:szCs w:val="16"/>
              </w:rPr>
            </w:pPr>
          </w:p>
        </w:tc>
      </w:tr>
    </w:tbl>
    <w:p w14:paraId="0CD535FF" w14:textId="78049563" w:rsidR="001D6F06" w:rsidRDefault="001D6F06" w:rsidP="0090524C">
      <w:pPr>
        <w:spacing w:after="0" w:line="240" w:lineRule="auto"/>
      </w:pPr>
    </w:p>
    <w:p w14:paraId="62E3EA81" w14:textId="77777777" w:rsidR="005F289D" w:rsidRPr="0090524C" w:rsidRDefault="005F289D" w:rsidP="0090524C">
      <w:pPr>
        <w:spacing w:after="0" w:line="240" w:lineRule="auto"/>
      </w:pPr>
    </w:p>
    <w:p w14:paraId="09D789D6" w14:textId="2E04622E" w:rsidR="007A2C19" w:rsidRPr="0090524C" w:rsidRDefault="007A2C19" w:rsidP="007A2C19">
      <w:pPr>
        <w:jc w:val="both"/>
        <w:rPr>
          <w:szCs w:val="22"/>
        </w:rPr>
      </w:pPr>
      <w:r w:rsidRPr="0090524C">
        <w:rPr>
          <w:szCs w:val="22"/>
        </w:rPr>
        <w:t>ECB vypracovala a popsala podrobnější analýzu porovnání HFCS a ma</w:t>
      </w:r>
      <w:r>
        <w:rPr>
          <w:szCs w:val="22"/>
        </w:rPr>
        <w:t>kro-údajů o finančním bohatství a </w:t>
      </w:r>
      <w:r w:rsidRPr="0090524C">
        <w:rPr>
          <w:szCs w:val="22"/>
        </w:rPr>
        <w:t>závazcích domácností</w:t>
      </w:r>
      <w:r>
        <w:rPr>
          <w:szCs w:val="22"/>
        </w:rPr>
        <w:t xml:space="preserve"> v rámci všech krajin Evropské Unie, které se účastní šetření HFCS</w:t>
      </w:r>
      <w:r w:rsidR="0057316C">
        <w:rPr>
          <w:szCs w:val="22"/>
        </w:rPr>
        <w:t xml:space="preserve"> (ECB </w:t>
      </w:r>
      <w:r w:rsidRPr="0090524C">
        <w:rPr>
          <w:szCs w:val="22"/>
        </w:rPr>
        <w:t>2023a).</w:t>
      </w:r>
      <w:r>
        <w:rPr>
          <w:szCs w:val="22"/>
        </w:rPr>
        <w:t xml:space="preserve"> Tato analýza ukazuje na podobný fenomén, jako ten popsaný v </w:t>
      </w:r>
      <w:r w:rsidR="00C83506">
        <w:rPr>
          <w:szCs w:val="22"/>
        </w:rPr>
        <w:fldChar w:fldCharType="begin"/>
      </w:r>
      <w:r w:rsidR="00C83506">
        <w:rPr>
          <w:szCs w:val="22"/>
        </w:rPr>
        <w:instrText xml:space="preserve"> REF Tab2 \h </w:instrText>
      </w:r>
      <w:r w:rsidR="00C83506">
        <w:rPr>
          <w:szCs w:val="22"/>
        </w:rPr>
      </w:r>
      <w:r w:rsidR="00C83506">
        <w:rPr>
          <w:szCs w:val="22"/>
        </w:rPr>
        <w:fldChar w:fldCharType="separate"/>
      </w:r>
      <w:r w:rsidR="00267209" w:rsidRPr="005F289D">
        <w:t xml:space="preserve">Tab. </w:t>
      </w:r>
      <w:r w:rsidR="00267209">
        <w:rPr>
          <w:noProof/>
        </w:rPr>
        <w:t>2</w:t>
      </w:r>
      <w:r w:rsidR="00C83506">
        <w:rPr>
          <w:szCs w:val="22"/>
        </w:rPr>
        <w:fldChar w:fldCharType="end"/>
      </w:r>
      <w:r>
        <w:rPr>
          <w:szCs w:val="22"/>
        </w:rPr>
        <w:t>, a to u všech (většiny) participujících zemích, tj. že finanční aktiva (závazky) ze šetření HFCS jsou nižší než finanční aktiva z národních účtů. Tato analýza čerpá z výstupů expertní skupiny vytvořené ECB, která se snaží pochopit a kvantifikovat rozdíly mezi údaji o finančním bohatství domácností ze šet</w:t>
      </w:r>
      <w:r w:rsidR="0057316C">
        <w:rPr>
          <w:szCs w:val="22"/>
        </w:rPr>
        <w:t>ření HFCS a národních účtů (ECB </w:t>
      </w:r>
      <w:r>
        <w:rPr>
          <w:szCs w:val="22"/>
        </w:rPr>
        <w:t>2020)</w:t>
      </w:r>
      <w:r w:rsidRPr="001E4200">
        <w:rPr>
          <w:szCs w:val="22"/>
        </w:rPr>
        <w:t>.</w:t>
      </w:r>
    </w:p>
    <w:p w14:paraId="2C187A85" w14:textId="60AFD7BD" w:rsidR="00E36D65" w:rsidRPr="0090524C" w:rsidRDefault="00E36D65" w:rsidP="0090524C">
      <w:pPr>
        <w:jc w:val="both"/>
        <w:rPr>
          <w:szCs w:val="22"/>
        </w:rPr>
      </w:pPr>
    </w:p>
    <w:p w14:paraId="0550B799" w14:textId="20C395AB" w:rsidR="00B3625A" w:rsidRDefault="00B3625A">
      <w:pPr>
        <w:spacing w:after="0" w:line="240" w:lineRule="auto"/>
        <w:rPr>
          <w:rFonts w:eastAsia="MS Gothic"/>
          <w:b/>
          <w:bCs/>
          <w:color w:val="BC5B80"/>
          <w:sz w:val="32"/>
          <w:szCs w:val="28"/>
        </w:rPr>
      </w:pPr>
      <w:bookmarkStart w:id="17" w:name="_Toc150510502"/>
      <w:bookmarkStart w:id="18" w:name="_Toc152689307"/>
      <w:bookmarkStart w:id="19" w:name="_GoBack"/>
      <w:bookmarkEnd w:id="1"/>
      <w:bookmarkEnd w:id="17"/>
      <w:bookmarkEnd w:id="18"/>
      <w:bookmarkEnd w:id="19"/>
    </w:p>
    <w:sectPr w:rsidR="00B3625A" w:rsidSect="00812A01">
      <w:headerReference w:type="even" r:id="rId11"/>
      <w:headerReference w:type="default" r:id="rId12"/>
      <w:footerReference w:type="even" r:id="rId13"/>
      <w:footerReference w:type="default" r:id="rId14"/>
      <w:pgSz w:w="11906" w:h="16838" w:code="9"/>
      <w:pgMar w:top="1134" w:right="1134" w:bottom="1418" w:left="1134" w:header="680" w:footer="680" w:gutter="0"/>
      <w:pgNumType w:start="5"/>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577EB6" w16cex:dateUtc="2024-11-10T22:54:00Z"/>
  <w16cex:commentExtensible w16cex:durableId="20287F78" w16cex:dateUtc="2024-11-10T23:04:00Z"/>
  <w16cex:commentExtensible w16cex:durableId="0AB35178" w16cex:dateUtc="2024-11-10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F61389" w16cid:durableId="4EC9DF0F"/>
  <w16cid:commentId w16cid:paraId="79F3CC4E" w16cid:durableId="700BEA13"/>
  <w16cid:commentId w16cid:paraId="6DB591F4" w16cid:durableId="407ED7FC"/>
  <w16cid:commentId w16cid:paraId="066E9616" w16cid:durableId="7C577EB6"/>
  <w16cid:commentId w16cid:paraId="20250C50" w16cid:durableId="1F0BD4A7"/>
  <w16cid:commentId w16cid:paraId="11E07276" w16cid:durableId="20287F78"/>
  <w16cid:commentId w16cid:paraId="32E41D41" w16cid:durableId="0AB35178"/>
  <w16cid:commentId w16cid:paraId="2AE9144D" w16cid:durableId="7A45D1E8"/>
  <w16cid:commentId w16cid:paraId="1E13FF06" w16cid:durableId="5827475B"/>
  <w16cid:commentId w16cid:paraId="3B1B7398" w16cid:durableId="52FB90DB"/>
  <w16cid:commentId w16cid:paraId="07661CFA" w16cid:durableId="310FC183"/>
  <w16cid:commentId w16cid:paraId="077AA9FE" w16cid:durableId="7A35DE27"/>
  <w16cid:commentId w16cid:paraId="59683C55" w16cid:durableId="3C251E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939D8" w14:textId="77777777" w:rsidR="004B2E30" w:rsidRDefault="004B2E30" w:rsidP="00E71A58">
      <w:r>
        <w:separator/>
      </w:r>
    </w:p>
  </w:endnote>
  <w:endnote w:type="continuationSeparator" w:id="0">
    <w:p w14:paraId="115E2A18" w14:textId="77777777" w:rsidR="004B2E30" w:rsidRDefault="004B2E3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FDA8" w14:textId="05D0D7C5" w:rsidR="0057316C" w:rsidRPr="00932443" w:rsidRDefault="0057316C" w:rsidP="00A418BC">
    <w:pPr>
      <w:pStyle w:val="Zpat"/>
      <w:rPr>
        <w:szCs w:val="16"/>
      </w:rPr>
    </w:pPr>
    <w:r>
      <w:rPr>
        <w:szCs w:val="16"/>
        <w:lang w:eastAsia="cs-CZ"/>
      </w:rPr>
      <w:drawing>
        <wp:anchor distT="0" distB="0" distL="114300" distR="114300" simplePos="0" relativeHeight="251658240" behindDoc="0" locked="0" layoutInCell="1" allowOverlap="1" wp14:anchorId="1C2069DB" wp14:editId="2289C84F">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812A01">
      <w:rPr>
        <w:szCs w:val="16"/>
      </w:rPr>
      <w:t>8</w:t>
    </w:r>
    <w:r w:rsidRPr="00932443">
      <w:rPr>
        <w:szCs w:val="16"/>
      </w:rPr>
      <w:fldChar w:fldCharType="end"/>
    </w:r>
    <w:r w:rsidRPr="00932443">
      <w:rPr>
        <w:szCs w:val="16"/>
      </w:rPr>
      <w:tab/>
    </w:r>
    <w:r>
      <w:rPr>
        <w:szCs w:val="16"/>
      </w:rPr>
      <w:t>2021, 2022, 2023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14CD" w14:textId="728CFD6A" w:rsidR="0057316C" w:rsidRPr="00932443" w:rsidRDefault="0057316C" w:rsidP="00A418BC">
    <w:pPr>
      <w:pStyle w:val="Zpat"/>
      <w:rPr>
        <w:szCs w:val="16"/>
      </w:rPr>
    </w:pPr>
    <w:r>
      <w:rPr>
        <w:szCs w:val="16"/>
        <w:lang w:eastAsia="cs-CZ"/>
      </w:rPr>
      <w:drawing>
        <wp:anchor distT="0" distB="0" distL="114300" distR="114300" simplePos="0" relativeHeight="251640320" behindDoc="0" locked="0" layoutInCell="1" allowOverlap="1" wp14:anchorId="1AD638B2" wp14:editId="2749CEC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2021, 2022, 2023</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812A01">
      <w:rPr>
        <w:rStyle w:val="ZpatChar"/>
        <w:szCs w:val="16"/>
      </w:rPr>
      <w:t>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0F1EC" w14:textId="77777777" w:rsidR="004B2E30" w:rsidRDefault="004B2E30" w:rsidP="00E71A58">
      <w:r>
        <w:separator/>
      </w:r>
    </w:p>
  </w:footnote>
  <w:footnote w:type="continuationSeparator" w:id="0">
    <w:p w14:paraId="7473008B" w14:textId="77777777" w:rsidR="004B2E30" w:rsidRDefault="004B2E30" w:rsidP="00E71A58">
      <w:r>
        <w:continuationSeparator/>
      </w:r>
    </w:p>
  </w:footnote>
  <w:footnote w:id="1">
    <w:p w14:paraId="191E9337" w14:textId="77777777" w:rsidR="0057316C" w:rsidRDefault="0057316C" w:rsidP="005F7A68">
      <w:pPr>
        <w:pStyle w:val="Textpoznpodarou"/>
      </w:pPr>
      <w:r>
        <w:rPr>
          <w:rStyle w:val="Znakapoznpodarou"/>
        </w:rPr>
        <w:footnoteRef/>
      </w:r>
      <w:r>
        <w:t xml:space="preserve"> Odhad hodnoty nefinančních aktiv domácností v NÚ se zaměřuje především na rezidenční nemovitosti (byty, domy, pozemky). Hodnota se stanovuje na základě realizovaných tržních cen, indexů cen nemovitostí a odhadu zásob bytového fondu. Používají se také modelové výpočty, které zohledňují opotřebení a amortizaci majetku. Finanční aktiva a závazky v pojetí NÚ zahrnují údaje za celou ekonomiku. Za tímto účelem je využívána široká paleta zdrojů zahrnující data za nefinanční, finanční, vládní či neziskové instituce. Jimi reportované hodnoty závazků a finančních aktiv jsou alokovány do aktiv, a to včetně aktiv domácností. Ovšem NÚ nejsou pouze o součtu údajů z datových zdrojů vycházejících zejména z podnikového účetnictví. Údaje NÚ jsou v některých případech doplňovány o další odhady a úpravy, které slouží k zajištění souladu s metodikou národních účtů ESA 2010. Mezi významné úpravy tohoto typu patří například imputace technických rezerv z neživotního pojištění do aktiv pojištěných domácností, imputace podílu domácností v bytových družstvech, který je v rámci NÚ oceněn v hodnotě dané nemovitosti nebo úprava hodnoty účastí na aktivech domácností, která obsahuje údaje i za nejbohatší domácnosti. Hlavním zdrojem dat pro NÚ jsou údaje poskytované ČNB.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58B8" w14:textId="582A586B" w:rsidR="0057316C" w:rsidRPr="006F5416" w:rsidRDefault="0057316C" w:rsidP="00937AE2">
    <w:pPr>
      <w:pStyle w:val="Zhlav"/>
    </w:pPr>
    <w:r>
      <w:t>Finanční situace domácností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BD91" w14:textId="1AB9A6CC" w:rsidR="0057316C" w:rsidRPr="006F5416" w:rsidRDefault="0057316C" w:rsidP="00937AE2">
    <w:pPr>
      <w:pStyle w:val="Zhlav"/>
    </w:pPr>
    <w:r>
      <w:t>Finanční situace domácností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2543CE"/>
    <w:multiLevelType w:val="hybridMultilevel"/>
    <w:tmpl w:val="5ABA1E28"/>
    <w:lvl w:ilvl="0" w:tplc="26D87186">
      <w:start w:val="1"/>
      <w:numFmt w:val="bullet"/>
      <w:pStyle w:val="Odrky"/>
      <w:lvlText w:val=""/>
      <w:lvlJc w:val="left"/>
      <w:pPr>
        <w:tabs>
          <w:tab w:val="num" w:pos="720"/>
        </w:tabs>
        <w:ind w:left="720" w:hanging="360"/>
      </w:pPr>
      <w:rPr>
        <w:rFonts w:ascii="Wingdings" w:hAnsi="Wingdings"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F0B40"/>
    <w:multiLevelType w:val="hybridMultilevel"/>
    <w:tmpl w:val="7F7E659E"/>
    <w:lvl w:ilvl="0" w:tplc="04050001">
      <w:start w:val="1"/>
      <w:numFmt w:val="bullet"/>
      <w:lvlText w:val=""/>
      <w:lvlJc w:val="left"/>
      <w:pPr>
        <w:tabs>
          <w:tab w:val="num" w:pos="720"/>
        </w:tabs>
        <w:ind w:left="720" w:hanging="360"/>
      </w:pPr>
      <w:rPr>
        <w:rFonts w:ascii="Symbol" w:hAnsi="Symbol"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FC586C"/>
    <w:multiLevelType w:val="hybridMultilevel"/>
    <w:tmpl w:val="F118B42C"/>
    <w:lvl w:ilvl="0" w:tplc="BE02D2BC">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BA4C48"/>
    <w:multiLevelType w:val="hybridMultilevel"/>
    <w:tmpl w:val="5AC6F05C"/>
    <w:lvl w:ilvl="0" w:tplc="A52616C2">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3D6A46"/>
    <w:multiLevelType w:val="hybridMultilevel"/>
    <w:tmpl w:val="0EAEA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FF1CD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2F74713"/>
    <w:multiLevelType w:val="hybridMultilevel"/>
    <w:tmpl w:val="C8B20FBE"/>
    <w:lvl w:ilvl="0" w:tplc="04050001">
      <w:start w:val="1"/>
      <w:numFmt w:val="bullet"/>
      <w:lvlText w:val=""/>
      <w:lvlJc w:val="left"/>
      <w:pPr>
        <w:tabs>
          <w:tab w:val="num" w:pos="720"/>
        </w:tabs>
        <w:ind w:left="720" w:hanging="360"/>
      </w:pPr>
      <w:rPr>
        <w:rFonts w:ascii="Symbol" w:hAnsi="Symbol"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9110BC"/>
    <w:multiLevelType w:val="hybridMultilevel"/>
    <w:tmpl w:val="8B1EA14E"/>
    <w:lvl w:ilvl="0" w:tplc="AC327930">
      <w:start w:val="1"/>
      <w:numFmt w:val="decimal"/>
      <w:lvlText w:val="%1)"/>
      <w:lvlJc w:val="left"/>
      <w:pPr>
        <w:ind w:left="720" w:hanging="360"/>
      </w:pPr>
      <w:rPr>
        <w:rFonts w:cs="Arial" w:hint="default"/>
        <w:sz w:val="16"/>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6"/>
  </w:num>
  <w:num w:numId="14">
    <w:abstractNumId w:val="18"/>
  </w:num>
  <w:num w:numId="15">
    <w:abstractNumId w:val="10"/>
  </w:num>
  <w:num w:numId="16">
    <w:abstractNumId w:val="17"/>
  </w:num>
  <w:num w:numId="17">
    <w:abstractNumId w:val="11"/>
  </w:num>
  <w:num w:numId="18">
    <w:abstractNumId w:val="19"/>
  </w:num>
  <w:num w:numId="19">
    <w:abstractNumId w:val="20"/>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0"/>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ED"/>
    <w:rsid w:val="0000209D"/>
    <w:rsid w:val="00003D3C"/>
    <w:rsid w:val="00004D5A"/>
    <w:rsid w:val="000056D5"/>
    <w:rsid w:val="00005E45"/>
    <w:rsid w:val="0000767A"/>
    <w:rsid w:val="00010702"/>
    <w:rsid w:val="000234D6"/>
    <w:rsid w:val="0002386F"/>
    <w:rsid w:val="00023D29"/>
    <w:rsid w:val="00024214"/>
    <w:rsid w:val="00026373"/>
    <w:rsid w:val="00026389"/>
    <w:rsid w:val="00031AE0"/>
    <w:rsid w:val="000322EF"/>
    <w:rsid w:val="00033FCD"/>
    <w:rsid w:val="00036228"/>
    <w:rsid w:val="00041CEC"/>
    <w:rsid w:val="00043924"/>
    <w:rsid w:val="0004694F"/>
    <w:rsid w:val="000522E4"/>
    <w:rsid w:val="0005414F"/>
    <w:rsid w:val="000610E1"/>
    <w:rsid w:val="00062EC5"/>
    <w:rsid w:val="00062F22"/>
    <w:rsid w:val="00064BBE"/>
    <w:rsid w:val="000712B3"/>
    <w:rsid w:val="0008263E"/>
    <w:rsid w:val="00082C19"/>
    <w:rsid w:val="00085395"/>
    <w:rsid w:val="000858BF"/>
    <w:rsid w:val="00087634"/>
    <w:rsid w:val="00087F2B"/>
    <w:rsid w:val="000974D1"/>
    <w:rsid w:val="0009799E"/>
    <w:rsid w:val="000A1183"/>
    <w:rsid w:val="000A256D"/>
    <w:rsid w:val="000A3A2C"/>
    <w:rsid w:val="000A43A0"/>
    <w:rsid w:val="000B17EB"/>
    <w:rsid w:val="000B207E"/>
    <w:rsid w:val="000B5506"/>
    <w:rsid w:val="000C3408"/>
    <w:rsid w:val="000C6AFD"/>
    <w:rsid w:val="000D26CD"/>
    <w:rsid w:val="000D5637"/>
    <w:rsid w:val="000D73AB"/>
    <w:rsid w:val="000E6FBD"/>
    <w:rsid w:val="000F6AFD"/>
    <w:rsid w:val="00100020"/>
    <w:rsid w:val="00100262"/>
    <w:rsid w:val="00100F5C"/>
    <w:rsid w:val="001026B5"/>
    <w:rsid w:val="00104C4C"/>
    <w:rsid w:val="0012192F"/>
    <w:rsid w:val="001233BC"/>
    <w:rsid w:val="00125D69"/>
    <w:rsid w:val="001405FA"/>
    <w:rsid w:val="001425C3"/>
    <w:rsid w:val="00150680"/>
    <w:rsid w:val="00156566"/>
    <w:rsid w:val="001607A8"/>
    <w:rsid w:val="0016256B"/>
    <w:rsid w:val="00163793"/>
    <w:rsid w:val="001706D6"/>
    <w:rsid w:val="001714F2"/>
    <w:rsid w:val="00175ABB"/>
    <w:rsid w:val="00184B08"/>
    <w:rsid w:val="00185010"/>
    <w:rsid w:val="001A0084"/>
    <w:rsid w:val="001A552F"/>
    <w:rsid w:val="001B2CA9"/>
    <w:rsid w:val="001B3110"/>
    <w:rsid w:val="001B3B02"/>
    <w:rsid w:val="001B4729"/>
    <w:rsid w:val="001B6C09"/>
    <w:rsid w:val="001C0522"/>
    <w:rsid w:val="001C05CD"/>
    <w:rsid w:val="001C44BF"/>
    <w:rsid w:val="001D17EE"/>
    <w:rsid w:val="001D2707"/>
    <w:rsid w:val="001D68B2"/>
    <w:rsid w:val="001D6F06"/>
    <w:rsid w:val="001E460F"/>
    <w:rsid w:val="001E5A4B"/>
    <w:rsid w:val="001F2E40"/>
    <w:rsid w:val="001F4597"/>
    <w:rsid w:val="002118B9"/>
    <w:rsid w:val="00216FBB"/>
    <w:rsid w:val="00217C5B"/>
    <w:rsid w:val="0022139E"/>
    <w:rsid w:val="002252E0"/>
    <w:rsid w:val="002255F6"/>
    <w:rsid w:val="00227850"/>
    <w:rsid w:val="00227A53"/>
    <w:rsid w:val="00230C6E"/>
    <w:rsid w:val="002344FC"/>
    <w:rsid w:val="00236443"/>
    <w:rsid w:val="002436BA"/>
    <w:rsid w:val="00244A15"/>
    <w:rsid w:val="00247319"/>
    <w:rsid w:val="0024799E"/>
    <w:rsid w:val="00253C0F"/>
    <w:rsid w:val="00267209"/>
    <w:rsid w:val="00271465"/>
    <w:rsid w:val="00285412"/>
    <w:rsid w:val="00290446"/>
    <w:rsid w:val="002A16D4"/>
    <w:rsid w:val="002A230C"/>
    <w:rsid w:val="002A53B9"/>
    <w:rsid w:val="002A7C01"/>
    <w:rsid w:val="002B0D6D"/>
    <w:rsid w:val="002C3644"/>
    <w:rsid w:val="002C43BD"/>
    <w:rsid w:val="002D0E59"/>
    <w:rsid w:val="002D224A"/>
    <w:rsid w:val="002D2526"/>
    <w:rsid w:val="002E02A1"/>
    <w:rsid w:val="002E4E4C"/>
    <w:rsid w:val="002E5B21"/>
    <w:rsid w:val="002E5E9A"/>
    <w:rsid w:val="002E78A0"/>
    <w:rsid w:val="002F20EB"/>
    <w:rsid w:val="002F3EDE"/>
    <w:rsid w:val="00304771"/>
    <w:rsid w:val="0030508F"/>
    <w:rsid w:val="003052D4"/>
    <w:rsid w:val="00306C5B"/>
    <w:rsid w:val="00312060"/>
    <w:rsid w:val="00314D9F"/>
    <w:rsid w:val="003209D6"/>
    <w:rsid w:val="00321924"/>
    <w:rsid w:val="0032656E"/>
    <w:rsid w:val="00326D0B"/>
    <w:rsid w:val="00327485"/>
    <w:rsid w:val="00332190"/>
    <w:rsid w:val="003408DD"/>
    <w:rsid w:val="00342BA9"/>
    <w:rsid w:val="00343D6D"/>
    <w:rsid w:val="00344668"/>
    <w:rsid w:val="0034485F"/>
    <w:rsid w:val="003449C1"/>
    <w:rsid w:val="003462D9"/>
    <w:rsid w:val="00360C86"/>
    <w:rsid w:val="00362FEC"/>
    <w:rsid w:val="003657F3"/>
    <w:rsid w:val="0037392F"/>
    <w:rsid w:val="003814C5"/>
    <w:rsid w:val="003818DC"/>
    <w:rsid w:val="00384327"/>
    <w:rsid w:val="00385D98"/>
    <w:rsid w:val="00394D4B"/>
    <w:rsid w:val="0039614F"/>
    <w:rsid w:val="003A0F05"/>
    <w:rsid w:val="003A2B4D"/>
    <w:rsid w:val="003A478C"/>
    <w:rsid w:val="003A5525"/>
    <w:rsid w:val="003A6B38"/>
    <w:rsid w:val="003B5A32"/>
    <w:rsid w:val="003B6012"/>
    <w:rsid w:val="003C2CFB"/>
    <w:rsid w:val="003C3490"/>
    <w:rsid w:val="003C710A"/>
    <w:rsid w:val="003D3982"/>
    <w:rsid w:val="003D5BC2"/>
    <w:rsid w:val="003D6920"/>
    <w:rsid w:val="003E4C91"/>
    <w:rsid w:val="003F313C"/>
    <w:rsid w:val="003F4B2C"/>
    <w:rsid w:val="003F551C"/>
    <w:rsid w:val="003F7D23"/>
    <w:rsid w:val="00402336"/>
    <w:rsid w:val="00402DF1"/>
    <w:rsid w:val="004060E9"/>
    <w:rsid w:val="00407C13"/>
    <w:rsid w:val="00410638"/>
    <w:rsid w:val="00425D4E"/>
    <w:rsid w:val="00431B2C"/>
    <w:rsid w:val="00431B84"/>
    <w:rsid w:val="00432A58"/>
    <w:rsid w:val="0043362C"/>
    <w:rsid w:val="00434617"/>
    <w:rsid w:val="004406C5"/>
    <w:rsid w:val="00440900"/>
    <w:rsid w:val="004413BA"/>
    <w:rsid w:val="004441A0"/>
    <w:rsid w:val="00460F50"/>
    <w:rsid w:val="00460FB3"/>
    <w:rsid w:val="004667A2"/>
    <w:rsid w:val="00471819"/>
    <w:rsid w:val="00472354"/>
    <w:rsid w:val="00476240"/>
    <w:rsid w:val="00476439"/>
    <w:rsid w:val="0047735C"/>
    <w:rsid w:val="004776BC"/>
    <w:rsid w:val="0048139F"/>
    <w:rsid w:val="0048153B"/>
    <w:rsid w:val="00481E40"/>
    <w:rsid w:val="00483EF9"/>
    <w:rsid w:val="00484ECE"/>
    <w:rsid w:val="004854A8"/>
    <w:rsid w:val="004915CB"/>
    <w:rsid w:val="004924DC"/>
    <w:rsid w:val="00496556"/>
    <w:rsid w:val="004A14E4"/>
    <w:rsid w:val="004A3212"/>
    <w:rsid w:val="004A61C5"/>
    <w:rsid w:val="004A77DF"/>
    <w:rsid w:val="004B1417"/>
    <w:rsid w:val="004B2E30"/>
    <w:rsid w:val="004B496C"/>
    <w:rsid w:val="004B55B7"/>
    <w:rsid w:val="004B56FE"/>
    <w:rsid w:val="004B6468"/>
    <w:rsid w:val="004C384C"/>
    <w:rsid w:val="004C3867"/>
    <w:rsid w:val="004C4CD0"/>
    <w:rsid w:val="004C50F7"/>
    <w:rsid w:val="004C553E"/>
    <w:rsid w:val="004C61EA"/>
    <w:rsid w:val="004C688B"/>
    <w:rsid w:val="004C70DC"/>
    <w:rsid w:val="004D0211"/>
    <w:rsid w:val="004D0794"/>
    <w:rsid w:val="004D40A7"/>
    <w:rsid w:val="004D52A6"/>
    <w:rsid w:val="004F06F5"/>
    <w:rsid w:val="004F1AC1"/>
    <w:rsid w:val="004F33A0"/>
    <w:rsid w:val="004F3459"/>
    <w:rsid w:val="00502EE1"/>
    <w:rsid w:val="005108C0"/>
    <w:rsid w:val="00511873"/>
    <w:rsid w:val="00512A2F"/>
    <w:rsid w:val="00513B7E"/>
    <w:rsid w:val="00515C74"/>
    <w:rsid w:val="0052007E"/>
    <w:rsid w:val="00520835"/>
    <w:rsid w:val="0052337A"/>
    <w:rsid w:val="00525137"/>
    <w:rsid w:val="005251DD"/>
    <w:rsid w:val="00531BFF"/>
    <w:rsid w:val="00532CE7"/>
    <w:rsid w:val="0053324C"/>
    <w:rsid w:val="00534A28"/>
    <w:rsid w:val="00540526"/>
    <w:rsid w:val="00541508"/>
    <w:rsid w:val="00543123"/>
    <w:rsid w:val="00552EE6"/>
    <w:rsid w:val="00553179"/>
    <w:rsid w:val="0055599F"/>
    <w:rsid w:val="00556147"/>
    <w:rsid w:val="00556D68"/>
    <w:rsid w:val="00563B6C"/>
    <w:rsid w:val="005647BF"/>
    <w:rsid w:val="00564DED"/>
    <w:rsid w:val="0057316C"/>
    <w:rsid w:val="0057364B"/>
    <w:rsid w:val="00574773"/>
    <w:rsid w:val="0058131F"/>
    <w:rsid w:val="00583180"/>
    <w:rsid w:val="00583604"/>
    <w:rsid w:val="00583FFD"/>
    <w:rsid w:val="00584EAF"/>
    <w:rsid w:val="00586C7E"/>
    <w:rsid w:val="00590586"/>
    <w:rsid w:val="005911BE"/>
    <w:rsid w:val="00593152"/>
    <w:rsid w:val="00595284"/>
    <w:rsid w:val="00597632"/>
    <w:rsid w:val="005A10F2"/>
    <w:rsid w:val="005A21E0"/>
    <w:rsid w:val="005A28FF"/>
    <w:rsid w:val="005A34CB"/>
    <w:rsid w:val="005A3DF8"/>
    <w:rsid w:val="005A5549"/>
    <w:rsid w:val="005A5890"/>
    <w:rsid w:val="005A7F2E"/>
    <w:rsid w:val="005B121D"/>
    <w:rsid w:val="005B5E20"/>
    <w:rsid w:val="005C026F"/>
    <w:rsid w:val="005C06ED"/>
    <w:rsid w:val="005C1074"/>
    <w:rsid w:val="005D08B7"/>
    <w:rsid w:val="005D5802"/>
    <w:rsid w:val="005D7890"/>
    <w:rsid w:val="005E0169"/>
    <w:rsid w:val="005E32EC"/>
    <w:rsid w:val="005E5863"/>
    <w:rsid w:val="005E623E"/>
    <w:rsid w:val="005E7C78"/>
    <w:rsid w:val="005F1EA3"/>
    <w:rsid w:val="005F289D"/>
    <w:rsid w:val="005F3EB1"/>
    <w:rsid w:val="005F5469"/>
    <w:rsid w:val="005F7A68"/>
    <w:rsid w:val="00604307"/>
    <w:rsid w:val="0060487F"/>
    <w:rsid w:val="00604EAD"/>
    <w:rsid w:val="006104FB"/>
    <w:rsid w:val="00612A2F"/>
    <w:rsid w:val="00616E05"/>
    <w:rsid w:val="00624093"/>
    <w:rsid w:val="00625A5A"/>
    <w:rsid w:val="006404A7"/>
    <w:rsid w:val="00644EFC"/>
    <w:rsid w:val="006451E4"/>
    <w:rsid w:val="00645B33"/>
    <w:rsid w:val="006516CB"/>
    <w:rsid w:val="0065239A"/>
    <w:rsid w:val="00657E87"/>
    <w:rsid w:val="006634CE"/>
    <w:rsid w:val="00664803"/>
    <w:rsid w:val="00665BA4"/>
    <w:rsid w:val="00667AF2"/>
    <w:rsid w:val="006710C9"/>
    <w:rsid w:val="00674D89"/>
    <w:rsid w:val="00675E2D"/>
    <w:rsid w:val="00675E37"/>
    <w:rsid w:val="0068174E"/>
    <w:rsid w:val="00681DCE"/>
    <w:rsid w:val="0068260E"/>
    <w:rsid w:val="00695BEF"/>
    <w:rsid w:val="006977F6"/>
    <w:rsid w:val="00697A13"/>
    <w:rsid w:val="006A109C"/>
    <w:rsid w:val="006B344A"/>
    <w:rsid w:val="006B717C"/>
    <w:rsid w:val="006B78D8"/>
    <w:rsid w:val="006C060B"/>
    <w:rsid w:val="006C113F"/>
    <w:rsid w:val="006C123E"/>
    <w:rsid w:val="006C4E3B"/>
    <w:rsid w:val="006C56D4"/>
    <w:rsid w:val="006C6924"/>
    <w:rsid w:val="006C7CA6"/>
    <w:rsid w:val="006D0E84"/>
    <w:rsid w:val="006D3E8A"/>
    <w:rsid w:val="006D61F6"/>
    <w:rsid w:val="006E279A"/>
    <w:rsid w:val="006E2CBB"/>
    <w:rsid w:val="006E313B"/>
    <w:rsid w:val="006E7A2C"/>
    <w:rsid w:val="006F3F85"/>
    <w:rsid w:val="006F5416"/>
    <w:rsid w:val="00706AD4"/>
    <w:rsid w:val="007124DF"/>
    <w:rsid w:val="00712824"/>
    <w:rsid w:val="007140BE"/>
    <w:rsid w:val="007211F5"/>
    <w:rsid w:val="00725BB5"/>
    <w:rsid w:val="00730AE8"/>
    <w:rsid w:val="00741493"/>
    <w:rsid w:val="0074219C"/>
    <w:rsid w:val="00752180"/>
    <w:rsid w:val="00755202"/>
    <w:rsid w:val="00755D3A"/>
    <w:rsid w:val="0075682F"/>
    <w:rsid w:val="007578D3"/>
    <w:rsid w:val="007609C6"/>
    <w:rsid w:val="0076175D"/>
    <w:rsid w:val="00764226"/>
    <w:rsid w:val="0076521E"/>
    <w:rsid w:val="007661E9"/>
    <w:rsid w:val="00772703"/>
    <w:rsid w:val="00776169"/>
    <w:rsid w:val="00776527"/>
    <w:rsid w:val="0078055E"/>
    <w:rsid w:val="00780EF1"/>
    <w:rsid w:val="00783DD5"/>
    <w:rsid w:val="00790764"/>
    <w:rsid w:val="00790DCC"/>
    <w:rsid w:val="0079453C"/>
    <w:rsid w:val="00794677"/>
    <w:rsid w:val="007948EB"/>
    <w:rsid w:val="007952BF"/>
    <w:rsid w:val="0079585A"/>
    <w:rsid w:val="007A128C"/>
    <w:rsid w:val="007A2C19"/>
    <w:rsid w:val="007B45F1"/>
    <w:rsid w:val="007B6689"/>
    <w:rsid w:val="007C1C3A"/>
    <w:rsid w:val="007C5C20"/>
    <w:rsid w:val="007D3693"/>
    <w:rsid w:val="007D40DF"/>
    <w:rsid w:val="007D433A"/>
    <w:rsid w:val="007E531A"/>
    <w:rsid w:val="007E7AD4"/>
    <w:rsid w:val="007E7E61"/>
    <w:rsid w:val="007F0845"/>
    <w:rsid w:val="007F1350"/>
    <w:rsid w:val="007F2FFD"/>
    <w:rsid w:val="00801EE4"/>
    <w:rsid w:val="00805226"/>
    <w:rsid w:val="00807C82"/>
    <w:rsid w:val="00812A01"/>
    <w:rsid w:val="008131D4"/>
    <w:rsid w:val="00814154"/>
    <w:rsid w:val="00815E2C"/>
    <w:rsid w:val="00816905"/>
    <w:rsid w:val="00821FF6"/>
    <w:rsid w:val="00822421"/>
    <w:rsid w:val="00825C4D"/>
    <w:rsid w:val="00827093"/>
    <w:rsid w:val="0083143E"/>
    <w:rsid w:val="00831CDE"/>
    <w:rsid w:val="00834304"/>
    <w:rsid w:val="00834FAA"/>
    <w:rsid w:val="00836086"/>
    <w:rsid w:val="0084468F"/>
    <w:rsid w:val="008462C3"/>
    <w:rsid w:val="0084708F"/>
    <w:rsid w:val="008477C8"/>
    <w:rsid w:val="0085114D"/>
    <w:rsid w:val="00852217"/>
    <w:rsid w:val="00855408"/>
    <w:rsid w:val="00856D65"/>
    <w:rsid w:val="00856FAD"/>
    <w:rsid w:val="00861B41"/>
    <w:rsid w:val="00862FC1"/>
    <w:rsid w:val="00863434"/>
    <w:rsid w:val="00865E4C"/>
    <w:rsid w:val="008701E4"/>
    <w:rsid w:val="00870D92"/>
    <w:rsid w:val="00875A32"/>
    <w:rsid w:val="00875CC2"/>
    <w:rsid w:val="00875F99"/>
    <w:rsid w:val="00876086"/>
    <w:rsid w:val="00882CD0"/>
    <w:rsid w:val="00884BE5"/>
    <w:rsid w:val="008873D4"/>
    <w:rsid w:val="00893E85"/>
    <w:rsid w:val="00894031"/>
    <w:rsid w:val="008A38BC"/>
    <w:rsid w:val="008A3FDB"/>
    <w:rsid w:val="008A55A4"/>
    <w:rsid w:val="008B0073"/>
    <w:rsid w:val="008B47F9"/>
    <w:rsid w:val="008B7772"/>
    <w:rsid w:val="008B7C02"/>
    <w:rsid w:val="008B7D2B"/>
    <w:rsid w:val="008C0049"/>
    <w:rsid w:val="008C0E88"/>
    <w:rsid w:val="008C1775"/>
    <w:rsid w:val="008C5903"/>
    <w:rsid w:val="008C707A"/>
    <w:rsid w:val="008D02E1"/>
    <w:rsid w:val="008D06BC"/>
    <w:rsid w:val="008D1E6A"/>
    <w:rsid w:val="008D2A16"/>
    <w:rsid w:val="008E25ED"/>
    <w:rsid w:val="008E2C57"/>
    <w:rsid w:val="008E31FF"/>
    <w:rsid w:val="008E635C"/>
    <w:rsid w:val="008E6419"/>
    <w:rsid w:val="008E6F06"/>
    <w:rsid w:val="008F029B"/>
    <w:rsid w:val="008F0D85"/>
    <w:rsid w:val="008F3FC9"/>
    <w:rsid w:val="008F585B"/>
    <w:rsid w:val="009003A8"/>
    <w:rsid w:val="00902500"/>
    <w:rsid w:val="00902EFF"/>
    <w:rsid w:val="0090524C"/>
    <w:rsid w:val="00906401"/>
    <w:rsid w:val="0091155E"/>
    <w:rsid w:val="00912A92"/>
    <w:rsid w:val="00915EBD"/>
    <w:rsid w:val="0091728D"/>
    <w:rsid w:val="0092180B"/>
    <w:rsid w:val="00921F14"/>
    <w:rsid w:val="00924AC8"/>
    <w:rsid w:val="0092597A"/>
    <w:rsid w:val="00926E4B"/>
    <w:rsid w:val="00932443"/>
    <w:rsid w:val="00932B98"/>
    <w:rsid w:val="009353F0"/>
    <w:rsid w:val="00937AE2"/>
    <w:rsid w:val="009415FC"/>
    <w:rsid w:val="0094427A"/>
    <w:rsid w:val="00947E75"/>
    <w:rsid w:val="00962056"/>
    <w:rsid w:val="0097003E"/>
    <w:rsid w:val="00970E22"/>
    <w:rsid w:val="009729F1"/>
    <w:rsid w:val="00974923"/>
    <w:rsid w:val="00976035"/>
    <w:rsid w:val="00980D3D"/>
    <w:rsid w:val="00983F67"/>
    <w:rsid w:val="00987A30"/>
    <w:rsid w:val="009902C4"/>
    <w:rsid w:val="0099244C"/>
    <w:rsid w:val="00992CF3"/>
    <w:rsid w:val="00995A66"/>
    <w:rsid w:val="009968D6"/>
    <w:rsid w:val="009A13DE"/>
    <w:rsid w:val="009A1CAB"/>
    <w:rsid w:val="009A60D1"/>
    <w:rsid w:val="009B0A8F"/>
    <w:rsid w:val="009B10A8"/>
    <w:rsid w:val="009B2426"/>
    <w:rsid w:val="009B5315"/>
    <w:rsid w:val="009B6FD3"/>
    <w:rsid w:val="009C01E9"/>
    <w:rsid w:val="009C1750"/>
    <w:rsid w:val="009C2E29"/>
    <w:rsid w:val="009C554B"/>
    <w:rsid w:val="009C6816"/>
    <w:rsid w:val="009C719E"/>
    <w:rsid w:val="009C7BEF"/>
    <w:rsid w:val="009D3ACD"/>
    <w:rsid w:val="009E4E16"/>
    <w:rsid w:val="009E5273"/>
    <w:rsid w:val="009E5DDB"/>
    <w:rsid w:val="009F02EA"/>
    <w:rsid w:val="009F4CA7"/>
    <w:rsid w:val="00A025BD"/>
    <w:rsid w:val="00A10517"/>
    <w:rsid w:val="00A10D66"/>
    <w:rsid w:val="00A1161B"/>
    <w:rsid w:val="00A14114"/>
    <w:rsid w:val="00A16413"/>
    <w:rsid w:val="00A21405"/>
    <w:rsid w:val="00A23E43"/>
    <w:rsid w:val="00A30F65"/>
    <w:rsid w:val="00A35020"/>
    <w:rsid w:val="00A418BC"/>
    <w:rsid w:val="00A46DE0"/>
    <w:rsid w:val="00A50D73"/>
    <w:rsid w:val="00A52CAD"/>
    <w:rsid w:val="00A53FC7"/>
    <w:rsid w:val="00A62CE1"/>
    <w:rsid w:val="00A6681D"/>
    <w:rsid w:val="00A6741E"/>
    <w:rsid w:val="00A75E40"/>
    <w:rsid w:val="00A77C07"/>
    <w:rsid w:val="00A77D1D"/>
    <w:rsid w:val="00A857C0"/>
    <w:rsid w:val="00A87FB2"/>
    <w:rsid w:val="00A94781"/>
    <w:rsid w:val="00A97EE6"/>
    <w:rsid w:val="00AA2996"/>
    <w:rsid w:val="00AA52BF"/>
    <w:rsid w:val="00AA559A"/>
    <w:rsid w:val="00AB2AF1"/>
    <w:rsid w:val="00AB6646"/>
    <w:rsid w:val="00AC067D"/>
    <w:rsid w:val="00AC1408"/>
    <w:rsid w:val="00AC3777"/>
    <w:rsid w:val="00AD306C"/>
    <w:rsid w:val="00AD7576"/>
    <w:rsid w:val="00AD7F5A"/>
    <w:rsid w:val="00AE09B3"/>
    <w:rsid w:val="00AE1A83"/>
    <w:rsid w:val="00AF0128"/>
    <w:rsid w:val="00AF24FE"/>
    <w:rsid w:val="00AF46DC"/>
    <w:rsid w:val="00B00913"/>
    <w:rsid w:val="00B01593"/>
    <w:rsid w:val="00B10A4D"/>
    <w:rsid w:val="00B14E50"/>
    <w:rsid w:val="00B15372"/>
    <w:rsid w:val="00B1769D"/>
    <w:rsid w:val="00B17E71"/>
    <w:rsid w:val="00B17FDE"/>
    <w:rsid w:val="00B20450"/>
    <w:rsid w:val="00B21BF0"/>
    <w:rsid w:val="00B2379C"/>
    <w:rsid w:val="00B2687D"/>
    <w:rsid w:val="00B32DDB"/>
    <w:rsid w:val="00B33BE4"/>
    <w:rsid w:val="00B34528"/>
    <w:rsid w:val="00B3625A"/>
    <w:rsid w:val="00B402FC"/>
    <w:rsid w:val="00B40C51"/>
    <w:rsid w:val="00B46604"/>
    <w:rsid w:val="00B474DA"/>
    <w:rsid w:val="00B530CD"/>
    <w:rsid w:val="00B53CEE"/>
    <w:rsid w:val="00B55F5E"/>
    <w:rsid w:val="00B5752E"/>
    <w:rsid w:val="00B63A11"/>
    <w:rsid w:val="00B64C24"/>
    <w:rsid w:val="00B6608F"/>
    <w:rsid w:val="00B679FB"/>
    <w:rsid w:val="00B74341"/>
    <w:rsid w:val="00B76D1E"/>
    <w:rsid w:val="00B80EC6"/>
    <w:rsid w:val="00B87517"/>
    <w:rsid w:val="00B92D1D"/>
    <w:rsid w:val="00B938C5"/>
    <w:rsid w:val="00B93C62"/>
    <w:rsid w:val="00B94C46"/>
    <w:rsid w:val="00B95940"/>
    <w:rsid w:val="00BA10B1"/>
    <w:rsid w:val="00BB1939"/>
    <w:rsid w:val="00BB46F3"/>
    <w:rsid w:val="00BB49B6"/>
    <w:rsid w:val="00BB4CB1"/>
    <w:rsid w:val="00BB4F98"/>
    <w:rsid w:val="00BB651E"/>
    <w:rsid w:val="00BC4129"/>
    <w:rsid w:val="00BC7154"/>
    <w:rsid w:val="00BD366B"/>
    <w:rsid w:val="00BD47B8"/>
    <w:rsid w:val="00BD6D50"/>
    <w:rsid w:val="00BE18B9"/>
    <w:rsid w:val="00BE18ED"/>
    <w:rsid w:val="00BE2495"/>
    <w:rsid w:val="00BE6C9E"/>
    <w:rsid w:val="00BF1578"/>
    <w:rsid w:val="00C07B24"/>
    <w:rsid w:val="00C12AC2"/>
    <w:rsid w:val="00C14F31"/>
    <w:rsid w:val="00C21F94"/>
    <w:rsid w:val="00C271AE"/>
    <w:rsid w:val="00C27913"/>
    <w:rsid w:val="00C33B68"/>
    <w:rsid w:val="00C36A79"/>
    <w:rsid w:val="00C405D4"/>
    <w:rsid w:val="00C4513B"/>
    <w:rsid w:val="00C46527"/>
    <w:rsid w:val="00C46D72"/>
    <w:rsid w:val="00C519A1"/>
    <w:rsid w:val="00C54697"/>
    <w:rsid w:val="00C556EF"/>
    <w:rsid w:val="00C60C29"/>
    <w:rsid w:val="00C631AB"/>
    <w:rsid w:val="00C66F8B"/>
    <w:rsid w:val="00C71964"/>
    <w:rsid w:val="00C73885"/>
    <w:rsid w:val="00C73EDE"/>
    <w:rsid w:val="00C747B1"/>
    <w:rsid w:val="00C76F13"/>
    <w:rsid w:val="00C77643"/>
    <w:rsid w:val="00C82191"/>
    <w:rsid w:val="00C83506"/>
    <w:rsid w:val="00C90CF4"/>
    <w:rsid w:val="00C92EB6"/>
    <w:rsid w:val="00C93389"/>
    <w:rsid w:val="00C979A1"/>
    <w:rsid w:val="00CA5EDA"/>
    <w:rsid w:val="00CA6DC6"/>
    <w:rsid w:val="00CB4930"/>
    <w:rsid w:val="00CB6A77"/>
    <w:rsid w:val="00CC0D30"/>
    <w:rsid w:val="00CC1125"/>
    <w:rsid w:val="00CC2E7D"/>
    <w:rsid w:val="00CC3A66"/>
    <w:rsid w:val="00CD10A5"/>
    <w:rsid w:val="00CD2076"/>
    <w:rsid w:val="00CD4C56"/>
    <w:rsid w:val="00CD77D4"/>
    <w:rsid w:val="00CE670B"/>
    <w:rsid w:val="00CE6786"/>
    <w:rsid w:val="00CF2D3A"/>
    <w:rsid w:val="00CF51EC"/>
    <w:rsid w:val="00CF73AE"/>
    <w:rsid w:val="00D040DD"/>
    <w:rsid w:val="00D10EA4"/>
    <w:rsid w:val="00D10EF6"/>
    <w:rsid w:val="00D126E8"/>
    <w:rsid w:val="00D12E20"/>
    <w:rsid w:val="00D13986"/>
    <w:rsid w:val="00D235B7"/>
    <w:rsid w:val="00D25F28"/>
    <w:rsid w:val="00D27973"/>
    <w:rsid w:val="00D3293A"/>
    <w:rsid w:val="00D340DE"/>
    <w:rsid w:val="00D3703A"/>
    <w:rsid w:val="00D42A1A"/>
    <w:rsid w:val="00D43C13"/>
    <w:rsid w:val="00D4721A"/>
    <w:rsid w:val="00D50B8B"/>
    <w:rsid w:val="00D50F46"/>
    <w:rsid w:val="00D54689"/>
    <w:rsid w:val="00D64CCE"/>
    <w:rsid w:val="00D66223"/>
    <w:rsid w:val="00D6724E"/>
    <w:rsid w:val="00D75A21"/>
    <w:rsid w:val="00D8049E"/>
    <w:rsid w:val="00D8084C"/>
    <w:rsid w:val="00D873A6"/>
    <w:rsid w:val="00D919EF"/>
    <w:rsid w:val="00DA122E"/>
    <w:rsid w:val="00DA3AC3"/>
    <w:rsid w:val="00DA46C8"/>
    <w:rsid w:val="00DA7C0C"/>
    <w:rsid w:val="00DB2EC8"/>
    <w:rsid w:val="00DC5B3B"/>
    <w:rsid w:val="00DD023E"/>
    <w:rsid w:val="00DD129F"/>
    <w:rsid w:val="00DD159B"/>
    <w:rsid w:val="00DD4F29"/>
    <w:rsid w:val="00DE71A6"/>
    <w:rsid w:val="00DF42FF"/>
    <w:rsid w:val="00E00AA7"/>
    <w:rsid w:val="00E01C0E"/>
    <w:rsid w:val="00E03F9A"/>
    <w:rsid w:val="00E04694"/>
    <w:rsid w:val="00E12B1E"/>
    <w:rsid w:val="00E157FE"/>
    <w:rsid w:val="00E17262"/>
    <w:rsid w:val="00E253A2"/>
    <w:rsid w:val="00E3309D"/>
    <w:rsid w:val="00E33541"/>
    <w:rsid w:val="00E34502"/>
    <w:rsid w:val="00E36D65"/>
    <w:rsid w:val="00E42E27"/>
    <w:rsid w:val="00E44347"/>
    <w:rsid w:val="00E44E64"/>
    <w:rsid w:val="00E50156"/>
    <w:rsid w:val="00E53470"/>
    <w:rsid w:val="00E539F6"/>
    <w:rsid w:val="00E55B15"/>
    <w:rsid w:val="00E632FD"/>
    <w:rsid w:val="00E6519D"/>
    <w:rsid w:val="00E67696"/>
    <w:rsid w:val="00E71A58"/>
    <w:rsid w:val="00E72A7A"/>
    <w:rsid w:val="00E7513F"/>
    <w:rsid w:val="00E75B96"/>
    <w:rsid w:val="00E75C94"/>
    <w:rsid w:val="00E93820"/>
    <w:rsid w:val="00E96DF3"/>
    <w:rsid w:val="00E97AF7"/>
    <w:rsid w:val="00EA0081"/>
    <w:rsid w:val="00EA0C68"/>
    <w:rsid w:val="00EA32BC"/>
    <w:rsid w:val="00EB3701"/>
    <w:rsid w:val="00EB4331"/>
    <w:rsid w:val="00EB4511"/>
    <w:rsid w:val="00EC03D7"/>
    <w:rsid w:val="00ED1745"/>
    <w:rsid w:val="00ED62C6"/>
    <w:rsid w:val="00ED64C1"/>
    <w:rsid w:val="00EE3446"/>
    <w:rsid w:val="00EE3E78"/>
    <w:rsid w:val="00EE4B1B"/>
    <w:rsid w:val="00EF150D"/>
    <w:rsid w:val="00EF1F5A"/>
    <w:rsid w:val="00EF3E57"/>
    <w:rsid w:val="00EF465E"/>
    <w:rsid w:val="00EF47BF"/>
    <w:rsid w:val="00F0188F"/>
    <w:rsid w:val="00F04811"/>
    <w:rsid w:val="00F0488C"/>
    <w:rsid w:val="00F10F11"/>
    <w:rsid w:val="00F110C5"/>
    <w:rsid w:val="00F15AAA"/>
    <w:rsid w:val="00F15BEF"/>
    <w:rsid w:val="00F24407"/>
    <w:rsid w:val="00F24FAA"/>
    <w:rsid w:val="00F2721C"/>
    <w:rsid w:val="00F3364D"/>
    <w:rsid w:val="00F34D4E"/>
    <w:rsid w:val="00F437CC"/>
    <w:rsid w:val="00F444AC"/>
    <w:rsid w:val="00F47067"/>
    <w:rsid w:val="00F51E83"/>
    <w:rsid w:val="00F524C5"/>
    <w:rsid w:val="00F525EB"/>
    <w:rsid w:val="00F536B1"/>
    <w:rsid w:val="00F56B2E"/>
    <w:rsid w:val="00F63DDE"/>
    <w:rsid w:val="00F63FB7"/>
    <w:rsid w:val="00F649D2"/>
    <w:rsid w:val="00F64BF5"/>
    <w:rsid w:val="00F6602B"/>
    <w:rsid w:val="00F6712B"/>
    <w:rsid w:val="00F73A0C"/>
    <w:rsid w:val="00F756DB"/>
    <w:rsid w:val="00F76BD3"/>
    <w:rsid w:val="00F81950"/>
    <w:rsid w:val="00F85066"/>
    <w:rsid w:val="00F938BC"/>
    <w:rsid w:val="00F95402"/>
    <w:rsid w:val="00FA5D4D"/>
    <w:rsid w:val="00FB0EE2"/>
    <w:rsid w:val="00FB542E"/>
    <w:rsid w:val="00FB7943"/>
    <w:rsid w:val="00FC0E5F"/>
    <w:rsid w:val="00FC1A95"/>
    <w:rsid w:val="00FC2DE3"/>
    <w:rsid w:val="00FC48DB"/>
    <w:rsid w:val="00FC56DE"/>
    <w:rsid w:val="00FC684B"/>
    <w:rsid w:val="00FC7CC8"/>
    <w:rsid w:val="00FD15ED"/>
    <w:rsid w:val="00FD3265"/>
    <w:rsid w:val="00FE0FF4"/>
    <w:rsid w:val="00FE2F78"/>
    <w:rsid w:val="00FF6D50"/>
    <w:rsid w:val="00FF6F2B"/>
    <w:rsid w:val="00FF6FB5"/>
    <w:rsid w:val="00FF7195"/>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17EFE6E"/>
  <w15:docId w15:val="{E61187B7-D91F-4234-B7C3-0A176AD7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F06"/>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9F02EA"/>
    <w:pPr>
      <w:keepNext/>
      <w:keepLines/>
      <w:spacing w:after="100" w:line="288" w:lineRule="auto"/>
      <w:contextualSpacing/>
      <w:outlineLvl w:val="0"/>
    </w:pPr>
    <w:rPr>
      <w:rFonts w:ascii="Arial" w:eastAsia="MS Gothic" w:hAnsi="Arial"/>
      <w:b/>
      <w:bCs/>
      <w:color w:val="BC5B80"/>
      <w:sz w:val="32"/>
      <w:szCs w:val="28"/>
      <w:lang w:eastAsia="cs-CZ"/>
    </w:rPr>
  </w:style>
  <w:style w:type="paragraph" w:styleId="Nadpis2">
    <w:name w:val="heading 2"/>
    <w:next w:val="Normln"/>
    <w:link w:val="Nadpis2Char"/>
    <w:uiPriority w:val="9"/>
    <w:qFormat/>
    <w:rsid w:val="009F02EA"/>
    <w:pPr>
      <w:keepNext/>
      <w:keepLines/>
      <w:spacing w:line="288" w:lineRule="auto"/>
      <w:outlineLvl w:val="1"/>
    </w:pPr>
    <w:rPr>
      <w:rFonts w:ascii="Arial" w:eastAsia="MS Gothic" w:hAnsi="Arial"/>
      <w:b/>
      <w:bCs/>
      <w:color w:val="BC5B80"/>
      <w:sz w:val="28"/>
      <w:szCs w:val="26"/>
      <w:lang w:eastAsia="cs-CZ"/>
    </w:rPr>
  </w:style>
  <w:style w:type="paragraph" w:styleId="Nadpis3">
    <w:name w:val="heading 3"/>
    <w:next w:val="Normln"/>
    <w:link w:val="Nadpis3Char"/>
    <w:uiPriority w:val="9"/>
    <w:qFormat/>
    <w:rsid w:val="009F02EA"/>
    <w:pPr>
      <w:keepNext/>
      <w:keepLines/>
      <w:spacing w:line="288" w:lineRule="auto"/>
      <w:outlineLvl w:val="2"/>
    </w:pPr>
    <w:rPr>
      <w:rFonts w:ascii="Arial" w:eastAsia="MS Gothic" w:hAnsi="Arial"/>
      <w:b/>
      <w:bCs/>
      <w:color w:val="BC5B80"/>
      <w:sz w:val="24"/>
      <w:szCs w:val="24"/>
      <w:lang w:eastAsia="cs-CZ"/>
    </w:rPr>
  </w:style>
  <w:style w:type="paragraph" w:styleId="Nadpis4">
    <w:name w:val="heading 4"/>
    <w:next w:val="Normln"/>
    <w:link w:val="Nadpis4Char"/>
    <w:uiPriority w:val="9"/>
    <w:qFormat/>
    <w:rsid w:val="009F02EA"/>
    <w:pPr>
      <w:keepNext/>
      <w:keepLines/>
      <w:spacing w:line="288" w:lineRule="auto"/>
      <w:outlineLvl w:val="3"/>
    </w:pPr>
    <w:rPr>
      <w:rFonts w:ascii="Arial" w:eastAsia="MS Gothic" w:hAnsi="Arial"/>
      <w:b/>
      <w:bCs/>
      <w:iCs/>
      <w:color w:val="BC5B80"/>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F02EA"/>
    <w:rPr>
      <w:rFonts w:ascii="Arial" w:eastAsia="MS Gothic" w:hAnsi="Arial"/>
      <w:b/>
      <w:bCs/>
      <w:color w:val="BC5B80"/>
      <w:sz w:val="32"/>
      <w:szCs w:val="28"/>
      <w:lang w:eastAsia="cs-CZ"/>
    </w:rPr>
  </w:style>
  <w:style w:type="character" w:customStyle="1" w:styleId="Nadpis2Char">
    <w:name w:val="Nadpis 2 Char"/>
    <w:link w:val="Nadpis2"/>
    <w:uiPriority w:val="9"/>
    <w:rsid w:val="009F02EA"/>
    <w:rPr>
      <w:rFonts w:ascii="Arial" w:eastAsia="MS Gothic" w:hAnsi="Arial"/>
      <w:b/>
      <w:bCs/>
      <w:color w:val="BC5B80"/>
      <w:sz w:val="28"/>
      <w:szCs w:val="26"/>
      <w:lang w:eastAsia="cs-CZ"/>
    </w:rPr>
  </w:style>
  <w:style w:type="character" w:customStyle="1" w:styleId="Nadpis3Char">
    <w:name w:val="Nadpis 3 Char"/>
    <w:link w:val="Nadpis3"/>
    <w:uiPriority w:val="9"/>
    <w:rsid w:val="009F02EA"/>
    <w:rPr>
      <w:rFonts w:ascii="Arial" w:eastAsia="MS Gothic" w:hAnsi="Arial"/>
      <w:b/>
      <w:bCs/>
      <w:color w:val="BC5B80"/>
      <w:sz w:val="24"/>
      <w:szCs w:val="24"/>
      <w:lang w:eastAsia="cs-CZ"/>
    </w:rPr>
  </w:style>
  <w:style w:type="character" w:customStyle="1" w:styleId="Nadpis4Char">
    <w:name w:val="Nadpis 4 Char"/>
    <w:link w:val="Nadpis4"/>
    <w:uiPriority w:val="9"/>
    <w:rsid w:val="009F02EA"/>
    <w:rPr>
      <w:rFonts w:ascii="Arial" w:eastAsia="MS Gothic" w:hAnsi="Arial"/>
      <w:b/>
      <w:bCs/>
      <w:iCs/>
      <w:color w:val="BC5B80"/>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D340DE"/>
    <w:pPr>
      <w:spacing w:after="80" w:line="288" w:lineRule="auto"/>
    </w:pPr>
    <w:rPr>
      <w:rFonts w:ascii="Arial" w:eastAsia="Times New Roman" w:hAnsi="Arial"/>
      <w:b/>
      <w:color w:val="BC5B80"/>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74219C"/>
    <w:pPr>
      <w:shd w:val="clear" w:color="auto" w:fill="F6E8EE"/>
      <w:spacing w:before="240" w:after="240" w:line="288" w:lineRule="auto"/>
      <w:ind w:left="709"/>
      <w:contextualSpacing/>
    </w:pPr>
    <w:rPr>
      <w:rFonts w:ascii="Arial" w:hAnsi="Arial" w:cs="Arial"/>
      <w:lang w:eastAsia="cs-CZ"/>
    </w:rPr>
  </w:style>
  <w:style w:type="paragraph" w:customStyle="1" w:styleId="Box2">
    <w:name w:val="Box 2"/>
    <w:qFormat/>
    <w:rsid w:val="009F02EA"/>
    <w:pPr>
      <w:spacing w:before="240" w:after="240" w:line="288" w:lineRule="auto"/>
      <w:ind w:left="709"/>
      <w:contextualSpacing/>
    </w:pPr>
    <w:rPr>
      <w:rFonts w:ascii="Arial" w:hAnsi="Arial" w:cs="Arial"/>
      <w:color w:val="BC5B80"/>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D340DE"/>
    <w:pPr>
      <w:spacing w:after="40"/>
      <w:contextualSpacing/>
    </w:pPr>
    <w:rPr>
      <w:b/>
      <w:caps/>
      <w:color w:val="000000" w:themeColor="text1"/>
      <w:sz w:val="24"/>
    </w:rPr>
  </w:style>
  <w:style w:type="paragraph" w:customStyle="1" w:styleId="TLKontakty">
    <w:name w:val="TL Kontakty"/>
    <w:qFormat/>
    <w:rsid w:val="00D340DE"/>
    <w:pPr>
      <w:spacing w:after="160" w:line="259" w:lineRule="auto"/>
      <w:contextualSpacing/>
    </w:pPr>
    <w:rPr>
      <w:rFonts w:ascii="Arial" w:eastAsia="Times New Roman" w:hAnsi="Arial"/>
      <w:b/>
      <w:color w:val="BC5B80"/>
      <w:lang w:eastAsia="cs-CZ"/>
    </w:rPr>
  </w:style>
  <w:style w:type="paragraph" w:styleId="Nzev">
    <w:name w:val="Title"/>
    <w:link w:val="NzevChar"/>
    <w:uiPriority w:val="10"/>
    <w:qFormat/>
    <w:rsid w:val="00D340DE"/>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D340DE"/>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D340DE"/>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D340DE"/>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Styl1">
    <w:name w:val="Styl1"/>
    <w:basedOn w:val="Nzev"/>
    <w:link w:val="Styl1Char"/>
    <w:qFormat/>
    <w:rsid w:val="009F02EA"/>
    <w:rPr>
      <w:color w:val="BC5B80"/>
    </w:rPr>
  </w:style>
  <w:style w:type="character" w:customStyle="1" w:styleId="Styl1Char">
    <w:name w:val="Styl1 Char"/>
    <w:basedOn w:val="NzevChar"/>
    <w:link w:val="Styl1"/>
    <w:rsid w:val="009F02EA"/>
    <w:rPr>
      <w:rFonts w:ascii="Arial" w:eastAsia="Times New Roman" w:hAnsi="Arial"/>
      <w:b/>
      <w:bCs/>
      <w:caps/>
      <w:color w:val="BC5B80"/>
      <w:kern w:val="28"/>
      <w:sz w:val="56"/>
      <w:szCs w:val="32"/>
      <w:lang w:eastAsia="cs-CZ"/>
    </w:rPr>
  </w:style>
  <w:style w:type="character" w:styleId="Zdraznnintenzivn">
    <w:name w:val="Intense Emphasis"/>
    <w:basedOn w:val="Standardnpsmoodstavce"/>
    <w:uiPriority w:val="21"/>
    <w:qFormat/>
    <w:rsid w:val="00D340DE"/>
    <w:rPr>
      <w:i/>
      <w:iCs/>
      <w:color w:val="000000" w:themeColor="text1"/>
    </w:rPr>
  </w:style>
  <w:style w:type="character" w:styleId="Odkazintenzivn">
    <w:name w:val="Intense Reference"/>
    <w:basedOn w:val="Standardnpsmoodstavce"/>
    <w:uiPriority w:val="32"/>
    <w:qFormat/>
    <w:rsid w:val="00D340DE"/>
    <w:rPr>
      <w:b/>
      <w:bCs/>
      <w:smallCaps/>
      <w:color w:val="000000" w:themeColor="text1"/>
      <w:spacing w:val="5"/>
    </w:rPr>
  </w:style>
  <w:style w:type="paragraph" w:styleId="Odstavecseseznamem">
    <w:name w:val="List Paragraph"/>
    <w:basedOn w:val="Normln"/>
    <w:uiPriority w:val="34"/>
    <w:qFormat/>
    <w:rsid w:val="009E4E16"/>
    <w:pPr>
      <w:ind w:left="720"/>
      <w:contextualSpacing/>
    </w:pPr>
  </w:style>
  <w:style w:type="paragraph" w:customStyle="1" w:styleId="Tabulka-text">
    <w:name w:val="Tabulka - text"/>
    <w:basedOn w:val="Normln"/>
    <w:link w:val="Tabulka-textChar"/>
    <w:autoRedefine/>
    <w:qFormat/>
    <w:rsid w:val="00AC1408"/>
    <w:pPr>
      <w:spacing w:after="0" w:line="240" w:lineRule="auto"/>
    </w:pPr>
    <w:rPr>
      <w:rFonts w:eastAsiaTheme="minorHAnsi" w:cs="Arial"/>
      <w:sz w:val="22"/>
      <w:szCs w:val="22"/>
      <w:lang w:eastAsia="en-US"/>
    </w:rPr>
  </w:style>
  <w:style w:type="character" w:customStyle="1" w:styleId="Tabulka-textChar">
    <w:name w:val="Tabulka - text Char"/>
    <w:basedOn w:val="Standardnpsmoodstavce"/>
    <w:link w:val="Tabulka-text"/>
    <w:rsid w:val="00AC1408"/>
    <w:rPr>
      <w:rFonts w:ascii="Arial" w:eastAsiaTheme="minorHAnsi" w:hAnsi="Arial" w:cs="Arial"/>
      <w:sz w:val="22"/>
      <w:szCs w:val="22"/>
    </w:rPr>
  </w:style>
  <w:style w:type="paragraph" w:customStyle="1" w:styleId="Normln-bezodstavce">
    <w:name w:val="Normální - bez odstavce"/>
    <w:basedOn w:val="Normln"/>
    <w:link w:val="Normln-bezodstavceChar"/>
    <w:qFormat/>
    <w:rsid w:val="009E4E16"/>
    <w:pPr>
      <w:spacing w:after="120" w:line="360" w:lineRule="auto"/>
      <w:jc w:val="both"/>
    </w:pPr>
    <w:rPr>
      <w:rFonts w:eastAsiaTheme="minorHAnsi" w:cstheme="minorBidi"/>
      <w:sz w:val="22"/>
      <w:szCs w:val="22"/>
      <w:lang w:eastAsia="en-US"/>
    </w:rPr>
  </w:style>
  <w:style w:type="character" w:customStyle="1" w:styleId="Normln-bezodstavceChar">
    <w:name w:val="Normální - bez odstavce Char"/>
    <w:basedOn w:val="Standardnpsmoodstavce"/>
    <w:link w:val="Normln-bezodstavce"/>
    <w:rsid w:val="009E4E16"/>
    <w:rPr>
      <w:rFonts w:ascii="Arial" w:eastAsiaTheme="minorHAnsi" w:hAnsi="Arial" w:cstheme="minorBidi"/>
      <w:sz w:val="22"/>
      <w:szCs w:val="22"/>
    </w:rPr>
  </w:style>
  <w:style w:type="paragraph" w:styleId="Seznamobrzk">
    <w:name w:val="table of figures"/>
    <w:basedOn w:val="Normln"/>
    <w:next w:val="Normln"/>
    <w:uiPriority w:val="99"/>
    <w:unhideWhenUsed/>
    <w:rsid w:val="009E4E16"/>
    <w:pPr>
      <w:spacing w:after="0"/>
    </w:pPr>
  </w:style>
  <w:style w:type="paragraph" w:customStyle="1" w:styleId="Odrky">
    <w:name w:val="Odrážky"/>
    <w:basedOn w:val="Normln"/>
    <w:link w:val="OdrkyChar"/>
    <w:qFormat/>
    <w:rsid w:val="007F1350"/>
    <w:pPr>
      <w:numPr>
        <w:numId w:val="15"/>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line="240" w:lineRule="auto"/>
      <w:ind w:left="714" w:hanging="357"/>
      <w:jc w:val="both"/>
    </w:pPr>
    <w:rPr>
      <w:rFonts w:eastAsiaTheme="minorHAnsi" w:cs="Arial"/>
      <w:sz w:val="22"/>
      <w:szCs w:val="20"/>
      <w:lang w:eastAsia="en-US"/>
    </w:rPr>
  </w:style>
  <w:style w:type="character" w:customStyle="1" w:styleId="OdrkyChar">
    <w:name w:val="Odrážky Char"/>
    <w:basedOn w:val="Standardnpsmoodstavce"/>
    <w:link w:val="Odrky"/>
    <w:rsid w:val="007F1350"/>
    <w:rPr>
      <w:rFonts w:ascii="Arial" w:eastAsiaTheme="minorHAnsi" w:hAnsi="Arial" w:cs="Arial"/>
      <w:sz w:val="22"/>
    </w:rPr>
  </w:style>
  <w:style w:type="table" w:styleId="Mkatabulky">
    <w:name w:val="Table Grid"/>
    <w:basedOn w:val="Normlntabulka"/>
    <w:uiPriority w:val="39"/>
    <w:rsid w:val="002A53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2A53B9"/>
    <w:pPr>
      <w:spacing w:after="0" w:line="240" w:lineRule="auto"/>
      <w:jc w:val="both"/>
    </w:pPr>
    <w:rPr>
      <w:rFonts w:eastAsia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2A53B9"/>
    <w:rPr>
      <w:rFonts w:ascii="Arial" w:eastAsiaTheme="minorHAnsi" w:hAnsi="Arial" w:cstheme="minorBidi"/>
    </w:rPr>
  </w:style>
  <w:style w:type="character" w:styleId="Znakapoznpodarou">
    <w:name w:val="footnote reference"/>
    <w:basedOn w:val="Standardnpsmoodstavce"/>
    <w:uiPriority w:val="99"/>
    <w:semiHidden/>
    <w:unhideWhenUsed/>
    <w:rsid w:val="002A53B9"/>
    <w:rPr>
      <w:vertAlign w:val="superscript"/>
    </w:rPr>
  </w:style>
  <w:style w:type="paragraph" w:styleId="Titulek">
    <w:name w:val="caption"/>
    <w:basedOn w:val="Normln"/>
    <w:next w:val="Normln"/>
    <w:uiPriority w:val="35"/>
    <w:unhideWhenUsed/>
    <w:qFormat/>
    <w:rsid w:val="00FC48DB"/>
    <w:pPr>
      <w:spacing w:before="120" w:after="0" w:line="240" w:lineRule="auto"/>
      <w:jc w:val="both"/>
    </w:pPr>
    <w:rPr>
      <w:rFonts w:eastAsiaTheme="minorHAnsi" w:cstheme="minorBidi"/>
      <w:b/>
      <w:iCs/>
      <w:szCs w:val="18"/>
      <w:lang w:eastAsia="en-US"/>
    </w:rPr>
  </w:style>
  <w:style w:type="character" w:styleId="Odkaznakoment">
    <w:name w:val="annotation reference"/>
    <w:basedOn w:val="Standardnpsmoodstavce"/>
    <w:uiPriority w:val="99"/>
    <w:semiHidden/>
    <w:unhideWhenUsed/>
    <w:rsid w:val="00C07B24"/>
    <w:rPr>
      <w:sz w:val="16"/>
      <w:szCs w:val="16"/>
    </w:rPr>
  </w:style>
  <w:style w:type="paragraph" w:styleId="Textkomente">
    <w:name w:val="annotation text"/>
    <w:basedOn w:val="Normln"/>
    <w:link w:val="TextkomenteChar"/>
    <w:uiPriority w:val="99"/>
    <w:unhideWhenUsed/>
    <w:rsid w:val="00C07B24"/>
    <w:pPr>
      <w:spacing w:line="240" w:lineRule="auto"/>
    </w:pPr>
    <w:rPr>
      <w:szCs w:val="20"/>
    </w:rPr>
  </w:style>
  <w:style w:type="character" w:customStyle="1" w:styleId="TextkomenteChar">
    <w:name w:val="Text komentáře Char"/>
    <w:basedOn w:val="Standardnpsmoodstavce"/>
    <w:link w:val="Textkomente"/>
    <w:uiPriority w:val="99"/>
    <w:rsid w:val="00C07B24"/>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C07B24"/>
    <w:rPr>
      <w:b/>
      <w:bCs/>
    </w:rPr>
  </w:style>
  <w:style w:type="character" w:customStyle="1" w:styleId="PedmtkomenteChar">
    <w:name w:val="Předmět komentáře Char"/>
    <w:basedOn w:val="TextkomenteChar"/>
    <w:link w:val="Pedmtkomente"/>
    <w:uiPriority w:val="99"/>
    <w:semiHidden/>
    <w:rsid w:val="00C07B24"/>
    <w:rPr>
      <w:rFonts w:ascii="Arial" w:eastAsia="Times New Roman" w:hAnsi="Arial"/>
      <w:b/>
      <w:bCs/>
      <w:lang w:eastAsia="cs-CZ"/>
    </w:rPr>
  </w:style>
  <w:style w:type="paragraph" w:styleId="Normlnweb">
    <w:name w:val="Normal (Web)"/>
    <w:basedOn w:val="Normln"/>
    <w:uiPriority w:val="99"/>
    <w:semiHidden/>
    <w:unhideWhenUsed/>
    <w:rsid w:val="008B0073"/>
    <w:pPr>
      <w:spacing w:before="100" w:beforeAutospacing="1" w:after="100" w:afterAutospacing="1" w:line="240" w:lineRule="auto"/>
    </w:pPr>
    <w:rPr>
      <w:rFonts w:ascii="Times New Roman" w:eastAsiaTheme="minorEastAsia" w:hAnsi="Times New Roman"/>
      <w:sz w:val="24"/>
    </w:rPr>
  </w:style>
  <w:style w:type="character" w:styleId="Sledovanodkaz">
    <w:name w:val="FollowedHyperlink"/>
    <w:basedOn w:val="Standardnpsmoodstavce"/>
    <w:uiPriority w:val="99"/>
    <w:semiHidden/>
    <w:unhideWhenUsed/>
    <w:rsid w:val="00815E2C"/>
    <w:rPr>
      <w:color w:val="800080" w:themeColor="followedHyperlink"/>
      <w:u w:val="single"/>
    </w:rPr>
  </w:style>
  <w:style w:type="table" w:customStyle="1" w:styleId="Mkatabulky1">
    <w:name w:val="Mřížka tabulky1"/>
    <w:basedOn w:val="Normlntabulka"/>
    <w:next w:val="Mkatabulky"/>
    <w:uiPriority w:val="39"/>
    <w:rsid w:val="00E36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E632FD"/>
    <w:pPr>
      <w:spacing w:before="240" w:after="0" w:line="259" w:lineRule="auto"/>
      <w:contextualSpacing w:val="0"/>
      <w:outlineLvl w:val="9"/>
    </w:pPr>
    <w:rPr>
      <w:rFonts w:asciiTheme="majorHAnsi" w:eastAsiaTheme="majorEastAsia" w:hAnsiTheme="majorHAnsi" w:cstheme="majorBidi"/>
      <w:b w:val="0"/>
      <w:bCs w:val="0"/>
      <w:color w:val="943C5D" w:themeColor="accent1" w:themeShade="BF"/>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93675147">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27736961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686520162">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89454434">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41492586">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895236574">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dé 2">
      <a:dk1>
        <a:sysClr val="windowText" lastClr="000000"/>
      </a:dk1>
      <a:lt1>
        <a:sysClr val="window" lastClr="FFFFFF"/>
      </a:lt1>
      <a:dk2>
        <a:srgbClr val="1F497D"/>
      </a:dk2>
      <a:lt2>
        <a:srgbClr val="EEECE1"/>
      </a:lt2>
      <a:accent1>
        <a:srgbClr val="BC5B80"/>
      </a:accent1>
      <a:accent2>
        <a:srgbClr val="D8A7B7"/>
      </a:accent2>
      <a:accent3>
        <a:srgbClr val="009CB5"/>
      </a:accent3>
      <a:accent4>
        <a:srgbClr val="9FC9D7"/>
      </a:accent4>
      <a:accent5>
        <a:srgbClr val="BC091B"/>
      </a:accent5>
      <a:accent6>
        <a:srgbClr val="DC8468"/>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951A39FF7C7A43B73F61C34EB71133" ma:contentTypeVersion="10" ma:contentTypeDescription="Vytvoří nový dokument" ma:contentTypeScope="" ma:versionID="38fe1270351b6229ad341dafc5e2c4fe">
  <xsd:schema xmlns:xsd="http://www.w3.org/2001/XMLSchema" xmlns:xs="http://www.w3.org/2001/XMLSchema" xmlns:p="http://schemas.microsoft.com/office/2006/metadata/properties" xmlns:ns3="1790b5ab-81b0-4dea-a1ac-14a85852b958" targetNamespace="http://schemas.microsoft.com/office/2006/metadata/properties" ma:root="true" ma:fieldsID="8134588f06dd810053d78215bea9cb99" ns3:_="">
    <xsd:import namespace="1790b5ab-81b0-4dea-a1ac-14a85852b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b5ab-81b0-4dea-a1ac-14a85852b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790b5ab-81b0-4dea-a1ac-14a85852b9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49B59186-5991-4015-9F45-4A3D0B1A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b5ab-81b0-4dea-a1ac-14a85852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1790b5ab-81b0-4dea-a1ac-14a85852b958"/>
  </ds:schemaRefs>
</ds:datastoreItem>
</file>

<file path=customXml/itemProps3.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4.xml><?xml version="1.0" encoding="utf-8"?>
<ds:datastoreItem xmlns:ds="http://schemas.openxmlformats.org/officeDocument/2006/customXml" ds:itemID="{F4F8AB9C-F7DF-4B13-B1A7-644912CF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1687</Words>
  <Characters>9955</Characters>
  <Application>Microsoft Office Word</Application>
  <DocSecurity>0</DocSecurity>
  <Lines>82</Lines>
  <Paragraphs>23</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11619</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Nigrinová Aneta</dc:creator>
  <cp:keywords/>
  <dc:description/>
  <cp:lastModifiedBy>Nigrinová Aneta</cp:lastModifiedBy>
  <cp:revision>3</cp:revision>
  <cp:lastPrinted>2025-03-12T13:05:00Z</cp:lastPrinted>
  <dcterms:created xsi:type="dcterms:W3CDTF">2025-03-12T13:13:00Z</dcterms:created>
  <dcterms:modified xsi:type="dcterms:W3CDTF">2025-03-12T13:14:00Z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0x01010090951A39FF7C7A43B73F61C34EB71133</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