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C1" w:rsidRDefault="000901CF" w:rsidP="00D42CC1">
      <w:pPr>
        <w:pStyle w:val="Nadpis1"/>
        <w:spacing w:before="120" w:after="120"/>
        <w:rPr>
          <w:rFonts w:ascii="Calibri" w:hAnsi="Calibri"/>
          <w:color w:val="4F6228"/>
        </w:rPr>
      </w:pPr>
      <w:r w:rsidRPr="001D1E87">
        <w:rPr>
          <w:rFonts w:ascii="Calibri" w:hAnsi="Calibri"/>
          <w:color w:val="4F6228"/>
        </w:rPr>
        <w:t>4</w:t>
      </w:r>
      <w:r w:rsidR="008F77AC" w:rsidRPr="001D1E87">
        <w:rPr>
          <w:rFonts w:ascii="Calibri" w:hAnsi="Calibri"/>
          <w:color w:val="4F6228"/>
        </w:rPr>
        <w:t xml:space="preserve">. </w:t>
      </w:r>
      <w:r w:rsidRPr="001D1E87">
        <w:rPr>
          <w:rFonts w:ascii="Calibri" w:hAnsi="Calibri"/>
          <w:color w:val="4F6228"/>
        </w:rPr>
        <w:t>GBAORD – mezinárodní srovnání</w:t>
      </w:r>
    </w:p>
    <w:p w:rsidR="00D42CC1" w:rsidRPr="00B61583" w:rsidRDefault="003D4DD3" w:rsidP="00427483">
      <w:pPr>
        <w:pStyle w:val="Nadpis1"/>
        <w:spacing w:before="120" w:after="120"/>
        <w:ind w:firstLine="357"/>
        <w:jc w:val="both"/>
        <w:rPr>
          <w:rFonts w:ascii="Calibri" w:hAnsi="Calibri"/>
          <w:b w:val="0"/>
          <w:color w:val="FF0000"/>
          <w:sz w:val="20"/>
          <w:szCs w:val="20"/>
        </w:rPr>
      </w:pPr>
      <w:r w:rsidRPr="00583DCB">
        <w:rPr>
          <w:rFonts w:ascii="Calibri" w:hAnsi="Calibri"/>
          <w:sz w:val="20"/>
          <w:szCs w:val="20"/>
        </w:rPr>
        <w:t xml:space="preserve">V mezinárodním srovnání je </w:t>
      </w:r>
      <w:r w:rsidR="00902C4C" w:rsidRPr="00583DCB">
        <w:rPr>
          <w:rFonts w:ascii="Calibri" w:hAnsi="Calibri"/>
          <w:sz w:val="20"/>
          <w:szCs w:val="20"/>
        </w:rPr>
        <w:t xml:space="preserve">podíl </w:t>
      </w:r>
      <w:r w:rsidR="000F0F36" w:rsidRPr="00583DCB">
        <w:rPr>
          <w:rFonts w:ascii="Calibri" w:hAnsi="Calibri"/>
          <w:sz w:val="20"/>
        </w:rPr>
        <w:t>státních rozpočt</w:t>
      </w:r>
      <w:r w:rsidR="00535501">
        <w:rPr>
          <w:rFonts w:ascii="Calibri" w:hAnsi="Calibri"/>
          <w:sz w:val="20"/>
        </w:rPr>
        <w:t>ových výdajů a dotací na výzkum a</w:t>
      </w:r>
      <w:r w:rsidR="000F0F36" w:rsidRPr="00583DCB">
        <w:rPr>
          <w:rFonts w:ascii="Calibri" w:hAnsi="Calibri"/>
          <w:sz w:val="20"/>
        </w:rPr>
        <w:t xml:space="preserve"> vývoj </w:t>
      </w:r>
      <w:r w:rsidR="00312CA3">
        <w:rPr>
          <w:rFonts w:ascii="Calibri" w:hAnsi="Calibri"/>
          <w:sz w:val="20"/>
        </w:rPr>
        <w:t xml:space="preserve">České republiky </w:t>
      </w:r>
      <w:r w:rsidR="009E75DE">
        <w:rPr>
          <w:rFonts w:ascii="Calibri" w:hAnsi="Calibri"/>
          <w:sz w:val="20"/>
          <w:szCs w:val="20"/>
        </w:rPr>
        <w:t>ve vztahu k</w:t>
      </w:r>
      <w:r w:rsidR="00B61583">
        <w:rPr>
          <w:rFonts w:ascii="Calibri" w:hAnsi="Calibri"/>
          <w:sz w:val="20"/>
          <w:szCs w:val="20"/>
        </w:rPr>
        <w:t xml:space="preserve"> HDP na úrovni průměru EU28</w:t>
      </w:r>
      <w:r w:rsidR="00902C4C" w:rsidRPr="00583DCB">
        <w:rPr>
          <w:rFonts w:ascii="Calibri" w:hAnsi="Calibri"/>
          <w:sz w:val="20"/>
          <w:szCs w:val="20"/>
        </w:rPr>
        <w:t>.</w:t>
      </w:r>
      <w:r w:rsidR="00902C4C">
        <w:rPr>
          <w:rFonts w:ascii="Calibri" w:hAnsi="Calibri"/>
          <w:b w:val="0"/>
          <w:sz w:val="20"/>
          <w:szCs w:val="20"/>
        </w:rPr>
        <w:t xml:space="preserve"> </w:t>
      </w:r>
      <w:r w:rsidR="00B61583">
        <w:rPr>
          <w:rFonts w:ascii="Calibri" w:hAnsi="Calibri"/>
          <w:b w:val="0"/>
          <w:sz w:val="20"/>
          <w:szCs w:val="20"/>
        </w:rPr>
        <w:t>V ČR v roce 2013</w:t>
      </w:r>
      <w:r w:rsidR="0067750F" w:rsidRPr="00583DCB">
        <w:rPr>
          <w:rFonts w:ascii="Calibri" w:hAnsi="Calibri"/>
          <w:b w:val="0"/>
          <w:sz w:val="20"/>
          <w:szCs w:val="20"/>
        </w:rPr>
        <w:t xml:space="preserve"> dosáhl podíl 0,6</w:t>
      </w:r>
      <w:r w:rsidR="00B61583">
        <w:rPr>
          <w:rFonts w:ascii="Calibri" w:hAnsi="Calibri"/>
          <w:b w:val="0"/>
          <w:sz w:val="20"/>
          <w:szCs w:val="20"/>
        </w:rPr>
        <w:t>7</w:t>
      </w:r>
      <w:r w:rsidRPr="00583DCB">
        <w:rPr>
          <w:rFonts w:ascii="Calibri" w:hAnsi="Calibri"/>
          <w:b w:val="0"/>
          <w:sz w:val="20"/>
          <w:szCs w:val="20"/>
        </w:rPr>
        <w:t> %, z</w:t>
      </w:r>
      <w:r w:rsidR="00B61583">
        <w:rPr>
          <w:rFonts w:ascii="Calibri" w:hAnsi="Calibri"/>
          <w:b w:val="0"/>
          <w:sz w:val="20"/>
          <w:szCs w:val="20"/>
        </w:rPr>
        <w:t>atímco průměr za EU28 činil 0,69</w:t>
      </w:r>
      <w:r w:rsidRPr="00583DCB">
        <w:rPr>
          <w:rFonts w:ascii="Calibri" w:hAnsi="Calibri"/>
          <w:b w:val="0"/>
          <w:sz w:val="20"/>
          <w:szCs w:val="20"/>
        </w:rPr>
        <w:t xml:space="preserve"> %. </w:t>
      </w:r>
      <w:r w:rsidRPr="00672FAD">
        <w:rPr>
          <w:rFonts w:ascii="Calibri" w:hAnsi="Calibri"/>
          <w:b w:val="0"/>
          <w:sz w:val="20"/>
          <w:szCs w:val="20"/>
        </w:rPr>
        <w:t xml:space="preserve"> </w:t>
      </w:r>
      <w:r w:rsidR="00811084">
        <w:rPr>
          <w:rFonts w:ascii="Calibri" w:hAnsi="Calibri"/>
          <w:b w:val="0"/>
          <w:sz w:val="20"/>
          <w:szCs w:val="20"/>
        </w:rPr>
        <w:t>N</w:t>
      </w:r>
      <w:r w:rsidRPr="00672FAD">
        <w:rPr>
          <w:rFonts w:ascii="Calibri" w:hAnsi="Calibri"/>
          <w:b w:val="0"/>
          <w:sz w:val="20"/>
          <w:szCs w:val="20"/>
        </w:rPr>
        <w:t>ejvyšší podíl státních rozpočt</w:t>
      </w:r>
      <w:r w:rsidR="00645A2D" w:rsidRPr="00672FAD">
        <w:rPr>
          <w:rFonts w:ascii="Calibri" w:hAnsi="Calibri"/>
          <w:b w:val="0"/>
          <w:sz w:val="20"/>
          <w:szCs w:val="20"/>
        </w:rPr>
        <w:t>ových výdajů a dotací na výzkum</w:t>
      </w:r>
      <w:r w:rsidRPr="00672FAD">
        <w:rPr>
          <w:rFonts w:ascii="Calibri" w:hAnsi="Calibri"/>
          <w:b w:val="0"/>
          <w:sz w:val="20"/>
          <w:szCs w:val="20"/>
        </w:rPr>
        <w:t xml:space="preserve"> </w:t>
      </w:r>
      <w:r w:rsidR="00E07B4F" w:rsidRPr="00672FAD">
        <w:rPr>
          <w:rFonts w:ascii="Calibri" w:hAnsi="Calibri"/>
          <w:b w:val="0"/>
          <w:sz w:val="20"/>
          <w:szCs w:val="20"/>
        </w:rPr>
        <w:t xml:space="preserve">a </w:t>
      </w:r>
      <w:r w:rsidRPr="00672FAD">
        <w:rPr>
          <w:rFonts w:ascii="Calibri" w:hAnsi="Calibri"/>
          <w:b w:val="0"/>
          <w:sz w:val="20"/>
          <w:szCs w:val="20"/>
        </w:rPr>
        <w:t>vývoj</w:t>
      </w:r>
      <w:r w:rsidR="004A2BFC" w:rsidRPr="00672FAD">
        <w:rPr>
          <w:rFonts w:ascii="Calibri" w:hAnsi="Calibri"/>
          <w:b w:val="0"/>
          <w:sz w:val="20"/>
          <w:szCs w:val="20"/>
        </w:rPr>
        <w:t xml:space="preserve"> </w:t>
      </w:r>
      <w:r w:rsidR="007E7154" w:rsidRPr="00672FAD">
        <w:rPr>
          <w:rFonts w:ascii="Calibri" w:hAnsi="Calibri"/>
          <w:b w:val="0"/>
          <w:sz w:val="20"/>
          <w:szCs w:val="20"/>
        </w:rPr>
        <w:t>v poměru k</w:t>
      </w:r>
      <w:r w:rsidR="00AD402F">
        <w:rPr>
          <w:rFonts w:ascii="Calibri" w:hAnsi="Calibri"/>
          <w:b w:val="0"/>
          <w:sz w:val="20"/>
          <w:szCs w:val="20"/>
        </w:rPr>
        <w:t> </w:t>
      </w:r>
      <w:r w:rsidR="007E7154" w:rsidRPr="00672FAD">
        <w:rPr>
          <w:rFonts w:ascii="Calibri" w:hAnsi="Calibri"/>
          <w:b w:val="0"/>
          <w:sz w:val="20"/>
          <w:szCs w:val="20"/>
        </w:rPr>
        <w:t>HDP</w:t>
      </w:r>
      <w:r w:rsidR="00AD402F">
        <w:rPr>
          <w:rFonts w:ascii="Calibri" w:hAnsi="Calibri"/>
          <w:b w:val="0"/>
          <w:sz w:val="20"/>
          <w:szCs w:val="20"/>
        </w:rPr>
        <w:t xml:space="preserve"> více jak 1 %</w:t>
      </w:r>
      <w:r w:rsidR="007E7154" w:rsidRPr="00672FAD">
        <w:rPr>
          <w:rFonts w:ascii="Calibri" w:hAnsi="Calibri"/>
          <w:b w:val="0"/>
          <w:sz w:val="20"/>
          <w:szCs w:val="20"/>
        </w:rPr>
        <w:t xml:space="preserve"> </w:t>
      </w:r>
      <w:r w:rsidR="00630D70">
        <w:rPr>
          <w:rFonts w:ascii="Calibri" w:hAnsi="Calibri"/>
          <w:b w:val="0"/>
          <w:sz w:val="20"/>
          <w:szCs w:val="20"/>
        </w:rPr>
        <w:t xml:space="preserve">měly </w:t>
      </w:r>
      <w:r w:rsidR="004A2BFC" w:rsidRPr="00672FAD">
        <w:rPr>
          <w:rFonts w:ascii="Calibri" w:hAnsi="Calibri"/>
          <w:b w:val="0"/>
          <w:sz w:val="20"/>
          <w:szCs w:val="20"/>
        </w:rPr>
        <w:t>ze zemí EU</w:t>
      </w:r>
      <w:r w:rsidRPr="00672FAD">
        <w:rPr>
          <w:rFonts w:ascii="Calibri" w:hAnsi="Calibri"/>
          <w:b w:val="0"/>
          <w:sz w:val="20"/>
          <w:szCs w:val="20"/>
        </w:rPr>
        <w:t xml:space="preserve"> </w:t>
      </w:r>
      <w:r w:rsidR="00672FAD" w:rsidRPr="00672FAD">
        <w:rPr>
          <w:rFonts w:ascii="Calibri" w:hAnsi="Calibri"/>
          <w:b w:val="0"/>
          <w:sz w:val="20"/>
          <w:szCs w:val="20"/>
        </w:rPr>
        <w:t>Finsko (1</w:t>
      </w:r>
      <w:r w:rsidR="00DB10C4">
        <w:rPr>
          <w:rFonts w:ascii="Calibri" w:hAnsi="Calibri"/>
          <w:b w:val="0"/>
          <w:sz w:val="20"/>
          <w:szCs w:val="20"/>
        </w:rPr>
        <w:t>,03</w:t>
      </w:r>
      <w:r w:rsidR="00AD402F">
        <w:rPr>
          <w:rFonts w:ascii="Calibri" w:hAnsi="Calibri"/>
          <w:b w:val="0"/>
          <w:sz w:val="20"/>
          <w:szCs w:val="20"/>
        </w:rPr>
        <w:t> %) a</w:t>
      </w:r>
      <w:r w:rsidR="0067750F" w:rsidRPr="00672FAD">
        <w:rPr>
          <w:rFonts w:ascii="Calibri" w:hAnsi="Calibri"/>
          <w:b w:val="0"/>
          <w:sz w:val="20"/>
          <w:szCs w:val="20"/>
        </w:rPr>
        <w:t xml:space="preserve"> </w:t>
      </w:r>
      <w:r w:rsidR="00672FAD" w:rsidRPr="00672FAD">
        <w:rPr>
          <w:rFonts w:ascii="Calibri" w:hAnsi="Calibri"/>
          <w:b w:val="0"/>
          <w:sz w:val="20"/>
          <w:szCs w:val="20"/>
        </w:rPr>
        <w:t>Dánsko (1</w:t>
      </w:r>
      <w:r w:rsidR="00DB10C4">
        <w:rPr>
          <w:rFonts w:ascii="Calibri" w:hAnsi="Calibri"/>
          <w:b w:val="0"/>
          <w:sz w:val="20"/>
          <w:szCs w:val="20"/>
        </w:rPr>
        <w:t>,02 </w:t>
      </w:r>
      <w:r w:rsidR="00672FAD" w:rsidRPr="00672FAD">
        <w:rPr>
          <w:rFonts w:ascii="Calibri" w:hAnsi="Calibri"/>
          <w:b w:val="0"/>
          <w:sz w:val="20"/>
          <w:szCs w:val="20"/>
        </w:rPr>
        <w:t>%)</w:t>
      </w:r>
      <w:r w:rsidR="00AD402F">
        <w:rPr>
          <w:rFonts w:ascii="Calibri" w:hAnsi="Calibri"/>
          <w:b w:val="0"/>
          <w:sz w:val="20"/>
          <w:szCs w:val="20"/>
        </w:rPr>
        <w:t>.</w:t>
      </w:r>
      <w:r w:rsidR="00672FAD" w:rsidRPr="00672FAD">
        <w:rPr>
          <w:rFonts w:ascii="Calibri" w:hAnsi="Calibri"/>
          <w:b w:val="0"/>
          <w:sz w:val="20"/>
          <w:szCs w:val="20"/>
        </w:rPr>
        <w:t xml:space="preserve"> </w:t>
      </w:r>
      <w:r w:rsidR="009E75DE">
        <w:rPr>
          <w:rFonts w:ascii="Calibri" w:hAnsi="Calibri"/>
          <w:b w:val="0"/>
          <w:sz w:val="20"/>
          <w:szCs w:val="20"/>
        </w:rPr>
        <w:t>Výdaje</w:t>
      </w:r>
      <w:r w:rsidR="00535501">
        <w:rPr>
          <w:rFonts w:ascii="Calibri" w:hAnsi="Calibri"/>
          <w:b w:val="0"/>
          <w:sz w:val="20"/>
          <w:szCs w:val="20"/>
        </w:rPr>
        <w:t xml:space="preserve"> Japonska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 </w:t>
      </w:r>
      <w:r w:rsidR="009E75DE">
        <w:rPr>
          <w:rFonts w:ascii="Calibri" w:hAnsi="Calibri"/>
          <w:b w:val="0"/>
          <w:sz w:val="20"/>
          <w:szCs w:val="20"/>
        </w:rPr>
        <w:t>ve vztahu k </w:t>
      </w:r>
      <w:r w:rsidR="00910C2C">
        <w:rPr>
          <w:rFonts w:ascii="Calibri" w:hAnsi="Calibri"/>
          <w:b w:val="0"/>
          <w:sz w:val="20"/>
          <w:szCs w:val="20"/>
        </w:rPr>
        <w:t>HDP</w:t>
      </w:r>
      <w:r w:rsidR="00EC58D3">
        <w:rPr>
          <w:rFonts w:ascii="Calibri" w:hAnsi="Calibri"/>
          <w:b w:val="0"/>
          <w:sz w:val="20"/>
          <w:szCs w:val="20"/>
        </w:rPr>
        <w:t xml:space="preserve"> </w:t>
      </w:r>
      <w:r w:rsidR="00535501">
        <w:rPr>
          <w:rFonts w:ascii="Calibri" w:hAnsi="Calibri"/>
          <w:b w:val="0"/>
          <w:sz w:val="20"/>
          <w:szCs w:val="20"/>
        </w:rPr>
        <w:t xml:space="preserve">již několik let </w:t>
      </w:r>
      <w:r w:rsidR="00DB10C4" w:rsidRPr="00DB10C4">
        <w:rPr>
          <w:rFonts w:ascii="Calibri" w:hAnsi="Calibri"/>
          <w:b w:val="0"/>
          <w:sz w:val="20"/>
          <w:szCs w:val="20"/>
        </w:rPr>
        <w:t>stagnuj</w:t>
      </w:r>
      <w:r w:rsidR="00EC58D3">
        <w:rPr>
          <w:rFonts w:ascii="Calibri" w:hAnsi="Calibri"/>
          <w:b w:val="0"/>
          <w:sz w:val="20"/>
          <w:szCs w:val="20"/>
        </w:rPr>
        <w:t>í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 na úrovni 0,76</w:t>
      </w:r>
      <w:r w:rsidR="007E7154" w:rsidRPr="00DB10C4">
        <w:rPr>
          <w:rFonts w:ascii="Calibri" w:hAnsi="Calibri"/>
          <w:b w:val="0"/>
          <w:sz w:val="20"/>
          <w:szCs w:val="20"/>
        </w:rPr>
        <w:t> %</w:t>
      </w:r>
      <w:r w:rsidR="008A6AD5">
        <w:rPr>
          <w:rFonts w:ascii="Calibri" w:hAnsi="Calibri"/>
          <w:b w:val="0"/>
          <w:sz w:val="20"/>
          <w:szCs w:val="20"/>
        </w:rPr>
        <w:t>. V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e Spojených státech </w:t>
      </w:r>
      <w:r w:rsidR="00CC5602" w:rsidRPr="00DB10C4">
        <w:rPr>
          <w:rFonts w:ascii="Calibri" w:hAnsi="Calibri"/>
          <w:b w:val="0"/>
          <w:sz w:val="20"/>
          <w:szCs w:val="20"/>
        </w:rPr>
        <w:t xml:space="preserve">podíl </w:t>
      </w:r>
      <w:r w:rsidR="00535501">
        <w:rPr>
          <w:rFonts w:ascii="Calibri" w:hAnsi="Calibri"/>
          <w:b w:val="0"/>
          <w:sz w:val="20"/>
          <w:szCs w:val="20"/>
        </w:rPr>
        <w:t>dosáhl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 0,79  %</w:t>
      </w:r>
      <w:r w:rsidR="008860D1" w:rsidRPr="00DB10C4">
        <w:rPr>
          <w:rFonts w:ascii="Calibri" w:hAnsi="Calibri"/>
          <w:b w:val="0"/>
          <w:sz w:val="20"/>
          <w:szCs w:val="20"/>
        </w:rPr>
        <w:t>,</w:t>
      </w:r>
      <w:r w:rsidR="00CC5602" w:rsidRPr="00DB10C4">
        <w:rPr>
          <w:rFonts w:ascii="Calibri" w:hAnsi="Calibri"/>
          <w:b w:val="0"/>
          <w:sz w:val="20"/>
          <w:szCs w:val="20"/>
        </w:rPr>
        <w:t xml:space="preserve"> </w:t>
      </w:r>
      <w:r w:rsidR="007874E7">
        <w:rPr>
          <w:rFonts w:ascii="Calibri" w:hAnsi="Calibri"/>
          <w:b w:val="0"/>
          <w:sz w:val="20"/>
          <w:szCs w:val="20"/>
        </w:rPr>
        <w:t xml:space="preserve">přičemž </w:t>
      </w:r>
      <w:r w:rsidR="007E7154" w:rsidRPr="00DB10C4">
        <w:rPr>
          <w:rFonts w:ascii="Calibri" w:hAnsi="Calibri"/>
          <w:b w:val="0"/>
          <w:sz w:val="20"/>
          <w:szCs w:val="20"/>
        </w:rPr>
        <w:t>v posledních letech</w:t>
      </w:r>
      <w:r w:rsidR="00CC5602" w:rsidRPr="00DB10C4">
        <w:rPr>
          <w:rFonts w:ascii="Calibri" w:hAnsi="Calibri"/>
          <w:b w:val="0"/>
          <w:sz w:val="20"/>
          <w:szCs w:val="20"/>
        </w:rPr>
        <w:t xml:space="preserve"> klesá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 (viz srovnání let 2005 a 2013)</w:t>
      </w:r>
      <w:r w:rsidR="00CC5602" w:rsidRPr="00DB10C4">
        <w:rPr>
          <w:rFonts w:ascii="Calibri" w:hAnsi="Calibri"/>
          <w:b w:val="0"/>
          <w:sz w:val="20"/>
          <w:szCs w:val="20"/>
        </w:rPr>
        <w:t xml:space="preserve">. </w:t>
      </w:r>
      <w:r w:rsidR="00DB10C4">
        <w:rPr>
          <w:rFonts w:ascii="Calibri" w:hAnsi="Calibri"/>
          <w:b w:val="0"/>
          <w:sz w:val="20"/>
          <w:szCs w:val="20"/>
        </w:rPr>
        <w:t xml:space="preserve"> </w:t>
      </w:r>
      <w:r w:rsidR="00EC43E7">
        <w:rPr>
          <w:rFonts w:ascii="Calibri" w:hAnsi="Calibri"/>
          <w:b w:val="0"/>
          <w:sz w:val="20"/>
          <w:szCs w:val="20"/>
        </w:rPr>
        <w:t>S</w:t>
      </w:r>
      <w:r w:rsidR="00DB10C4">
        <w:rPr>
          <w:rFonts w:ascii="Calibri" w:hAnsi="Calibri"/>
          <w:b w:val="0"/>
          <w:sz w:val="20"/>
          <w:szCs w:val="20"/>
        </w:rPr>
        <w:t xml:space="preserve">estupný trend byl </w:t>
      </w:r>
      <w:r w:rsidR="00910C2C">
        <w:rPr>
          <w:rFonts w:ascii="Calibri" w:hAnsi="Calibri"/>
          <w:b w:val="0"/>
          <w:sz w:val="20"/>
          <w:szCs w:val="20"/>
        </w:rPr>
        <w:t>zachycen</w:t>
      </w:r>
      <w:r w:rsidR="0075213B">
        <w:rPr>
          <w:rFonts w:ascii="Calibri" w:hAnsi="Calibri"/>
          <w:b w:val="0"/>
          <w:sz w:val="20"/>
          <w:szCs w:val="20"/>
        </w:rPr>
        <w:t xml:space="preserve"> také u</w:t>
      </w:r>
      <w:r w:rsidR="00DB10C4">
        <w:rPr>
          <w:rFonts w:ascii="Calibri" w:hAnsi="Calibri"/>
          <w:b w:val="0"/>
          <w:sz w:val="20"/>
          <w:szCs w:val="20"/>
        </w:rPr>
        <w:t xml:space="preserve"> Francie. </w:t>
      </w:r>
      <w:r w:rsidR="00CC5602" w:rsidRPr="00DB10C4">
        <w:rPr>
          <w:rFonts w:ascii="Calibri" w:hAnsi="Calibri"/>
          <w:b w:val="0"/>
          <w:sz w:val="20"/>
          <w:szCs w:val="20"/>
        </w:rPr>
        <w:t xml:space="preserve">Jižní Korea s podílem </w:t>
      </w:r>
      <w:r w:rsidR="00880645" w:rsidRPr="00DB10C4">
        <w:rPr>
          <w:rFonts w:ascii="Calibri" w:hAnsi="Calibri"/>
          <w:b w:val="0"/>
          <w:sz w:val="20"/>
          <w:szCs w:val="20"/>
        </w:rPr>
        <w:t>1</w:t>
      </w:r>
      <w:r w:rsidR="00DB10C4" w:rsidRPr="00DB10C4">
        <w:rPr>
          <w:rFonts w:ascii="Calibri" w:hAnsi="Calibri"/>
          <w:b w:val="0"/>
          <w:sz w:val="20"/>
          <w:szCs w:val="20"/>
        </w:rPr>
        <w:t>,01</w:t>
      </w:r>
      <w:r w:rsidR="00CC5602" w:rsidRPr="00DB10C4">
        <w:rPr>
          <w:rFonts w:ascii="Calibri" w:hAnsi="Calibri"/>
          <w:b w:val="0"/>
          <w:sz w:val="20"/>
          <w:szCs w:val="20"/>
        </w:rPr>
        <w:t> % v roce 2011 byla</w:t>
      </w:r>
      <w:r w:rsidR="00DB10C4" w:rsidRPr="00DB10C4">
        <w:rPr>
          <w:rFonts w:ascii="Calibri" w:hAnsi="Calibri"/>
          <w:b w:val="0"/>
          <w:sz w:val="20"/>
          <w:szCs w:val="20"/>
        </w:rPr>
        <w:t xml:space="preserve"> na úrovni Dánska</w:t>
      </w:r>
      <w:r w:rsidR="004A2BFC" w:rsidRPr="00DB10C4">
        <w:rPr>
          <w:rFonts w:ascii="Calibri" w:hAnsi="Calibri"/>
          <w:b w:val="0"/>
          <w:sz w:val="20"/>
          <w:szCs w:val="20"/>
        </w:rPr>
        <w:t>.</w:t>
      </w:r>
      <w:r w:rsidRPr="00B61583">
        <w:rPr>
          <w:rFonts w:ascii="Calibri" w:hAnsi="Calibri"/>
          <w:b w:val="0"/>
          <w:color w:val="FF0000"/>
          <w:sz w:val="20"/>
          <w:szCs w:val="20"/>
        </w:rPr>
        <w:t xml:space="preserve"> </w:t>
      </w:r>
      <w:r w:rsidR="004A2BFC" w:rsidRPr="00A561EC">
        <w:rPr>
          <w:rFonts w:ascii="Calibri" w:hAnsi="Calibri"/>
          <w:b w:val="0"/>
          <w:sz w:val="20"/>
          <w:szCs w:val="20"/>
        </w:rPr>
        <w:t>Na opačném konci s nejnižším podílem</w:t>
      </w:r>
      <w:r w:rsidR="00535501">
        <w:rPr>
          <w:rFonts w:ascii="Calibri" w:hAnsi="Calibri"/>
          <w:b w:val="0"/>
          <w:sz w:val="20"/>
          <w:szCs w:val="20"/>
        </w:rPr>
        <w:t xml:space="preserve"> veřejné</w:t>
      </w:r>
      <w:r w:rsidR="008860D1" w:rsidRPr="00A561EC">
        <w:rPr>
          <w:rFonts w:ascii="Calibri" w:hAnsi="Calibri"/>
          <w:b w:val="0"/>
          <w:sz w:val="20"/>
          <w:szCs w:val="20"/>
        </w:rPr>
        <w:t xml:space="preserve"> podpory výzkumu a vývoje</w:t>
      </w:r>
      <w:r w:rsidR="004A2BFC" w:rsidRPr="00A561EC">
        <w:rPr>
          <w:rFonts w:ascii="Calibri" w:hAnsi="Calibri"/>
          <w:b w:val="0"/>
          <w:sz w:val="20"/>
          <w:szCs w:val="20"/>
        </w:rPr>
        <w:t xml:space="preserve"> stojí </w:t>
      </w:r>
      <w:r w:rsidR="00CC5602" w:rsidRPr="00A561EC">
        <w:rPr>
          <w:rFonts w:ascii="Calibri" w:hAnsi="Calibri"/>
          <w:b w:val="0"/>
          <w:sz w:val="20"/>
          <w:szCs w:val="20"/>
        </w:rPr>
        <w:t xml:space="preserve">Lotyšsko </w:t>
      </w:r>
      <w:r w:rsidR="00A561EC" w:rsidRPr="00A561EC">
        <w:rPr>
          <w:rFonts w:ascii="Calibri" w:hAnsi="Calibri"/>
          <w:b w:val="0"/>
          <w:sz w:val="20"/>
          <w:szCs w:val="20"/>
        </w:rPr>
        <w:t>(0,14</w:t>
      </w:r>
      <w:r w:rsidR="004A2BFC" w:rsidRPr="00A561EC">
        <w:rPr>
          <w:rFonts w:ascii="Calibri" w:hAnsi="Calibri"/>
          <w:b w:val="0"/>
          <w:sz w:val="20"/>
          <w:szCs w:val="20"/>
        </w:rPr>
        <w:t xml:space="preserve"> %), </w:t>
      </w:r>
      <w:r w:rsidR="00A561EC" w:rsidRPr="00A561EC">
        <w:rPr>
          <w:rFonts w:ascii="Calibri" w:hAnsi="Calibri"/>
          <w:b w:val="0"/>
          <w:sz w:val="20"/>
          <w:szCs w:val="20"/>
        </w:rPr>
        <w:t>Rumunsko (0,21</w:t>
      </w:r>
      <w:r w:rsidR="00DB10C4" w:rsidRPr="00A561EC">
        <w:rPr>
          <w:rFonts w:ascii="Calibri" w:hAnsi="Calibri"/>
          <w:b w:val="0"/>
          <w:sz w:val="20"/>
          <w:szCs w:val="20"/>
        </w:rPr>
        <w:t> %)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a B</w:t>
      </w:r>
      <w:r w:rsidR="00DB10C4" w:rsidRPr="00A561EC">
        <w:rPr>
          <w:rFonts w:ascii="Calibri" w:hAnsi="Calibri"/>
          <w:b w:val="0"/>
          <w:sz w:val="20"/>
          <w:szCs w:val="20"/>
        </w:rPr>
        <w:t>ulharsko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(0,26</w:t>
      </w:r>
      <w:r w:rsidR="0067750F" w:rsidRPr="00A561EC">
        <w:rPr>
          <w:rFonts w:ascii="Calibri" w:hAnsi="Calibri"/>
          <w:b w:val="0"/>
          <w:sz w:val="20"/>
          <w:szCs w:val="20"/>
        </w:rPr>
        <w:t> %). Rusko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(0,55</w:t>
      </w:r>
      <w:r w:rsidR="0035199A" w:rsidRPr="00A561EC">
        <w:rPr>
          <w:rFonts w:ascii="Calibri" w:hAnsi="Calibri"/>
          <w:b w:val="0"/>
          <w:sz w:val="20"/>
          <w:szCs w:val="20"/>
        </w:rPr>
        <w:t> </w:t>
      </w:r>
      <w:r w:rsidR="00C2688A" w:rsidRPr="00A561EC">
        <w:rPr>
          <w:rFonts w:ascii="Calibri" w:hAnsi="Calibri"/>
          <w:b w:val="0"/>
          <w:sz w:val="20"/>
          <w:szCs w:val="20"/>
        </w:rPr>
        <w:t>%)</w:t>
      </w:r>
      <w:r w:rsidR="0067750F" w:rsidRPr="00A561EC">
        <w:rPr>
          <w:rFonts w:ascii="Calibri" w:hAnsi="Calibri"/>
          <w:b w:val="0"/>
          <w:sz w:val="20"/>
          <w:szCs w:val="20"/>
        </w:rPr>
        <w:t xml:space="preserve"> s</w:t>
      </w:r>
      <w:r w:rsidR="00C2688A" w:rsidRPr="00A561EC">
        <w:rPr>
          <w:rFonts w:ascii="Calibri" w:hAnsi="Calibri"/>
          <w:b w:val="0"/>
          <w:sz w:val="20"/>
          <w:szCs w:val="20"/>
        </w:rPr>
        <w:t> </w:t>
      </w:r>
      <w:r w:rsidR="0067750F" w:rsidRPr="00A561EC">
        <w:rPr>
          <w:rFonts w:ascii="Calibri" w:hAnsi="Calibri"/>
          <w:b w:val="0"/>
          <w:sz w:val="20"/>
          <w:szCs w:val="20"/>
        </w:rPr>
        <w:t>klesajícím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podílem v posledních 3</w:t>
      </w:r>
      <w:r w:rsidR="00C2688A" w:rsidRPr="00A561EC">
        <w:rPr>
          <w:rFonts w:ascii="Calibri" w:hAnsi="Calibri"/>
          <w:b w:val="0"/>
          <w:sz w:val="20"/>
          <w:szCs w:val="20"/>
        </w:rPr>
        <w:t xml:space="preserve"> letech</w:t>
      </w:r>
      <w:r w:rsidR="0067750F" w:rsidRPr="00A561EC">
        <w:rPr>
          <w:rFonts w:ascii="Calibri" w:hAnsi="Calibri"/>
          <w:b w:val="0"/>
          <w:sz w:val="20"/>
          <w:szCs w:val="20"/>
        </w:rPr>
        <w:t xml:space="preserve"> </w:t>
      </w:r>
      <w:r w:rsidR="00B70978" w:rsidRPr="00A561EC">
        <w:rPr>
          <w:rFonts w:ascii="Calibri" w:hAnsi="Calibri"/>
          <w:b w:val="0"/>
          <w:sz w:val="20"/>
          <w:szCs w:val="20"/>
        </w:rPr>
        <w:t xml:space="preserve">se </w:t>
      </w:r>
      <w:r w:rsidR="0067750F" w:rsidRPr="00A561EC">
        <w:rPr>
          <w:rFonts w:ascii="Calibri" w:hAnsi="Calibri"/>
          <w:b w:val="0"/>
          <w:sz w:val="20"/>
          <w:szCs w:val="20"/>
        </w:rPr>
        <w:t xml:space="preserve">spíše vzdaluje </w:t>
      </w:r>
      <w:r w:rsidR="00B70978" w:rsidRPr="00A561EC">
        <w:rPr>
          <w:rFonts w:ascii="Calibri" w:hAnsi="Calibri"/>
          <w:b w:val="0"/>
          <w:sz w:val="20"/>
          <w:szCs w:val="20"/>
        </w:rPr>
        <w:t>průměru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EU28</w:t>
      </w:r>
      <w:r w:rsidR="00273CEF" w:rsidRPr="00A561EC">
        <w:rPr>
          <w:rFonts w:ascii="Calibri" w:hAnsi="Calibri"/>
          <w:b w:val="0"/>
          <w:sz w:val="20"/>
          <w:szCs w:val="20"/>
        </w:rPr>
        <w:t>. Z nových členských zemí EU</w:t>
      </w:r>
      <w:r w:rsidR="00A561EC" w:rsidRPr="00A561EC">
        <w:rPr>
          <w:rFonts w:ascii="Calibri" w:hAnsi="Calibri"/>
          <w:b w:val="0"/>
          <w:sz w:val="20"/>
          <w:szCs w:val="20"/>
        </w:rPr>
        <w:t>28</w:t>
      </w:r>
      <w:r w:rsidR="00805107">
        <w:rPr>
          <w:rFonts w:ascii="Calibri" w:hAnsi="Calibri"/>
          <w:b w:val="0"/>
          <w:sz w:val="20"/>
          <w:szCs w:val="20"/>
        </w:rPr>
        <w:t>, které vstoupily do EU po roce 2000,</w:t>
      </w:r>
      <w:r w:rsidR="00273CEF" w:rsidRPr="00A561EC">
        <w:rPr>
          <w:rFonts w:ascii="Calibri" w:hAnsi="Calibri"/>
          <w:b w:val="0"/>
          <w:sz w:val="20"/>
          <w:szCs w:val="20"/>
        </w:rPr>
        <w:t xml:space="preserve"> je n</w:t>
      </w:r>
      <w:r w:rsidR="00C2688A" w:rsidRPr="00A561EC">
        <w:rPr>
          <w:rFonts w:ascii="Calibri" w:hAnsi="Calibri"/>
          <w:b w:val="0"/>
          <w:sz w:val="20"/>
          <w:szCs w:val="20"/>
        </w:rPr>
        <w:t xml:space="preserve">a tom </w:t>
      </w:r>
      <w:r w:rsidR="00B70978" w:rsidRPr="00A561EC">
        <w:rPr>
          <w:rFonts w:ascii="Calibri" w:hAnsi="Calibri"/>
          <w:b w:val="0"/>
          <w:sz w:val="20"/>
          <w:szCs w:val="20"/>
        </w:rPr>
        <w:t xml:space="preserve">lépe než ČR </w:t>
      </w:r>
      <w:r w:rsidR="00805107">
        <w:rPr>
          <w:rFonts w:ascii="Calibri" w:hAnsi="Calibri"/>
          <w:b w:val="0"/>
          <w:sz w:val="20"/>
          <w:szCs w:val="20"/>
        </w:rPr>
        <w:t xml:space="preserve">pouze </w:t>
      </w:r>
      <w:r w:rsidR="0067750F" w:rsidRPr="00A561EC">
        <w:rPr>
          <w:rFonts w:ascii="Calibri" w:hAnsi="Calibri"/>
          <w:b w:val="0"/>
          <w:sz w:val="20"/>
          <w:szCs w:val="20"/>
        </w:rPr>
        <w:t>E</w:t>
      </w:r>
      <w:r w:rsidR="00DA66A3" w:rsidRPr="00A561EC">
        <w:rPr>
          <w:rFonts w:ascii="Calibri" w:hAnsi="Calibri"/>
          <w:b w:val="0"/>
          <w:sz w:val="20"/>
          <w:szCs w:val="20"/>
        </w:rPr>
        <w:t>stonsko (0,84</w:t>
      </w:r>
      <w:r w:rsidR="00B70978" w:rsidRPr="00A561EC">
        <w:rPr>
          <w:rFonts w:ascii="Calibri" w:hAnsi="Calibri"/>
          <w:b w:val="0"/>
          <w:sz w:val="20"/>
          <w:szCs w:val="20"/>
        </w:rPr>
        <w:t> %)</w:t>
      </w:r>
      <w:r w:rsidR="00A561EC" w:rsidRPr="00A561EC">
        <w:rPr>
          <w:rFonts w:ascii="Calibri" w:hAnsi="Calibri"/>
          <w:b w:val="0"/>
          <w:sz w:val="20"/>
          <w:szCs w:val="20"/>
        </w:rPr>
        <w:t xml:space="preserve"> a nově přistoupivší Chorvatsko (0,73 %)</w:t>
      </w:r>
      <w:r w:rsidR="00273CEF" w:rsidRPr="00A561EC">
        <w:rPr>
          <w:rFonts w:ascii="Calibri" w:hAnsi="Calibri"/>
          <w:b w:val="0"/>
          <w:sz w:val="20"/>
          <w:szCs w:val="20"/>
        </w:rPr>
        <w:t>.</w:t>
      </w:r>
      <w:r w:rsidR="00273CEF" w:rsidRPr="00B61583">
        <w:rPr>
          <w:rFonts w:ascii="Calibri" w:hAnsi="Calibri"/>
          <w:b w:val="0"/>
          <w:color w:val="FF0000"/>
          <w:sz w:val="20"/>
          <w:szCs w:val="20"/>
        </w:rPr>
        <w:t xml:space="preserve"> </w:t>
      </w:r>
    </w:p>
    <w:p w:rsidR="004F382D" w:rsidRPr="007B0D1F" w:rsidRDefault="004F382D" w:rsidP="004F382D">
      <w:pPr>
        <w:pStyle w:val="Zkladntext2"/>
        <w:pBdr>
          <w:bottom w:val="single" w:sz="2" w:space="1" w:color="BFBFBF"/>
        </w:pBdr>
        <w:rPr>
          <w:rFonts w:ascii="Calibri" w:hAnsi="Calibri" w:cs="Arial"/>
          <w:b/>
          <w:color w:val="4F6228"/>
          <w:sz w:val="18"/>
          <w:szCs w:val="18"/>
        </w:rPr>
      </w:pPr>
      <w:r w:rsidRPr="007B0D1F">
        <w:rPr>
          <w:rFonts w:ascii="Calibri" w:hAnsi="Calibri" w:cs="Arial"/>
          <w:b/>
          <w:color w:val="4F6228"/>
          <w:sz w:val="18"/>
          <w:szCs w:val="18"/>
        </w:rPr>
        <w:t>GRAF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 4</w:t>
      </w:r>
      <w:r w:rsidRPr="007B0D1F">
        <w:rPr>
          <w:rFonts w:ascii="Calibri" w:hAnsi="Calibri" w:cs="Arial"/>
          <w:b/>
          <w:color w:val="4F6228"/>
          <w:sz w:val="18"/>
          <w:szCs w:val="18"/>
        </w:rPr>
        <w:t xml:space="preserve">-1: </w:t>
      </w:r>
      <w:r w:rsidRPr="004F382D">
        <w:rPr>
          <w:rFonts w:ascii="Calibri" w:hAnsi="Calibri" w:cs="Arial"/>
          <w:b/>
          <w:color w:val="4F6228"/>
          <w:sz w:val="18"/>
          <w:szCs w:val="18"/>
        </w:rPr>
        <w:t xml:space="preserve">GBAORD jako podíl na HDP ve vybraných zemích; </w:t>
      </w:r>
      <w:r w:rsidR="003058B2">
        <w:rPr>
          <w:rFonts w:ascii="Calibri" w:hAnsi="Calibri" w:cs="Arial"/>
          <w:b/>
          <w:color w:val="4F6228"/>
          <w:sz w:val="18"/>
          <w:szCs w:val="18"/>
        </w:rPr>
        <w:t>2005 a 2013</w:t>
      </w:r>
    </w:p>
    <w:p w:rsidR="00734EB4" w:rsidRDefault="009444A6" w:rsidP="00427483">
      <w:r>
        <w:rPr>
          <w:noProof/>
        </w:rPr>
        <w:drawing>
          <wp:inline distT="0" distB="0" distL="0" distR="0" wp14:anchorId="667704B0" wp14:editId="05FE6531">
            <wp:extent cx="5972810" cy="2581275"/>
            <wp:effectExtent l="0" t="0" r="889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EB4" w:rsidRPr="009E5343" w:rsidRDefault="003058B2" w:rsidP="00734EB4">
      <w:pPr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Zdroj: </w:t>
      </w:r>
      <w:proofErr w:type="spellStart"/>
      <w:r>
        <w:rPr>
          <w:rFonts w:ascii="Calibri" w:hAnsi="Calibri"/>
          <w:i/>
          <w:sz w:val="16"/>
        </w:rPr>
        <w:t>Eurostat</w:t>
      </w:r>
      <w:proofErr w:type="spellEnd"/>
      <w:r>
        <w:rPr>
          <w:rFonts w:ascii="Calibri" w:hAnsi="Calibri"/>
          <w:i/>
          <w:sz w:val="16"/>
        </w:rPr>
        <w:t xml:space="preserve"> 2014</w:t>
      </w:r>
    </w:p>
    <w:p w:rsidR="00734EB4" w:rsidRDefault="00734EB4" w:rsidP="00427483">
      <w:pPr>
        <w:rPr>
          <w:rFonts w:ascii="Calibri" w:hAnsi="Calibri"/>
          <w:sz w:val="20"/>
        </w:rPr>
      </w:pPr>
    </w:p>
    <w:p w:rsidR="00427483" w:rsidRPr="00752466" w:rsidRDefault="000E3BBA" w:rsidP="00AE2C96">
      <w:pPr>
        <w:ind w:firstLine="357"/>
        <w:jc w:val="both"/>
        <w:rPr>
          <w:rFonts w:ascii="Calibri" w:hAnsi="Calibri"/>
          <w:sz w:val="20"/>
        </w:rPr>
      </w:pPr>
      <w:r w:rsidRPr="00752466">
        <w:rPr>
          <w:rFonts w:ascii="Calibri" w:hAnsi="Calibri"/>
          <w:b/>
          <w:sz w:val="20"/>
        </w:rPr>
        <w:t>Výší podílu</w:t>
      </w:r>
      <w:r w:rsidR="000F0F36" w:rsidRPr="00752466">
        <w:rPr>
          <w:rFonts w:ascii="Calibri" w:hAnsi="Calibri"/>
          <w:b/>
          <w:sz w:val="20"/>
        </w:rPr>
        <w:t xml:space="preserve"> </w:t>
      </w:r>
      <w:r w:rsidR="000F0F36" w:rsidRPr="00752466">
        <w:rPr>
          <w:rFonts w:ascii="Calibri" w:hAnsi="Calibri"/>
          <w:b/>
          <w:sz w:val="20"/>
          <w:szCs w:val="20"/>
        </w:rPr>
        <w:t>GBAORD</w:t>
      </w:r>
      <w:r w:rsidRPr="00752466">
        <w:rPr>
          <w:rFonts w:ascii="Calibri" w:hAnsi="Calibri"/>
          <w:b/>
          <w:sz w:val="20"/>
        </w:rPr>
        <w:t xml:space="preserve"> </w:t>
      </w:r>
      <w:r w:rsidR="00847146" w:rsidRPr="00752466">
        <w:rPr>
          <w:rFonts w:ascii="Calibri" w:hAnsi="Calibri"/>
          <w:b/>
          <w:sz w:val="20"/>
        </w:rPr>
        <w:t xml:space="preserve">na celkových </w:t>
      </w:r>
      <w:r w:rsidR="00357244" w:rsidRPr="00752466">
        <w:rPr>
          <w:rFonts w:ascii="Calibri" w:hAnsi="Calibri"/>
          <w:b/>
          <w:sz w:val="20"/>
        </w:rPr>
        <w:t>veřejných</w:t>
      </w:r>
      <w:r w:rsidR="00847146" w:rsidRPr="00752466">
        <w:rPr>
          <w:rFonts w:ascii="Calibri" w:hAnsi="Calibri"/>
          <w:b/>
          <w:sz w:val="20"/>
        </w:rPr>
        <w:t xml:space="preserve"> výdajích</w:t>
      </w:r>
      <w:r w:rsidR="00535501">
        <w:rPr>
          <w:rFonts w:ascii="Calibri" w:hAnsi="Calibri"/>
          <w:b/>
          <w:sz w:val="20"/>
        </w:rPr>
        <w:t xml:space="preserve"> </w:t>
      </w:r>
      <w:r w:rsidR="00535501" w:rsidRPr="00752466">
        <w:rPr>
          <w:rFonts w:ascii="Calibri" w:hAnsi="Calibri"/>
          <w:b/>
          <w:sz w:val="20"/>
        </w:rPr>
        <w:t>(1,59</w:t>
      </w:r>
      <w:r w:rsidR="00535501">
        <w:rPr>
          <w:rFonts w:ascii="Calibri" w:hAnsi="Calibri"/>
          <w:b/>
          <w:sz w:val="20"/>
        </w:rPr>
        <w:t> %)</w:t>
      </w:r>
      <w:r w:rsidR="00752466" w:rsidRPr="00752466">
        <w:rPr>
          <w:rFonts w:ascii="Calibri" w:hAnsi="Calibri"/>
          <w:b/>
          <w:sz w:val="20"/>
        </w:rPr>
        <w:t xml:space="preserve"> byla ČR v roce 2013 nad průměrem zemí EU28 (1,41</w:t>
      </w:r>
      <w:r w:rsidRPr="00752466">
        <w:rPr>
          <w:rFonts w:ascii="Calibri" w:hAnsi="Calibri"/>
          <w:b/>
          <w:sz w:val="20"/>
        </w:rPr>
        <w:t> %).</w:t>
      </w:r>
      <w:r w:rsidR="00890654" w:rsidRPr="00752466">
        <w:rPr>
          <w:rFonts w:ascii="Calibri" w:hAnsi="Calibri"/>
          <w:sz w:val="20"/>
        </w:rPr>
        <w:t xml:space="preserve"> Z evropských zemí </w:t>
      </w:r>
      <w:r w:rsidR="00D527CB">
        <w:rPr>
          <w:rFonts w:ascii="Calibri" w:hAnsi="Calibri"/>
          <w:sz w:val="20"/>
        </w:rPr>
        <w:t xml:space="preserve">dosáhlo </w:t>
      </w:r>
      <w:r w:rsidR="00890654" w:rsidRPr="00752466">
        <w:rPr>
          <w:rFonts w:ascii="Calibri" w:hAnsi="Calibri"/>
          <w:sz w:val="20"/>
        </w:rPr>
        <w:t>nej</w:t>
      </w:r>
      <w:r w:rsidR="00DD519E" w:rsidRPr="00752466">
        <w:rPr>
          <w:rFonts w:ascii="Calibri" w:hAnsi="Calibri"/>
          <w:sz w:val="20"/>
        </w:rPr>
        <w:t xml:space="preserve">vyššího podílu </w:t>
      </w:r>
      <w:r w:rsidR="00752466" w:rsidRPr="00752466">
        <w:rPr>
          <w:rFonts w:ascii="Calibri" w:hAnsi="Calibri"/>
          <w:sz w:val="20"/>
        </w:rPr>
        <w:t>Estonsko (2,24</w:t>
      </w:r>
      <w:r w:rsidR="00890654" w:rsidRPr="00752466">
        <w:rPr>
          <w:rFonts w:ascii="Calibri" w:hAnsi="Calibri"/>
          <w:sz w:val="20"/>
        </w:rPr>
        <w:t> %)</w:t>
      </w:r>
      <w:r w:rsidR="00187B03" w:rsidRPr="00752466">
        <w:rPr>
          <w:rFonts w:ascii="Calibri" w:hAnsi="Calibri"/>
          <w:sz w:val="20"/>
        </w:rPr>
        <w:t xml:space="preserve"> a </w:t>
      </w:r>
      <w:r w:rsidR="00752466" w:rsidRPr="00752466">
        <w:rPr>
          <w:rFonts w:ascii="Calibri" w:hAnsi="Calibri"/>
          <w:sz w:val="20"/>
        </w:rPr>
        <w:t>Německo (2,05</w:t>
      </w:r>
      <w:r w:rsidR="00187B03" w:rsidRPr="00752466">
        <w:rPr>
          <w:rFonts w:ascii="Calibri" w:hAnsi="Calibri"/>
          <w:sz w:val="20"/>
        </w:rPr>
        <w:t> %)</w:t>
      </w:r>
      <w:r w:rsidR="00890654" w:rsidRPr="00752466">
        <w:rPr>
          <w:rFonts w:ascii="Calibri" w:hAnsi="Calibri"/>
          <w:sz w:val="20"/>
        </w:rPr>
        <w:t xml:space="preserve">. </w:t>
      </w:r>
      <w:r w:rsidR="00187B03" w:rsidRPr="00752466">
        <w:rPr>
          <w:rFonts w:ascii="Calibri" w:hAnsi="Calibri"/>
          <w:sz w:val="20"/>
        </w:rPr>
        <w:t>Z neevropských</w:t>
      </w:r>
      <w:r w:rsidR="00670BCD" w:rsidRPr="00752466">
        <w:rPr>
          <w:rFonts w:ascii="Calibri" w:hAnsi="Calibri"/>
          <w:sz w:val="20"/>
        </w:rPr>
        <w:t xml:space="preserve"> zemí dosáhla</w:t>
      </w:r>
      <w:r w:rsidR="00890654" w:rsidRPr="00752466">
        <w:rPr>
          <w:rFonts w:ascii="Calibri" w:hAnsi="Calibri"/>
          <w:sz w:val="20"/>
        </w:rPr>
        <w:t xml:space="preserve"> </w:t>
      </w:r>
      <w:r w:rsidR="00C2688A" w:rsidRPr="00752466">
        <w:rPr>
          <w:rFonts w:ascii="Calibri" w:hAnsi="Calibri"/>
          <w:sz w:val="20"/>
        </w:rPr>
        <w:t>vysokého</w:t>
      </w:r>
      <w:r w:rsidR="00890654" w:rsidRPr="00752466">
        <w:rPr>
          <w:rFonts w:ascii="Calibri" w:hAnsi="Calibri"/>
          <w:sz w:val="20"/>
        </w:rPr>
        <w:t xml:space="preserve"> podílu </w:t>
      </w:r>
      <w:r w:rsidR="000B17FA">
        <w:rPr>
          <w:rFonts w:ascii="Calibri" w:hAnsi="Calibri"/>
          <w:sz w:val="20"/>
        </w:rPr>
        <w:t xml:space="preserve">také </w:t>
      </w:r>
      <w:r w:rsidR="00890654" w:rsidRPr="00752466">
        <w:rPr>
          <w:rFonts w:ascii="Calibri" w:hAnsi="Calibri"/>
          <w:sz w:val="20"/>
        </w:rPr>
        <w:t>J</w:t>
      </w:r>
      <w:r w:rsidR="009D426D" w:rsidRPr="00752466">
        <w:rPr>
          <w:rFonts w:ascii="Calibri" w:hAnsi="Calibri"/>
          <w:sz w:val="20"/>
        </w:rPr>
        <w:t>ižní Korea (3,5</w:t>
      </w:r>
      <w:r w:rsidR="009F321A" w:rsidRPr="00752466">
        <w:rPr>
          <w:rFonts w:ascii="Calibri" w:hAnsi="Calibri"/>
          <w:sz w:val="20"/>
        </w:rPr>
        <w:t> %</w:t>
      </w:r>
      <w:r w:rsidR="009D426D" w:rsidRPr="00752466">
        <w:rPr>
          <w:rFonts w:ascii="Calibri" w:hAnsi="Calibri"/>
          <w:sz w:val="20"/>
        </w:rPr>
        <w:t>)</w:t>
      </w:r>
      <w:r w:rsidR="00DE30D3">
        <w:rPr>
          <w:rFonts w:ascii="Calibri" w:hAnsi="Calibri"/>
          <w:sz w:val="20"/>
        </w:rPr>
        <w:t>. Ta</w:t>
      </w:r>
      <w:r w:rsidR="00A6582C">
        <w:rPr>
          <w:rFonts w:ascii="Calibri" w:hAnsi="Calibri"/>
          <w:sz w:val="20"/>
        </w:rPr>
        <w:t xml:space="preserve"> zastínila </w:t>
      </w:r>
      <w:r w:rsidR="0063290B">
        <w:rPr>
          <w:rFonts w:ascii="Calibri" w:hAnsi="Calibri"/>
          <w:sz w:val="20"/>
        </w:rPr>
        <w:t xml:space="preserve">všechny </w:t>
      </w:r>
      <w:r w:rsidR="00172156" w:rsidRPr="00752466">
        <w:rPr>
          <w:rFonts w:ascii="Calibri" w:hAnsi="Calibri"/>
          <w:sz w:val="20"/>
        </w:rPr>
        <w:t>člensk</w:t>
      </w:r>
      <w:r w:rsidR="0063290B">
        <w:rPr>
          <w:rFonts w:ascii="Calibri" w:hAnsi="Calibri"/>
          <w:sz w:val="20"/>
        </w:rPr>
        <w:t>é</w:t>
      </w:r>
      <w:r w:rsidR="00172156" w:rsidRPr="00752466">
        <w:rPr>
          <w:rFonts w:ascii="Calibri" w:hAnsi="Calibri"/>
          <w:sz w:val="20"/>
        </w:rPr>
        <w:t xml:space="preserve"> </w:t>
      </w:r>
      <w:r w:rsidR="00670BCD" w:rsidRPr="00752466">
        <w:rPr>
          <w:rFonts w:ascii="Calibri" w:hAnsi="Calibri"/>
          <w:sz w:val="20"/>
        </w:rPr>
        <w:t xml:space="preserve">země </w:t>
      </w:r>
      <w:r w:rsidR="00752466" w:rsidRPr="00752466">
        <w:rPr>
          <w:rFonts w:ascii="Calibri" w:hAnsi="Calibri"/>
          <w:sz w:val="20"/>
        </w:rPr>
        <w:t>EU</w:t>
      </w:r>
      <w:r w:rsidR="00721F7A">
        <w:rPr>
          <w:rFonts w:ascii="Calibri" w:hAnsi="Calibri"/>
          <w:sz w:val="20"/>
        </w:rPr>
        <w:t xml:space="preserve">, přičemž </w:t>
      </w:r>
      <w:r w:rsidR="00427F5E" w:rsidRPr="00752466">
        <w:rPr>
          <w:rFonts w:ascii="Calibri" w:hAnsi="Calibri"/>
          <w:sz w:val="20"/>
        </w:rPr>
        <w:t>její</w:t>
      </w:r>
      <w:r w:rsidR="00670BCD" w:rsidRPr="00752466">
        <w:rPr>
          <w:rFonts w:ascii="Calibri" w:hAnsi="Calibri"/>
          <w:sz w:val="20"/>
        </w:rPr>
        <w:t xml:space="preserve"> podíl</w:t>
      </w:r>
      <w:r w:rsidR="00752466" w:rsidRPr="00752466">
        <w:rPr>
          <w:rFonts w:ascii="Calibri" w:hAnsi="Calibri"/>
          <w:sz w:val="20"/>
        </w:rPr>
        <w:t xml:space="preserve"> byl ve srovnání s průměrem EU28</w:t>
      </w:r>
      <w:r w:rsidR="00670BCD" w:rsidRPr="00752466">
        <w:rPr>
          <w:rFonts w:ascii="Calibri" w:hAnsi="Calibri"/>
          <w:sz w:val="20"/>
        </w:rPr>
        <w:t xml:space="preserve"> téměř dvojnásobný.</w:t>
      </w:r>
      <w:r w:rsidR="009D426D" w:rsidRPr="00752466">
        <w:rPr>
          <w:rFonts w:ascii="Calibri" w:hAnsi="Calibri"/>
          <w:sz w:val="20"/>
        </w:rPr>
        <w:t xml:space="preserve"> Spojené státy</w:t>
      </w:r>
      <w:r w:rsidR="00752466" w:rsidRPr="00752466">
        <w:rPr>
          <w:rFonts w:ascii="Calibri" w:hAnsi="Calibri"/>
          <w:sz w:val="20"/>
        </w:rPr>
        <w:t xml:space="preserve"> zaznamenaly v roce 2012</w:t>
      </w:r>
      <w:r w:rsidR="009D426D" w:rsidRPr="00752466">
        <w:rPr>
          <w:rFonts w:ascii="Calibri" w:hAnsi="Calibri"/>
          <w:sz w:val="20"/>
        </w:rPr>
        <w:t xml:space="preserve"> </w:t>
      </w:r>
      <w:r w:rsidR="006604ED" w:rsidRPr="00752466">
        <w:rPr>
          <w:rFonts w:ascii="Calibri" w:hAnsi="Calibri"/>
          <w:sz w:val="20"/>
        </w:rPr>
        <w:t xml:space="preserve">podíl </w:t>
      </w:r>
      <w:r w:rsidR="00752466" w:rsidRPr="00752466">
        <w:rPr>
          <w:rFonts w:ascii="Calibri" w:hAnsi="Calibri"/>
          <w:sz w:val="20"/>
        </w:rPr>
        <w:t>2,21</w:t>
      </w:r>
      <w:r w:rsidR="006604ED" w:rsidRPr="00752466">
        <w:rPr>
          <w:rFonts w:ascii="Calibri" w:hAnsi="Calibri"/>
          <w:sz w:val="20"/>
        </w:rPr>
        <w:t> % s klesající tendencí v posledních letech.</w:t>
      </w:r>
      <w:r w:rsidR="00890654" w:rsidRPr="00752466">
        <w:rPr>
          <w:rFonts w:ascii="Calibri" w:hAnsi="Calibri"/>
          <w:sz w:val="20"/>
        </w:rPr>
        <w:t xml:space="preserve"> </w:t>
      </w:r>
      <w:r w:rsidR="00546A4A" w:rsidRPr="00752466">
        <w:rPr>
          <w:rFonts w:ascii="Calibri" w:hAnsi="Calibri"/>
          <w:sz w:val="20"/>
        </w:rPr>
        <w:t>Japonsko vykázalo</w:t>
      </w:r>
      <w:r w:rsidR="009F321A" w:rsidRPr="00752466">
        <w:rPr>
          <w:rFonts w:ascii="Calibri" w:hAnsi="Calibri"/>
          <w:sz w:val="20"/>
        </w:rPr>
        <w:t xml:space="preserve"> </w:t>
      </w:r>
      <w:r w:rsidR="009D426D" w:rsidRPr="00752466">
        <w:rPr>
          <w:rFonts w:ascii="Calibri" w:hAnsi="Calibri"/>
          <w:sz w:val="20"/>
        </w:rPr>
        <w:t xml:space="preserve">v roce 2011 </w:t>
      </w:r>
      <w:r w:rsidR="009F321A" w:rsidRPr="00752466">
        <w:rPr>
          <w:rFonts w:ascii="Calibri" w:hAnsi="Calibri"/>
          <w:sz w:val="20"/>
        </w:rPr>
        <w:t>rovněž</w:t>
      </w:r>
      <w:r w:rsidR="00E864AA" w:rsidRPr="00752466">
        <w:rPr>
          <w:rFonts w:ascii="Calibri" w:hAnsi="Calibri"/>
          <w:sz w:val="20"/>
        </w:rPr>
        <w:t xml:space="preserve"> vyšší podíl GBAORD na</w:t>
      </w:r>
      <w:r w:rsidR="009D426D" w:rsidRPr="00752466">
        <w:rPr>
          <w:rFonts w:ascii="Calibri" w:hAnsi="Calibri"/>
          <w:sz w:val="20"/>
        </w:rPr>
        <w:t xml:space="preserve"> </w:t>
      </w:r>
      <w:r w:rsidR="00834D0C" w:rsidRPr="00752466">
        <w:rPr>
          <w:rFonts w:ascii="Calibri" w:hAnsi="Calibri"/>
          <w:sz w:val="20"/>
        </w:rPr>
        <w:t xml:space="preserve">celkových veřejných výdajích </w:t>
      </w:r>
      <w:r w:rsidR="00752466" w:rsidRPr="00752466">
        <w:rPr>
          <w:rFonts w:ascii="Calibri" w:hAnsi="Calibri"/>
          <w:sz w:val="20"/>
        </w:rPr>
        <w:t>(1,85</w:t>
      </w:r>
      <w:r w:rsidR="00E864AA" w:rsidRPr="00752466">
        <w:rPr>
          <w:rFonts w:ascii="Calibri" w:hAnsi="Calibri"/>
          <w:sz w:val="20"/>
        </w:rPr>
        <w:t> %</w:t>
      </w:r>
      <w:r w:rsidR="00187B03" w:rsidRPr="00752466">
        <w:rPr>
          <w:rFonts w:ascii="Calibri" w:hAnsi="Calibri"/>
          <w:sz w:val="20"/>
        </w:rPr>
        <w:t>)</w:t>
      </w:r>
      <w:r w:rsidR="00752466" w:rsidRPr="00752466">
        <w:rPr>
          <w:rFonts w:ascii="Calibri" w:hAnsi="Calibri"/>
          <w:sz w:val="20"/>
        </w:rPr>
        <w:t xml:space="preserve"> než průměr EU28</w:t>
      </w:r>
      <w:r w:rsidR="00E864AA" w:rsidRPr="00752466">
        <w:rPr>
          <w:rFonts w:ascii="Calibri" w:hAnsi="Calibri"/>
          <w:sz w:val="20"/>
        </w:rPr>
        <w:t>. Naopak nej</w:t>
      </w:r>
      <w:r w:rsidR="009F321A" w:rsidRPr="00752466">
        <w:rPr>
          <w:rFonts w:ascii="Calibri" w:hAnsi="Calibri"/>
          <w:sz w:val="20"/>
        </w:rPr>
        <w:t>nižší</w:t>
      </w:r>
      <w:r w:rsidR="00546A4A" w:rsidRPr="00752466">
        <w:rPr>
          <w:rFonts w:ascii="Calibri" w:hAnsi="Calibri"/>
          <w:sz w:val="20"/>
        </w:rPr>
        <w:t xml:space="preserve"> podíl</w:t>
      </w:r>
      <w:r w:rsidR="00535501">
        <w:rPr>
          <w:rFonts w:ascii="Calibri" w:hAnsi="Calibri"/>
          <w:sz w:val="20"/>
        </w:rPr>
        <w:t xml:space="preserve"> ze zemí EU28</w:t>
      </w:r>
      <w:r w:rsidR="00546A4A" w:rsidRPr="00752466">
        <w:rPr>
          <w:rFonts w:ascii="Calibri" w:hAnsi="Calibri"/>
          <w:sz w:val="20"/>
        </w:rPr>
        <w:t xml:space="preserve"> byl zjištěn</w:t>
      </w:r>
      <w:r w:rsidR="00535501">
        <w:rPr>
          <w:rFonts w:ascii="Calibri" w:hAnsi="Calibri"/>
          <w:sz w:val="20"/>
        </w:rPr>
        <w:t xml:space="preserve"> v případě Lotyšska</w:t>
      </w:r>
      <w:r w:rsidR="00752466" w:rsidRPr="00752466">
        <w:rPr>
          <w:rFonts w:ascii="Calibri" w:hAnsi="Calibri"/>
          <w:sz w:val="20"/>
        </w:rPr>
        <w:t xml:space="preserve"> (0,39</w:t>
      </w:r>
      <w:r w:rsidR="009F321A" w:rsidRPr="00752466">
        <w:rPr>
          <w:rFonts w:ascii="Calibri" w:hAnsi="Calibri"/>
          <w:sz w:val="20"/>
        </w:rPr>
        <w:t> %)</w:t>
      </w:r>
      <w:r w:rsidR="00187B03" w:rsidRPr="00752466">
        <w:rPr>
          <w:rFonts w:ascii="Calibri" w:hAnsi="Calibri"/>
          <w:sz w:val="20"/>
        </w:rPr>
        <w:t xml:space="preserve">, </w:t>
      </w:r>
      <w:r w:rsidR="00535501">
        <w:rPr>
          <w:rFonts w:ascii="Calibri" w:hAnsi="Calibri"/>
          <w:sz w:val="20"/>
        </w:rPr>
        <w:t>Rumunska</w:t>
      </w:r>
      <w:r w:rsidR="009D426D" w:rsidRPr="00752466">
        <w:rPr>
          <w:rFonts w:ascii="Calibri" w:hAnsi="Calibri"/>
          <w:sz w:val="20"/>
        </w:rPr>
        <w:t xml:space="preserve"> </w:t>
      </w:r>
      <w:r w:rsidR="00752466" w:rsidRPr="00752466">
        <w:rPr>
          <w:rFonts w:ascii="Calibri" w:hAnsi="Calibri"/>
          <w:sz w:val="20"/>
        </w:rPr>
        <w:t>(0,60</w:t>
      </w:r>
      <w:r w:rsidR="00E864AA" w:rsidRPr="00752466">
        <w:rPr>
          <w:rFonts w:ascii="Calibri" w:hAnsi="Calibri"/>
          <w:sz w:val="20"/>
        </w:rPr>
        <w:t> %)</w:t>
      </w:r>
      <w:r w:rsidR="00187B03" w:rsidRPr="00752466">
        <w:rPr>
          <w:rFonts w:ascii="Calibri" w:hAnsi="Calibri"/>
          <w:sz w:val="20"/>
        </w:rPr>
        <w:t xml:space="preserve"> a </w:t>
      </w:r>
      <w:r w:rsidR="00535501">
        <w:rPr>
          <w:rFonts w:ascii="Calibri" w:hAnsi="Calibri"/>
          <w:sz w:val="20"/>
        </w:rPr>
        <w:t>Bulharska</w:t>
      </w:r>
      <w:r w:rsidR="009D426D" w:rsidRPr="00752466">
        <w:rPr>
          <w:rFonts w:ascii="Calibri" w:hAnsi="Calibri"/>
          <w:sz w:val="20"/>
        </w:rPr>
        <w:t xml:space="preserve"> (0,6</w:t>
      </w:r>
      <w:r w:rsidR="00752466" w:rsidRPr="00752466">
        <w:rPr>
          <w:rFonts w:ascii="Calibri" w:hAnsi="Calibri"/>
          <w:sz w:val="20"/>
        </w:rPr>
        <w:t>6</w:t>
      </w:r>
      <w:r w:rsidR="00187B03" w:rsidRPr="00752466">
        <w:rPr>
          <w:rFonts w:ascii="Calibri" w:hAnsi="Calibri"/>
          <w:sz w:val="20"/>
        </w:rPr>
        <w:t> %)</w:t>
      </w:r>
      <w:r w:rsidR="00E864AA" w:rsidRPr="00752466">
        <w:rPr>
          <w:rFonts w:ascii="Calibri" w:hAnsi="Calibri"/>
          <w:sz w:val="20"/>
        </w:rPr>
        <w:t xml:space="preserve">. </w:t>
      </w:r>
      <w:r w:rsidR="00890654" w:rsidRPr="00752466">
        <w:rPr>
          <w:rFonts w:ascii="Calibri" w:hAnsi="Calibri"/>
          <w:sz w:val="20"/>
        </w:rPr>
        <w:t xml:space="preserve"> </w:t>
      </w:r>
    </w:p>
    <w:p w:rsidR="00427483" w:rsidRDefault="00427483" w:rsidP="00427483">
      <w:pPr>
        <w:rPr>
          <w:rFonts w:ascii="Calibri" w:hAnsi="Calibri"/>
          <w:sz w:val="20"/>
        </w:rPr>
      </w:pPr>
    </w:p>
    <w:p w:rsidR="005F4BAD" w:rsidRDefault="005F4BAD" w:rsidP="005F4BAD">
      <w:pPr>
        <w:pStyle w:val="Zkladntext2"/>
        <w:pBdr>
          <w:bottom w:val="single" w:sz="2" w:space="2" w:color="BFBFBF"/>
        </w:pBdr>
        <w:rPr>
          <w:rFonts w:ascii="Calibri" w:hAnsi="Calibri"/>
          <w:sz w:val="20"/>
        </w:rPr>
      </w:pPr>
      <w:r w:rsidRPr="007B0D1F">
        <w:rPr>
          <w:rFonts w:ascii="Calibri" w:hAnsi="Calibri" w:cs="Arial"/>
          <w:b/>
          <w:color w:val="4F6228"/>
          <w:sz w:val="18"/>
          <w:szCs w:val="18"/>
        </w:rPr>
        <w:t>GRAF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 4</w:t>
      </w:r>
      <w:r w:rsidR="00E854BC">
        <w:rPr>
          <w:rFonts w:ascii="Calibri" w:hAnsi="Calibri" w:cs="Arial"/>
          <w:b/>
          <w:color w:val="4F6228"/>
          <w:sz w:val="18"/>
          <w:szCs w:val="18"/>
        </w:rPr>
        <w:t>-2</w:t>
      </w:r>
      <w:r w:rsidRPr="007B0D1F">
        <w:rPr>
          <w:rFonts w:ascii="Calibri" w:hAnsi="Calibri" w:cs="Arial"/>
          <w:b/>
          <w:color w:val="4F6228"/>
          <w:sz w:val="18"/>
          <w:szCs w:val="18"/>
        </w:rPr>
        <w:t xml:space="preserve">: </w:t>
      </w:r>
      <w:r w:rsidRPr="005F4BAD">
        <w:rPr>
          <w:rFonts w:ascii="Calibri" w:hAnsi="Calibri" w:cs="Arial"/>
          <w:b/>
          <w:color w:val="4F6228"/>
          <w:sz w:val="18"/>
          <w:szCs w:val="18"/>
        </w:rPr>
        <w:t xml:space="preserve">GBAORD jako podíl na celkových veřejných výdajích ve vybraných zemích; 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2005 a </w:t>
      </w:r>
      <w:r w:rsidRPr="005F4BAD">
        <w:rPr>
          <w:rFonts w:ascii="Calibri" w:hAnsi="Calibri" w:cs="Arial"/>
          <w:b/>
          <w:color w:val="4F6228"/>
          <w:sz w:val="18"/>
          <w:szCs w:val="18"/>
        </w:rPr>
        <w:t>201</w:t>
      </w:r>
      <w:r w:rsidR="00D858FF">
        <w:rPr>
          <w:rFonts w:ascii="Calibri" w:hAnsi="Calibri" w:cs="Arial"/>
          <w:b/>
          <w:color w:val="4F6228"/>
          <w:sz w:val="18"/>
          <w:szCs w:val="18"/>
        </w:rPr>
        <w:t>3</w:t>
      </w:r>
    </w:p>
    <w:p w:rsidR="005F4BAD" w:rsidRDefault="00B44457" w:rsidP="0042748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object w:dxaOrig="9635" w:dyaOrig="3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190.85pt" o:ole="">
            <v:imagedata r:id="rId10" o:title=""/>
          </v:shape>
          <o:OLEObject Type="Embed" ProgID="Excel.Sheet.12" ShapeID="_x0000_i1025" DrawAspect="Content" ObjectID="_1482305112" r:id="rId11"/>
        </w:object>
      </w:r>
    </w:p>
    <w:p w:rsidR="002354F4" w:rsidRPr="00E56ED5" w:rsidRDefault="00D858FF" w:rsidP="00E56ED5">
      <w:pPr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Zdroj: </w:t>
      </w:r>
      <w:proofErr w:type="spellStart"/>
      <w:r>
        <w:rPr>
          <w:rFonts w:ascii="Calibri" w:hAnsi="Calibri"/>
          <w:i/>
          <w:sz w:val="16"/>
        </w:rPr>
        <w:t>Eurostat</w:t>
      </w:r>
      <w:proofErr w:type="spellEnd"/>
      <w:r>
        <w:rPr>
          <w:rFonts w:ascii="Calibri" w:hAnsi="Calibri"/>
          <w:i/>
          <w:sz w:val="16"/>
        </w:rPr>
        <w:t xml:space="preserve"> 2014</w:t>
      </w:r>
    </w:p>
    <w:p w:rsidR="00D507DA" w:rsidRDefault="00D507DA" w:rsidP="000078F0">
      <w:pPr>
        <w:ind w:firstLine="357"/>
        <w:jc w:val="both"/>
        <w:rPr>
          <w:rFonts w:ascii="Calibri" w:hAnsi="Calibri"/>
          <w:color w:val="FF0000"/>
          <w:sz w:val="20"/>
        </w:rPr>
      </w:pPr>
    </w:p>
    <w:p w:rsidR="00D07CFD" w:rsidRPr="00910F53" w:rsidRDefault="002404C3" w:rsidP="000078F0">
      <w:pPr>
        <w:ind w:firstLine="357"/>
        <w:jc w:val="both"/>
        <w:rPr>
          <w:rFonts w:ascii="Calibri" w:hAnsi="Calibri"/>
          <w:sz w:val="20"/>
        </w:rPr>
      </w:pPr>
      <w:r w:rsidRPr="00910F53">
        <w:rPr>
          <w:rFonts w:ascii="Calibri" w:hAnsi="Calibri"/>
          <w:sz w:val="20"/>
        </w:rPr>
        <w:lastRenderedPageBreak/>
        <w:t>V roce 2013</w:t>
      </w:r>
      <w:r w:rsidR="00D07CFD" w:rsidRPr="00910F53">
        <w:rPr>
          <w:rFonts w:ascii="Calibri" w:hAnsi="Calibri"/>
          <w:sz w:val="20"/>
        </w:rPr>
        <w:t xml:space="preserve"> dosáhly celkové GBAORD v souhrnu za všechny</w:t>
      </w:r>
      <w:r w:rsidR="00535501">
        <w:rPr>
          <w:rFonts w:ascii="Calibri" w:hAnsi="Calibri"/>
          <w:sz w:val="20"/>
        </w:rPr>
        <w:t xml:space="preserve"> členské země EU28</w:t>
      </w:r>
      <w:r w:rsidRPr="00910F53">
        <w:rPr>
          <w:rFonts w:ascii="Calibri" w:hAnsi="Calibri"/>
          <w:sz w:val="20"/>
        </w:rPr>
        <w:t xml:space="preserve"> částky 90 509</w:t>
      </w:r>
      <w:r w:rsidR="00D07CFD" w:rsidRPr="00910F53">
        <w:rPr>
          <w:rFonts w:ascii="Calibri" w:hAnsi="Calibri"/>
          <w:sz w:val="20"/>
        </w:rPr>
        <w:t xml:space="preserve"> </w:t>
      </w:r>
      <w:r w:rsidR="00886095" w:rsidRPr="00910F53">
        <w:rPr>
          <w:rFonts w:ascii="Calibri" w:hAnsi="Calibri"/>
          <w:sz w:val="20"/>
        </w:rPr>
        <w:t>mil. EUR</w:t>
      </w:r>
      <w:r w:rsidR="00D07CFD" w:rsidRPr="00910F53">
        <w:rPr>
          <w:rFonts w:ascii="Calibri" w:hAnsi="Calibri"/>
          <w:sz w:val="20"/>
        </w:rPr>
        <w:t>.</w:t>
      </w:r>
      <w:r w:rsidR="00886095" w:rsidRPr="00910F53">
        <w:rPr>
          <w:rFonts w:ascii="Calibri" w:hAnsi="Calibri"/>
          <w:sz w:val="20"/>
        </w:rPr>
        <w:t xml:space="preserve"> Spojené státy</w:t>
      </w:r>
      <w:r w:rsidR="005D0BB6" w:rsidRPr="00910F53">
        <w:rPr>
          <w:rFonts w:ascii="Calibri" w:hAnsi="Calibri"/>
          <w:sz w:val="20"/>
        </w:rPr>
        <w:t xml:space="preserve"> vydaly</w:t>
      </w:r>
      <w:r w:rsidR="00886095" w:rsidRPr="00910F53">
        <w:rPr>
          <w:rFonts w:ascii="Calibri" w:hAnsi="Calibri"/>
          <w:sz w:val="20"/>
        </w:rPr>
        <w:t xml:space="preserve"> na veřejnou podporu v</w:t>
      </w:r>
      <w:r w:rsidR="00910F53" w:rsidRPr="00910F53">
        <w:rPr>
          <w:rFonts w:ascii="Calibri" w:hAnsi="Calibri"/>
          <w:sz w:val="20"/>
        </w:rPr>
        <w:t>ýzkumu a vývoje v témže roce 100 531</w:t>
      </w:r>
      <w:r w:rsidR="00886095" w:rsidRPr="00910F53">
        <w:rPr>
          <w:rFonts w:ascii="Calibri" w:hAnsi="Calibri"/>
          <w:sz w:val="20"/>
        </w:rPr>
        <w:t> mil. EUR.</w:t>
      </w:r>
      <w:r w:rsidR="00363F76" w:rsidRPr="00910F53">
        <w:rPr>
          <w:rFonts w:ascii="Calibri" w:hAnsi="Calibri"/>
          <w:sz w:val="20"/>
        </w:rPr>
        <w:t xml:space="preserve"> V</w:t>
      </w:r>
      <w:r w:rsidR="00910F53">
        <w:rPr>
          <w:rFonts w:ascii="Calibri" w:hAnsi="Calibri"/>
          <w:sz w:val="20"/>
        </w:rPr>
        <w:t> Japonsku dosáhly GBAORD výše 27 835</w:t>
      </w:r>
      <w:r w:rsidR="00717217">
        <w:rPr>
          <w:rFonts w:ascii="Calibri" w:hAnsi="Calibri"/>
          <w:sz w:val="20"/>
        </w:rPr>
        <w:t xml:space="preserve"> mil. EUR, </w:t>
      </w:r>
      <w:r w:rsidR="00EC6364">
        <w:rPr>
          <w:rFonts w:ascii="Calibri" w:hAnsi="Calibri"/>
          <w:sz w:val="20"/>
        </w:rPr>
        <w:t xml:space="preserve">nicméně </w:t>
      </w:r>
      <w:r w:rsidR="00717217">
        <w:rPr>
          <w:rFonts w:ascii="Calibri" w:hAnsi="Calibri"/>
          <w:sz w:val="20"/>
        </w:rPr>
        <w:t xml:space="preserve">oproti roku 2012 </w:t>
      </w:r>
      <w:r w:rsidR="007A0E77">
        <w:rPr>
          <w:rFonts w:ascii="Calibri" w:hAnsi="Calibri"/>
          <w:sz w:val="20"/>
        </w:rPr>
        <w:t xml:space="preserve">klesly </w:t>
      </w:r>
      <w:r w:rsidR="00717217">
        <w:rPr>
          <w:rFonts w:ascii="Calibri" w:hAnsi="Calibri"/>
          <w:sz w:val="20"/>
        </w:rPr>
        <w:t>o výrazných 22,7 %</w:t>
      </w:r>
      <w:r w:rsidR="000C2BBA">
        <w:rPr>
          <w:rFonts w:ascii="Calibri" w:hAnsi="Calibri"/>
          <w:sz w:val="20"/>
        </w:rPr>
        <w:t xml:space="preserve"> na úroveň roku 2009</w:t>
      </w:r>
      <w:r w:rsidR="00717217">
        <w:rPr>
          <w:rFonts w:ascii="Calibri" w:hAnsi="Calibri"/>
          <w:sz w:val="20"/>
        </w:rPr>
        <w:t>.</w:t>
      </w:r>
    </w:p>
    <w:p w:rsidR="000078F0" w:rsidRPr="002404C3" w:rsidRDefault="007B3FC5" w:rsidP="000078F0">
      <w:pPr>
        <w:ind w:firstLine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DD2DC9">
        <w:rPr>
          <w:rFonts w:ascii="Calibri" w:hAnsi="Calibri"/>
          <w:sz w:val="20"/>
        </w:rPr>
        <w:t>Sledujeme-li</w:t>
      </w:r>
      <w:r w:rsidR="000078F0" w:rsidRPr="002404C3">
        <w:rPr>
          <w:rFonts w:ascii="Calibri" w:hAnsi="Calibri"/>
          <w:sz w:val="20"/>
        </w:rPr>
        <w:t xml:space="preserve"> na příspěvk</w:t>
      </w:r>
      <w:r w:rsidR="005219A8">
        <w:rPr>
          <w:rFonts w:ascii="Calibri" w:hAnsi="Calibri"/>
          <w:sz w:val="20"/>
        </w:rPr>
        <w:t>y</w:t>
      </w:r>
      <w:r w:rsidR="000078F0" w:rsidRPr="002404C3">
        <w:rPr>
          <w:rFonts w:ascii="Calibri" w:hAnsi="Calibri"/>
          <w:sz w:val="20"/>
        </w:rPr>
        <w:t xml:space="preserve"> jednotlivých člens</w:t>
      </w:r>
      <w:r w:rsidR="002404C3" w:rsidRPr="002404C3">
        <w:rPr>
          <w:rFonts w:ascii="Calibri" w:hAnsi="Calibri"/>
          <w:sz w:val="20"/>
        </w:rPr>
        <w:t>kých zemí k celkovým GBAORD EU28</w:t>
      </w:r>
      <w:r w:rsidR="000078F0" w:rsidRPr="002404C3">
        <w:rPr>
          <w:rFonts w:ascii="Calibri" w:hAnsi="Calibri"/>
          <w:sz w:val="20"/>
        </w:rPr>
        <w:t xml:space="preserve">, </w:t>
      </w:r>
      <w:r w:rsidR="00EA377C">
        <w:rPr>
          <w:rFonts w:ascii="Calibri" w:hAnsi="Calibri"/>
          <w:sz w:val="20"/>
        </w:rPr>
        <w:t>vidíme</w:t>
      </w:r>
      <w:r w:rsidR="00D727BE">
        <w:rPr>
          <w:rFonts w:ascii="Calibri" w:hAnsi="Calibri"/>
          <w:sz w:val="20"/>
        </w:rPr>
        <w:t xml:space="preserve"> na prvním místě</w:t>
      </w:r>
      <w:r w:rsidR="000078F0" w:rsidRPr="002404C3">
        <w:rPr>
          <w:rFonts w:ascii="Calibri" w:hAnsi="Calibri"/>
          <w:sz w:val="20"/>
        </w:rPr>
        <w:t xml:space="preserve"> Německo</w:t>
      </w:r>
      <w:r w:rsidR="00312CF8">
        <w:rPr>
          <w:rFonts w:ascii="Calibri" w:hAnsi="Calibri"/>
          <w:sz w:val="20"/>
        </w:rPr>
        <w:t>, které</w:t>
      </w:r>
      <w:r w:rsidR="000078F0" w:rsidRPr="002404C3">
        <w:rPr>
          <w:rFonts w:ascii="Calibri" w:hAnsi="Calibri"/>
          <w:sz w:val="20"/>
        </w:rPr>
        <w:t xml:space="preserve"> přispělo podílem 2</w:t>
      </w:r>
      <w:r w:rsidR="002404C3" w:rsidRPr="002404C3">
        <w:rPr>
          <w:rFonts w:ascii="Calibri" w:hAnsi="Calibri"/>
          <w:sz w:val="20"/>
        </w:rPr>
        <w:t>7</w:t>
      </w:r>
      <w:r w:rsidR="007E0EC4" w:rsidRPr="002404C3">
        <w:rPr>
          <w:rFonts w:ascii="Calibri" w:hAnsi="Calibri"/>
          <w:sz w:val="20"/>
        </w:rPr>
        <w:t xml:space="preserve">,7 %. Následují </w:t>
      </w:r>
      <w:r w:rsidR="00F25CE5" w:rsidRPr="002404C3">
        <w:rPr>
          <w:rFonts w:ascii="Calibri" w:hAnsi="Calibri"/>
          <w:sz w:val="20"/>
        </w:rPr>
        <w:t xml:space="preserve">další </w:t>
      </w:r>
      <w:r w:rsidR="007E0EC4" w:rsidRPr="002404C3">
        <w:rPr>
          <w:rFonts w:ascii="Calibri" w:hAnsi="Calibri"/>
          <w:sz w:val="20"/>
        </w:rPr>
        <w:t>velké ekonomiky</w:t>
      </w:r>
      <w:r w:rsidR="00B80BFB">
        <w:rPr>
          <w:rFonts w:ascii="Calibri" w:hAnsi="Calibri"/>
          <w:sz w:val="20"/>
        </w:rPr>
        <w:t xml:space="preserve"> jako </w:t>
      </w:r>
      <w:r w:rsidR="002404C3" w:rsidRPr="002404C3">
        <w:rPr>
          <w:rFonts w:ascii="Calibri" w:hAnsi="Calibri"/>
          <w:sz w:val="20"/>
        </w:rPr>
        <w:t>Francie (</w:t>
      </w:r>
      <w:r w:rsidR="00850F98">
        <w:rPr>
          <w:rFonts w:ascii="Calibri" w:hAnsi="Calibri"/>
          <w:sz w:val="20"/>
        </w:rPr>
        <w:t xml:space="preserve">s </w:t>
      </w:r>
      <w:r w:rsidR="002404C3" w:rsidRPr="002404C3">
        <w:rPr>
          <w:rFonts w:ascii="Calibri" w:hAnsi="Calibri"/>
          <w:sz w:val="20"/>
        </w:rPr>
        <w:t>podíl</w:t>
      </w:r>
      <w:r w:rsidR="00850F98">
        <w:rPr>
          <w:rFonts w:ascii="Calibri" w:hAnsi="Calibri"/>
          <w:sz w:val="20"/>
        </w:rPr>
        <w:t>em</w:t>
      </w:r>
      <w:r w:rsidR="002404C3" w:rsidRPr="002404C3">
        <w:rPr>
          <w:rFonts w:ascii="Calibri" w:hAnsi="Calibri"/>
          <w:sz w:val="20"/>
        </w:rPr>
        <w:t xml:space="preserve"> 16,6 %), Spojené království (</w:t>
      </w:r>
      <w:r w:rsidR="004A6CE3">
        <w:rPr>
          <w:rFonts w:ascii="Calibri" w:hAnsi="Calibri"/>
          <w:sz w:val="20"/>
        </w:rPr>
        <w:t xml:space="preserve">s </w:t>
      </w:r>
      <w:r w:rsidR="002404C3" w:rsidRPr="002404C3">
        <w:rPr>
          <w:rFonts w:ascii="Calibri" w:hAnsi="Calibri"/>
          <w:sz w:val="20"/>
        </w:rPr>
        <w:t>12 %) a Itálie (</w:t>
      </w:r>
      <w:r w:rsidR="00EF79B7">
        <w:rPr>
          <w:rFonts w:ascii="Calibri" w:hAnsi="Calibri"/>
          <w:sz w:val="20"/>
        </w:rPr>
        <w:t xml:space="preserve">s </w:t>
      </w:r>
      <w:r w:rsidR="002404C3" w:rsidRPr="002404C3">
        <w:rPr>
          <w:rFonts w:ascii="Calibri" w:hAnsi="Calibri"/>
          <w:sz w:val="20"/>
        </w:rPr>
        <w:t>9,2</w:t>
      </w:r>
      <w:r w:rsidR="000078F0" w:rsidRPr="002404C3">
        <w:rPr>
          <w:rFonts w:ascii="Calibri" w:hAnsi="Calibri"/>
          <w:sz w:val="20"/>
        </w:rPr>
        <w:t> %).</w:t>
      </w:r>
      <w:r w:rsidR="007E0EC4" w:rsidRPr="002404C3">
        <w:rPr>
          <w:rFonts w:ascii="Calibri" w:hAnsi="Calibri"/>
          <w:sz w:val="20"/>
        </w:rPr>
        <w:t xml:space="preserve"> Německo, Francie a Spojené králov</w:t>
      </w:r>
      <w:r w:rsidR="002404C3" w:rsidRPr="002404C3">
        <w:rPr>
          <w:rFonts w:ascii="Calibri" w:hAnsi="Calibri"/>
          <w:sz w:val="20"/>
        </w:rPr>
        <w:t xml:space="preserve">ství dosáhly </w:t>
      </w:r>
      <w:r w:rsidR="0027517F">
        <w:rPr>
          <w:rFonts w:ascii="Calibri" w:hAnsi="Calibri"/>
          <w:sz w:val="20"/>
        </w:rPr>
        <w:t xml:space="preserve">souhrnného </w:t>
      </w:r>
      <w:r w:rsidR="002404C3" w:rsidRPr="002404C3">
        <w:rPr>
          <w:rFonts w:ascii="Calibri" w:hAnsi="Calibri"/>
          <w:sz w:val="20"/>
        </w:rPr>
        <w:t>podílu 56,3</w:t>
      </w:r>
      <w:r w:rsidR="007E0EC4" w:rsidRPr="002404C3">
        <w:rPr>
          <w:rFonts w:ascii="Calibri" w:hAnsi="Calibri"/>
          <w:sz w:val="20"/>
        </w:rPr>
        <w:t> </w:t>
      </w:r>
      <w:r w:rsidR="002404C3" w:rsidRPr="002404C3">
        <w:rPr>
          <w:rFonts w:ascii="Calibri" w:hAnsi="Calibri"/>
          <w:sz w:val="20"/>
        </w:rPr>
        <w:t>% celkových GBAORD EU28</w:t>
      </w:r>
      <w:r w:rsidR="006A36AE" w:rsidRPr="002404C3">
        <w:rPr>
          <w:rFonts w:ascii="Calibri" w:hAnsi="Calibri"/>
          <w:sz w:val="20"/>
        </w:rPr>
        <w:t xml:space="preserve">. Nejméně přispěly </w:t>
      </w:r>
      <w:r w:rsidR="007E0EC4" w:rsidRPr="002404C3">
        <w:rPr>
          <w:rFonts w:ascii="Calibri" w:hAnsi="Calibri"/>
          <w:sz w:val="20"/>
        </w:rPr>
        <w:t>nové členské země. Situace j</w:t>
      </w:r>
      <w:r w:rsidR="00BD3E3B" w:rsidRPr="002404C3">
        <w:rPr>
          <w:rFonts w:ascii="Calibri" w:hAnsi="Calibri"/>
          <w:sz w:val="20"/>
        </w:rPr>
        <w:t>e ovlivněna velikostí</w:t>
      </w:r>
      <w:r w:rsidR="007E0EC4" w:rsidRPr="002404C3">
        <w:rPr>
          <w:rFonts w:ascii="Calibri" w:hAnsi="Calibri"/>
          <w:sz w:val="20"/>
        </w:rPr>
        <w:t xml:space="preserve"> </w:t>
      </w:r>
      <w:r w:rsidR="00F25CE5" w:rsidRPr="002404C3">
        <w:rPr>
          <w:rFonts w:ascii="Calibri" w:hAnsi="Calibri"/>
          <w:sz w:val="20"/>
        </w:rPr>
        <w:t xml:space="preserve">reálné </w:t>
      </w:r>
      <w:r w:rsidR="007E0EC4" w:rsidRPr="002404C3">
        <w:rPr>
          <w:rFonts w:ascii="Calibri" w:hAnsi="Calibri"/>
          <w:sz w:val="20"/>
        </w:rPr>
        <w:t>ekonomiky daného státu. ČR v roce 201</w:t>
      </w:r>
      <w:r w:rsidR="002404C3">
        <w:rPr>
          <w:rFonts w:ascii="Calibri" w:hAnsi="Calibri"/>
          <w:sz w:val="20"/>
        </w:rPr>
        <w:t>3</w:t>
      </w:r>
      <w:r w:rsidR="007E0EC4" w:rsidRPr="00B61583">
        <w:rPr>
          <w:rFonts w:ascii="Calibri" w:hAnsi="Calibri"/>
          <w:color w:val="FF0000"/>
          <w:sz w:val="20"/>
        </w:rPr>
        <w:t xml:space="preserve"> </w:t>
      </w:r>
      <w:r w:rsidR="007E0EC4" w:rsidRPr="002404C3">
        <w:rPr>
          <w:rFonts w:ascii="Calibri" w:hAnsi="Calibri"/>
          <w:sz w:val="20"/>
        </w:rPr>
        <w:t xml:space="preserve">přispěla k celkových </w:t>
      </w:r>
      <w:r w:rsidR="00BD3E3B" w:rsidRPr="002404C3">
        <w:rPr>
          <w:rFonts w:ascii="Calibri" w:hAnsi="Calibri"/>
          <w:sz w:val="20"/>
        </w:rPr>
        <w:t>GBAORD EU</w:t>
      </w:r>
      <w:r w:rsidR="002404C3" w:rsidRPr="002404C3">
        <w:rPr>
          <w:rFonts w:ascii="Calibri" w:hAnsi="Calibri"/>
          <w:sz w:val="20"/>
        </w:rPr>
        <w:t>28 podílem 1,1</w:t>
      </w:r>
      <w:r w:rsidR="007E0EC4" w:rsidRPr="002404C3">
        <w:rPr>
          <w:rFonts w:ascii="Calibri" w:hAnsi="Calibri"/>
          <w:sz w:val="20"/>
        </w:rPr>
        <w:t> %</w:t>
      </w:r>
      <w:r w:rsidR="00144DDF" w:rsidRPr="002404C3">
        <w:rPr>
          <w:rFonts w:ascii="Calibri" w:hAnsi="Calibri"/>
          <w:sz w:val="20"/>
        </w:rPr>
        <w:t xml:space="preserve">, což je nejvíce </w:t>
      </w:r>
      <w:r w:rsidR="007E0EC4" w:rsidRPr="002404C3">
        <w:rPr>
          <w:rFonts w:ascii="Calibri" w:hAnsi="Calibri"/>
          <w:sz w:val="20"/>
        </w:rPr>
        <w:t>z nových člensk</w:t>
      </w:r>
      <w:r w:rsidR="00BD3E3B" w:rsidRPr="002404C3">
        <w:rPr>
          <w:rFonts w:ascii="Calibri" w:hAnsi="Calibri"/>
          <w:sz w:val="20"/>
        </w:rPr>
        <w:t>ých zemí</w:t>
      </w:r>
      <w:r w:rsidR="007E0EC4" w:rsidRPr="002404C3">
        <w:rPr>
          <w:rFonts w:ascii="Calibri" w:hAnsi="Calibri"/>
          <w:sz w:val="20"/>
        </w:rPr>
        <w:t xml:space="preserve">. </w:t>
      </w:r>
      <w:r w:rsidR="00BD3E3B" w:rsidRPr="002404C3">
        <w:rPr>
          <w:rFonts w:ascii="Calibri" w:hAnsi="Calibri"/>
          <w:sz w:val="20"/>
        </w:rPr>
        <w:t>Vůbec ne</w:t>
      </w:r>
      <w:r w:rsidR="00774FA8" w:rsidRPr="002404C3">
        <w:rPr>
          <w:rFonts w:ascii="Calibri" w:hAnsi="Calibri"/>
          <w:sz w:val="20"/>
        </w:rPr>
        <w:t>jmenší příspěvek</w:t>
      </w:r>
      <w:r w:rsidR="007F2EBC">
        <w:rPr>
          <w:rFonts w:ascii="Calibri" w:hAnsi="Calibri"/>
          <w:sz w:val="20"/>
        </w:rPr>
        <w:t xml:space="preserve"> poskytla</w:t>
      </w:r>
      <w:r w:rsidR="00774FA8" w:rsidRPr="002404C3">
        <w:rPr>
          <w:rFonts w:ascii="Calibri" w:hAnsi="Calibri"/>
          <w:sz w:val="20"/>
        </w:rPr>
        <w:t xml:space="preserve"> Malta (0,02 %) a Lotyško (0,04 %).</w:t>
      </w:r>
      <w:r w:rsidR="007E0EC4" w:rsidRPr="002404C3">
        <w:rPr>
          <w:rFonts w:ascii="Calibri" w:hAnsi="Calibri"/>
          <w:sz w:val="20"/>
        </w:rPr>
        <w:t xml:space="preserve"> </w:t>
      </w:r>
    </w:p>
    <w:p w:rsidR="00C938B9" w:rsidRDefault="00C938B9" w:rsidP="002354F4">
      <w:pPr>
        <w:pStyle w:val="Zkladntext2"/>
        <w:pBdr>
          <w:bottom w:val="single" w:sz="2" w:space="2" w:color="BFBFBF"/>
        </w:pBdr>
        <w:rPr>
          <w:rFonts w:ascii="Calibri" w:hAnsi="Calibri" w:cs="Arial"/>
          <w:b/>
          <w:color w:val="4F6228"/>
          <w:sz w:val="18"/>
          <w:szCs w:val="18"/>
        </w:rPr>
      </w:pPr>
    </w:p>
    <w:p w:rsidR="002354F4" w:rsidRDefault="002354F4" w:rsidP="002354F4">
      <w:pPr>
        <w:pStyle w:val="Zkladntext2"/>
        <w:pBdr>
          <w:bottom w:val="single" w:sz="2" w:space="2" w:color="BFBFBF"/>
        </w:pBdr>
        <w:rPr>
          <w:rFonts w:ascii="Calibri" w:hAnsi="Calibri"/>
          <w:sz w:val="20"/>
        </w:rPr>
      </w:pPr>
      <w:r w:rsidRPr="007B0D1F">
        <w:rPr>
          <w:rFonts w:ascii="Calibri" w:hAnsi="Calibri" w:cs="Arial"/>
          <w:b/>
          <w:color w:val="4F6228"/>
          <w:sz w:val="18"/>
          <w:szCs w:val="18"/>
        </w:rPr>
        <w:t>GRAF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 4-3</w:t>
      </w:r>
      <w:r w:rsidRPr="007B0D1F">
        <w:rPr>
          <w:rFonts w:ascii="Calibri" w:hAnsi="Calibri" w:cs="Arial"/>
          <w:b/>
          <w:color w:val="4F6228"/>
          <w:sz w:val="18"/>
          <w:szCs w:val="18"/>
        </w:rPr>
        <w:t xml:space="preserve">: </w:t>
      </w:r>
      <w:r>
        <w:rPr>
          <w:rFonts w:ascii="Calibri" w:hAnsi="Calibri" w:cs="Arial"/>
          <w:b/>
          <w:color w:val="4F6228"/>
          <w:sz w:val="18"/>
          <w:szCs w:val="18"/>
        </w:rPr>
        <w:t>Podíl GBAORD jednotlivých členských zemí EU27 na celkových GBAORD EU27 v roce 201</w:t>
      </w:r>
      <w:r w:rsidR="00EA7B2F">
        <w:rPr>
          <w:rFonts w:ascii="Calibri" w:hAnsi="Calibri" w:cs="Arial"/>
          <w:b/>
          <w:color w:val="4F6228"/>
          <w:sz w:val="18"/>
          <w:szCs w:val="18"/>
        </w:rPr>
        <w:t>3</w:t>
      </w:r>
    </w:p>
    <w:p w:rsidR="00C938B9" w:rsidRPr="009E5343" w:rsidRDefault="00D1635A" w:rsidP="00C938B9">
      <w:pPr>
        <w:jc w:val="right"/>
        <w:rPr>
          <w:rFonts w:ascii="Calibri" w:hAnsi="Calibri"/>
          <w:i/>
          <w:sz w:val="16"/>
        </w:rPr>
      </w:pPr>
      <w:bookmarkStart w:id="0" w:name="_GoBack"/>
      <w:r>
        <w:rPr>
          <w:noProof/>
        </w:rPr>
        <w:drawing>
          <wp:inline distT="0" distB="0" distL="0" distR="0" wp14:anchorId="16AEE829" wp14:editId="00379CC8">
            <wp:extent cx="5969479" cy="2424022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  <w:r w:rsidR="007B13A8">
        <w:rPr>
          <w:rFonts w:ascii="Calibri" w:hAnsi="Calibri"/>
          <w:i/>
          <w:sz w:val="16"/>
        </w:rPr>
        <w:t xml:space="preserve">Zdroj: </w:t>
      </w:r>
      <w:proofErr w:type="spellStart"/>
      <w:r w:rsidR="007B13A8">
        <w:rPr>
          <w:rFonts w:ascii="Calibri" w:hAnsi="Calibri"/>
          <w:i/>
          <w:sz w:val="16"/>
        </w:rPr>
        <w:t>Eurostat</w:t>
      </w:r>
      <w:proofErr w:type="spellEnd"/>
      <w:r w:rsidR="007B13A8">
        <w:rPr>
          <w:rFonts w:ascii="Calibri" w:hAnsi="Calibri"/>
          <w:i/>
          <w:sz w:val="16"/>
        </w:rPr>
        <w:t xml:space="preserve"> 2014</w:t>
      </w:r>
      <w:r w:rsidR="00C938B9">
        <w:rPr>
          <w:rFonts w:ascii="Calibri" w:hAnsi="Calibri"/>
          <w:i/>
          <w:sz w:val="16"/>
        </w:rPr>
        <w:t>, dopočty ČSÚ</w:t>
      </w:r>
    </w:p>
    <w:p w:rsidR="00AC02F4" w:rsidRDefault="00AC02F4" w:rsidP="00AC02F4">
      <w:pPr>
        <w:ind w:firstLine="357"/>
        <w:jc w:val="both"/>
        <w:rPr>
          <w:rFonts w:ascii="Calibri" w:hAnsi="Calibri"/>
          <w:sz w:val="20"/>
        </w:rPr>
      </w:pPr>
    </w:p>
    <w:p w:rsidR="0044594A" w:rsidRDefault="00B40B34" w:rsidP="00AC02F4">
      <w:pPr>
        <w:spacing w:after="120"/>
        <w:ind w:firstLine="35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="0044620D">
        <w:rPr>
          <w:rFonts w:ascii="Calibri" w:hAnsi="Calibri"/>
          <w:sz w:val="20"/>
        </w:rPr>
        <w:t>rovnáme</w:t>
      </w:r>
      <w:r>
        <w:rPr>
          <w:rFonts w:ascii="Calibri" w:hAnsi="Calibri"/>
          <w:sz w:val="20"/>
        </w:rPr>
        <w:t>-li</w:t>
      </w:r>
      <w:r w:rsidR="0044620D">
        <w:rPr>
          <w:rFonts w:ascii="Calibri" w:hAnsi="Calibri"/>
          <w:sz w:val="20"/>
        </w:rPr>
        <w:t xml:space="preserve"> podílovou strukturu GBAORD podle jednotlivých socioekonomických cílů NABS 2007, pak nejvíce veřejné podpory (32,8 %</w:t>
      </w:r>
      <w:r w:rsidR="005C4643">
        <w:rPr>
          <w:rFonts w:ascii="Calibri" w:hAnsi="Calibri"/>
          <w:sz w:val="20"/>
        </w:rPr>
        <w:t xml:space="preserve"> z GBAORD</w:t>
      </w:r>
      <w:r w:rsidR="0044620D">
        <w:rPr>
          <w:rFonts w:ascii="Calibri" w:hAnsi="Calibri"/>
          <w:sz w:val="20"/>
        </w:rPr>
        <w:t xml:space="preserve">) v ČR </w:t>
      </w:r>
      <w:r w:rsidR="00AB45F2">
        <w:rPr>
          <w:rFonts w:ascii="Calibri" w:hAnsi="Calibri"/>
          <w:sz w:val="20"/>
        </w:rPr>
        <w:t xml:space="preserve">směřovalo v roce </w:t>
      </w:r>
      <w:r w:rsidR="00986A38">
        <w:rPr>
          <w:rFonts w:ascii="Calibri" w:hAnsi="Calibri"/>
          <w:sz w:val="20"/>
        </w:rPr>
        <w:t>2013</w:t>
      </w:r>
      <w:r w:rsidR="0044620D">
        <w:rPr>
          <w:rFonts w:ascii="Calibri" w:hAnsi="Calibri"/>
          <w:sz w:val="20"/>
        </w:rPr>
        <w:t xml:space="preserve"> do všeobecného rozvoje znalostí</w:t>
      </w:r>
      <w:r w:rsidR="00E56ED5">
        <w:rPr>
          <w:rFonts w:ascii="Calibri" w:hAnsi="Calibri"/>
          <w:sz w:val="20"/>
        </w:rPr>
        <w:t xml:space="preserve">, konkrétně do položky </w:t>
      </w:r>
      <w:proofErr w:type="spellStart"/>
      <w:r w:rsidR="00E56ED5">
        <w:rPr>
          <w:rFonts w:ascii="Calibri" w:hAnsi="Calibri"/>
          <w:sz w:val="20"/>
        </w:rPr>
        <w:t>VaV</w:t>
      </w:r>
      <w:proofErr w:type="spellEnd"/>
      <w:r w:rsidR="00E56ED5">
        <w:rPr>
          <w:rFonts w:ascii="Calibri" w:hAnsi="Calibri"/>
          <w:sz w:val="20"/>
        </w:rPr>
        <w:t xml:space="preserve"> financovaného</w:t>
      </w:r>
      <w:r w:rsidR="0044620D">
        <w:rPr>
          <w:rFonts w:ascii="Calibri" w:hAnsi="Calibri"/>
          <w:sz w:val="20"/>
        </w:rPr>
        <w:t xml:space="preserve"> z ostatních zdrojů</w:t>
      </w:r>
      <w:r w:rsidR="005C4180">
        <w:rPr>
          <w:rFonts w:ascii="Calibri" w:hAnsi="Calibri"/>
          <w:sz w:val="20"/>
        </w:rPr>
        <w:t xml:space="preserve"> než jsou všeobecné univerzitní fondy</w:t>
      </w:r>
      <w:r w:rsidR="0044620D">
        <w:rPr>
          <w:rFonts w:ascii="Calibri" w:hAnsi="Calibri"/>
          <w:sz w:val="20"/>
        </w:rPr>
        <w:t xml:space="preserve">. V průměru </w:t>
      </w:r>
      <w:r w:rsidR="00986A38">
        <w:rPr>
          <w:rFonts w:ascii="Calibri" w:hAnsi="Calibri"/>
          <w:sz w:val="20"/>
        </w:rPr>
        <w:t>EU28</w:t>
      </w:r>
      <w:r w:rsidR="00341D9A">
        <w:rPr>
          <w:rFonts w:ascii="Calibri" w:hAnsi="Calibri"/>
          <w:sz w:val="20"/>
        </w:rPr>
        <w:t xml:space="preserve"> nejvíce veřejné podpory směřovalo do</w:t>
      </w:r>
      <w:r w:rsidR="009E60EB">
        <w:rPr>
          <w:rFonts w:ascii="Calibri" w:hAnsi="Calibri"/>
          <w:sz w:val="20"/>
        </w:rPr>
        <w:t xml:space="preserve"> výzkumu, který je klasifikovaný pod socioekonomickým c</w:t>
      </w:r>
      <w:r w:rsidR="00E56ED5">
        <w:rPr>
          <w:rFonts w:ascii="Calibri" w:hAnsi="Calibri"/>
          <w:sz w:val="20"/>
        </w:rPr>
        <w:t>ílem všeobecný rozvoj znalostí pod položkou</w:t>
      </w:r>
      <w:r w:rsidR="00CF4901">
        <w:rPr>
          <w:rFonts w:ascii="Calibri" w:hAnsi="Calibri"/>
          <w:sz w:val="20"/>
        </w:rPr>
        <w:t xml:space="preserve"> všeobecné univerzitní fondy</w:t>
      </w:r>
      <w:r w:rsidR="00986A38">
        <w:rPr>
          <w:rFonts w:ascii="Calibri" w:hAnsi="Calibri"/>
          <w:sz w:val="20"/>
        </w:rPr>
        <w:t xml:space="preserve"> (34,7</w:t>
      </w:r>
      <w:r w:rsidR="00C05A17">
        <w:rPr>
          <w:rFonts w:ascii="Calibri" w:hAnsi="Calibri"/>
          <w:sz w:val="20"/>
        </w:rPr>
        <w:t> % z celkových GBAORD EU28</w:t>
      </w:r>
      <w:r w:rsidR="009E60EB">
        <w:rPr>
          <w:rFonts w:ascii="Calibri" w:hAnsi="Calibri"/>
          <w:sz w:val="20"/>
        </w:rPr>
        <w:t>). Mezi ČR a průměrem EU je výraznější rozdíl i v dalších socioekonomických cílech. Poku</w:t>
      </w:r>
      <w:r w:rsidR="00341D9A">
        <w:rPr>
          <w:rFonts w:ascii="Calibri" w:hAnsi="Calibri"/>
          <w:sz w:val="20"/>
        </w:rPr>
        <w:t xml:space="preserve">d </w:t>
      </w:r>
      <w:r w:rsidR="00986A38">
        <w:rPr>
          <w:rFonts w:ascii="Calibri" w:hAnsi="Calibri"/>
          <w:sz w:val="20"/>
        </w:rPr>
        <w:t> ČR v roce 2013</w:t>
      </w:r>
      <w:r w:rsidR="009E60EB">
        <w:rPr>
          <w:rFonts w:ascii="Calibri" w:hAnsi="Calibri"/>
          <w:sz w:val="20"/>
        </w:rPr>
        <w:t xml:space="preserve"> </w:t>
      </w:r>
      <w:r w:rsidR="00341D9A">
        <w:rPr>
          <w:rFonts w:ascii="Calibri" w:hAnsi="Calibri"/>
          <w:sz w:val="20"/>
        </w:rPr>
        <w:t xml:space="preserve">podpořila </w:t>
      </w:r>
      <w:proofErr w:type="spellStart"/>
      <w:r w:rsidR="00341D9A">
        <w:rPr>
          <w:rFonts w:ascii="Calibri" w:hAnsi="Calibri"/>
          <w:sz w:val="20"/>
        </w:rPr>
        <w:t>VaV</w:t>
      </w:r>
      <w:proofErr w:type="spellEnd"/>
      <w:r w:rsidR="00341D9A">
        <w:rPr>
          <w:rFonts w:ascii="Calibri" w:hAnsi="Calibri"/>
          <w:sz w:val="20"/>
        </w:rPr>
        <w:t xml:space="preserve"> v oblasti průmyslové výroby a technologií částkou korespondující s podílem </w:t>
      </w:r>
      <w:r w:rsidR="009E60EB">
        <w:rPr>
          <w:rFonts w:ascii="Calibri" w:hAnsi="Calibri"/>
          <w:sz w:val="20"/>
        </w:rPr>
        <w:t>16,5 %</w:t>
      </w:r>
      <w:r w:rsidR="00341D9A">
        <w:rPr>
          <w:rFonts w:ascii="Calibri" w:hAnsi="Calibri"/>
          <w:sz w:val="20"/>
        </w:rPr>
        <w:t xml:space="preserve"> z</w:t>
      </w:r>
      <w:r w:rsidR="00CF4901">
        <w:rPr>
          <w:rFonts w:ascii="Calibri" w:hAnsi="Calibri"/>
          <w:sz w:val="20"/>
        </w:rPr>
        <w:t xml:space="preserve"> GBAORD, tak v EU28 to bylo pouze 9,2</w:t>
      </w:r>
      <w:r w:rsidR="009E60EB">
        <w:rPr>
          <w:rFonts w:ascii="Calibri" w:hAnsi="Calibri"/>
          <w:sz w:val="20"/>
        </w:rPr>
        <w:t> %. Naopak</w:t>
      </w:r>
      <w:r w:rsidR="00CF4901">
        <w:rPr>
          <w:rFonts w:ascii="Calibri" w:hAnsi="Calibri"/>
          <w:sz w:val="20"/>
        </w:rPr>
        <w:t xml:space="preserve"> větší podpoře se v průměru EU28</w:t>
      </w:r>
      <w:r w:rsidR="009E60EB">
        <w:rPr>
          <w:rFonts w:ascii="Calibri" w:hAnsi="Calibri"/>
          <w:sz w:val="20"/>
        </w:rPr>
        <w:t xml:space="preserve"> těšil výzkum v oblasti zdraví</w:t>
      </w:r>
      <w:r w:rsidR="00986A38">
        <w:rPr>
          <w:rFonts w:ascii="Calibri" w:hAnsi="Calibri"/>
          <w:sz w:val="20"/>
        </w:rPr>
        <w:t xml:space="preserve"> (8,8</w:t>
      </w:r>
      <w:r w:rsidR="006A757D">
        <w:rPr>
          <w:rFonts w:ascii="Calibri" w:hAnsi="Calibri"/>
          <w:sz w:val="20"/>
        </w:rPr>
        <w:t xml:space="preserve"> %). </w:t>
      </w:r>
      <w:r w:rsidR="009B5286">
        <w:rPr>
          <w:rFonts w:ascii="Calibri" w:hAnsi="Calibri"/>
          <w:sz w:val="20"/>
        </w:rPr>
        <w:t xml:space="preserve">V </w:t>
      </w:r>
      <w:r w:rsidR="006A757D">
        <w:rPr>
          <w:rFonts w:ascii="Calibri" w:hAnsi="Calibri"/>
          <w:sz w:val="20"/>
        </w:rPr>
        <w:t>ČR podíl tohoto socioekonomického cíle dosáhl 5,8 %</w:t>
      </w:r>
      <w:r w:rsidR="009E60EB">
        <w:rPr>
          <w:rFonts w:ascii="Calibri" w:hAnsi="Calibri"/>
          <w:sz w:val="20"/>
        </w:rPr>
        <w:t>.</w:t>
      </w:r>
      <w:r w:rsidR="00AC02F4">
        <w:rPr>
          <w:rFonts w:ascii="Calibri" w:hAnsi="Calibri"/>
          <w:sz w:val="20"/>
        </w:rPr>
        <w:t xml:space="preserve"> </w:t>
      </w:r>
      <w:r w:rsidR="009E60EB">
        <w:rPr>
          <w:rFonts w:ascii="Calibri" w:hAnsi="Calibri"/>
          <w:sz w:val="20"/>
        </w:rPr>
        <w:t xml:space="preserve">  </w:t>
      </w:r>
    </w:p>
    <w:p w:rsidR="0044594A" w:rsidRDefault="0044594A" w:rsidP="0044594A">
      <w:pPr>
        <w:pStyle w:val="Zkladntext2"/>
        <w:pBdr>
          <w:bottom w:val="single" w:sz="2" w:space="2" w:color="BFBFBF"/>
        </w:pBdr>
        <w:rPr>
          <w:rFonts w:ascii="Calibri" w:hAnsi="Calibri"/>
          <w:sz w:val="20"/>
        </w:rPr>
      </w:pPr>
      <w:r w:rsidRPr="007B0D1F">
        <w:rPr>
          <w:rFonts w:ascii="Calibri" w:hAnsi="Calibri" w:cs="Arial"/>
          <w:b/>
          <w:color w:val="4F6228"/>
          <w:sz w:val="18"/>
          <w:szCs w:val="18"/>
        </w:rPr>
        <w:t>GRAF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 4-4</w:t>
      </w:r>
      <w:r w:rsidRPr="007B0D1F">
        <w:rPr>
          <w:rFonts w:ascii="Calibri" w:hAnsi="Calibri" w:cs="Arial"/>
          <w:b/>
          <w:color w:val="4F6228"/>
          <w:sz w:val="18"/>
          <w:szCs w:val="18"/>
        </w:rPr>
        <w:t xml:space="preserve">: </w:t>
      </w:r>
      <w:r w:rsidR="005D6D92">
        <w:rPr>
          <w:rFonts w:ascii="Calibri" w:hAnsi="Calibri" w:cs="Arial"/>
          <w:b/>
          <w:color w:val="4F6228"/>
          <w:sz w:val="18"/>
          <w:szCs w:val="18"/>
        </w:rPr>
        <w:t>Srovnání vybraných</w:t>
      </w:r>
      <w:r w:rsidR="00805107">
        <w:rPr>
          <w:rFonts w:ascii="Calibri" w:hAnsi="Calibri" w:cs="Arial"/>
          <w:b/>
          <w:color w:val="4F6228"/>
          <w:sz w:val="18"/>
          <w:szCs w:val="18"/>
        </w:rPr>
        <w:t xml:space="preserve"> </w:t>
      </w:r>
      <w:r>
        <w:rPr>
          <w:rFonts w:ascii="Calibri" w:hAnsi="Calibri" w:cs="Arial"/>
          <w:b/>
          <w:color w:val="4F6228"/>
          <w:sz w:val="18"/>
          <w:szCs w:val="18"/>
        </w:rPr>
        <w:t>socioekonomi</w:t>
      </w:r>
      <w:r w:rsidR="00805107">
        <w:rPr>
          <w:rFonts w:ascii="Calibri" w:hAnsi="Calibri" w:cs="Arial"/>
          <w:b/>
          <w:color w:val="4F6228"/>
          <w:sz w:val="18"/>
          <w:szCs w:val="18"/>
        </w:rPr>
        <w:t>ckých cílů NABS 2007 v ČR a EU28</w:t>
      </w:r>
      <w:r>
        <w:rPr>
          <w:rFonts w:ascii="Calibri" w:hAnsi="Calibri" w:cs="Arial"/>
          <w:b/>
          <w:color w:val="4F6228"/>
          <w:sz w:val="18"/>
          <w:szCs w:val="18"/>
        </w:rPr>
        <w:t xml:space="preserve"> v roce 201</w:t>
      </w:r>
      <w:r w:rsidR="00986A38">
        <w:rPr>
          <w:rFonts w:ascii="Calibri" w:hAnsi="Calibri" w:cs="Arial"/>
          <w:b/>
          <w:color w:val="4F6228"/>
          <w:sz w:val="18"/>
          <w:szCs w:val="18"/>
        </w:rPr>
        <w:t>3</w:t>
      </w:r>
      <w:r w:rsidR="00805107">
        <w:rPr>
          <w:rFonts w:ascii="Calibri" w:hAnsi="Calibri" w:cs="Arial"/>
          <w:b/>
          <w:color w:val="4F6228"/>
          <w:sz w:val="18"/>
          <w:szCs w:val="18"/>
        </w:rPr>
        <w:t xml:space="preserve"> (podíl na celkových GBAORD)</w:t>
      </w:r>
    </w:p>
    <w:p w:rsidR="0044594A" w:rsidRDefault="00833FB6" w:rsidP="00C938B9">
      <w:pPr>
        <w:spacing w:before="120" w:after="120"/>
        <w:jc w:val="both"/>
        <w:rPr>
          <w:rFonts w:ascii="Calibri" w:hAnsi="Calibri"/>
          <w:sz w:val="20"/>
        </w:rPr>
      </w:pPr>
      <w:r>
        <w:rPr>
          <w:noProof/>
        </w:rPr>
        <w:drawing>
          <wp:inline distT="0" distB="0" distL="0" distR="0" wp14:anchorId="44BD420E" wp14:editId="560C19EC">
            <wp:extent cx="5972810" cy="2677160"/>
            <wp:effectExtent l="0" t="0" r="8890" b="889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594A" w:rsidRPr="005149E8" w:rsidRDefault="007B13A8" w:rsidP="005149E8">
      <w:pPr>
        <w:jc w:val="right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 xml:space="preserve">Zdroj: </w:t>
      </w:r>
      <w:proofErr w:type="spellStart"/>
      <w:r>
        <w:rPr>
          <w:rFonts w:ascii="Calibri" w:hAnsi="Calibri"/>
          <w:i/>
          <w:sz w:val="16"/>
        </w:rPr>
        <w:t>Eurostat</w:t>
      </w:r>
      <w:proofErr w:type="spellEnd"/>
      <w:r>
        <w:rPr>
          <w:rFonts w:ascii="Calibri" w:hAnsi="Calibri"/>
          <w:i/>
          <w:sz w:val="16"/>
        </w:rPr>
        <w:t xml:space="preserve"> 2014</w:t>
      </w:r>
      <w:r w:rsidR="005149E8">
        <w:rPr>
          <w:rFonts w:ascii="Calibri" w:hAnsi="Calibri"/>
          <w:i/>
          <w:sz w:val="16"/>
        </w:rPr>
        <w:t>, dopočty ČSÚ</w:t>
      </w:r>
    </w:p>
    <w:p w:rsidR="00651B2F" w:rsidRPr="00151E60" w:rsidRDefault="00981E86" w:rsidP="00245A44">
      <w:pPr>
        <w:spacing w:before="120" w:after="120"/>
        <w:ind w:firstLine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 xml:space="preserve">Bližší informace o statistice GBAORD z pohledu srovnání jednotlivých zemí EU a OECD jsou dostupné na stránkách </w:t>
      </w:r>
      <w:proofErr w:type="spellStart"/>
      <w:r>
        <w:rPr>
          <w:rFonts w:ascii="Calibri" w:hAnsi="Calibri"/>
          <w:sz w:val="20"/>
        </w:rPr>
        <w:t>Eurostatu</w:t>
      </w:r>
      <w:proofErr w:type="spellEnd"/>
      <w:r>
        <w:rPr>
          <w:rFonts w:ascii="Calibri" w:hAnsi="Calibri"/>
          <w:sz w:val="20"/>
        </w:rPr>
        <w:t xml:space="preserve"> (</w:t>
      </w:r>
      <w:hyperlink r:id="rId14" w:history="1">
        <w:r w:rsidRPr="00DD5714">
          <w:rPr>
            <w:rStyle w:val="Hypertextovodkaz"/>
            <w:rFonts w:ascii="Calibri" w:hAnsi="Calibri"/>
            <w:sz w:val="20"/>
          </w:rPr>
          <w:t>http://ec.europa.eu/eurostat/web/science-technology-innovation</w:t>
        </w:r>
      </w:hyperlink>
      <w:r>
        <w:rPr>
          <w:rFonts w:ascii="Calibri" w:hAnsi="Calibri"/>
          <w:sz w:val="20"/>
        </w:rPr>
        <w:t>) a OECD (</w:t>
      </w:r>
      <w:hyperlink r:id="rId15" w:history="1">
        <w:r w:rsidRPr="00DD5714">
          <w:rPr>
            <w:rStyle w:val="Hypertextovodkaz"/>
            <w:rFonts w:ascii="Calibri" w:hAnsi="Calibri"/>
            <w:sz w:val="20"/>
          </w:rPr>
          <w:t>www.oecd.org/sti/rds</w:t>
        </w:r>
      </w:hyperlink>
      <w:r>
        <w:rPr>
          <w:rFonts w:ascii="Calibri" w:hAnsi="Calibri"/>
          <w:sz w:val="20"/>
        </w:rPr>
        <w:t xml:space="preserve">). </w:t>
      </w:r>
    </w:p>
    <w:sectPr w:rsidR="00651B2F" w:rsidRPr="00151E60" w:rsidSect="007D7BB1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CC" w:rsidRDefault="000319CC">
      <w:r>
        <w:separator/>
      </w:r>
    </w:p>
  </w:endnote>
  <w:endnote w:type="continuationSeparator" w:id="0">
    <w:p w:rsidR="000319CC" w:rsidRDefault="000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3549C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A0F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0FEE" w:rsidRDefault="00BA0F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E" w:rsidRDefault="00BA0FEE" w:rsidP="00BE61A9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CC" w:rsidRDefault="000319CC">
      <w:r>
        <w:separator/>
      </w:r>
    </w:p>
  </w:footnote>
  <w:footnote w:type="continuationSeparator" w:id="0">
    <w:p w:rsidR="000319CC" w:rsidRDefault="0003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9E5"/>
    <w:multiLevelType w:val="hybridMultilevel"/>
    <w:tmpl w:val="562A2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315C6"/>
    <w:multiLevelType w:val="hybridMultilevel"/>
    <w:tmpl w:val="62003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80BF4"/>
    <w:multiLevelType w:val="hybridMultilevel"/>
    <w:tmpl w:val="6F36DE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2"/>
    <w:rsid w:val="00001E1E"/>
    <w:rsid w:val="0000396F"/>
    <w:rsid w:val="00003B45"/>
    <w:rsid w:val="00004CB7"/>
    <w:rsid w:val="0000785A"/>
    <w:rsid w:val="000078F0"/>
    <w:rsid w:val="00007F35"/>
    <w:rsid w:val="00013725"/>
    <w:rsid w:val="00016404"/>
    <w:rsid w:val="00017393"/>
    <w:rsid w:val="000177F8"/>
    <w:rsid w:val="000227E2"/>
    <w:rsid w:val="000229ED"/>
    <w:rsid w:val="000319CC"/>
    <w:rsid w:val="000339B1"/>
    <w:rsid w:val="00036527"/>
    <w:rsid w:val="00042D4E"/>
    <w:rsid w:val="0004514B"/>
    <w:rsid w:val="000523AC"/>
    <w:rsid w:val="00054B6D"/>
    <w:rsid w:val="00057A6B"/>
    <w:rsid w:val="000630FD"/>
    <w:rsid w:val="00065209"/>
    <w:rsid w:val="00066B66"/>
    <w:rsid w:val="00071513"/>
    <w:rsid w:val="0007685E"/>
    <w:rsid w:val="000815D7"/>
    <w:rsid w:val="000901CF"/>
    <w:rsid w:val="00090C57"/>
    <w:rsid w:val="000918C8"/>
    <w:rsid w:val="00095A9A"/>
    <w:rsid w:val="000973A7"/>
    <w:rsid w:val="000A048F"/>
    <w:rsid w:val="000A060C"/>
    <w:rsid w:val="000B17FA"/>
    <w:rsid w:val="000B33DF"/>
    <w:rsid w:val="000B5A1A"/>
    <w:rsid w:val="000B7CAF"/>
    <w:rsid w:val="000C2BBA"/>
    <w:rsid w:val="000D0FAD"/>
    <w:rsid w:val="000D19B1"/>
    <w:rsid w:val="000D2EE4"/>
    <w:rsid w:val="000D5736"/>
    <w:rsid w:val="000D6B54"/>
    <w:rsid w:val="000E21CD"/>
    <w:rsid w:val="000E31F3"/>
    <w:rsid w:val="000E3BBA"/>
    <w:rsid w:val="000F0F36"/>
    <w:rsid w:val="000F0FBE"/>
    <w:rsid w:val="000F2B25"/>
    <w:rsid w:val="00105394"/>
    <w:rsid w:val="0011027E"/>
    <w:rsid w:val="00117DEE"/>
    <w:rsid w:val="001235B4"/>
    <w:rsid w:val="00127B19"/>
    <w:rsid w:val="00133EBD"/>
    <w:rsid w:val="0013695F"/>
    <w:rsid w:val="00136B0C"/>
    <w:rsid w:val="00144DDF"/>
    <w:rsid w:val="001477D8"/>
    <w:rsid w:val="00150207"/>
    <w:rsid w:val="0015024A"/>
    <w:rsid w:val="00151E60"/>
    <w:rsid w:val="001656D4"/>
    <w:rsid w:val="00165C7B"/>
    <w:rsid w:val="00167051"/>
    <w:rsid w:val="00172156"/>
    <w:rsid w:val="001753DD"/>
    <w:rsid w:val="00175DAC"/>
    <w:rsid w:val="001804C3"/>
    <w:rsid w:val="00181C98"/>
    <w:rsid w:val="00184AC7"/>
    <w:rsid w:val="0018577B"/>
    <w:rsid w:val="00185A09"/>
    <w:rsid w:val="001861D6"/>
    <w:rsid w:val="00186C83"/>
    <w:rsid w:val="00187B03"/>
    <w:rsid w:val="001921D0"/>
    <w:rsid w:val="00194E5D"/>
    <w:rsid w:val="001A3340"/>
    <w:rsid w:val="001A495D"/>
    <w:rsid w:val="001A4D5B"/>
    <w:rsid w:val="001A7E09"/>
    <w:rsid w:val="001B74AF"/>
    <w:rsid w:val="001C0151"/>
    <w:rsid w:val="001C479D"/>
    <w:rsid w:val="001D1819"/>
    <w:rsid w:val="001D1E87"/>
    <w:rsid w:val="001D2E73"/>
    <w:rsid w:val="001D336A"/>
    <w:rsid w:val="001D59A8"/>
    <w:rsid w:val="001E064E"/>
    <w:rsid w:val="001E2227"/>
    <w:rsid w:val="001E419F"/>
    <w:rsid w:val="001E427C"/>
    <w:rsid w:val="001E4D6E"/>
    <w:rsid w:val="001F0E6C"/>
    <w:rsid w:val="001F23EF"/>
    <w:rsid w:val="001F58A1"/>
    <w:rsid w:val="00202E11"/>
    <w:rsid w:val="00204008"/>
    <w:rsid w:val="00204242"/>
    <w:rsid w:val="0020650C"/>
    <w:rsid w:val="0020708B"/>
    <w:rsid w:val="00212E3E"/>
    <w:rsid w:val="00214D9D"/>
    <w:rsid w:val="002202DE"/>
    <w:rsid w:val="002266B8"/>
    <w:rsid w:val="00230439"/>
    <w:rsid w:val="00232ABE"/>
    <w:rsid w:val="002354F4"/>
    <w:rsid w:val="00235C30"/>
    <w:rsid w:val="00237EDC"/>
    <w:rsid w:val="002404C3"/>
    <w:rsid w:val="0024092C"/>
    <w:rsid w:val="00240FC0"/>
    <w:rsid w:val="00241B67"/>
    <w:rsid w:val="002440DD"/>
    <w:rsid w:val="00245A44"/>
    <w:rsid w:val="002520AE"/>
    <w:rsid w:val="00254726"/>
    <w:rsid w:val="00255E4D"/>
    <w:rsid w:val="00260DCF"/>
    <w:rsid w:val="00270E87"/>
    <w:rsid w:val="00271C2F"/>
    <w:rsid w:val="00273CEF"/>
    <w:rsid w:val="00274C2C"/>
    <w:rsid w:val="0027517F"/>
    <w:rsid w:val="00276E34"/>
    <w:rsid w:val="002770B9"/>
    <w:rsid w:val="002807A6"/>
    <w:rsid w:val="002817CE"/>
    <w:rsid w:val="0028413A"/>
    <w:rsid w:val="00284594"/>
    <w:rsid w:val="00290C07"/>
    <w:rsid w:val="00291E9F"/>
    <w:rsid w:val="00295EDA"/>
    <w:rsid w:val="002962E8"/>
    <w:rsid w:val="00296AC1"/>
    <w:rsid w:val="002A0AFA"/>
    <w:rsid w:val="002A642C"/>
    <w:rsid w:val="002A7F69"/>
    <w:rsid w:val="002C07B0"/>
    <w:rsid w:val="002C098B"/>
    <w:rsid w:val="002C27EF"/>
    <w:rsid w:val="002C7794"/>
    <w:rsid w:val="002D598A"/>
    <w:rsid w:val="002D6C07"/>
    <w:rsid w:val="002E20B8"/>
    <w:rsid w:val="002E42DF"/>
    <w:rsid w:val="002F197C"/>
    <w:rsid w:val="002F244F"/>
    <w:rsid w:val="002F4EAF"/>
    <w:rsid w:val="00304894"/>
    <w:rsid w:val="003058B2"/>
    <w:rsid w:val="00305C2F"/>
    <w:rsid w:val="0030710E"/>
    <w:rsid w:val="00312CA3"/>
    <w:rsid w:val="00312CF8"/>
    <w:rsid w:val="00316246"/>
    <w:rsid w:val="00321439"/>
    <w:rsid w:val="00321B22"/>
    <w:rsid w:val="003228C9"/>
    <w:rsid w:val="00324438"/>
    <w:rsid w:val="00330B89"/>
    <w:rsid w:val="00341D9A"/>
    <w:rsid w:val="00343002"/>
    <w:rsid w:val="003447CC"/>
    <w:rsid w:val="0035199A"/>
    <w:rsid w:val="0035290C"/>
    <w:rsid w:val="00353DCA"/>
    <w:rsid w:val="003549C9"/>
    <w:rsid w:val="00357077"/>
    <w:rsid w:val="00357244"/>
    <w:rsid w:val="00363F76"/>
    <w:rsid w:val="0036501A"/>
    <w:rsid w:val="00365687"/>
    <w:rsid w:val="00372AF5"/>
    <w:rsid w:val="00372F42"/>
    <w:rsid w:val="00381A59"/>
    <w:rsid w:val="00381C75"/>
    <w:rsid w:val="003A7D6F"/>
    <w:rsid w:val="003B2A4C"/>
    <w:rsid w:val="003C1417"/>
    <w:rsid w:val="003C2397"/>
    <w:rsid w:val="003C3718"/>
    <w:rsid w:val="003C64AD"/>
    <w:rsid w:val="003D083B"/>
    <w:rsid w:val="003D1AE3"/>
    <w:rsid w:val="003D1C79"/>
    <w:rsid w:val="003D3E92"/>
    <w:rsid w:val="003D4DD3"/>
    <w:rsid w:val="003D55C2"/>
    <w:rsid w:val="003E56AA"/>
    <w:rsid w:val="003E56FE"/>
    <w:rsid w:val="003E5DCA"/>
    <w:rsid w:val="003F0C87"/>
    <w:rsid w:val="003F4444"/>
    <w:rsid w:val="003F4B03"/>
    <w:rsid w:val="003F520F"/>
    <w:rsid w:val="003F6B27"/>
    <w:rsid w:val="003F766A"/>
    <w:rsid w:val="00400C62"/>
    <w:rsid w:val="0040472C"/>
    <w:rsid w:val="004142DF"/>
    <w:rsid w:val="00421BB6"/>
    <w:rsid w:val="00424057"/>
    <w:rsid w:val="00427483"/>
    <w:rsid w:val="004278CA"/>
    <w:rsid w:val="00427F5E"/>
    <w:rsid w:val="00434A70"/>
    <w:rsid w:val="00441832"/>
    <w:rsid w:val="00441951"/>
    <w:rsid w:val="00443DEE"/>
    <w:rsid w:val="0044594A"/>
    <w:rsid w:val="004461A8"/>
    <w:rsid w:val="0044620D"/>
    <w:rsid w:val="00450A7B"/>
    <w:rsid w:val="0045186C"/>
    <w:rsid w:val="00456D96"/>
    <w:rsid w:val="0046212B"/>
    <w:rsid w:val="0046451D"/>
    <w:rsid w:val="0046775E"/>
    <w:rsid w:val="00471E8E"/>
    <w:rsid w:val="004768D4"/>
    <w:rsid w:val="00480F75"/>
    <w:rsid w:val="00485472"/>
    <w:rsid w:val="00495EE0"/>
    <w:rsid w:val="0049653F"/>
    <w:rsid w:val="00497350"/>
    <w:rsid w:val="004A0784"/>
    <w:rsid w:val="004A2BFC"/>
    <w:rsid w:val="004A6CE3"/>
    <w:rsid w:val="004A74CE"/>
    <w:rsid w:val="004B1C8D"/>
    <w:rsid w:val="004B26F4"/>
    <w:rsid w:val="004C1EFB"/>
    <w:rsid w:val="004C59B1"/>
    <w:rsid w:val="004C666A"/>
    <w:rsid w:val="004C79C7"/>
    <w:rsid w:val="004D2906"/>
    <w:rsid w:val="004D736D"/>
    <w:rsid w:val="004E0036"/>
    <w:rsid w:val="004E3522"/>
    <w:rsid w:val="004F117E"/>
    <w:rsid w:val="004F2C8C"/>
    <w:rsid w:val="004F2CA7"/>
    <w:rsid w:val="004F382D"/>
    <w:rsid w:val="004F3E4D"/>
    <w:rsid w:val="004F4724"/>
    <w:rsid w:val="004F6563"/>
    <w:rsid w:val="00500B4E"/>
    <w:rsid w:val="005149E8"/>
    <w:rsid w:val="005219A8"/>
    <w:rsid w:val="005236BF"/>
    <w:rsid w:val="00524283"/>
    <w:rsid w:val="00524984"/>
    <w:rsid w:val="00535501"/>
    <w:rsid w:val="0053764F"/>
    <w:rsid w:val="00543320"/>
    <w:rsid w:val="00543701"/>
    <w:rsid w:val="00545190"/>
    <w:rsid w:val="00546A4A"/>
    <w:rsid w:val="00552C29"/>
    <w:rsid w:val="00556907"/>
    <w:rsid w:val="00557017"/>
    <w:rsid w:val="0057664E"/>
    <w:rsid w:val="00577D7B"/>
    <w:rsid w:val="00583DCB"/>
    <w:rsid w:val="00592AA8"/>
    <w:rsid w:val="00592FDC"/>
    <w:rsid w:val="00596662"/>
    <w:rsid w:val="005A122D"/>
    <w:rsid w:val="005A234D"/>
    <w:rsid w:val="005A2550"/>
    <w:rsid w:val="005A478C"/>
    <w:rsid w:val="005A6AB5"/>
    <w:rsid w:val="005B4D4A"/>
    <w:rsid w:val="005C4180"/>
    <w:rsid w:val="005C4643"/>
    <w:rsid w:val="005C6F22"/>
    <w:rsid w:val="005D0BB6"/>
    <w:rsid w:val="005D2FEE"/>
    <w:rsid w:val="005D6D92"/>
    <w:rsid w:val="005E0D08"/>
    <w:rsid w:val="005E5CB8"/>
    <w:rsid w:val="005F4BAD"/>
    <w:rsid w:val="005F69F1"/>
    <w:rsid w:val="00600CC9"/>
    <w:rsid w:val="006023F6"/>
    <w:rsid w:val="00604CC7"/>
    <w:rsid w:val="00605FDE"/>
    <w:rsid w:val="00610330"/>
    <w:rsid w:val="00611904"/>
    <w:rsid w:val="00616B28"/>
    <w:rsid w:val="00624506"/>
    <w:rsid w:val="00626B46"/>
    <w:rsid w:val="00630D70"/>
    <w:rsid w:val="0063290B"/>
    <w:rsid w:val="00633962"/>
    <w:rsid w:val="00637397"/>
    <w:rsid w:val="00637E75"/>
    <w:rsid w:val="00640AA7"/>
    <w:rsid w:val="0064277F"/>
    <w:rsid w:val="00642E1C"/>
    <w:rsid w:val="00645A2D"/>
    <w:rsid w:val="006465F2"/>
    <w:rsid w:val="00651B2F"/>
    <w:rsid w:val="006604ED"/>
    <w:rsid w:val="00665E8C"/>
    <w:rsid w:val="00670BCD"/>
    <w:rsid w:val="006718D1"/>
    <w:rsid w:val="00671D9C"/>
    <w:rsid w:val="00672FAD"/>
    <w:rsid w:val="00677047"/>
    <w:rsid w:val="0067750F"/>
    <w:rsid w:val="00681D1B"/>
    <w:rsid w:val="00682AEF"/>
    <w:rsid w:val="0068593F"/>
    <w:rsid w:val="00690284"/>
    <w:rsid w:val="00691F5F"/>
    <w:rsid w:val="006953A0"/>
    <w:rsid w:val="006A0AE1"/>
    <w:rsid w:val="006A167E"/>
    <w:rsid w:val="006A28BD"/>
    <w:rsid w:val="006A36AE"/>
    <w:rsid w:val="006A757D"/>
    <w:rsid w:val="006B3002"/>
    <w:rsid w:val="006B5882"/>
    <w:rsid w:val="006B5E8D"/>
    <w:rsid w:val="006C3115"/>
    <w:rsid w:val="006C5E49"/>
    <w:rsid w:val="006D31B8"/>
    <w:rsid w:val="006D5B08"/>
    <w:rsid w:val="006E1CCA"/>
    <w:rsid w:val="006E5C74"/>
    <w:rsid w:val="006E5F6A"/>
    <w:rsid w:val="006F6B77"/>
    <w:rsid w:val="00703D07"/>
    <w:rsid w:val="007079BA"/>
    <w:rsid w:val="0071478C"/>
    <w:rsid w:val="00717217"/>
    <w:rsid w:val="0072167E"/>
    <w:rsid w:val="00721F7A"/>
    <w:rsid w:val="0072287C"/>
    <w:rsid w:val="00732AEC"/>
    <w:rsid w:val="007345B1"/>
    <w:rsid w:val="00734EB4"/>
    <w:rsid w:val="007353D1"/>
    <w:rsid w:val="007356B9"/>
    <w:rsid w:val="00736BFF"/>
    <w:rsid w:val="007433C8"/>
    <w:rsid w:val="00746EB3"/>
    <w:rsid w:val="00751C93"/>
    <w:rsid w:val="0075213B"/>
    <w:rsid w:val="00752466"/>
    <w:rsid w:val="00753ABB"/>
    <w:rsid w:val="00760011"/>
    <w:rsid w:val="00770303"/>
    <w:rsid w:val="007720D9"/>
    <w:rsid w:val="00774FA8"/>
    <w:rsid w:val="00776067"/>
    <w:rsid w:val="007845A1"/>
    <w:rsid w:val="007874E7"/>
    <w:rsid w:val="00792083"/>
    <w:rsid w:val="00792676"/>
    <w:rsid w:val="0079662A"/>
    <w:rsid w:val="007A0E77"/>
    <w:rsid w:val="007A1E7D"/>
    <w:rsid w:val="007A587D"/>
    <w:rsid w:val="007A5E66"/>
    <w:rsid w:val="007B13A8"/>
    <w:rsid w:val="007B3FC5"/>
    <w:rsid w:val="007C1389"/>
    <w:rsid w:val="007C69F7"/>
    <w:rsid w:val="007D32FA"/>
    <w:rsid w:val="007D534A"/>
    <w:rsid w:val="007D77D4"/>
    <w:rsid w:val="007D7BB1"/>
    <w:rsid w:val="007E0EC4"/>
    <w:rsid w:val="007E237C"/>
    <w:rsid w:val="007E364E"/>
    <w:rsid w:val="007E7154"/>
    <w:rsid w:val="007E73A2"/>
    <w:rsid w:val="007F2EBC"/>
    <w:rsid w:val="007F40B6"/>
    <w:rsid w:val="007F742C"/>
    <w:rsid w:val="00804EBD"/>
    <w:rsid w:val="00805107"/>
    <w:rsid w:val="00805BA7"/>
    <w:rsid w:val="00807172"/>
    <w:rsid w:val="00811084"/>
    <w:rsid w:val="008128A7"/>
    <w:rsid w:val="00820D66"/>
    <w:rsid w:val="008210CE"/>
    <w:rsid w:val="00824D3E"/>
    <w:rsid w:val="008252CC"/>
    <w:rsid w:val="00826F97"/>
    <w:rsid w:val="008315F2"/>
    <w:rsid w:val="00833F56"/>
    <w:rsid w:val="00833FB6"/>
    <w:rsid w:val="00834D0C"/>
    <w:rsid w:val="008361A2"/>
    <w:rsid w:val="008442C3"/>
    <w:rsid w:val="008458E1"/>
    <w:rsid w:val="00846F16"/>
    <w:rsid w:val="00847146"/>
    <w:rsid w:val="008472F9"/>
    <w:rsid w:val="00850F98"/>
    <w:rsid w:val="00853134"/>
    <w:rsid w:val="008555C0"/>
    <w:rsid w:val="008567E3"/>
    <w:rsid w:val="00857CE3"/>
    <w:rsid w:val="008706E7"/>
    <w:rsid w:val="00871716"/>
    <w:rsid w:val="00872169"/>
    <w:rsid w:val="00872F7D"/>
    <w:rsid w:val="0087426F"/>
    <w:rsid w:val="00877A83"/>
    <w:rsid w:val="00880645"/>
    <w:rsid w:val="00880C40"/>
    <w:rsid w:val="00886095"/>
    <w:rsid w:val="008860D1"/>
    <w:rsid w:val="00887E7B"/>
    <w:rsid w:val="00890379"/>
    <w:rsid w:val="00890654"/>
    <w:rsid w:val="008A106B"/>
    <w:rsid w:val="008A45FC"/>
    <w:rsid w:val="008A4BC0"/>
    <w:rsid w:val="008A6104"/>
    <w:rsid w:val="008A6AD5"/>
    <w:rsid w:val="008B247A"/>
    <w:rsid w:val="008C0A7F"/>
    <w:rsid w:val="008C513B"/>
    <w:rsid w:val="008D2E94"/>
    <w:rsid w:val="008E0837"/>
    <w:rsid w:val="008E3E6B"/>
    <w:rsid w:val="008F0EDF"/>
    <w:rsid w:val="008F3F6C"/>
    <w:rsid w:val="008F4C73"/>
    <w:rsid w:val="008F77AC"/>
    <w:rsid w:val="00902C4C"/>
    <w:rsid w:val="00904AA4"/>
    <w:rsid w:val="00906B70"/>
    <w:rsid w:val="00910C2C"/>
    <w:rsid w:val="00910F53"/>
    <w:rsid w:val="009115E0"/>
    <w:rsid w:val="00915EBE"/>
    <w:rsid w:val="0091706C"/>
    <w:rsid w:val="00917137"/>
    <w:rsid w:val="00921B83"/>
    <w:rsid w:val="0092287A"/>
    <w:rsid w:val="009262A6"/>
    <w:rsid w:val="00926562"/>
    <w:rsid w:val="00933119"/>
    <w:rsid w:val="00935283"/>
    <w:rsid w:val="0093544D"/>
    <w:rsid w:val="00936BC9"/>
    <w:rsid w:val="00943591"/>
    <w:rsid w:val="009444A6"/>
    <w:rsid w:val="00952E5D"/>
    <w:rsid w:val="00954797"/>
    <w:rsid w:val="00955A50"/>
    <w:rsid w:val="00955E67"/>
    <w:rsid w:val="00956565"/>
    <w:rsid w:val="00964678"/>
    <w:rsid w:val="00966BB7"/>
    <w:rsid w:val="00971D37"/>
    <w:rsid w:val="00975551"/>
    <w:rsid w:val="0097724D"/>
    <w:rsid w:val="00980213"/>
    <w:rsid w:val="00981E2C"/>
    <w:rsid w:val="00981E86"/>
    <w:rsid w:val="00986A38"/>
    <w:rsid w:val="00986F45"/>
    <w:rsid w:val="00993BE6"/>
    <w:rsid w:val="009B456D"/>
    <w:rsid w:val="009B5286"/>
    <w:rsid w:val="009C0E75"/>
    <w:rsid w:val="009C3F72"/>
    <w:rsid w:val="009C45FA"/>
    <w:rsid w:val="009C4EA7"/>
    <w:rsid w:val="009C7413"/>
    <w:rsid w:val="009D0406"/>
    <w:rsid w:val="009D1389"/>
    <w:rsid w:val="009D3DF9"/>
    <w:rsid w:val="009D426D"/>
    <w:rsid w:val="009E5343"/>
    <w:rsid w:val="009E60EB"/>
    <w:rsid w:val="009E75DE"/>
    <w:rsid w:val="009F0400"/>
    <w:rsid w:val="009F321A"/>
    <w:rsid w:val="009F65CF"/>
    <w:rsid w:val="009F7F1E"/>
    <w:rsid w:val="00A062A6"/>
    <w:rsid w:val="00A1239A"/>
    <w:rsid w:val="00A12616"/>
    <w:rsid w:val="00A14093"/>
    <w:rsid w:val="00A24F82"/>
    <w:rsid w:val="00A30E6C"/>
    <w:rsid w:val="00A327D0"/>
    <w:rsid w:val="00A36E49"/>
    <w:rsid w:val="00A40122"/>
    <w:rsid w:val="00A44848"/>
    <w:rsid w:val="00A52F43"/>
    <w:rsid w:val="00A54EED"/>
    <w:rsid w:val="00A561EC"/>
    <w:rsid w:val="00A56F40"/>
    <w:rsid w:val="00A6474C"/>
    <w:rsid w:val="00A64886"/>
    <w:rsid w:val="00A65522"/>
    <w:rsid w:val="00A6582C"/>
    <w:rsid w:val="00A80525"/>
    <w:rsid w:val="00A830EC"/>
    <w:rsid w:val="00A8391A"/>
    <w:rsid w:val="00A83AB2"/>
    <w:rsid w:val="00A86327"/>
    <w:rsid w:val="00A868BD"/>
    <w:rsid w:val="00A8748F"/>
    <w:rsid w:val="00A93506"/>
    <w:rsid w:val="00AA4EB4"/>
    <w:rsid w:val="00AA58BD"/>
    <w:rsid w:val="00AB0108"/>
    <w:rsid w:val="00AB0F5C"/>
    <w:rsid w:val="00AB3982"/>
    <w:rsid w:val="00AB45F2"/>
    <w:rsid w:val="00AC02F4"/>
    <w:rsid w:val="00AC4D03"/>
    <w:rsid w:val="00AD402F"/>
    <w:rsid w:val="00AE2C96"/>
    <w:rsid w:val="00AE39F5"/>
    <w:rsid w:val="00AF19AA"/>
    <w:rsid w:val="00AF5BC4"/>
    <w:rsid w:val="00B00CA1"/>
    <w:rsid w:val="00B030CF"/>
    <w:rsid w:val="00B048C0"/>
    <w:rsid w:val="00B0703E"/>
    <w:rsid w:val="00B07846"/>
    <w:rsid w:val="00B109EF"/>
    <w:rsid w:val="00B11794"/>
    <w:rsid w:val="00B13922"/>
    <w:rsid w:val="00B146D4"/>
    <w:rsid w:val="00B2658B"/>
    <w:rsid w:val="00B265C7"/>
    <w:rsid w:val="00B40B34"/>
    <w:rsid w:val="00B44457"/>
    <w:rsid w:val="00B464AD"/>
    <w:rsid w:val="00B50B90"/>
    <w:rsid w:val="00B576BF"/>
    <w:rsid w:val="00B61583"/>
    <w:rsid w:val="00B61BA3"/>
    <w:rsid w:val="00B62D99"/>
    <w:rsid w:val="00B63C61"/>
    <w:rsid w:val="00B64CB9"/>
    <w:rsid w:val="00B6534C"/>
    <w:rsid w:val="00B70978"/>
    <w:rsid w:val="00B718F1"/>
    <w:rsid w:val="00B73537"/>
    <w:rsid w:val="00B744AD"/>
    <w:rsid w:val="00B74AC9"/>
    <w:rsid w:val="00B80796"/>
    <w:rsid w:val="00B80BFB"/>
    <w:rsid w:val="00B81022"/>
    <w:rsid w:val="00B810C7"/>
    <w:rsid w:val="00B83501"/>
    <w:rsid w:val="00B879DE"/>
    <w:rsid w:val="00B900F2"/>
    <w:rsid w:val="00B90F89"/>
    <w:rsid w:val="00B93626"/>
    <w:rsid w:val="00B96BFA"/>
    <w:rsid w:val="00B96E30"/>
    <w:rsid w:val="00BA0FEE"/>
    <w:rsid w:val="00BA1863"/>
    <w:rsid w:val="00BA2889"/>
    <w:rsid w:val="00BA2B54"/>
    <w:rsid w:val="00BB371F"/>
    <w:rsid w:val="00BC306E"/>
    <w:rsid w:val="00BC33A5"/>
    <w:rsid w:val="00BC34C4"/>
    <w:rsid w:val="00BC34E4"/>
    <w:rsid w:val="00BC3E22"/>
    <w:rsid w:val="00BC6E02"/>
    <w:rsid w:val="00BD3B38"/>
    <w:rsid w:val="00BD3E3B"/>
    <w:rsid w:val="00BD3F42"/>
    <w:rsid w:val="00BD421E"/>
    <w:rsid w:val="00BD6469"/>
    <w:rsid w:val="00BE3AA1"/>
    <w:rsid w:val="00BE5434"/>
    <w:rsid w:val="00BE61A9"/>
    <w:rsid w:val="00BF13C2"/>
    <w:rsid w:val="00BF28F7"/>
    <w:rsid w:val="00BF34A7"/>
    <w:rsid w:val="00BF3AEA"/>
    <w:rsid w:val="00BF628E"/>
    <w:rsid w:val="00C02C3D"/>
    <w:rsid w:val="00C044B3"/>
    <w:rsid w:val="00C04953"/>
    <w:rsid w:val="00C05062"/>
    <w:rsid w:val="00C05A17"/>
    <w:rsid w:val="00C06179"/>
    <w:rsid w:val="00C10081"/>
    <w:rsid w:val="00C110AA"/>
    <w:rsid w:val="00C13E48"/>
    <w:rsid w:val="00C2688A"/>
    <w:rsid w:val="00C301E5"/>
    <w:rsid w:val="00C31C04"/>
    <w:rsid w:val="00C34F37"/>
    <w:rsid w:val="00C52BB1"/>
    <w:rsid w:val="00C55FA6"/>
    <w:rsid w:val="00C56EA7"/>
    <w:rsid w:val="00C62966"/>
    <w:rsid w:val="00C63176"/>
    <w:rsid w:val="00C65779"/>
    <w:rsid w:val="00C65D48"/>
    <w:rsid w:val="00C67043"/>
    <w:rsid w:val="00C67463"/>
    <w:rsid w:val="00C67BCA"/>
    <w:rsid w:val="00C7319F"/>
    <w:rsid w:val="00C7530B"/>
    <w:rsid w:val="00C816DB"/>
    <w:rsid w:val="00C87053"/>
    <w:rsid w:val="00C917EC"/>
    <w:rsid w:val="00C91FA6"/>
    <w:rsid w:val="00C938B9"/>
    <w:rsid w:val="00CA4C9B"/>
    <w:rsid w:val="00CA5975"/>
    <w:rsid w:val="00CB5963"/>
    <w:rsid w:val="00CB711B"/>
    <w:rsid w:val="00CC3238"/>
    <w:rsid w:val="00CC5602"/>
    <w:rsid w:val="00CC7656"/>
    <w:rsid w:val="00CD605F"/>
    <w:rsid w:val="00CE1B93"/>
    <w:rsid w:val="00CF183B"/>
    <w:rsid w:val="00CF41C9"/>
    <w:rsid w:val="00CF4901"/>
    <w:rsid w:val="00CF4C7D"/>
    <w:rsid w:val="00CF784A"/>
    <w:rsid w:val="00D028C8"/>
    <w:rsid w:val="00D07CFD"/>
    <w:rsid w:val="00D12440"/>
    <w:rsid w:val="00D1635A"/>
    <w:rsid w:val="00D16387"/>
    <w:rsid w:val="00D23AF2"/>
    <w:rsid w:val="00D27885"/>
    <w:rsid w:val="00D31F68"/>
    <w:rsid w:val="00D33100"/>
    <w:rsid w:val="00D33424"/>
    <w:rsid w:val="00D37F0D"/>
    <w:rsid w:val="00D42CC1"/>
    <w:rsid w:val="00D4307B"/>
    <w:rsid w:val="00D435C6"/>
    <w:rsid w:val="00D4505F"/>
    <w:rsid w:val="00D507DA"/>
    <w:rsid w:val="00D508D6"/>
    <w:rsid w:val="00D527CB"/>
    <w:rsid w:val="00D530EA"/>
    <w:rsid w:val="00D54316"/>
    <w:rsid w:val="00D54E7A"/>
    <w:rsid w:val="00D61BB8"/>
    <w:rsid w:val="00D727BE"/>
    <w:rsid w:val="00D74F76"/>
    <w:rsid w:val="00D774CF"/>
    <w:rsid w:val="00D858FF"/>
    <w:rsid w:val="00D86323"/>
    <w:rsid w:val="00D9307C"/>
    <w:rsid w:val="00D93456"/>
    <w:rsid w:val="00D93936"/>
    <w:rsid w:val="00D9430A"/>
    <w:rsid w:val="00D96498"/>
    <w:rsid w:val="00D96919"/>
    <w:rsid w:val="00DA2FA9"/>
    <w:rsid w:val="00DA66A3"/>
    <w:rsid w:val="00DA754C"/>
    <w:rsid w:val="00DB0DEC"/>
    <w:rsid w:val="00DB10C4"/>
    <w:rsid w:val="00DB460A"/>
    <w:rsid w:val="00DB5BD4"/>
    <w:rsid w:val="00DB7E81"/>
    <w:rsid w:val="00DC0AAD"/>
    <w:rsid w:val="00DC1204"/>
    <w:rsid w:val="00DC6D9C"/>
    <w:rsid w:val="00DD1EF4"/>
    <w:rsid w:val="00DD2592"/>
    <w:rsid w:val="00DD2DC9"/>
    <w:rsid w:val="00DD2ECE"/>
    <w:rsid w:val="00DD5104"/>
    <w:rsid w:val="00DD519E"/>
    <w:rsid w:val="00DE30D3"/>
    <w:rsid w:val="00DE78EC"/>
    <w:rsid w:val="00DF0730"/>
    <w:rsid w:val="00DF7F88"/>
    <w:rsid w:val="00E02933"/>
    <w:rsid w:val="00E02D28"/>
    <w:rsid w:val="00E0461D"/>
    <w:rsid w:val="00E06897"/>
    <w:rsid w:val="00E07B4F"/>
    <w:rsid w:val="00E1021A"/>
    <w:rsid w:val="00E1183E"/>
    <w:rsid w:val="00E12CC7"/>
    <w:rsid w:val="00E14B50"/>
    <w:rsid w:val="00E15D5B"/>
    <w:rsid w:val="00E218B4"/>
    <w:rsid w:val="00E311D5"/>
    <w:rsid w:val="00E33A17"/>
    <w:rsid w:val="00E348C5"/>
    <w:rsid w:val="00E44308"/>
    <w:rsid w:val="00E45360"/>
    <w:rsid w:val="00E45D08"/>
    <w:rsid w:val="00E463E7"/>
    <w:rsid w:val="00E467FF"/>
    <w:rsid w:val="00E46E78"/>
    <w:rsid w:val="00E5008F"/>
    <w:rsid w:val="00E559F0"/>
    <w:rsid w:val="00E56ED5"/>
    <w:rsid w:val="00E57373"/>
    <w:rsid w:val="00E638E3"/>
    <w:rsid w:val="00E7178B"/>
    <w:rsid w:val="00E75D87"/>
    <w:rsid w:val="00E82483"/>
    <w:rsid w:val="00E854BC"/>
    <w:rsid w:val="00E864AA"/>
    <w:rsid w:val="00E86DF4"/>
    <w:rsid w:val="00E87AEF"/>
    <w:rsid w:val="00E900C9"/>
    <w:rsid w:val="00E9204D"/>
    <w:rsid w:val="00EA1811"/>
    <w:rsid w:val="00EA377C"/>
    <w:rsid w:val="00EA7B2F"/>
    <w:rsid w:val="00EB3151"/>
    <w:rsid w:val="00EB3441"/>
    <w:rsid w:val="00EB5884"/>
    <w:rsid w:val="00EC2CD7"/>
    <w:rsid w:val="00EC34E5"/>
    <w:rsid w:val="00EC35B9"/>
    <w:rsid w:val="00EC43E7"/>
    <w:rsid w:val="00EC58D3"/>
    <w:rsid w:val="00EC6364"/>
    <w:rsid w:val="00ED20CE"/>
    <w:rsid w:val="00ED2150"/>
    <w:rsid w:val="00ED3312"/>
    <w:rsid w:val="00EE332B"/>
    <w:rsid w:val="00EE4685"/>
    <w:rsid w:val="00EE5CA2"/>
    <w:rsid w:val="00EE6C5A"/>
    <w:rsid w:val="00EE7B58"/>
    <w:rsid w:val="00EF4CAD"/>
    <w:rsid w:val="00EF524E"/>
    <w:rsid w:val="00EF79B7"/>
    <w:rsid w:val="00F00527"/>
    <w:rsid w:val="00F00CCF"/>
    <w:rsid w:val="00F01508"/>
    <w:rsid w:val="00F02355"/>
    <w:rsid w:val="00F04C79"/>
    <w:rsid w:val="00F06131"/>
    <w:rsid w:val="00F076E7"/>
    <w:rsid w:val="00F10188"/>
    <w:rsid w:val="00F140F9"/>
    <w:rsid w:val="00F147ED"/>
    <w:rsid w:val="00F15C75"/>
    <w:rsid w:val="00F2085F"/>
    <w:rsid w:val="00F20B3B"/>
    <w:rsid w:val="00F23A21"/>
    <w:rsid w:val="00F25CE5"/>
    <w:rsid w:val="00F26D9D"/>
    <w:rsid w:val="00F36350"/>
    <w:rsid w:val="00F4779C"/>
    <w:rsid w:val="00F507D8"/>
    <w:rsid w:val="00F5192D"/>
    <w:rsid w:val="00F526BB"/>
    <w:rsid w:val="00F65742"/>
    <w:rsid w:val="00F670ED"/>
    <w:rsid w:val="00F675DD"/>
    <w:rsid w:val="00F72293"/>
    <w:rsid w:val="00F74786"/>
    <w:rsid w:val="00F75634"/>
    <w:rsid w:val="00F7726D"/>
    <w:rsid w:val="00F77811"/>
    <w:rsid w:val="00F804D9"/>
    <w:rsid w:val="00F81A56"/>
    <w:rsid w:val="00F82815"/>
    <w:rsid w:val="00F843A8"/>
    <w:rsid w:val="00F86746"/>
    <w:rsid w:val="00F86C6A"/>
    <w:rsid w:val="00FA52EC"/>
    <w:rsid w:val="00FA6872"/>
    <w:rsid w:val="00FB1157"/>
    <w:rsid w:val="00FB42C5"/>
    <w:rsid w:val="00FB4BC6"/>
    <w:rsid w:val="00FB5217"/>
    <w:rsid w:val="00FB5D68"/>
    <w:rsid w:val="00FC3FE9"/>
    <w:rsid w:val="00FC4187"/>
    <w:rsid w:val="00FC611C"/>
    <w:rsid w:val="00FC7D72"/>
    <w:rsid w:val="00FD131E"/>
    <w:rsid w:val="00FD3345"/>
    <w:rsid w:val="00FD6CE7"/>
    <w:rsid w:val="00FE19D8"/>
    <w:rsid w:val="00FE2539"/>
    <w:rsid w:val="00FE3F4F"/>
    <w:rsid w:val="00FE5C8B"/>
    <w:rsid w:val="00FF1E77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624506"/>
    <w:rPr>
      <w:rFonts w:ascii="Garamond" w:hAnsi="Garamond"/>
      <w:b/>
      <w:bCs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  <w:style w:type="character" w:styleId="Sledovanodkaz">
    <w:name w:val="FollowedHyperlink"/>
    <w:rsid w:val="001D2E73"/>
    <w:rPr>
      <w:color w:val="800080"/>
      <w:u w:val="single"/>
    </w:rPr>
  </w:style>
  <w:style w:type="character" w:styleId="Odkaznakoment">
    <w:name w:val="annotation reference"/>
    <w:basedOn w:val="Standardnpsmoodstavce"/>
    <w:rsid w:val="00F15C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5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5C75"/>
  </w:style>
  <w:style w:type="paragraph" w:styleId="Pedmtkomente">
    <w:name w:val="annotation subject"/>
    <w:basedOn w:val="Textkomente"/>
    <w:next w:val="Textkomente"/>
    <w:link w:val="PedmtkomenteChar"/>
    <w:rsid w:val="00F15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5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45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450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24506"/>
    <w:pPr>
      <w:keepNext/>
      <w:jc w:val="center"/>
      <w:outlineLvl w:val="1"/>
    </w:pPr>
    <w:rPr>
      <w:rFonts w:ascii="Garamond" w:hAnsi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245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245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506"/>
  </w:style>
  <w:style w:type="paragraph" w:styleId="Zkladntext">
    <w:name w:val="Body Text"/>
    <w:basedOn w:val="Normln"/>
    <w:rsid w:val="00624506"/>
    <w:pPr>
      <w:jc w:val="center"/>
    </w:pPr>
  </w:style>
  <w:style w:type="paragraph" w:styleId="Zkladntext2">
    <w:name w:val="Body Text 2"/>
    <w:basedOn w:val="Normln"/>
    <w:rsid w:val="00624506"/>
    <w:pPr>
      <w:jc w:val="both"/>
    </w:pPr>
    <w:rPr>
      <w:rFonts w:ascii="Garamond" w:hAnsi="Garamond"/>
    </w:rPr>
  </w:style>
  <w:style w:type="paragraph" w:styleId="Textpoznpodarou">
    <w:name w:val="footnote text"/>
    <w:basedOn w:val="Normln"/>
    <w:semiHidden/>
    <w:rsid w:val="00624506"/>
    <w:rPr>
      <w:sz w:val="20"/>
      <w:szCs w:val="20"/>
    </w:rPr>
  </w:style>
  <w:style w:type="character" w:styleId="Znakapoznpodarou">
    <w:name w:val="footnote reference"/>
    <w:semiHidden/>
    <w:rsid w:val="00624506"/>
    <w:rPr>
      <w:vertAlign w:val="superscript"/>
    </w:rPr>
  </w:style>
  <w:style w:type="paragraph" w:styleId="Titulek">
    <w:name w:val="caption"/>
    <w:basedOn w:val="Normln"/>
    <w:next w:val="Normln"/>
    <w:qFormat/>
    <w:rsid w:val="00624506"/>
    <w:rPr>
      <w:rFonts w:ascii="Garamond" w:hAnsi="Garamond"/>
      <w:b/>
      <w:bCs/>
    </w:rPr>
  </w:style>
  <w:style w:type="paragraph" w:styleId="Zkladntextodsazen">
    <w:name w:val="Body Text Indent"/>
    <w:basedOn w:val="Normln"/>
    <w:rsid w:val="00624506"/>
    <w:pPr>
      <w:ind w:firstLine="360"/>
      <w:jc w:val="both"/>
    </w:pPr>
    <w:rPr>
      <w:rFonts w:ascii="Garamond" w:hAnsi="Garamond"/>
    </w:rPr>
  </w:style>
  <w:style w:type="paragraph" w:styleId="Seznamobrzk">
    <w:name w:val="table of figures"/>
    <w:basedOn w:val="Normln"/>
    <w:next w:val="Normln"/>
    <w:semiHidden/>
    <w:rsid w:val="00624506"/>
    <w:pPr>
      <w:ind w:left="480" w:hanging="480"/>
    </w:pPr>
  </w:style>
  <w:style w:type="paragraph" w:styleId="Rejstk1">
    <w:name w:val="index 1"/>
    <w:basedOn w:val="Normln"/>
    <w:next w:val="Normln"/>
    <w:autoRedefine/>
    <w:semiHidden/>
    <w:rsid w:val="00624506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24506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24506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24506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24506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24506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24506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24506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24506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24506"/>
  </w:style>
  <w:style w:type="paragraph" w:styleId="Obsah1">
    <w:name w:val="toc 1"/>
    <w:basedOn w:val="Normln"/>
    <w:next w:val="Normln"/>
    <w:autoRedefine/>
    <w:semiHidden/>
    <w:rsid w:val="00624506"/>
  </w:style>
  <w:style w:type="paragraph" w:styleId="Obsah2">
    <w:name w:val="toc 2"/>
    <w:basedOn w:val="Normln"/>
    <w:next w:val="Normln"/>
    <w:autoRedefine/>
    <w:semiHidden/>
    <w:rsid w:val="00624506"/>
    <w:pPr>
      <w:ind w:left="240"/>
    </w:pPr>
  </w:style>
  <w:style w:type="paragraph" w:styleId="Obsah3">
    <w:name w:val="toc 3"/>
    <w:basedOn w:val="Normln"/>
    <w:next w:val="Normln"/>
    <w:autoRedefine/>
    <w:semiHidden/>
    <w:rsid w:val="00624506"/>
    <w:pPr>
      <w:ind w:left="480"/>
    </w:pPr>
  </w:style>
  <w:style w:type="paragraph" w:styleId="Obsah4">
    <w:name w:val="toc 4"/>
    <w:basedOn w:val="Normln"/>
    <w:next w:val="Normln"/>
    <w:autoRedefine/>
    <w:semiHidden/>
    <w:rsid w:val="00624506"/>
    <w:pPr>
      <w:ind w:left="720"/>
    </w:pPr>
  </w:style>
  <w:style w:type="paragraph" w:styleId="Obsah5">
    <w:name w:val="toc 5"/>
    <w:basedOn w:val="Normln"/>
    <w:next w:val="Normln"/>
    <w:autoRedefine/>
    <w:semiHidden/>
    <w:rsid w:val="00624506"/>
    <w:pPr>
      <w:ind w:left="960"/>
    </w:pPr>
  </w:style>
  <w:style w:type="paragraph" w:styleId="Obsah6">
    <w:name w:val="toc 6"/>
    <w:basedOn w:val="Normln"/>
    <w:next w:val="Normln"/>
    <w:autoRedefine/>
    <w:semiHidden/>
    <w:rsid w:val="00624506"/>
    <w:pPr>
      <w:ind w:left="1200"/>
    </w:pPr>
  </w:style>
  <w:style w:type="paragraph" w:styleId="Obsah7">
    <w:name w:val="toc 7"/>
    <w:basedOn w:val="Normln"/>
    <w:next w:val="Normln"/>
    <w:autoRedefine/>
    <w:semiHidden/>
    <w:rsid w:val="00624506"/>
    <w:pPr>
      <w:ind w:left="1440"/>
    </w:pPr>
  </w:style>
  <w:style w:type="paragraph" w:styleId="Obsah8">
    <w:name w:val="toc 8"/>
    <w:basedOn w:val="Normln"/>
    <w:next w:val="Normln"/>
    <w:autoRedefine/>
    <w:semiHidden/>
    <w:rsid w:val="00624506"/>
    <w:pPr>
      <w:ind w:left="1680"/>
    </w:pPr>
  </w:style>
  <w:style w:type="paragraph" w:styleId="Obsah9">
    <w:name w:val="toc 9"/>
    <w:basedOn w:val="Normln"/>
    <w:next w:val="Normln"/>
    <w:autoRedefine/>
    <w:semiHidden/>
    <w:rsid w:val="00624506"/>
    <w:pPr>
      <w:ind w:left="1920"/>
    </w:pPr>
  </w:style>
  <w:style w:type="character" w:styleId="Hypertextovodkaz">
    <w:name w:val="Hyperlink"/>
    <w:rsid w:val="0062450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D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BB1"/>
    <w:rPr>
      <w:rFonts w:ascii="Tahoma" w:hAnsi="Tahoma" w:cs="Tahoma"/>
      <w:sz w:val="16"/>
      <w:szCs w:val="16"/>
    </w:rPr>
  </w:style>
  <w:style w:type="character" w:styleId="Sledovanodkaz">
    <w:name w:val="FollowedHyperlink"/>
    <w:rsid w:val="001D2E73"/>
    <w:rPr>
      <w:color w:val="800080"/>
      <w:u w:val="single"/>
    </w:rPr>
  </w:style>
  <w:style w:type="character" w:styleId="Odkaznakoment">
    <w:name w:val="annotation reference"/>
    <w:basedOn w:val="Standardnpsmoodstavce"/>
    <w:rsid w:val="00F15C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5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5C75"/>
  </w:style>
  <w:style w:type="paragraph" w:styleId="Pedmtkomente">
    <w:name w:val="annotation subject"/>
    <w:basedOn w:val="Textkomente"/>
    <w:next w:val="Textkomente"/>
    <w:link w:val="PedmtkomenteChar"/>
    <w:rsid w:val="00F15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hyperlink" Target="http://www.oecd.org/sti/rds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ec.europa.eu/eurostat/web/science-technology-innovatio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_PRACOVNI\02_Statistick&#233;%20&#250;lohy\00_GBOARD\02_IS%20VaV_GBAORD\06_V&#253;stupy%20z%20projektu\01_Publikace\GBAORD%202013\01_TEXTY\CZ\ANAL&#221;ZA\GBAORD2013_ANAL_v02_2015-01-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'GRAF4-1'!$B$2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1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5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17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cat>
            <c:strRef>
              <c:f>'GRAF4-1'!$A$3:$A$38</c:f>
              <c:strCache>
                <c:ptCount val="36"/>
                <c:pt idx="0">
                  <c:v>Finsko</c:v>
                </c:pt>
                <c:pt idx="1">
                  <c:v>Dánsko</c:v>
                </c:pt>
                <c:pt idx="2">
                  <c:v>Portugalsko</c:v>
                </c:pt>
                <c:pt idx="3">
                  <c:v>Německo</c:v>
                </c:pt>
                <c:pt idx="4">
                  <c:v>Estonsko</c:v>
                </c:pt>
                <c:pt idx="5">
                  <c:v>Švédsko</c:v>
                </c:pt>
                <c:pt idx="6">
                  <c:v>Rakousko</c:v>
                </c:pt>
                <c:pt idx="7">
                  <c:v>Nizozemsko</c:v>
                </c:pt>
                <c:pt idx="8">
                  <c:v>Francie</c:v>
                </c:pt>
                <c:pt idx="9">
                  <c:v>Chorvatsko</c:v>
                </c:pt>
                <c:pt idx="10">
                  <c:v>EU28</c:v>
                </c:pt>
                <c:pt idx="11">
                  <c:v>Česká republika</c:v>
                </c:pt>
                <c:pt idx="12">
                  <c:v>Belgie</c:v>
                </c:pt>
                <c:pt idx="13">
                  <c:v>Lucembursko</c:v>
                </c:pt>
                <c:pt idx="14">
                  <c:v>Maďarsko</c:v>
                </c:pt>
                <c:pt idx="15">
                  <c:v>Spojené království</c:v>
                </c:pt>
                <c:pt idx="16">
                  <c:v>Slovinsko</c:v>
                </c:pt>
                <c:pt idx="17">
                  <c:v>Itálie</c:v>
                </c:pt>
                <c:pt idx="18">
                  <c:v>Španělsko</c:v>
                </c:pt>
                <c:pt idx="19">
                  <c:v>Irsko</c:v>
                </c:pt>
                <c:pt idx="20">
                  <c:v>Řecko</c:v>
                </c:pt>
                <c:pt idx="21">
                  <c:v>Polsko</c:v>
                </c:pt>
                <c:pt idx="22">
                  <c:v>Slovensko</c:v>
                </c:pt>
                <c:pt idx="23">
                  <c:v>Kypr</c:v>
                </c:pt>
                <c:pt idx="24">
                  <c:v>Litva</c:v>
                </c:pt>
                <c:pt idx="25">
                  <c:v>Malta</c:v>
                </c:pt>
                <c:pt idx="26">
                  <c:v>Bulharsko</c:v>
                </c:pt>
                <c:pt idx="27">
                  <c:v>Rumunsko</c:v>
                </c:pt>
                <c:pt idx="28">
                  <c:v>Lotyšsko</c:v>
                </c:pt>
                <c:pt idx="30">
                  <c:v>Island</c:v>
                </c:pt>
                <c:pt idx="31">
                  <c:v>Jižní Korea (2011)</c:v>
                </c:pt>
                <c:pt idx="32">
                  <c:v>Norsko</c:v>
                </c:pt>
                <c:pt idx="33">
                  <c:v>USA</c:v>
                </c:pt>
                <c:pt idx="34">
                  <c:v>Japonsko</c:v>
                </c:pt>
                <c:pt idx="35">
                  <c:v>Rusko</c:v>
                </c:pt>
              </c:strCache>
            </c:strRef>
          </c:cat>
          <c:val>
            <c:numRef>
              <c:f>'GRAF4-1'!$B$3:$B$38</c:f>
              <c:numCache>
                <c:formatCode>0.0%</c:formatCode>
                <c:ptCount val="36"/>
                <c:pt idx="0">
                  <c:v>1.03E-2</c:v>
                </c:pt>
                <c:pt idx="1">
                  <c:v>1.0200000000000001E-2</c:v>
                </c:pt>
                <c:pt idx="2">
                  <c:v>9.4999999999999998E-3</c:v>
                </c:pt>
                <c:pt idx="3">
                  <c:v>9.1999999999999998E-3</c:v>
                </c:pt>
                <c:pt idx="4">
                  <c:v>8.6E-3</c:v>
                </c:pt>
                <c:pt idx="5">
                  <c:v>8.6E-3</c:v>
                </c:pt>
                <c:pt idx="6">
                  <c:v>8.3999999999999995E-3</c:v>
                </c:pt>
                <c:pt idx="7">
                  <c:v>7.6E-3</c:v>
                </c:pt>
                <c:pt idx="8">
                  <c:v>7.3000000000000001E-3</c:v>
                </c:pt>
                <c:pt idx="9">
                  <c:v>7.3000000000000001E-3</c:v>
                </c:pt>
                <c:pt idx="10">
                  <c:v>6.8999999999999999E-3</c:v>
                </c:pt>
                <c:pt idx="11">
                  <c:v>6.7000000000000002E-3</c:v>
                </c:pt>
                <c:pt idx="12">
                  <c:v>6.6E-3</c:v>
                </c:pt>
                <c:pt idx="13">
                  <c:v>6.4000000000000003E-3</c:v>
                </c:pt>
                <c:pt idx="14">
                  <c:v>6.0999999999999995E-3</c:v>
                </c:pt>
                <c:pt idx="15">
                  <c:v>5.6999999999999993E-3</c:v>
                </c:pt>
                <c:pt idx="16">
                  <c:v>5.4000000000000003E-3</c:v>
                </c:pt>
                <c:pt idx="17">
                  <c:v>5.3E-3</c:v>
                </c:pt>
                <c:pt idx="18">
                  <c:v>5.1999999999999998E-3</c:v>
                </c:pt>
                <c:pt idx="19">
                  <c:v>4.6999999999999993E-3</c:v>
                </c:pt>
                <c:pt idx="20">
                  <c:v>3.9000000000000003E-3</c:v>
                </c:pt>
                <c:pt idx="21">
                  <c:v>3.7000000000000002E-3</c:v>
                </c:pt>
                <c:pt idx="22">
                  <c:v>3.7000000000000002E-3</c:v>
                </c:pt>
                <c:pt idx="23">
                  <c:v>3.5999999999999999E-3</c:v>
                </c:pt>
                <c:pt idx="24">
                  <c:v>3.5999999999999999E-3</c:v>
                </c:pt>
                <c:pt idx="25">
                  <c:v>3.0999999999999999E-3</c:v>
                </c:pt>
                <c:pt idx="26">
                  <c:v>2.5999999999999999E-3</c:v>
                </c:pt>
                <c:pt idx="27">
                  <c:v>2.0999999999999999E-3</c:v>
                </c:pt>
                <c:pt idx="28">
                  <c:v>1.4000000000000002E-3</c:v>
                </c:pt>
                <c:pt idx="30">
                  <c:v>1.1200000000000002E-2</c:v>
                </c:pt>
                <c:pt idx="31">
                  <c:v>1.06E-2</c:v>
                </c:pt>
                <c:pt idx="32">
                  <c:v>8.1000000000000013E-3</c:v>
                </c:pt>
                <c:pt idx="33">
                  <c:v>7.9000000000000008E-3</c:v>
                </c:pt>
                <c:pt idx="34">
                  <c:v>7.6E-3</c:v>
                </c:pt>
                <c:pt idx="35">
                  <c:v>5.5000000000000005E-3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4173824"/>
        <c:axId val="114175360"/>
      </c:barChart>
      <c:barChart>
        <c:barDir val="col"/>
        <c:grouping val="clustered"/>
        <c:varyColors val="0"/>
        <c:ser>
          <c:idx val="1"/>
          <c:order val="1"/>
          <c:tx>
            <c:strRef>
              <c:f>'GRAF4-1'!$C$2</c:f>
              <c:strCache>
                <c:ptCount val="1"/>
                <c:pt idx="0">
                  <c:v>2005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cat>
            <c:strRef>
              <c:f>'GRAF4-1'!$A$3:$A$38</c:f>
              <c:strCache>
                <c:ptCount val="36"/>
                <c:pt idx="0">
                  <c:v>Finsko</c:v>
                </c:pt>
                <c:pt idx="1">
                  <c:v>Dánsko</c:v>
                </c:pt>
                <c:pt idx="2">
                  <c:v>Portugalsko</c:v>
                </c:pt>
                <c:pt idx="3">
                  <c:v>Německo</c:v>
                </c:pt>
                <c:pt idx="4">
                  <c:v>Estonsko</c:v>
                </c:pt>
                <c:pt idx="5">
                  <c:v>Švédsko</c:v>
                </c:pt>
                <c:pt idx="6">
                  <c:v>Rakousko</c:v>
                </c:pt>
                <c:pt idx="7">
                  <c:v>Nizozemsko</c:v>
                </c:pt>
                <c:pt idx="8">
                  <c:v>Francie</c:v>
                </c:pt>
                <c:pt idx="9">
                  <c:v>Chorvatsko</c:v>
                </c:pt>
                <c:pt idx="10">
                  <c:v>EU28</c:v>
                </c:pt>
                <c:pt idx="11">
                  <c:v>Česká republika</c:v>
                </c:pt>
                <c:pt idx="12">
                  <c:v>Belgie</c:v>
                </c:pt>
                <c:pt idx="13">
                  <c:v>Lucembursko</c:v>
                </c:pt>
                <c:pt idx="14">
                  <c:v>Maďarsko</c:v>
                </c:pt>
                <c:pt idx="15">
                  <c:v>Spojené království</c:v>
                </c:pt>
                <c:pt idx="16">
                  <c:v>Slovinsko</c:v>
                </c:pt>
                <c:pt idx="17">
                  <c:v>Itálie</c:v>
                </c:pt>
                <c:pt idx="18">
                  <c:v>Španělsko</c:v>
                </c:pt>
                <c:pt idx="19">
                  <c:v>Irsko</c:v>
                </c:pt>
                <c:pt idx="20">
                  <c:v>Řecko</c:v>
                </c:pt>
                <c:pt idx="21">
                  <c:v>Polsko</c:v>
                </c:pt>
                <c:pt idx="22">
                  <c:v>Slovensko</c:v>
                </c:pt>
                <c:pt idx="23">
                  <c:v>Kypr</c:v>
                </c:pt>
                <c:pt idx="24">
                  <c:v>Litva</c:v>
                </c:pt>
                <c:pt idx="25">
                  <c:v>Malta</c:v>
                </c:pt>
                <c:pt idx="26">
                  <c:v>Bulharsko</c:v>
                </c:pt>
                <c:pt idx="27">
                  <c:v>Rumunsko</c:v>
                </c:pt>
                <c:pt idx="28">
                  <c:v>Lotyšsko</c:v>
                </c:pt>
                <c:pt idx="30">
                  <c:v>Island</c:v>
                </c:pt>
                <c:pt idx="31">
                  <c:v>Jižní Korea (2011)</c:v>
                </c:pt>
                <c:pt idx="32">
                  <c:v>Norsko</c:v>
                </c:pt>
                <c:pt idx="33">
                  <c:v>USA</c:v>
                </c:pt>
                <c:pt idx="34">
                  <c:v>Japonsko</c:v>
                </c:pt>
                <c:pt idx="35">
                  <c:v>Rusko</c:v>
                </c:pt>
              </c:strCache>
            </c:strRef>
          </c:cat>
          <c:val>
            <c:numRef>
              <c:f>'GRAF4-1'!$C$3:$C$38</c:f>
              <c:numCache>
                <c:formatCode>0.0%</c:formatCode>
                <c:ptCount val="36"/>
                <c:pt idx="0">
                  <c:v>1.03E-2</c:v>
                </c:pt>
                <c:pt idx="1">
                  <c:v>7.0999999999999995E-3</c:v>
                </c:pt>
                <c:pt idx="2">
                  <c:v>6.9999999999999993E-3</c:v>
                </c:pt>
                <c:pt idx="3">
                  <c:v>7.7000000000000002E-3</c:v>
                </c:pt>
                <c:pt idx="4">
                  <c:v>4.0000000000000001E-3</c:v>
                </c:pt>
                <c:pt idx="5">
                  <c:v>8.6E-3</c:v>
                </c:pt>
                <c:pt idx="6">
                  <c:v>6.6E-3</c:v>
                </c:pt>
                <c:pt idx="7">
                  <c:v>7.9000000000000008E-3</c:v>
                </c:pt>
                <c:pt idx="8">
                  <c:v>9.7000000000000003E-3</c:v>
                </c:pt>
                <c:pt idx="9">
                  <c:v>0</c:v>
                </c:pt>
                <c:pt idx="10">
                  <c:v>7.0999999999999995E-3</c:v>
                </c:pt>
                <c:pt idx="11">
                  <c:v>5.3E-3</c:v>
                </c:pt>
                <c:pt idx="12">
                  <c:v>5.8999999999999999E-3</c:v>
                </c:pt>
                <c:pt idx="13">
                  <c:v>2.5999999999999999E-3</c:v>
                </c:pt>
                <c:pt idx="14">
                  <c:v>4.0999999999999995E-3</c:v>
                </c:pt>
                <c:pt idx="15">
                  <c:v>6.7000000000000002E-3</c:v>
                </c:pt>
                <c:pt idx="16">
                  <c:v>5.7999999999999996E-3</c:v>
                </c:pt>
                <c:pt idx="17">
                  <c:v>6.7000000000000002E-3</c:v>
                </c:pt>
                <c:pt idx="18">
                  <c:v>5.5000000000000005E-3</c:v>
                </c:pt>
                <c:pt idx="19">
                  <c:v>4.5000000000000005E-3</c:v>
                </c:pt>
                <c:pt idx="20">
                  <c:v>3.3E-3</c:v>
                </c:pt>
                <c:pt idx="21">
                  <c:v>2.8999999999999998E-3</c:v>
                </c:pt>
                <c:pt idx="22">
                  <c:v>2.8000000000000004E-3</c:v>
                </c:pt>
                <c:pt idx="23">
                  <c:v>3.2000000000000002E-3</c:v>
                </c:pt>
                <c:pt idx="24">
                  <c:v>3.4999999999999996E-3</c:v>
                </c:pt>
                <c:pt idx="25">
                  <c:v>1.9E-3</c:v>
                </c:pt>
                <c:pt idx="26">
                  <c:v>2.8999999999999998E-3</c:v>
                </c:pt>
                <c:pt idx="27">
                  <c:v>2.2000000000000001E-3</c:v>
                </c:pt>
                <c:pt idx="28">
                  <c:v>2E-3</c:v>
                </c:pt>
                <c:pt idx="30">
                  <c:v>8.8000000000000005E-3</c:v>
                </c:pt>
                <c:pt idx="31">
                  <c:v>7.8000000000000005E-3</c:v>
                </c:pt>
                <c:pt idx="32">
                  <c:v>7.0999999999999995E-3</c:v>
                </c:pt>
                <c:pt idx="33">
                  <c:v>0.01</c:v>
                </c:pt>
                <c:pt idx="34">
                  <c:v>7.0999999999999995E-3</c:v>
                </c:pt>
                <c:pt idx="35">
                  <c:v>3.5999999999999999E-3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14195072"/>
        <c:axId val="114193536"/>
      </c:barChart>
      <c:catAx>
        <c:axId val="114173824"/>
        <c:scaling>
          <c:orientation val="minMax"/>
        </c:scaling>
        <c:delete val="0"/>
        <c:axPos val="b"/>
        <c:majorGridlines>
          <c:spPr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4175360"/>
        <c:crosses val="autoZero"/>
        <c:auto val="1"/>
        <c:lblAlgn val="ctr"/>
        <c:lblOffset val="100"/>
        <c:noMultiLvlLbl val="0"/>
      </c:catAx>
      <c:valAx>
        <c:axId val="114175360"/>
        <c:scaling>
          <c:orientation val="minMax"/>
          <c:max val="1.2000000000000002E-2"/>
          <c:min val="0"/>
        </c:scaling>
        <c:delete val="0"/>
        <c:axPos val="l"/>
        <c:majorGridlines>
          <c:spPr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</c:majorGridlines>
        <c:numFmt formatCode="0.0%" sourceLinked="1"/>
        <c:majorTickMark val="out"/>
        <c:minorTickMark val="none"/>
        <c:tickLblPos val="nextTo"/>
        <c:crossAx val="114173824"/>
        <c:crosses val="autoZero"/>
        <c:crossBetween val="between"/>
      </c:valAx>
      <c:valAx>
        <c:axId val="114193536"/>
        <c:scaling>
          <c:orientation val="minMax"/>
          <c:max val="1.4000000000000002E-2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spPr>
          <a:ln>
            <a:solidFill>
              <a:schemeClr val="accent3">
                <a:lumMod val="20000"/>
                <a:lumOff val="80000"/>
              </a:schemeClr>
            </a:solidFill>
          </a:ln>
        </c:spPr>
        <c:crossAx val="114195072"/>
        <c:crosses val="max"/>
        <c:crossBetween val="between"/>
      </c:valAx>
      <c:catAx>
        <c:axId val="114195072"/>
        <c:scaling>
          <c:orientation val="minMax"/>
        </c:scaling>
        <c:delete val="1"/>
        <c:axPos val="b"/>
        <c:majorTickMark val="out"/>
        <c:minorTickMark val="none"/>
        <c:tickLblPos val="none"/>
        <c:crossAx val="114193536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50" baseline="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49436227013687E-2"/>
          <c:y val="5.4320987654321001E-2"/>
          <c:w val="0.94250235075755706"/>
          <c:h val="0.631183046563624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'GRAF4-3'!$B$4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1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1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Pt>
            <c:idx val="13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7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</c:spPr>
          </c:dPt>
          <c:dLbls>
            <c:dLbl>
              <c:idx val="26"/>
              <c:numFmt formatCode="0.00%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numFmt formatCode="0.00%" sourceLinked="0"/>
              <c:spPr/>
              <c:txPr>
                <a:bodyPr rot="-5400000" vert="horz"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'GRAF4-3'!$A$5:$A$32</c:f>
              <c:strCache>
                <c:ptCount val="28"/>
                <c:pt idx="0">
                  <c:v>Německo</c:v>
                </c:pt>
                <c:pt idx="1">
                  <c:v>Francie</c:v>
                </c:pt>
                <c:pt idx="2">
                  <c:v>Spojené království</c:v>
                </c:pt>
                <c:pt idx="3">
                  <c:v>Itálie</c:v>
                </c:pt>
                <c:pt idx="4">
                  <c:v>Španělsko</c:v>
                </c:pt>
                <c:pt idx="5">
                  <c:v>Nizozemsko</c:v>
                </c:pt>
                <c:pt idx="6">
                  <c:v>Švédsko</c:v>
                </c:pt>
                <c:pt idx="7">
                  <c:v>Rakousko</c:v>
                </c:pt>
                <c:pt idx="8">
                  <c:v>Dánsko</c:v>
                </c:pt>
                <c:pt idx="9">
                  <c:v>Belgie</c:v>
                </c:pt>
                <c:pt idx="10">
                  <c:v>Finsko</c:v>
                </c:pt>
                <c:pt idx="11">
                  <c:v>Portugalsko</c:v>
                </c:pt>
                <c:pt idx="12">
                  <c:v>Polsko</c:v>
                </c:pt>
                <c:pt idx="13">
                  <c:v>ČR</c:v>
                </c:pt>
                <c:pt idx="14">
                  <c:v>Irsko</c:v>
                </c:pt>
                <c:pt idx="15">
                  <c:v>Řecko</c:v>
                </c:pt>
                <c:pt idx="16">
                  <c:v>Maďarsko</c:v>
                </c:pt>
                <c:pt idx="17">
                  <c:v>Chorvatsko</c:v>
                </c:pt>
                <c:pt idx="18">
                  <c:v>Rumunsko</c:v>
                </c:pt>
                <c:pt idx="19">
                  <c:v>Lucembursko</c:v>
                </c:pt>
                <c:pt idx="20">
                  <c:v>Slovensko</c:v>
                </c:pt>
                <c:pt idx="21">
                  <c:v>Slovinsko</c:v>
                </c:pt>
                <c:pt idx="22">
                  <c:v>Estonsko</c:v>
                </c:pt>
                <c:pt idx="23">
                  <c:v>Litva</c:v>
                </c:pt>
                <c:pt idx="24">
                  <c:v>Bulharsko</c:v>
                </c:pt>
                <c:pt idx="25">
                  <c:v>Kypr</c:v>
                </c:pt>
                <c:pt idx="26">
                  <c:v>Lotyšsko</c:v>
                </c:pt>
                <c:pt idx="27">
                  <c:v>Malta</c:v>
                </c:pt>
              </c:strCache>
            </c:strRef>
          </c:cat>
          <c:val>
            <c:numRef>
              <c:f>'GRAF4-3'!$B$5:$B$32</c:f>
              <c:numCache>
                <c:formatCode>0.0%</c:formatCode>
                <c:ptCount val="28"/>
                <c:pt idx="0">
                  <c:v>0.27749479532268995</c:v>
                </c:pt>
                <c:pt idx="1">
                  <c:v>0.16552116310225229</c:v>
                </c:pt>
                <c:pt idx="2">
                  <c:v>0.119991289821799</c:v>
                </c:pt>
                <c:pt idx="3">
                  <c:v>9.19710933723214E-2</c:v>
                </c:pt>
                <c:pt idx="4">
                  <c:v>5.8670506075032186E-2</c:v>
                </c:pt>
                <c:pt idx="5">
                  <c:v>5.084544426753828E-2</c:v>
                </c:pt>
                <c:pt idx="6">
                  <c:v>4.0215363001085087E-2</c:v>
                </c:pt>
                <c:pt idx="7">
                  <c:v>2.8962281686601726E-2</c:v>
                </c:pt>
                <c:pt idx="8">
                  <c:v>2.8146685844704145E-2</c:v>
                </c:pt>
                <c:pt idx="9">
                  <c:v>2.8039344433573293E-2</c:v>
                </c:pt>
                <c:pt idx="10">
                  <c:v>2.2061615605246838E-2</c:v>
                </c:pt>
                <c:pt idx="11">
                  <c:v>1.7446432133362427E-2</c:v>
                </c:pt>
                <c:pt idx="12">
                  <c:v>1.5892716309047403E-2</c:v>
                </c:pt>
                <c:pt idx="13">
                  <c:v>1.1107631768819282E-2</c:v>
                </c:pt>
                <c:pt idx="14">
                  <c:v>8.5409069278588705E-3</c:v>
                </c:pt>
                <c:pt idx="15">
                  <c:v>7.8550930947253635E-3</c:v>
                </c:pt>
                <c:pt idx="16">
                  <c:v>6.6400966013035363E-3</c:v>
                </c:pt>
                <c:pt idx="17">
                  <c:v>3.4905128699700173E-3</c:v>
                </c:pt>
                <c:pt idx="18">
                  <c:v>3.3197168294902728E-3</c:v>
                </c:pt>
                <c:pt idx="19">
                  <c:v>3.2292031043246591E-3</c:v>
                </c:pt>
                <c:pt idx="20">
                  <c:v>2.9390663966679369E-3</c:v>
                </c:pt>
                <c:pt idx="21">
                  <c:v>2.0942789944813477E-3</c:v>
                </c:pt>
                <c:pt idx="22">
                  <c:v>1.7450520277687534E-3</c:v>
                </c:pt>
                <c:pt idx="23">
                  <c:v>1.3881901753030538E-3</c:v>
                </c:pt>
                <c:pt idx="24">
                  <c:v>1.1322612915126333E-3</c:v>
                </c:pt>
                <c:pt idx="25">
                  <c:v>6.568984988124107E-4</c:v>
                </c:pt>
                <c:pt idx="26">
                  <c:v>3.5867389481520658E-4</c:v>
                </c:pt>
                <c:pt idx="27">
                  <c:v>2.436975979312487E-4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4227840"/>
        <c:axId val="114303360"/>
      </c:barChart>
      <c:catAx>
        <c:axId val="114227840"/>
        <c:scaling>
          <c:orientation val="minMax"/>
        </c:scaling>
        <c:delete val="0"/>
        <c:axPos val="b"/>
        <c:majorGridlines>
          <c:spPr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4303360"/>
        <c:crosses val="autoZero"/>
        <c:auto val="1"/>
        <c:lblAlgn val="ctr"/>
        <c:lblOffset val="100"/>
        <c:noMultiLvlLbl val="0"/>
      </c:catAx>
      <c:valAx>
        <c:axId val="114303360"/>
        <c:scaling>
          <c:orientation val="minMax"/>
          <c:max val="0.35000000000000009"/>
        </c:scaling>
        <c:delete val="1"/>
        <c:axPos val="l"/>
        <c:majorGridlines>
          <c:spPr>
            <a:ln>
              <a:solidFill>
                <a:schemeClr val="accent3">
                  <a:lumMod val="20000"/>
                  <a:lumOff val="80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one"/>
        <c:crossAx val="1142278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50" baseline="0"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'GRAF4-4'!$P$28</c:f>
              <c:strCache>
                <c:ptCount val="1"/>
                <c:pt idx="0">
                  <c:v>ČR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('GRAF4-4'!$N$29:$N$35,'GRAF4-4'!$N$39)</c:f>
              <c:strCache>
                <c:ptCount val="8"/>
                <c:pt idx="0">
                  <c:v>Všeobecný rozvoj znalostí - ostatní zdroje</c:v>
                </c:pt>
                <c:pt idx="1">
                  <c:v>Všeobecný rozvoj znalostí - všeobecné univerzitní fondy</c:v>
                </c:pt>
                <c:pt idx="2">
                  <c:v>Průmyslová výroba a technologie</c:v>
                </c:pt>
                <c:pt idx="3">
                  <c:v>Zdraví</c:v>
                </c:pt>
                <c:pt idx="4">
                  <c:v>Doprava, telekomunikace a ostatní infrastruktura</c:v>
                </c:pt>
                <c:pt idx="5">
                  <c:v>Zemědělství</c:v>
                </c:pt>
                <c:pt idx="6">
                  <c:v>Energie</c:v>
                </c:pt>
                <c:pt idx="7">
                  <c:v>Obrana</c:v>
                </c:pt>
              </c:strCache>
            </c:strRef>
          </c:cat>
          <c:val>
            <c:numRef>
              <c:f>('GRAF4-4'!$P$29:$P$35,'GRAF4-4'!$P$39)</c:f>
              <c:numCache>
                <c:formatCode>0.0%</c:formatCode>
                <c:ptCount val="8"/>
                <c:pt idx="0">
                  <c:v>0.32789999999999997</c:v>
                </c:pt>
                <c:pt idx="1">
                  <c:v>0.22390000000000002</c:v>
                </c:pt>
                <c:pt idx="2">
                  <c:v>0.16489999999999999</c:v>
                </c:pt>
                <c:pt idx="3">
                  <c:v>5.8400000000000001E-2</c:v>
                </c:pt>
                <c:pt idx="4">
                  <c:v>4.2800000000000005E-2</c:v>
                </c:pt>
                <c:pt idx="5">
                  <c:v>3.9100000000000003E-2</c:v>
                </c:pt>
                <c:pt idx="6">
                  <c:v>3.4000000000000002E-2</c:v>
                </c:pt>
                <c:pt idx="7">
                  <c:v>1.5900000000000001E-2</c:v>
                </c:pt>
              </c:numCache>
            </c:numRef>
          </c:val>
        </c:ser>
        <c:ser>
          <c:idx val="0"/>
          <c:order val="1"/>
          <c:tx>
            <c:strRef>
              <c:f>'GRAF4-4'!$O$28</c:f>
              <c:strCache>
                <c:ptCount val="1"/>
                <c:pt idx="0">
                  <c:v>EU28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('GRAF4-4'!$N$29:$N$35,'GRAF4-4'!$N$39)</c:f>
              <c:strCache>
                <c:ptCount val="8"/>
                <c:pt idx="0">
                  <c:v>Všeobecný rozvoj znalostí - ostatní zdroje</c:v>
                </c:pt>
                <c:pt idx="1">
                  <c:v>Všeobecný rozvoj znalostí - všeobecné univerzitní fondy</c:v>
                </c:pt>
                <c:pt idx="2">
                  <c:v>Průmyslová výroba a technologie</c:v>
                </c:pt>
                <c:pt idx="3">
                  <c:v>Zdraví</c:v>
                </c:pt>
                <c:pt idx="4">
                  <c:v>Doprava, telekomunikace a ostatní infrastruktura</c:v>
                </c:pt>
                <c:pt idx="5">
                  <c:v>Zemědělství</c:v>
                </c:pt>
                <c:pt idx="6">
                  <c:v>Energie</c:v>
                </c:pt>
                <c:pt idx="7">
                  <c:v>Obrana</c:v>
                </c:pt>
              </c:strCache>
            </c:strRef>
          </c:cat>
          <c:val>
            <c:numRef>
              <c:f>('GRAF4-4'!$O$29:$O$35,'GRAF4-4'!$O$39)</c:f>
              <c:numCache>
                <c:formatCode>0.0%</c:formatCode>
                <c:ptCount val="8"/>
                <c:pt idx="0">
                  <c:v>0.17899999999999999</c:v>
                </c:pt>
                <c:pt idx="1">
                  <c:v>0.34670000000000001</c:v>
                </c:pt>
                <c:pt idx="2">
                  <c:v>9.1899999999999996E-2</c:v>
                </c:pt>
                <c:pt idx="3">
                  <c:v>8.7999999999999995E-2</c:v>
                </c:pt>
                <c:pt idx="4">
                  <c:v>2.7E-2</c:v>
                </c:pt>
                <c:pt idx="5">
                  <c:v>3.3000000000000002E-2</c:v>
                </c:pt>
                <c:pt idx="6">
                  <c:v>4.1000000000000002E-2</c:v>
                </c:pt>
                <c:pt idx="7">
                  <c:v>4.6199999999999998E-2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49184"/>
        <c:axId val="114350720"/>
      </c:barChart>
      <c:catAx>
        <c:axId val="11434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350720"/>
        <c:crosses val="autoZero"/>
        <c:auto val="1"/>
        <c:lblAlgn val="ctr"/>
        <c:lblOffset val="100"/>
        <c:noMultiLvlLbl val="0"/>
      </c:catAx>
      <c:valAx>
        <c:axId val="11435072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143491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50" baseline="0"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B872-A1B7-4647-9A2E-CFC3E651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GBAORD</vt:lpstr>
    </vt:vector>
  </TitlesOfParts>
  <Company>CSU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GBAORD</dc:title>
  <dc:creator>csu</dc:creator>
  <cp:lastModifiedBy>Václav Sojka</cp:lastModifiedBy>
  <cp:revision>8</cp:revision>
  <cp:lastPrinted>2013-12-09T14:02:00Z</cp:lastPrinted>
  <dcterms:created xsi:type="dcterms:W3CDTF">2015-01-06T14:57:00Z</dcterms:created>
  <dcterms:modified xsi:type="dcterms:W3CDTF">2015-01-09T09:39:00Z</dcterms:modified>
</cp:coreProperties>
</file>