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Pr="000732DB" w:rsidRDefault="007D4281" w:rsidP="00E27AA1">
      <w:pPr>
        <w:pStyle w:val="Nadpis1"/>
        <w:numPr>
          <w:ilvl w:val="0"/>
          <w:numId w:val="6"/>
        </w:numPr>
        <w:jc w:val="both"/>
      </w:pPr>
      <w:bookmarkStart w:id="0" w:name="_Toc454185153"/>
      <w:r>
        <w:t>Trh práce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7A4048" w:rsidTr="0002434F">
        <w:tc>
          <w:tcPr>
            <w:tcW w:w="1054" w:type="pct"/>
          </w:tcPr>
          <w:p w:rsidR="007A4048" w:rsidRPr="003A34E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Rekordní 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mezičtvrtletní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tempo růstu celkové zaměstnanosti 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1925A2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Celková zaměstnanost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na počátku roku zrychlila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Proti poslednímu čtvrtletí 2015 se 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zvýšila o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1,5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%, což bylo nejvíce v historii samo</w:t>
            </w:r>
            <w:r>
              <w:rPr>
                <w:rFonts w:cs="Arial"/>
                <w:color w:val="0D0D0D" w:themeColor="text1" w:themeTint="F2"/>
                <w:spacing w:val="-4"/>
              </w:rPr>
              <w:t>sta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tné ČR.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Meziročně mělo 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práci </w:t>
            </w:r>
            <w:r w:rsidRPr="002C0FF4">
              <w:rPr>
                <w:rFonts w:cs="Arial"/>
                <w:color w:val="0D0D0D" w:themeColor="text1" w:themeTint="F2"/>
                <w:spacing w:val="-6"/>
              </w:rPr>
              <w:t>o</w:t>
            </w:r>
            <w:r w:rsidR="002C0FF4" w:rsidRPr="002C0FF4"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2C0FF4">
              <w:rPr>
                <w:rFonts w:cs="Arial"/>
                <w:color w:val="0D0D0D" w:themeColor="text1" w:themeTint="F2"/>
                <w:spacing w:val="-6"/>
              </w:rPr>
              <w:t>téměř 2 % osob více, v absolutním vyjádření byly celkové počty pracovníků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rekordní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Stály za tím efekty hospodářského cyklu i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dlouhodobě působící demografické vlivy</w:t>
            </w:r>
            <w:r>
              <w:rPr>
                <w:rFonts w:cs="Arial"/>
                <w:color w:val="0D0D0D" w:themeColor="text1" w:themeTint="F2"/>
                <w:spacing w:val="-4"/>
              </w:rPr>
              <w:t>.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Zaměstnanost ve zpracovatelském průmyslu rostla meziročně téměř dvojnásobným tempem než v celé ekonomice, </w:t>
            </w:r>
          </w:p>
          <w:p w:rsidR="007A4048" w:rsidRPr="0099457E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nejvyšší dynamiku však zaznamenala některá odvětví služeb </w:t>
            </w:r>
          </w:p>
          <w:p w:rsidR="007A4048" w:rsidRPr="0099457E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Cs w:val="20"/>
              </w:rPr>
            </w:pP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1925A2" w:rsidRDefault="007A4048" w:rsidP="0002434F">
            <w:pPr>
              <w:pStyle w:val="Textpoznpodarou"/>
              <w:jc w:val="both"/>
              <w:rPr>
                <w:spacing w:val="-4"/>
              </w:rPr>
            </w:pPr>
            <w:r w:rsidRPr="001925A2">
              <w:rPr>
                <w:spacing w:val="-4"/>
              </w:rPr>
              <w:t>Podobně jako v předchozích dvou letech táhl růst celkové zaměstnanosti zpracovatel</w:t>
            </w:r>
            <w:r w:rsidR="0002434F">
              <w:rPr>
                <w:spacing w:val="-4"/>
              </w:rPr>
              <w:t>ský průmysl (s meziročním zvýšením</w:t>
            </w:r>
            <w:r w:rsidRPr="001925A2">
              <w:rPr>
                <w:spacing w:val="-4"/>
              </w:rPr>
              <w:t xml:space="preserve"> o 3,5 %). O polovinu přírůstku se však zasloužily i služby, jejichž vývoj byl však vnitřně značně nerovnoměrný. Zejména faktická stagnace zaměstnanosti ve vzdělávání se odrazila ve střídmém růstu váhově významné skupiny odvětví veřejná správa, obrana, vzdělávání, zdravotní a sociální péče (1,2 %). Srovnatelným tempem ale nasávaly pracovníky v úhrnu i obchod, doprava, ubytování a pohostinství. Dynamicky naopak rostla z</w:t>
            </w:r>
            <w:r>
              <w:rPr>
                <w:spacing w:val="-4"/>
              </w:rPr>
              <w:t>aměstnanost v</w:t>
            </w:r>
            <w:r w:rsidRPr="001925A2">
              <w:rPr>
                <w:spacing w:val="-4"/>
              </w:rPr>
              <w:t> </w:t>
            </w:r>
            <w:r w:rsidRPr="001925A2">
              <w:rPr>
                <w:color w:val="0D0D0D" w:themeColor="text1" w:themeTint="F2"/>
                <w:spacing w:val="-4"/>
              </w:rPr>
              <w:t xml:space="preserve">profesních, vědeckých, technických a administrativních činnostech (4,8 %), ovlivněná stále silnou poptávkou po agenturních pracovnících. </w:t>
            </w:r>
            <w:r w:rsidRPr="001925A2">
              <w:rPr>
                <w:spacing w:val="-4"/>
              </w:rPr>
              <w:t>Tempo tvorby nových pracovních míst zrychlilo také v informačních a komunikačních činnostech.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spacing w:val="-4"/>
                <w:sz w:val="15"/>
                <w:szCs w:val="15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Pr="00372465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Pracovní místa nadále dlouhodobě ztrácely stavebnictví a zejména vlivem uhlí i celý těžební průmysl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1925A2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Některá menší odvětví však dosud </w:t>
            </w:r>
            <w:r>
              <w:rPr>
                <w:rFonts w:cs="Arial"/>
                <w:color w:val="0D0D0D" w:themeColor="text1" w:themeTint="F2"/>
                <w:spacing w:val="-4"/>
              </w:rPr>
              <w:t>z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 oživení ekonomiky neprofitovala. Šlo především o stavebnictví, kde se celková zaměstnanost snižovala již 21.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čtvrtletí v řadě, byť na</w:t>
            </w:r>
            <w:r w:rsidR="002C0FF4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úrovni zaměstnaneckých pozic se pokles již zastavil. S citelnou redukcí pracovních míst se dlouhodobě potýkají i těže</w:t>
            </w:r>
            <w:r>
              <w:rPr>
                <w:rFonts w:cs="Arial"/>
                <w:color w:val="0D0D0D" w:themeColor="text1" w:themeTint="F2"/>
                <w:spacing w:val="-4"/>
              </w:rPr>
              <w:t>b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ní společnosti. Naopak jen mírně poklesly stavy zaměstnaných v dlouhodobě stabilizovaných odvětvích – </w:t>
            </w:r>
            <w:proofErr w:type="gramStart"/>
            <w:r w:rsidRPr="001925A2">
              <w:rPr>
                <w:rFonts w:cs="Arial"/>
                <w:color w:val="0D0D0D" w:themeColor="text1" w:themeTint="F2"/>
                <w:spacing w:val="-4"/>
              </w:rPr>
              <w:t>činnostech</w:t>
            </w:r>
            <w:proofErr w:type="gramEnd"/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v oblasti nemovitostí a v úhrnu v zemědělství, lesnictví a rybářství.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Přeliv 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sebezaměstnaných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do zaměstnaneckých pozic, typických pro pracovní trh v ČR v době konjunktury, </w:t>
            </w:r>
            <w:proofErr w:type="gramStart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pokračoval...</w:t>
            </w:r>
            <w:proofErr w:type="gramEnd"/>
          </w:p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…nejvíce byl patrný ve </w:t>
            </w:r>
            <w:r w:rsidR="007C3AE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skupině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odvětví o</w:t>
            </w:r>
            <w:r w:rsidRPr="007E700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bchod, doprava, ubytování </w:t>
            </w:r>
          </w:p>
          <w:p w:rsidR="007A4048" w:rsidRPr="00A245E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 w:rsidRPr="007E700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a pohostinství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1925A2" w:rsidRDefault="007A4048" w:rsidP="0002434F">
            <w:pPr>
              <w:pStyle w:val="Textpoznpodarou"/>
              <w:jc w:val="both"/>
              <w:rPr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Disproporce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mezi vývojem počtu zaměstna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nců a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sebezaměstnaných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>,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zvýrazněná v roce </w:t>
            </w:r>
            <w:r>
              <w:rPr>
                <w:rFonts w:cs="Arial"/>
                <w:color w:val="0D0D0D" w:themeColor="text1" w:themeTint="F2"/>
                <w:spacing w:val="-4"/>
              </w:rPr>
              <w:t>2015,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pokračovala. V 1. čtvrtletí </w:t>
            </w:r>
            <w:r>
              <w:rPr>
                <w:rFonts w:cs="Arial"/>
                <w:color w:val="0D0D0D" w:themeColor="text1" w:themeTint="F2"/>
                <w:spacing w:val="-4"/>
              </w:rPr>
              <w:t>pracovalo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 xml:space="preserve"> na zaměstnaneckých postech o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2,6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% osob meziro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čně více,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sebezaměstnaných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ale 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o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2,3</w:t>
            </w:r>
            <w:r w:rsidRPr="001925A2">
              <w:rPr>
                <w:spacing w:val="-4"/>
              </w:rPr>
              <w:t> </w:t>
            </w:r>
            <w:r w:rsidRPr="001925A2">
              <w:rPr>
                <w:rFonts w:cs="Arial"/>
                <w:color w:val="0D0D0D" w:themeColor="text1" w:themeTint="F2"/>
                <w:spacing w:val="-4"/>
              </w:rPr>
              <w:t>% ubylo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(hlavně ve</w:t>
            </w:r>
            <w:r w:rsidR="002C0FF4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5562AC">
              <w:rPr>
                <w:rFonts w:cs="Arial"/>
                <w:color w:val="0D0D0D" w:themeColor="text1" w:themeTint="F2"/>
                <w:spacing w:val="-5"/>
              </w:rPr>
              <w:t xml:space="preserve">stavebnictví, nemovitostech a v seskupení </w:t>
            </w:r>
            <w:r w:rsidRPr="005562AC">
              <w:rPr>
                <w:spacing w:val="-5"/>
              </w:rPr>
              <w:t>obchod, doprava, ubytování a pohostinství).</w:t>
            </w:r>
            <w:r w:rsidRPr="001925A2">
              <w:rPr>
                <w:spacing w:val="-4"/>
              </w:rPr>
              <w:t xml:space="preserve"> Lze předpokládat, že na část </w:t>
            </w:r>
            <w:proofErr w:type="spellStart"/>
            <w:r w:rsidRPr="001925A2">
              <w:rPr>
                <w:spacing w:val="-4"/>
              </w:rPr>
              <w:t>sebezaměstnaných</w:t>
            </w:r>
            <w:proofErr w:type="spellEnd"/>
            <w:r w:rsidRPr="001925A2">
              <w:rPr>
                <w:spacing w:val="-4"/>
              </w:rPr>
              <w:t xml:space="preserve"> zapůsobila rozšiřující se nabídka relativně stabilnějších a někdy i lépe placených zaměstnaneckých míst. </w:t>
            </w:r>
            <w:r w:rsidRPr="001925A2">
              <w:rPr>
                <w:color w:val="0D0D0D" w:themeColor="text1" w:themeTint="F2"/>
                <w:spacing w:val="-4"/>
              </w:rPr>
              <w:t xml:space="preserve">Zčásti se také uplatňuje fakt, že firmy do svých kmenových stavů stahují pracovníky, které na podobnou práci v „horších </w:t>
            </w:r>
            <w:r w:rsidR="009F3FC3">
              <w:rPr>
                <w:color w:val="0D0D0D" w:themeColor="text1" w:themeTint="F2"/>
                <w:spacing w:val="-4"/>
              </w:rPr>
              <w:t xml:space="preserve">časech“ využívaly v rámci </w:t>
            </w:r>
            <w:proofErr w:type="spellStart"/>
            <w:r w:rsidR="009F3FC3">
              <w:rPr>
                <w:color w:val="0D0D0D" w:themeColor="text1" w:themeTint="F2"/>
                <w:spacing w:val="-4"/>
              </w:rPr>
              <w:t>švarc</w:t>
            </w:r>
            <w:proofErr w:type="spellEnd"/>
            <w:r w:rsidR="009F3FC3">
              <w:rPr>
                <w:color w:val="0D0D0D" w:themeColor="text1" w:themeTint="F2"/>
                <w:spacing w:val="-4"/>
              </w:rPr>
              <w:t xml:space="preserve"> </w:t>
            </w:r>
            <w:r w:rsidRPr="001925A2">
              <w:rPr>
                <w:color w:val="0D0D0D" w:themeColor="text1" w:themeTint="F2"/>
                <w:spacing w:val="-4"/>
              </w:rPr>
              <w:t>systému.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7A4048" w:rsidRPr="003A21DC" w:rsidTr="0002434F">
        <w:tc>
          <w:tcPr>
            <w:tcW w:w="1054" w:type="pct"/>
          </w:tcPr>
          <w:p w:rsidR="007A4048" w:rsidRPr="00E23B96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Počet odpracovaných hodin rostl nejvíce od roku 2008, intenzivnějším využitím stávající pracovní síly reagují podniky na nedostatek kvalifikovaných zaměstnanců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6F0A33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Počet </w:t>
            </w:r>
            <w:r>
              <w:rPr>
                <w:rFonts w:cs="Arial"/>
                <w:color w:val="0D0D0D" w:themeColor="text1" w:themeTint="F2"/>
                <w:spacing w:val="-4"/>
              </w:rPr>
              <w:t>odpracovaných hodin rostl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 (o 3,4 %) </w:t>
            </w:r>
            <w:r>
              <w:rPr>
                <w:rFonts w:cs="Arial"/>
                <w:color w:val="0D0D0D" w:themeColor="text1" w:themeTint="F2"/>
                <w:spacing w:val="-4"/>
              </w:rPr>
              <w:t>nejvíce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 od 3. čtvrtletí 2008. Dynamiku rů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stu celkové zaměstnanosti 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>převýšil již počtvrté v řadě. Více hodin bylo odpracováno napříč vše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mi hlavními odvětvími, </w:t>
            </w:r>
            <w:r w:rsidR="009F3FC3">
              <w:rPr>
                <w:rFonts w:cs="Arial"/>
                <w:color w:val="0D0D0D" w:themeColor="text1" w:themeTint="F2"/>
                <w:spacing w:val="-4"/>
              </w:rPr>
              <w:t>především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 ve zpr</w:t>
            </w:r>
            <w:r>
              <w:rPr>
                <w:rFonts w:cs="Arial"/>
                <w:color w:val="0D0D0D" w:themeColor="text1" w:themeTint="F2"/>
                <w:spacing w:val="-4"/>
              </w:rPr>
              <w:t>acovatelském průmyslu (5,9 %) a</w:t>
            </w:r>
            <w:r w:rsidRPr="001925A2">
              <w:rPr>
                <w:spacing w:val="-4"/>
              </w:rPr>
              <w:t> 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>informačních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a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 komunikačních činnostech – tedy v oblastech potýkajících s</w:t>
            </w:r>
            <w:r>
              <w:rPr>
                <w:rFonts w:cs="Arial"/>
                <w:color w:val="0D0D0D" w:themeColor="text1" w:themeTint="F2"/>
                <w:spacing w:val="-4"/>
              </w:rPr>
              <w:t>e výrazněji s nedostatkem</w:t>
            </w:r>
            <w:r w:rsidRPr="006F0A33">
              <w:rPr>
                <w:rFonts w:cs="Arial"/>
                <w:color w:val="0D0D0D" w:themeColor="text1" w:themeTint="F2"/>
                <w:spacing w:val="-4"/>
              </w:rPr>
              <w:t xml:space="preserve"> kvalifikovaných pracovníků. 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5"/>
                <w:szCs w:val="15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Pr="00E23B96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Hodinová produktivita práce v celé ekonomice poprvé po devíti čtvrtletích meziročně poklesla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1C306A" w:rsidRDefault="007A4048" w:rsidP="0002434F">
            <w:pPr>
              <w:pStyle w:val="Textpoznpodarou"/>
              <w:jc w:val="both"/>
              <w:rPr>
                <w:spacing w:val="-4"/>
              </w:rPr>
            </w:pPr>
            <w:r w:rsidRPr="001C306A">
              <w:rPr>
                <w:rFonts w:cs="Arial"/>
                <w:color w:val="0D0D0D" w:themeColor="text1" w:themeTint="F2"/>
                <w:spacing w:val="-4"/>
              </w:rPr>
              <w:t xml:space="preserve">Snížení tempa růstu ekonomiky se promítlo i do produktivity. </w:t>
            </w:r>
            <w:r>
              <w:rPr>
                <w:rFonts w:cs="Arial"/>
                <w:color w:val="0D0D0D" w:themeColor="text1" w:themeTint="F2"/>
                <w:spacing w:val="-4"/>
              </w:rPr>
              <w:t>Ta byla při vyjádření na</w:t>
            </w:r>
            <w:r w:rsidR="002C0FF4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jednoho</w:t>
            </w:r>
            <w:r w:rsidRPr="001C306A">
              <w:rPr>
                <w:rFonts w:cs="Arial"/>
                <w:color w:val="0D0D0D" w:themeColor="text1" w:themeTint="F2"/>
                <w:spacing w:val="-4"/>
              </w:rPr>
              <w:t xml:space="preserve"> zaměstnance v 1. čtvrtletí meziročně o 1,1 % vyšší (za celý rok 2015 o 2,5</w:t>
            </w:r>
            <w:r w:rsidRPr="001925A2">
              <w:rPr>
                <w:spacing w:val="-4"/>
              </w:rPr>
              <w:t> </w:t>
            </w:r>
            <w:r w:rsidRPr="001C306A">
              <w:rPr>
                <w:rFonts w:cs="Arial"/>
                <w:color w:val="0D0D0D" w:themeColor="text1" w:themeTint="F2"/>
                <w:spacing w:val="-4"/>
              </w:rPr>
              <w:t>%). V relaci na odpracovanou hodinu poprvé po devíti čtvrtletích dokonce poklesla (o</w:t>
            </w:r>
            <w:r w:rsidRPr="001C306A">
              <w:rPr>
                <w:color w:val="0D0D0D" w:themeColor="text1" w:themeTint="F2"/>
                <w:spacing w:val="-4"/>
              </w:rPr>
              <w:t> </w:t>
            </w:r>
            <w:r w:rsidRPr="001C306A">
              <w:rPr>
                <w:rFonts w:cs="Arial"/>
                <w:color w:val="0D0D0D" w:themeColor="text1" w:themeTint="F2"/>
                <w:spacing w:val="-4"/>
              </w:rPr>
              <w:t>0,4</w:t>
            </w:r>
            <w:r w:rsidRPr="001C306A">
              <w:rPr>
                <w:color w:val="0D0D0D" w:themeColor="text1" w:themeTint="F2"/>
                <w:spacing w:val="-4"/>
              </w:rPr>
              <w:t> </w:t>
            </w:r>
            <w:r w:rsidRPr="001C306A">
              <w:rPr>
                <w:rFonts w:cs="Arial"/>
                <w:color w:val="0D0D0D" w:themeColor="text1" w:themeTint="F2"/>
                <w:spacing w:val="-4"/>
              </w:rPr>
              <w:t xml:space="preserve">%), k celkovému růstu nepomohl ani relativně příznivý vývoj v uskupení </w:t>
            </w:r>
            <w:r w:rsidRPr="001C306A">
              <w:rPr>
                <w:spacing w:val="-4"/>
              </w:rPr>
              <w:t>obchod, doprava, ub</w:t>
            </w:r>
            <w:r w:rsidR="008F6F38">
              <w:rPr>
                <w:spacing w:val="-4"/>
              </w:rPr>
              <w:t>ytování a pohostinství (+1,6 %)</w:t>
            </w:r>
            <w:r w:rsidRPr="001C306A">
              <w:rPr>
                <w:spacing w:val="-4"/>
              </w:rPr>
              <w:t xml:space="preserve"> či váhově významném zpracovatelském průmyslu (+0,4 %). Proti 1. čtvrtletí konjunkturního roku 2008 byla letos hodinová produktivita v celé ekonomice o 5 % vyšší, ve zpracovatelském průmyslu o pětinu.</w:t>
            </w:r>
          </w:p>
          <w:p w:rsidR="007A4048" w:rsidRPr="00FA2F16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5"/>
                <w:szCs w:val="15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 w:rsidRPr="00A245E8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Počet volných pracovních míst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nabízených</w:t>
            </w:r>
            <w:r w:rsidR="009F3FC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Úřadem práce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</w:t>
            </w:r>
            <w:r w:rsidR="009F3FC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(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ÚP</w:t>
            </w:r>
            <w:r w:rsidR="009F3FC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)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vzrostl na konci 1.</w:t>
            </w:r>
            <w:r w:rsidR="009F3FC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 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čtvrtletí na 117 tis., šlo o</w:t>
            </w:r>
            <w:r w:rsidR="009F3FC3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 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nejvyšší úroveň od října 2008</w:t>
            </w:r>
          </w:p>
          <w:p w:rsidR="007A4048" w:rsidRPr="00FA2F16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22"/>
                <w:szCs w:val="22"/>
              </w:rPr>
            </w:pPr>
          </w:p>
          <w:p w:rsidR="007A4048" w:rsidRDefault="00826ED1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Méně než 2,5 uchazeče</w:t>
            </w:r>
            <w:r w:rsidR="007A4048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na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 </w:t>
            </w:r>
            <w:r w:rsidR="007A4048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volné místo v Praze, Plzeňském a Pardubickém kraji, okolo 7 uchazečů na Ústecku a </w:t>
            </w:r>
            <w:proofErr w:type="spellStart"/>
            <w:r w:rsidR="007A4048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Moravskoslezsku</w:t>
            </w:r>
            <w:proofErr w:type="spellEnd"/>
          </w:p>
          <w:p w:rsidR="007A4048" w:rsidRPr="00E23B96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4"/>
                <w:szCs w:val="14"/>
              </w:rPr>
            </w:pP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AA5F10" w:rsidRDefault="007A4048" w:rsidP="0002434F">
            <w:pPr>
              <w:pStyle w:val="Textpoznpodarou"/>
              <w:jc w:val="both"/>
            </w:pPr>
            <w:r w:rsidRPr="00AA5F10">
              <w:rPr>
                <w:rFonts w:cs="Arial"/>
                <w:color w:val="0D0D0D" w:themeColor="text1" w:themeTint="F2"/>
              </w:rPr>
              <w:t xml:space="preserve">Nabídka volných pracovních míst (prostřednictvím ÚP) se dále rozšiřovala a postupně se blížila dosud rekordní úrovni (152 tis.) z poloviny roku 2008. ÚP nabízely na konci března 2016 o 42 tis. pozic meziročně více, od počátku roku pak o téměř 15 tis. více. Dlouhodobě přetrvává </w:t>
            </w:r>
            <w:r w:rsidRPr="00AA5F10">
              <w:t>významný územní i kvalifikační nesoulad mezi nabízenými volnými místy a</w:t>
            </w:r>
            <w:r w:rsidRPr="00AA5F10">
              <w:rPr>
                <w:color w:val="0D0D0D" w:themeColor="text1" w:themeTint="F2"/>
              </w:rPr>
              <w:t> </w:t>
            </w:r>
            <w:r w:rsidRPr="00AA5F10">
              <w:t>registrovanými uchazeči o zaměstnání. Největší šanci na uplatnění měli uchazeči ve skupině „obsl</w:t>
            </w:r>
            <w:r w:rsidR="00E669C7" w:rsidRPr="00AA5F10">
              <w:t>uha strojů a zařízení, montéři“</w:t>
            </w:r>
            <w:r w:rsidRPr="00AA5F10">
              <w:t xml:space="preserve"> (nepřetržitě od jara 2014), na jedno volné místo zde na konci března 2016 připadalo 1,8 uchazečů (o rok dříve dvojnásobek). Ve dvaceti </w:t>
            </w:r>
            <w:r w:rsidR="00AA5F10" w:rsidRPr="00AA5F10">
              <w:t>okresech (zejména středních a jihozápadních</w:t>
            </w:r>
            <w:r w:rsidRPr="00AA5F10">
              <w:t xml:space="preserve"> Čech, na Liberecku a Pardubicku) by takto mohli být okamžitě uspokojeni</w:t>
            </w:r>
            <w:r w:rsidR="009C3705" w:rsidRPr="00AA5F10">
              <w:t xml:space="preserve"> téměř</w:t>
            </w:r>
            <w:r w:rsidRPr="00AA5F10">
              <w:t xml:space="preserve"> všichni uchazeči</w:t>
            </w:r>
            <w:r w:rsidRPr="00AA5F10">
              <w:rPr>
                <w:rStyle w:val="Znakapoznpodarou"/>
              </w:rPr>
              <w:footnoteReference w:id="2"/>
            </w:r>
            <w:r w:rsidRPr="00AA5F10">
              <w:t xml:space="preserve">. Dobře se také mohli </w:t>
            </w:r>
            <w:r w:rsidRPr="00AA5F10">
              <w:lastRenderedPageBreak/>
              <w:t>uplatnit řemeslníci a opraváři (2,6 uchazečů na m</w:t>
            </w:r>
            <w:r w:rsidR="00901AF3" w:rsidRPr="00AA5F10">
              <w:rPr>
                <w:color w:val="000000" w:themeColor="text1"/>
              </w:rPr>
              <w:t>ísto), kteří</w:t>
            </w:r>
            <w:r w:rsidRPr="00AA5F10">
              <w:rPr>
                <w:color w:val="000000" w:themeColor="text1"/>
              </w:rPr>
              <w:t xml:space="preserve"> navíc měli zřejmě slušné šance uplatnit se i mimo zaměstnanecký poměr. Naopak</w:t>
            </w:r>
            <w:r w:rsidR="000E1EEA" w:rsidRPr="00AA5F10">
              <w:t xml:space="preserve"> nejhorší vyhlídky </w:t>
            </w:r>
            <w:r w:rsidRPr="00AA5F10">
              <w:t>na</w:t>
            </w:r>
            <w:r w:rsidR="002C0FF4" w:rsidRPr="00AA5F10">
              <w:t> </w:t>
            </w:r>
            <w:r w:rsidRPr="00AA5F10">
              <w:t>uplatnění prostřednictvím ÚP mají dlouhodo</w:t>
            </w:r>
            <w:r w:rsidR="000E1EEA" w:rsidRPr="00AA5F10">
              <w:t xml:space="preserve">bě úředníci (9,3) a též pomocní </w:t>
            </w:r>
            <w:r w:rsidRPr="00AA5F10">
              <w:t>a</w:t>
            </w:r>
            <w:r w:rsidRPr="00AA5F10">
              <w:rPr>
                <w:color w:val="0D0D0D" w:themeColor="text1" w:themeTint="F2"/>
              </w:rPr>
              <w:t> </w:t>
            </w:r>
            <w:r w:rsidRPr="00AA5F10">
              <w:t xml:space="preserve">nekvalifikovaní pracovníci (5,7). Více než dva roky se v evidenci ÚP nacházelo 28 % nezaměstnaných (v okresech Ostrava, Karviná a Ústí nad Labem 40 %). </w:t>
            </w:r>
          </w:p>
          <w:p w:rsidR="007A4048" w:rsidRPr="00AA5F10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Default="007A4048" w:rsidP="0002434F">
            <w:pPr>
              <w:spacing w:line="240" w:lineRule="auto"/>
              <w:rPr>
                <w:spacing w:val="-2"/>
                <w:sz w:val="16"/>
                <w:szCs w:val="16"/>
              </w:rPr>
            </w:pPr>
            <w:r w:rsidRPr="001A7282">
              <w:rPr>
                <w:spacing w:val="-2"/>
                <w:sz w:val="16"/>
                <w:szCs w:val="16"/>
              </w:rPr>
              <w:lastRenderedPageBreak/>
              <w:t xml:space="preserve">Významný meziroční pokles </w:t>
            </w:r>
            <w:r w:rsidR="00EE6538">
              <w:rPr>
                <w:spacing w:val="-2"/>
                <w:sz w:val="16"/>
                <w:szCs w:val="16"/>
              </w:rPr>
              <w:t>míry nezaměstnanosti žen</w:t>
            </w:r>
            <w:r w:rsidRPr="001A7282">
              <w:rPr>
                <w:spacing w:val="-2"/>
                <w:sz w:val="16"/>
                <w:szCs w:val="16"/>
              </w:rPr>
              <w:t xml:space="preserve"> a</w:t>
            </w:r>
            <w:r w:rsidR="00EE6538">
              <w:rPr>
                <w:spacing w:val="-2"/>
                <w:sz w:val="16"/>
                <w:szCs w:val="16"/>
              </w:rPr>
              <w:t> </w:t>
            </w:r>
            <w:r w:rsidRPr="001A7282">
              <w:rPr>
                <w:spacing w:val="-2"/>
                <w:sz w:val="16"/>
                <w:szCs w:val="16"/>
              </w:rPr>
              <w:t xml:space="preserve">osob se středním vzděláním bez maturity </w:t>
            </w:r>
          </w:p>
          <w:p w:rsidR="007A4048" w:rsidRPr="001A7282" w:rsidRDefault="007A4048" w:rsidP="0002434F">
            <w:pPr>
              <w:spacing w:line="240" w:lineRule="auto"/>
              <w:rPr>
                <w:spacing w:val="-2"/>
                <w:sz w:val="16"/>
                <w:szCs w:val="16"/>
              </w:rPr>
            </w:pPr>
            <w:r w:rsidRPr="001A7282">
              <w:rPr>
                <w:spacing w:val="-2"/>
                <w:sz w:val="16"/>
                <w:szCs w:val="16"/>
              </w:rPr>
              <w:t>(vč. vyučených)</w:t>
            </w:r>
          </w:p>
          <w:p w:rsidR="007A4048" w:rsidRPr="00976BD9" w:rsidRDefault="007A4048" w:rsidP="0002434F">
            <w:pPr>
              <w:spacing w:line="240" w:lineRule="auto"/>
              <w:rPr>
                <w:sz w:val="16"/>
                <w:szCs w:val="16"/>
              </w:rPr>
            </w:pPr>
          </w:p>
          <w:p w:rsidR="007A4048" w:rsidRPr="00976BD9" w:rsidRDefault="007A4048" w:rsidP="0002434F">
            <w:pPr>
              <w:spacing w:line="240" w:lineRule="auto"/>
              <w:rPr>
                <w:sz w:val="16"/>
                <w:szCs w:val="16"/>
              </w:rPr>
            </w:pPr>
          </w:p>
          <w:p w:rsidR="007A4048" w:rsidRPr="00976BD9" w:rsidRDefault="007A4048" w:rsidP="000243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7A4048" w:rsidRPr="000A12D1" w:rsidRDefault="007A4048" w:rsidP="0002434F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7A4048" w:rsidRDefault="007A4048" w:rsidP="0002434F">
            <w:pPr>
              <w:pStyle w:val="Textpoznpodarou"/>
              <w:jc w:val="both"/>
              <w:rPr>
                <w:color w:val="333333"/>
              </w:rPr>
            </w:pPr>
            <w:r>
              <w:rPr>
                <w:rFonts w:cs="Arial"/>
                <w:color w:val="0D0D0D" w:themeColor="text1" w:themeTint="F2"/>
                <w:spacing w:val="-2"/>
              </w:rPr>
              <w:t xml:space="preserve">Obecná míra nezaměstnanosti </w:t>
            </w:r>
            <w:r w:rsidR="00BF786A">
              <w:t>(ve věku 15</w:t>
            </w:r>
            <w:r w:rsidR="00BF786A" w:rsidRPr="003E7065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Pr="004F7565">
              <w:t>64 let, očištěná od sezónních vlivů)</w:t>
            </w:r>
            <w:r w:rsidRPr="004F7565">
              <w:rPr>
                <w:rFonts w:cs="Arial"/>
                <w:color w:val="0D0D0D" w:themeColor="text1" w:themeTint="F2"/>
                <w:spacing w:val="-2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2"/>
              </w:rPr>
              <w:t>se snižovala až na 4,1 % na konci 1. čtvrtletí. Meziročně se rychleji redukovala u žen (o</w:t>
            </w:r>
            <w:r w:rsidRPr="002246DE">
              <w:rPr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1,9 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  <w:spacing w:val="-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  <w:spacing w:val="-2"/>
              </w:rPr>
              <w:t>.) než</w:t>
            </w:r>
            <w:proofErr w:type="gramEnd"/>
            <w:r>
              <w:rPr>
                <w:rFonts w:cs="Arial"/>
                <w:color w:val="0D0D0D" w:themeColor="text1" w:themeTint="F2"/>
                <w:spacing w:val="-2"/>
              </w:rPr>
              <w:t xml:space="preserve"> u mužů (1,3 </w:t>
            </w:r>
            <w:proofErr w:type="spellStart"/>
            <w:r>
              <w:rPr>
                <w:rFonts w:cs="Arial"/>
                <w:color w:val="0D0D0D" w:themeColor="text1" w:themeTint="F2"/>
                <w:spacing w:val="-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  <w:spacing w:val="-2"/>
              </w:rPr>
              <w:t xml:space="preserve">.). Ekonomické oživení v druhé polovině roku 2013 se totiž nejdříve promítlo </w:t>
            </w:r>
            <w:r w:rsidRPr="00A517C1">
              <w:rPr>
                <w:rFonts w:cs="Arial"/>
                <w:spacing w:val="-2"/>
              </w:rPr>
              <w:t xml:space="preserve">nasáváním nových pracovníků v průmyslu (a pomohlo tak stlačit míru nezaměstnanosti mužů pod 5% hranici již na počátku roku 2015), služby začaly ve větší míře generovat volná místa až od roku 2015. Meziročně se výrazně zlepšila také u </w:t>
            </w:r>
            <w:r w:rsidRPr="00A517C1">
              <w:t>početné skupiny osob se středním vzděláním bez maturity vč.</w:t>
            </w:r>
            <w:r w:rsidR="002C0FF4" w:rsidRPr="00A517C1">
              <w:t> </w:t>
            </w:r>
            <w:r w:rsidRPr="00A517C1">
              <w:t xml:space="preserve">vyučených (klesla ze 7,3 % na 4,9 %), naopak u </w:t>
            </w:r>
            <w:r w:rsidRPr="00A517C1">
              <w:rPr>
                <w:rFonts w:cs="Arial"/>
                <w:spacing w:val="-2"/>
              </w:rPr>
              <w:t>osob se základním vzděláním byl posun menší dokonce i v absolutním měřítku (z 24,3 % na 22,2 %).</w:t>
            </w:r>
          </w:p>
          <w:p w:rsidR="007A4048" w:rsidRPr="00AA5F10" w:rsidRDefault="007A4048" w:rsidP="0002434F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6"/>
                <w:sz w:val="16"/>
                <w:szCs w:val="16"/>
              </w:rPr>
            </w:pPr>
            <w:r w:rsidRPr="00976BD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Česko má dlouhodobě v rámci 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EU </w:t>
            </w:r>
            <w:r w:rsidRPr="00976BD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nejnižší míru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nezaměstnanosti</w:t>
            </w:r>
            <w:r w:rsidRPr="00976BD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</w:t>
            </w:r>
            <w:r w:rsidRPr="00976BD9">
              <w:rPr>
                <w:rFonts w:cs="Arial"/>
                <w:bCs/>
                <w:iCs/>
                <w:color w:val="0D0D0D" w:themeColor="text1" w:themeTint="F2"/>
                <w:spacing w:val="-6"/>
                <w:sz w:val="16"/>
                <w:szCs w:val="16"/>
              </w:rPr>
              <w:t>mužů, ale</w:t>
            </w:r>
          </w:p>
          <w:p w:rsidR="007A4048" w:rsidRPr="00976BD9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 w:rsidRPr="00976BD9">
              <w:rPr>
                <w:rFonts w:cs="Arial"/>
                <w:bCs/>
                <w:iCs/>
                <w:color w:val="0D0D0D" w:themeColor="text1" w:themeTint="F2"/>
                <w:spacing w:val="-6"/>
                <w:sz w:val="16"/>
                <w:szCs w:val="16"/>
              </w:rPr>
              <w:t>i jedny z nejvyšších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rozdílů měr</w:t>
            </w:r>
            <w:r w:rsidRPr="00976BD9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podle úrovně vzdělání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4017CE" w:rsidRDefault="007A4048" w:rsidP="0002434F">
            <w:pPr>
              <w:pStyle w:val="Textpoznpodarou"/>
              <w:jc w:val="both"/>
              <w:rPr>
                <w:spacing w:val="-4"/>
              </w:rPr>
            </w:pPr>
            <w:r w:rsidRPr="004017CE">
              <w:rPr>
                <w:rFonts w:cs="Arial"/>
                <w:color w:val="0D0D0D" w:themeColor="text1" w:themeTint="F2"/>
                <w:spacing w:val="-4"/>
              </w:rPr>
              <w:t>Česko se poprvé v historii svého členství v EU stalo v tomto uskupení zemí s nejnižší mírou nezaměstnanosti, když v lednu 2016 těsně překonalo dosud nejlépe postavené Německo. Méně příznivé postavení přetrvávalo u dlouhodobé nezaměstnanosti i osob s nejnižším stupněm vzdělání.</w:t>
            </w:r>
          </w:p>
          <w:p w:rsidR="007A4048" w:rsidRPr="00AA5F10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Pr="00635065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63506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Mírně zrychlují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cí</w:t>
            </w:r>
            <w:r w:rsidRPr="0063506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meziroční tempo růstu mezd zaměstnanců během roku 2015 následně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v 1. č</w:t>
            </w:r>
            <w:r w:rsidRPr="0063506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tvrtletí akcelerovalo na 4,4 %, nejvyšší hodnotu za posledních sedm let</w:t>
            </w:r>
          </w:p>
          <w:p w:rsidR="007A4048" w:rsidRPr="00635065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7A4048" w:rsidRPr="00635065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3E7065" w:rsidRDefault="007A4048" w:rsidP="0002434F">
            <w:pPr>
              <w:pStyle w:val="Textpoznpodarou"/>
              <w:jc w:val="both"/>
              <w:rPr>
                <w:spacing w:val="-4"/>
              </w:rPr>
            </w:pPr>
            <w:r w:rsidRPr="003E7065">
              <w:rPr>
                <w:rFonts w:cs="Arial"/>
                <w:color w:val="0D0D0D" w:themeColor="text1" w:themeTint="F2"/>
                <w:spacing w:val="-4"/>
              </w:rPr>
              <w:t>Pokračující růst zásoby práce zejména v klíčových exportně orientovaných odvětvích ekonomiky v kombinaci s nízkou dosud klesající úrovní nezaměstnanosti, jakož i stále častěji pociťovaným nedostatkem pracovní síly (jak v kvalifikovaných zejména technicky zaměřených oborech, ale i v některých náročných manuálních činno</w:t>
            </w:r>
            <w:r>
              <w:rPr>
                <w:rFonts w:cs="Arial"/>
                <w:color w:val="0D0D0D" w:themeColor="text1" w:themeTint="F2"/>
                <w:spacing w:val="-4"/>
              </w:rPr>
              <w:t>stech s dosud nízkou úrovní výdělků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)</w:t>
            </w:r>
            <w:r>
              <w:rPr>
                <w:rFonts w:cs="Arial"/>
                <w:color w:val="0D0D0D" w:themeColor="text1" w:themeTint="F2"/>
                <w:spacing w:val="-4"/>
              </w:rPr>
              <w:t>,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 xml:space="preserve"> byly klíčovými determinanty vývoje mezd na počátku roku. Přistoupily k tomu ještě vlivy spíše „administrativního charakteru“ – opakované zvýšení minimální m</w:t>
            </w:r>
            <w:r w:rsidR="000B3B01">
              <w:rPr>
                <w:rFonts w:cs="Arial"/>
                <w:color w:val="0D0D0D" w:themeColor="text1" w:themeTint="F2"/>
                <w:spacing w:val="-4"/>
              </w:rPr>
              <w:t>zdy a nárůst platových tarifů státních zaměstnanců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Meziroční t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empo růstu průměrných mezd (</w:t>
            </w:r>
            <w:r w:rsidRPr="003E7065">
              <w:rPr>
                <w:spacing w:val="-4"/>
              </w:rPr>
              <w:t xml:space="preserve">na přepočtené počty zaměstnanců) v 1. </w:t>
            </w:r>
            <w:r w:rsidR="000B3B01">
              <w:rPr>
                <w:spacing w:val="-4"/>
              </w:rPr>
              <w:t>čtvrtletí akcelerovalo na 4,4 %.</w:t>
            </w:r>
            <w:r w:rsidRPr="003E7065">
              <w:rPr>
                <w:spacing w:val="-4"/>
              </w:rPr>
              <w:t xml:space="preserve"> 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Relativně nejvíce si polepšili zaměstnanci v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 odvětvích s nízkou úrovní mezd – šlo o 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ubytování, str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avování a pohostinství (7,2 %), 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administrativní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a</w:t>
            </w:r>
            <w:r w:rsidR="000B3B01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podpůrné činnosti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 xml:space="preserve"> (6,5 %) a kulturní, zábavní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a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 rekreační činnost</w:t>
            </w:r>
            <w:r>
              <w:rPr>
                <w:rFonts w:cs="Arial"/>
                <w:color w:val="0D0D0D" w:themeColor="text1" w:themeTint="F2"/>
                <w:spacing w:val="-4"/>
              </w:rPr>
              <w:t>i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 xml:space="preserve"> (6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 xml:space="preserve">%). Z lépe placených odvětví šlo o veřejnou správu, obranu a sociální zabezpečení (5,8 %), a to hlavně v oblasti vnitřní bezpečnosti státu. Nízký byl naopak (podobně jako v roce 2015) růst mezd, ale i zaměstnanosti ve vzdělávání a finančním sektoru. </w:t>
            </w:r>
          </w:p>
          <w:p w:rsidR="007A4048" w:rsidRPr="00E27AA1" w:rsidRDefault="007A4048" w:rsidP="0002434F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  <w:tr w:rsidR="007A4048" w:rsidTr="0002434F">
        <w:tc>
          <w:tcPr>
            <w:tcW w:w="1054" w:type="pct"/>
          </w:tcPr>
          <w:p w:rsidR="007A4048" w:rsidRPr="00635065" w:rsidRDefault="007A4048" w:rsidP="0002434F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proofErr w:type="spellStart"/>
            <w:r w:rsidRPr="0063506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Nízkoi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nflační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prostředí zvýraznilo akcelerační efekt růstu mezd, jejich kupní síla vzrostla nejvíce za posledních sedm let </w:t>
            </w:r>
          </w:p>
        </w:tc>
        <w:tc>
          <w:tcPr>
            <w:tcW w:w="142" w:type="pct"/>
          </w:tcPr>
          <w:p w:rsidR="007A4048" w:rsidRPr="009720D9" w:rsidRDefault="007A4048" w:rsidP="0002434F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7A4048" w:rsidRPr="00772EBD" w:rsidRDefault="007A4048" w:rsidP="0002434F">
            <w:pPr>
              <w:pStyle w:val="Textpoznpodarou"/>
              <w:jc w:val="both"/>
              <w:rPr>
                <w:spacing w:val="-4"/>
              </w:rPr>
            </w:pPr>
            <w:r w:rsidRPr="003E7065">
              <w:rPr>
                <w:spacing w:val="-4"/>
              </w:rPr>
              <w:t>Mzdový medián se zvýšil o 6,5 %, nejvíce od roku 2008. Diferenciace mezd poklesl</w:t>
            </w:r>
            <w:r>
              <w:rPr>
                <w:spacing w:val="-4"/>
              </w:rPr>
              <w:t xml:space="preserve">a. Snížily se meziodvětvové i meziregionální diference, </w:t>
            </w:r>
            <w:r w:rsidRPr="003E7065">
              <w:rPr>
                <w:spacing w:val="-4"/>
              </w:rPr>
              <w:t>když nejvíce rostly výdělky v krajích s tradičně nízkou úrovní mezd (Karlovarsko, Olomoucko). Nízká míra inflace a zrychlující růst průměrné mzdy se příznivě odrazily ve vývoji kupní síly výdělků. Dynamika reálných mezd v 1. čtvrtletí zrychlila na 3,9 % (po 2,</w:t>
            </w:r>
            <w:r w:rsidR="00A90343">
              <w:rPr>
                <w:spacing w:val="-4"/>
              </w:rPr>
              <w:t>4</w:t>
            </w:r>
            <w:r w:rsidRPr="003E7065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3E7065">
              <w:rPr>
                <w:spacing w:val="-4"/>
              </w:rPr>
              <w:t>% za celý rok 2015). Jednalo se o nejvyšší růst od konce roku 2009, kdy však byl růst mezd doprovázen citelnou redukcí zaměstnanosti.</w:t>
            </w:r>
          </w:p>
        </w:tc>
      </w:tr>
    </w:tbl>
    <w:p w:rsidR="000C5D56" w:rsidRPr="00AA5F10" w:rsidRDefault="000C5D56" w:rsidP="004762D8">
      <w:pPr>
        <w:rPr>
          <w:sz w:val="14"/>
          <w:szCs w:val="14"/>
          <w:lang w:eastAsia="ar-SA"/>
        </w:rPr>
      </w:pPr>
    </w:p>
    <w:tbl>
      <w:tblPr>
        <w:tblW w:w="5079" w:type="pct"/>
        <w:tblCellMar>
          <w:left w:w="28" w:type="dxa"/>
          <w:right w:w="28" w:type="dxa"/>
        </w:tblCellMar>
        <w:tblLook w:val="04A0"/>
      </w:tblPr>
      <w:tblGrid>
        <w:gridCol w:w="757"/>
        <w:gridCol w:w="4220"/>
        <w:gridCol w:w="701"/>
        <w:gridCol w:w="4169"/>
      </w:tblGrid>
      <w:tr w:rsidR="007A4048" w:rsidTr="007A4048">
        <w:tc>
          <w:tcPr>
            <w:tcW w:w="384" w:type="pct"/>
          </w:tcPr>
          <w:p w:rsidR="007A4048" w:rsidRPr="007E77FB" w:rsidRDefault="007A4048" w:rsidP="0002434F">
            <w:pPr>
              <w:pStyle w:val="Textpoznpodarou"/>
              <w:rPr>
                <w:lang w:eastAsia="en-US"/>
              </w:rPr>
            </w:pPr>
            <w:r w:rsidRPr="007E77FB">
              <w:rPr>
                <w:lang w:eastAsia="en-US"/>
              </w:rPr>
              <w:t>Graf č. 15</w:t>
            </w:r>
          </w:p>
        </w:tc>
        <w:tc>
          <w:tcPr>
            <w:tcW w:w="2143" w:type="pct"/>
          </w:tcPr>
          <w:p w:rsidR="007A4048" w:rsidRPr="007E77FB" w:rsidRDefault="007A4048" w:rsidP="0002434F">
            <w:pPr>
              <w:pStyle w:val="Textpoznpodarou"/>
              <w:rPr>
                <w:lang w:eastAsia="en-US"/>
              </w:rPr>
            </w:pPr>
            <w:r w:rsidRPr="00886A8F">
              <w:rPr>
                <w:b/>
                <w:lang w:eastAsia="en-US"/>
              </w:rPr>
              <w:t xml:space="preserve">Počty zaměstnaných osob a zaměstnanců </w:t>
            </w:r>
            <w:r w:rsidRPr="00582DA0">
              <w:rPr>
                <w:spacing w:val="-4"/>
                <w:lang w:eastAsia="en-US"/>
              </w:rPr>
              <w:t>(</w:t>
            </w:r>
            <w:r>
              <w:rPr>
                <w:spacing w:val="-4"/>
                <w:lang w:eastAsia="en-US"/>
              </w:rPr>
              <w:t>po</w:t>
            </w:r>
            <w:r w:rsidRPr="00582DA0">
              <w:rPr>
                <w:spacing w:val="-4"/>
                <w:lang w:eastAsia="en-US"/>
              </w:rPr>
              <w:t>dle</w:t>
            </w:r>
            <w:r>
              <w:rPr>
                <w:spacing w:val="-4"/>
                <w:lang w:eastAsia="en-US"/>
              </w:rPr>
              <w:t xml:space="preserve"> národních účtů</w:t>
            </w:r>
            <w:r w:rsidRPr="00582DA0">
              <w:rPr>
                <w:spacing w:val="-4"/>
                <w:lang w:eastAsia="en-US"/>
              </w:rPr>
              <w:t xml:space="preserve">, </w:t>
            </w:r>
            <w:r>
              <w:rPr>
                <w:spacing w:val="-4"/>
                <w:lang w:eastAsia="en-US"/>
              </w:rPr>
              <w:t xml:space="preserve">sezónně oč., </w:t>
            </w:r>
            <w:r w:rsidRPr="00582DA0">
              <w:rPr>
                <w:spacing w:val="-4"/>
                <w:lang w:eastAsia="en-US"/>
              </w:rPr>
              <w:t>y/y v %)</w:t>
            </w:r>
          </w:p>
        </w:tc>
        <w:tc>
          <w:tcPr>
            <w:tcW w:w="356" w:type="pct"/>
          </w:tcPr>
          <w:p w:rsidR="007A4048" w:rsidRPr="007E77FB" w:rsidRDefault="007A4048" w:rsidP="0002434F">
            <w:pPr>
              <w:pStyle w:val="Textpoznpodarou"/>
              <w:rPr>
                <w:lang w:eastAsia="en-US"/>
              </w:rPr>
            </w:pPr>
            <w:r w:rsidRPr="007E77FB">
              <w:rPr>
                <w:lang w:eastAsia="en-US"/>
              </w:rPr>
              <w:t>Graf č. 16</w:t>
            </w:r>
          </w:p>
        </w:tc>
        <w:tc>
          <w:tcPr>
            <w:tcW w:w="2117" w:type="pct"/>
          </w:tcPr>
          <w:p w:rsidR="007A4048" w:rsidRPr="00886A8F" w:rsidRDefault="000C5D56" w:rsidP="0002434F">
            <w:pPr>
              <w:pStyle w:val="Textpoznpodarou"/>
              <w:rPr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H</w:t>
            </w:r>
            <w:r w:rsidR="007A4048" w:rsidRPr="00886A8F">
              <w:rPr>
                <w:b/>
                <w:spacing w:val="-2"/>
                <w:lang w:eastAsia="en-US"/>
              </w:rPr>
              <w:t xml:space="preserve">rubá měsíční mzda nominálně a reálně </w:t>
            </w:r>
            <w:r w:rsidR="007A4048" w:rsidRPr="00582DA0">
              <w:rPr>
                <w:spacing w:val="-6"/>
                <w:lang w:eastAsia="en-US"/>
              </w:rPr>
              <w:t>(přepočtené počty zaměstnanců, y/y v %)</w:t>
            </w:r>
          </w:p>
        </w:tc>
      </w:tr>
      <w:tr w:rsidR="007A4048" w:rsidTr="0002434F">
        <w:tc>
          <w:tcPr>
            <w:tcW w:w="2527" w:type="pct"/>
            <w:gridSpan w:val="2"/>
          </w:tcPr>
          <w:p w:rsidR="007A4048" w:rsidRDefault="00E27AA1" w:rsidP="0002434F">
            <w:pPr>
              <w:pStyle w:val="Textpoznpodarou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46.05pt;height:187.2pt">
                  <v:imagedata r:id="rId8" o:title=""/>
                </v:shape>
              </w:pict>
            </w:r>
          </w:p>
        </w:tc>
        <w:tc>
          <w:tcPr>
            <w:tcW w:w="2473" w:type="pct"/>
            <w:gridSpan w:val="2"/>
          </w:tcPr>
          <w:p w:rsidR="007A4048" w:rsidRDefault="00E27AA1" w:rsidP="0002434F">
            <w:pPr>
              <w:pStyle w:val="Textpoznpodarou"/>
              <w:jc w:val="both"/>
            </w:pPr>
            <w:r>
              <w:pict>
                <v:shape id="_x0000_i1040" type="#_x0000_t75" style="width:238.55pt;height:187.2pt">
                  <v:imagedata r:id="rId9" o:title=""/>
                </v:shape>
              </w:pict>
            </w:r>
          </w:p>
        </w:tc>
      </w:tr>
      <w:tr w:rsidR="007A4048" w:rsidTr="0002434F">
        <w:tc>
          <w:tcPr>
            <w:tcW w:w="5000" w:type="pct"/>
            <w:gridSpan w:val="4"/>
          </w:tcPr>
          <w:p w:rsidR="007A4048" w:rsidRPr="004C5813" w:rsidRDefault="007A4048" w:rsidP="000243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 w:themeColor="text1"/>
                <w:spacing w:val="-2"/>
                <w:sz w:val="18"/>
                <w:szCs w:val="18"/>
              </w:rPr>
            </w:pPr>
            <w:r w:rsidRPr="00886A8F">
              <w:rPr>
                <w:sz w:val="18"/>
                <w:szCs w:val="18"/>
                <w:lang w:eastAsia="en-US"/>
              </w:rPr>
              <w:t>Zdroj: ČSÚ</w:t>
            </w:r>
          </w:p>
        </w:tc>
      </w:tr>
    </w:tbl>
    <w:p w:rsidR="00ED3A94" w:rsidRPr="007A4048" w:rsidRDefault="00ED3A94" w:rsidP="00E27AA1">
      <w:pPr>
        <w:rPr>
          <w:sz w:val="2"/>
          <w:szCs w:val="2"/>
          <w:lang w:eastAsia="ar-SA"/>
        </w:rPr>
      </w:pPr>
    </w:p>
    <w:sectPr w:rsidR="00ED3A94" w:rsidRPr="007A4048" w:rsidSect="00E27AA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85" w:rsidRDefault="00270785" w:rsidP="00E71A58">
      <w:r>
        <w:separator/>
      </w:r>
    </w:p>
  </w:endnote>
  <w:endnote w:type="continuationSeparator" w:id="0">
    <w:p w:rsidR="00270785" w:rsidRDefault="0027078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4F" w:rsidRDefault="003139A6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02434F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E27AA1">
      <w:rPr>
        <w:rFonts w:ascii="Arial" w:hAnsi="Arial" w:cs="Arial"/>
        <w:noProof/>
        <w:sz w:val="16"/>
        <w:szCs w:val="16"/>
      </w:rPr>
      <w:t>18</w:t>
    </w:r>
    <w:r w:rsidRPr="005A21E0">
      <w:rPr>
        <w:rFonts w:ascii="Arial" w:hAnsi="Arial" w:cs="Arial"/>
        <w:sz w:val="16"/>
        <w:szCs w:val="16"/>
      </w:rPr>
      <w:fldChar w:fldCharType="end"/>
    </w:r>
    <w:r w:rsidR="0002434F">
      <w:rPr>
        <w:rFonts w:ascii="Arial" w:hAnsi="Arial" w:cs="Arial"/>
        <w:sz w:val="16"/>
        <w:szCs w:val="16"/>
      </w:rPr>
      <w:tab/>
      <w:t>2016</w:t>
    </w:r>
    <w:r w:rsidR="0002434F">
      <w:tab/>
    </w:r>
    <w:r w:rsidR="0002434F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4F" w:rsidRDefault="003139A6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02434F">
      <w:tab/>
    </w:r>
    <w:r w:rsidR="0002434F">
      <w:tab/>
    </w:r>
    <w:r w:rsidR="0002434F" w:rsidRPr="00DC5B3B">
      <w:t xml:space="preserve">                              </w:t>
    </w:r>
  </w:p>
  <w:p w:rsidR="0002434F" w:rsidRPr="00223E00" w:rsidRDefault="0002434F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3139A6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3139A6" w:rsidRPr="00223E00">
      <w:rPr>
        <w:rFonts w:ascii="Arial" w:hAnsi="Arial" w:cs="Arial"/>
        <w:sz w:val="16"/>
        <w:szCs w:val="16"/>
      </w:rPr>
      <w:fldChar w:fldCharType="separate"/>
    </w:r>
    <w:r w:rsidR="00E27AA1">
      <w:rPr>
        <w:rFonts w:ascii="Arial" w:hAnsi="Arial" w:cs="Arial"/>
        <w:noProof/>
        <w:sz w:val="16"/>
        <w:szCs w:val="16"/>
      </w:rPr>
      <w:t>17</w:t>
    </w:r>
    <w:r w:rsidR="003139A6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85" w:rsidRDefault="00270785" w:rsidP="00E71A58">
      <w:r>
        <w:separator/>
      </w:r>
    </w:p>
  </w:footnote>
  <w:footnote w:type="continuationSeparator" w:id="0">
    <w:p w:rsidR="00270785" w:rsidRDefault="00270785" w:rsidP="00E71A58">
      <w:r>
        <w:continuationSeparator/>
      </w:r>
    </w:p>
  </w:footnote>
  <w:footnote w:id="1">
    <w:p w:rsidR="0002434F" w:rsidRPr="00B4223A" w:rsidRDefault="0002434F" w:rsidP="007A4048">
      <w:pPr>
        <w:pStyle w:val="Textpoznpodarou"/>
        <w:rPr>
          <w:sz w:val="16"/>
          <w:szCs w:val="16"/>
        </w:rPr>
      </w:pPr>
      <w:r w:rsidRPr="00B4223A">
        <w:rPr>
          <w:rStyle w:val="Znakapoznpodarou"/>
          <w:sz w:val="16"/>
          <w:szCs w:val="16"/>
        </w:rPr>
        <w:footnoteRef/>
      </w:r>
      <w:r w:rsidRPr="00B4223A">
        <w:rPr>
          <w:sz w:val="16"/>
          <w:szCs w:val="16"/>
        </w:rPr>
        <w:t xml:space="preserve"> Pokud není uvedeno jinak, jsou data v této kapitole v pojetí národních účtů v očištění o sezónní vlivy.</w:t>
      </w:r>
    </w:p>
  </w:footnote>
  <w:footnote w:id="2">
    <w:p w:rsidR="0002434F" w:rsidRPr="0094711B" w:rsidRDefault="0002434F" w:rsidP="007A4048">
      <w:pPr>
        <w:pStyle w:val="Textpoznpodarou"/>
        <w:jc w:val="both"/>
        <w:rPr>
          <w:sz w:val="16"/>
          <w:szCs w:val="16"/>
        </w:rPr>
      </w:pPr>
      <w:r w:rsidRPr="0094711B">
        <w:rPr>
          <w:rStyle w:val="Znakapoznpodarou"/>
          <w:sz w:val="16"/>
          <w:szCs w:val="16"/>
        </w:rPr>
        <w:footnoteRef/>
      </w:r>
      <w:r w:rsidRPr="0094711B">
        <w:rPr>
          <w:sz w:val="16"/>
          <w:szCs w:val="16"/>
        </w:rPr>
        <w:t xml:space="preserve"> </w:t>
      </w:r>
      <w:r w:rsidRPr="0094711B">
        <w:rPr>
          <w:spacing w:val="-2"/>
          <w:sz w:val="16"/>
          <w:szCs w:val="16"/>
        </w:rPr>
        <w:t xml:space="preserve">V celé ČR by v rámci kvalifikační skupiny „obsluha strojů a zařízení, montéři“ v okrese svého bydliště (resp. evidence na </w:t>
      </w:r>
      <w:proofErr w:type="gramStart"/>
      <w:r w:rsidRPr="0094711B">
        <w:rPr>
          <w:spacing w:val="-2"/>
          <w:sz w:val="16"/>
          <w:szCs w:val="16"/>
        </w:rPr>
        <w:t>ÚP</w:t>
      </w:r>
      <w:proofErr w:type="gramEnd"/>
      <w:r w:rsidRPr="0094711B">
        <w:rPr>
          <w:spacing w:val="-2"/>
          <w:sz w:val="16"/>
          <w:szCs w:val="16"/>
        </w:rPr>
        <w:t>) na konci března 2016 okamžitě našlo práci 21</w:t>
      </w:r>
      <w:r>
        <w:rPr>
          <w:spacing w:val="-2"/>
          <w:sz w:val="16"/>
          <w:szCs w:val="16"/>
        </w:rPr>
        <w:t xml:space="preserve"> tis. </w:t>
      </w:r>
      <w:r w:rsidRPr="0094711B">
        <w:rPr>
          <w:spacing w:val="-2"/>
          <w:sz w:val="16"/>
          <w:szCs w:val="16"/>
        </w:rPr>
        <w:t>o</w:t>
      </w:r>
      <w:r>
        <w:rPr>
          <w:spacing w:val="-2"/>
          <w:sz w:val="16"/>
          <w:szCs w:val="16"/>
        </w:rPr>
        <w:t>sob, dalších 2,7 tis. osob by získalo</w:t>
      </w:r>
      <w:r w:rsidRPr="0094711B">
        <w:rPr>
          <w:spacing w:val="-2"/>
          <w:sz w:val="16"/>
          <w:szCs w:val="16"/>
        </w:rPr>
        <w:t xml:space="preserve"> místo v </w:t>
      </w:r>
      <w:r>
        <w:rPr>
          <w:spacing w:val="-2"/>
          <w:sz w:val="16"/>
          <w:szCs w:val="16"/>
        </w:rPr>
        <w:t>rámci této kvalifikační skupiny při ochotě</w:t>
      </w:r>
      <w:r w:rsidRPr="0094711B">
        <w:rPr>
          <w:spacing w:val="-2"/>
          <w:sz w:val="16"/>
          <w:szCs w:val="16"/>
        </w:rPr>
        <w:t xml:space="preserve"> dojíždět (</w:t>
      </w:r>
      <w:proofErr w:type="spellStart"/>
      <w:r w:rsidRPr="0094711B">
        <w:rPr>
          <w:spacing w:val="-2"/>
          <w:sz w:val="16"/>
          <w:szCs w:val="16"/>
        </w:rPr>
        <w:t>ev</w:t>
      </w:r>
      <w:proofErr w:type="spellEnd"/>
      <w:r w:rsidRPr="0094711B">
        <w:rPr>
          <w:spacing w:val="-2"/>
          <w:sz w:val="16"/>
          <w:szCs w:val="16"/>
        </w:rPr>
        <w:t>.</w:t>
      </w:r>
      <w:r>
        <w:rPr>
          <w:spacing w:val="-2"/>
          <w:sz w:val="16"/>
          <w:szCs w:val="16"/>
        </w:rPr>
        <w:t> </w:t>
      </w:r>
      <w:r w:rsidRPr="0094711B">
        <w:rPr>
          <w:spacing w:val="-2"/>
          <w:sz w:val="16"/>
          <w:szCs w:val="16"/>
        </w:rPr>
        <w:t>se přestěhovat) do jiného okresu v rámci kraje a na téměř stovku nezaměstnaných by ještě zbylo obdobné místo v jiném kraji.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4F" w:rsidRPr="00D766EF" w:rsidRDefault="0002434F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4F" w:rsidRPr="00D766EF" w:rsidRDefault="0002434F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F8C"/>
    <w:multiLevelType w:val="hybridMultilevel"/>
    <w:tmpl w:val="FA4035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667"/>
    <w:rsid w:val="0004075D"/>
    <w:rsid w:val="000411E1"/>
    <w:rsid w:val="00043E05"/>
    <w:rsid w:val="0004694F"/>
    <w:rsid w:val="000500DC"/>
    <w:rsid w:val="00052052"/>
    <w:rsid w:val="00052172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3803"/>
    <w:rsid w:val="00084393"/>
    <w:rsid w:val="0008716A"/>
    <w:rsid w:val="00087634"/>
    <w:rsid w:val="00091237"/>
    <w:rsid w:val="0009191B"/>
    <w:rsid w:val="000920EC"/>
    <w:rsid w:val="00092208"/>
    <w:rsid w:val="00092505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7663"/>
    <w:rsid w:val="000C11D3"/>
    <w:rsid w:val="000C12F5"/>
    <w:rsid w:val="000C3408"/>
    <w:rsid w:val="000C5C0F"/>
    <w:rsid w:val="000C5D56"/>
    <w:rsid w:val="000C6498"/>
    <w:rsid w:val="000D0D51"/>
    <w:rsid w:val="000D14B3"/>
    <w:rsid w:val="000D208B"/>
    <w:rsid w:val="000D2B8D"/>
    <w:rsid w:val="000D2E41"/>
    <w:rsid w:val="000D342A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746"/>
    <w:rsid w:val="00156318"/>
    <w:rsid w:val="0015639A"/>
    <w:rsid w:val="0016081D"/>
    <w:rsid w:val="00160CF3"/>
    <w:rsid w:val="00160E61"/>
    <w:rsid w:val="001620FA"/>
    <w:rsid w:val="00162853"/>
    <w:rsid w:val="00163793"/>
    <w:rsid w:val="00167FB2"/>
    <w:rsid w:val="001707DE"/>
    <w:rsid w:val="00170B04"/>
    <w:rsid w:val="00170F47"/>
    <w:rsid w:val="001714F2"/>
    <w:rsid w:val="00173642"/>
    <w:rsid w:val="00173AF4"/>
    <w:rsid w:val="00173CB0"/>
    <w:rsid w:val="00174CE8"/>
    <w:rsid w:val="00175351"/>
    <w:rsid w:val="00175F60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5444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3110"/>
    <w:rsid w:val="001B4198"/>
    <w:rsid w:val="001B44BC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D59"/>
    <w:rsid w:val="00252602"/>
    <w:rsid w:val="00252FDC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39A6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6DEC"/>
    <w:rsid w:val="00377200"/>
    <w:rsid w:val="0038034A"/>
    <w:rsid w:val="00380E04"/>
    <w:rsid w:val="00380E6C"/>
    <w:rsid w:val="00383227"/>
    <w:rsid w:val="00384D8F"/>
    <w:rsid w:val="00385D98"/>
    <w:rsid w:val="00385EC5"/>
    <w:rsid w:val="0038658E"/>
    <w:rsid w:val="0039066E"/>
    <w:rsid w:val="00391C95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5D7A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78BD"/>
    <w:rsid w:val="00410132"/>
    <w:rsid w:val="00410BCD"/>
    <w:rsid w:val="00410DE5"/>
    <w:rsid w:val="0041175D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71F"/>
    <w:rsid w:val="00464BE8"/>
    <w:rsid w:val="00465019"/>
    <w:rsid w:val="00465FA4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803"/>
    <w:rsid w:val="004B10A8"/>
    <w:rsid w:val="004B22DA"/>
    <w:rsid w:val="004B3CB7"/>
    <w:rsid w:val="004B3D55"/>
    <w:rsid w:val="004B55B7"/>
    <w:rsid w:val="004B5836"/>
    <w:rsid w:val="004C00A6"/>
    <w:rsid w:val="004C0BBB"/>
    <w:rsid w:val="004C1AD6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73"/>
    <w:rsid w:val="004F33A0"/>
    <w:rsid w:val="004F4353"/>
    <w:rsid w:val="004F447D"/>
    <w:rsid w:val="004F4C28"/>
    <w:rsid w:val="004F4E82"/>
    <w:rsid w:val="004F5CC5"/>
    <w:rsid w:val="004F6350"/>
    <w:rsid w:val="005028E1"/>
    <w:rsid w:val="0050692E"/>
    <w:rsid w:val="00507040"/>
    <w:rsid w:val="005079F8"/>
    <w:rsid w:val="00510189"/>
    <w:rsid w:val="005108C0"/>
    <w:rsid w:val="00511873"/>
    <w:rsid w:val="0051367B"/>
    <w:rsid w:val="00513B7E"/>
    <w:rsid w:val="005140DE"/>
    <w:rsid w:val="00514474"/>
    <w:rsid w:val="005147E9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563B"/>
    <w:rsid w:val="005A7500"/>
    <w:rsid w:val="005A77E4"/>
    <w:rsid w:val="005B1BDB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F0976"/>
    <w:rsid w:val="005F26CE"/>
    <w:rsid w:val="005F4057"/>
    <w:rsid w:val="005F4088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531"/>
    <w:rsid w:val="006118AA"/>
    <w:rsid w:val="006139C7"/>
    <w:rsid w:val="006153E3"/>
    <w:rsid w:val="006167AB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AFC"/>
    <w:rsid w:val="00676F11"/>
    <w:rsid w:val="00680079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53C7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A59"/>
    <w:rsid w:val="00700232"/>
    <w:rsid w:val="007014C7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5492"/>
    <w:rsid w:val="00726043"/>
    <w:rsid w:val="0072704A"/>
    <w:rsid w:val="00730AE8"/>
    <w:rsid w:val="007315DA"/>
    <w:rsid w:val="00731963"/>
    <w:rsid w:val="00734321"/>
    <w:rsid w:val="0073532E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4D00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D67"/>
    <w:rsid w:val="007B1966"/>
    <w:rsid w:val="007B2779"/>
    <w:rsid w:val="007B3DCC"/>
    <w:rsid w:val="007B4518"/>
    <w:rsid w:val="007B5031"/>
    <w:rsid w:val="007B573F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5947"/>
    <w:rsid w:val="007D65C1"/>
    <w:rsid w:val="007E030F"/>
    <w:rsid w:val="007E0E59"/>
    <w:rsid w:val="007E0F4B"/>
    <w:rsid w:val="007E3715"/>
    <w:rsid w:val="007E7E61"/>
    <w:rsid w:val="007F0845"/>
    <w:rsid w:val="007F16F9"/>
    <w:rsid w:val="007F3E3E"/>
    <w:rsid w:val="007F42E0"/>
    <w:rsid w:val="007F500D"/>
    <w:rsid w:val="007F5F14"/>
    <w:rsid w:val="007F7B54"/>
    <w:rsid w:val="00800073"/>
    <w:rsid w:val="008005D7"/>
    <w:rsid w:val="00801FDD"/>
    <w:rsid w:val="008020C2"/>
    <w:rsid w:val="0080255C"/>
    <w:rsid w:val="00806D07"/>
    <w:rsid w:val="0081187C"/>
    <w:rsid w:val="00811E24"/>
    <w:rsid w:val="00812386"/>
    <w:rsid w:val="00812E2B"/>
    <w:rsid w:val="00813A70"/>
    <w:rsid w:val="00813FE6"/>
    <w:rsid w:val="00815C6E"/>
    <w:rsid w:val="0081645F"/>
    <w:rsid w:val="00817755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281A"/>
    <w:rsid w:val="008559FE"/>
    <w:rsid w:val="00857339"/>
    <w:rsid w:val="00860706"/>
    <w:rsid w:val="00862A7A"/>
    <w:rsid w:val="00863104"/>
    <w:rsid w:val="008636CD"/>
    <w:rsid w:val="00863D9E"/>
    <w:rsid w:val="00863FDC"/>
    <w:rsid w:val="008642AF"/>
    <w:rsid w:val="00865729"/>
    <w:rsid w:val="00865ED4"/>
    <w:rsid w:val="008669A7"/>
    <w:rsid w:val="00867E29"/>
    <w:rsid w:val="00870F2B"/>
    <w:rsid w:val="008746E6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00C2"/>
    <w:rsid w:val="008B07EF"/>
    <w:rsid w:val="008B16DE"/>
    <w:rsid w:val="008B190E"/>
    <w:rsid w:val="008B1A8A"/>
    <w:rsid w:val="008B1FC9"/>
    <w:rsid w:val="008B531F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7815"/>
    <w:rsid w:val="008C7A07"/>
    <w:rsid w:val="008D0171"/>
    <w:rsid w:val="008D13EA"/>
    <w:rsid w:val="008D2671"/>
    <w:rsid w:val="008D2A16"/>
    <w:rsid w:val="008D2ECF"/>
    <w:rsid w:val="008D347D"/>
    <w:rsid w:val="008D3F3D"/>
    <w:rsid w:val="008E0367"/>
    <w:rsid w:val="008E308D"/>
    <w:rsid w:val="008E31FF"/>
    <w:rsid w:val="008E46A3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AF3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40B"/>
    <w:rsid w:val="009256C5"/>
    <w:rsid w:val="00926283"/>
    <w:rsid w:val="009306BE"/>
    <w:rsid w:val="00937B11"/>
    <w:rsid w:val="00940F1F"/>
    <w:rsid w:val="00941250"/>
    <w:rsid w:val="0094427A"/>
    <w:rsid w:val="00944380"/>
    <w:rsid w:val="009459C5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54FF"/>
    <w:rsid w:val="00995E2F"/>
    <w:rsid w:val="009961BC"/>
    <w:rsid w:val="00996355"/>
    <w:rsid w:val="009A2014"/>
    <w:rsid w:val="009A3A87"/>
    <w:rsid w:val="009A4E12"/>
    <w:rsid w:val="009A5C68"/>
    <w:rsid w:val="009A6EF7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3705"/>
    <w:rsid w:val="009C7388"/>
    <w:rsid w:val="009D0CFF"/>
    <w:rsid w:val="009D1551"/>
    <w:rsid w:val="009D2859"/>
    <w:rsid w:val="009D36EC"/>
    <w:rsid w:val="009D4173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FC3"/>
    <w:rsid w:val="009F41C4"/>
    <w:rsid w:val="009F5846"/>
    <w:rsid w:val="009F7B52"/>
    <w:rsid w:val="009F7D77"/>
    <w:rsid w:val="00A004D2"/>
    <w:rsid w:val="00A015EA"/>
    <w:rsid w:val="00A10D66"/>
    <w:rsid w:val="00A12BA8"/>
    <w:rsid w:val="00A1420C"/>
    <w:rsid w:val="00A1456C"/>
    <w:rsid w:val="00A14821"/>
    <w:rsid w:val="00A17754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D48"/>
    <w:rsid w:val="00A46DE0"/>
    <w:rsid w:val="00A4778A"/>
    <w:rsid w:val="00A47C94"/>
    <w:rsid w:val="00A504C0"/>
    <w:rsid w:val="00A5067F"/>
    <w:rsid w:val="00A517C1"/>
    <w:rsid w:val="00A55301"/>
    <w:rsid w:val="00A572FB"/>
    <w:rsid w:val="00A57B3C"/>
    <w:rsid w:val="00A57F1B"/>
    <w:rsid w:val="00A6128E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5E40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4628"/>
    <w:rsid w:val="00A94954"/>
    <w:rsid w:val="00A96463"/>
    <w:rsid w:val="00A97E3F"/>
    <w:rsid w:val="00AA09D3"/>
    <w:rsid w:val="00AA23FB"/>
    <w:rsid w:val="00AA42AB"/>
    <w:rsid w:val="00AA559A"/>
    <w:rsid w:val="00AA5F10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DFF"/>
    <w:rsid w:val="00AF128B"/>
    <w:rsid w:val="00AF1AEA"/>
    <w:rsid w:val="00AF2852"/>
    <w:rsid w:val="00AF3225"/>
    <w:rsid w:val="00AF4983"/>
    <w:rsid w:val="00AF518B"/>
    <w:rsid w:val="00AF5275"/>
    <w:rsid w:val="00AF6367"/>
    <w:rsid w:val="00AF6A79"/>
    <w:rsid w:val="00AF724E"/>
    <w:rsid w:val="00AF73A9"/>
    <w:rsid w:val="00B01436"/>
    <w:rsid w:val="00B01C2C"/>
    <w:rsid w:val="00B0231C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29E"/>
    <w:rsid w:val="00B32DDB"/>
    <w:rsid w:val="00B34931"/>
    <w:rsid w:val="00B35174"/>
    <w:rsid w:val="00B35BEA"/>
    <w:rsid w:val="00B37915"/>
    <w:rsid w:val="00B3793D"/>
    <w:rsid w:val="00B41BE6"/>
    <w:rsid w:val="00B428A4"/>
    <w:rsid w:val="00B457E7"/>
    <w:rsid w:val="00B45D1B"/>
    <w:rsid w:val="00B46D25"/>
    <w:rsid w:val="00B47430"/>
    <w:rsid w:val="00B52D2D"/>
    <w:rsid w:val="00B534EF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4417"/>
    <w:rsid w:val="00B95566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B04"/>
    <w:rsid w:val="00BC6D27"/>
    <w:rsid w:val="00BD186B"/>
    <w:rsid w:val="00BD1EAC"/>
    <w:rsid w:val="00BD254C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50BE"/>
    <w:rsid w:val="00C158B0"/>
    <w:rsid w:val="00C15A0C"/>
    <w:rsid w:val="00C15DCB"/>
    <w:rsid w:val="00C16208"/>
    <w:rsid w:val="00C1711F"/>
    <w:rsid w:val="00C17E38"/>
    <w:rsid w:val="00C20744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422D"/>
    <w:rsid w:val="00C476C5"/>
    <w:rsid w:val="00C503B0"/>
    <w:rsid w:val="00C511C2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617A"/>
    <w:rsid w:val="00CE6E3C"/>
    <w:rsid w:val="00CF25D2"/>
    <w:rsid w:val="00CF28C2"/>
    <w:rsid w:val="00CF42BD"/>
    <w:rsid w:val="00CF51EC"/>
    <w:rsid w:val="00CF6A9D"/>
    <w:rsid w:val="00CF6CD7"/>
    <w:rsid w:val="00CF75EC"/>
    <w:rsid w:val="00D0037A"/>
    <w:rsid w:val="00D0061E"/>
    <w:rsid w:val="00D00DAF"/>
    <w:rsid w:val="00D017EC"/>
    <w:rsid w:val="00D01CDA"/>
    <w:rsid w:val="00D040DD"/>
    <w:rsid w:val="00D04E1B"/>
    <w:rsid w:val="00D0547B"/>
    <w:rsid w:val="00D076DB"/>
    <w:rsid w:val="00D07EFF"/>
    <w:rsid w:val="00D1067C"/>
    <w:rsid w:val="00D136D4"/>
    <w:rsid w:val="00D13830"/>
    <w:rsid w:val="00D13ECF"/>
    <w:rsid w:val="00D142E5"/>
    <w:rsid w:val="00D148CD"/>
    <w:rsid w:val="00D1611E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51E0"/>
    <w:rsid w:val="00D45A1D"/>
    <w:rsid w:val="00D4615E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5DC2"/>
    <w:rsid w:val="00D766EF"/>
    <w:rsid w:val="00D76C03"/>
    <w:rsid w:val="00D77F8D"/>
    <w:rsid w:val="00D8119B"/>
    <w:rsid w:val="00D82462"/>
    <w:rsid w:val="00D868CE"/>
    <w:rsid w:val="00D86DAE"/>
    <w:rsid w:val="00D90116"/>
    <w:rsid w:val="00D90C1E"/>
    <w:rsid w:val="00D91BDF"/>
    <w:rsid w:val="00D91F2C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350B"/>
    <w:rsid w:val="00DC3790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BFE"/>
    <w:rsid w:val="00DD373E"/>
    <w:rsid w:val="00DD57AD"/>
    <w:rsid w:val="00DE009B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78DD"/>
    <w:rsid w:val="00DF7FEC"/>
    <w:rsid w:val="00E01C0E"/>
    <w:rsid w:val="00E02086"/>
    <w:rsid w:val="00E02740"/>
    <w:rsid w:val="00E03B27"/>
    <w:rsid w:val="00E04694"/>
    <w:rsid w:val="00E049F6"/>
    <w:rsid w:val="00E04CA9"/>
    <w:rsid w:val="00E05B2B"/>
    <w:rsid w:val="00E06A2A"/>
    <w:rsid w:val="00E07F05"/>
    <w:rsid w:val="00E127E1"/>
    <w:rsid w:val="00E144D2"/>
    <w:rsid w:val="00E144D6"/>
    <w:rsid w:val="00E15346"/>
    <w:rsid w:val="00E15B7D"/>
    <w:rsid w:val="00E2097E"/>
    <w:rsid w:val="00E215EA"/>
    <w:rsid w:val="00E21CAB"/>
    <w:rsid w:val="00E221FC"/>
    <w:rsid w:val="00E22E78"/>
    <w:rsid w:val="00E24619"/>
    <w:rsid w:val="00E25223"/>
    <w:rsid w:val="00E263A8"/>
    <w:rsid w:val="00E27AA1"/>
    <w:rsid w:val="00E30BEA"/>
    <w:rsid w:val="00E31764"/>
    <w:rsid w:val="00E32BC2"/>
    <w:rsid w:val="00E34985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39E4"/>
    <w:rsid w:val="00E569C7"/>
    <w:rsid w:val="00E571F2"/>
    <w:rsid w:val="00E57429"/>
    <w:rsid w:val="00E61EA8"/>
    <w:rsid w:val="00E64EA1"/>
    <w:rsid w:val="00E669C7"/>
    <w:rsid w:val="00E70510"/>
    <w:rsid w:val="00E71262"/>
    <w:rsid w:val="00E71A58"/>
    <w:rsid w:val="00E737F6"/>
    <w:rsid w:val="00E7568F"/>
    <w:rsid w:val="00E764AE"/>
    <w:rsid w:val="00E7724B"/>
    <w:rsid w:val="00E84F21"/>
    <w:rsid w:val="00E8618A"/>
    <w:rsid w:val="00E90A4B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101FF"/>
    <w:rsid w:val="00F104DF"/>
    <w:rsid w:val="00F10A33"/>
    <w:rsid w:val="00F10B64"/>
    <w:rsid w:val="00F1186C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273D4"/>
    <w:rsid w:val="00F307DD"/>
    <w:rsid w:val="00F318FC"/>
    <w:rsid w:val="00F31F76"/>
    <w:rsid w:val="00F325A3"/>
    <w:rsid w:val="00F3364D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3243"/>
    <w:rsid w:val="00F541ED"/>
    <w:rsid w:val="00F54B31"/>
    <w:rsid w:val="00F54FD3"/>
    <w:rsid w:val="00F55605"/>
    <w:rsid w:val="00F57CD7"/>
    <w:rsid w:val="00F62F02"/>
    <w:rsid w:val="00F6339F"/>
    <w:rsid w:val="00F63DDE"/>
    <w:rsid w:val="00F63FB7"/>
    <w:rsid w:val="00F64726"/>
    <w:rsid w:val="00F6561A"/>
    <w:rsid w:val="00F70309"/>
    <w:rsid w:val="00F7078A"/>
    <w:rsid w:val="00F70E45"/>
    <w:rsid w:val="00F727D5"/>
    <w:rsid w:val="00F72F44"/>
    <w:rsid w:val="00F73A0C"/>
    <w:rsid w:val="00F759DC"/>
    <w:rsid w:val="00F7717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9310A"/>
    <w:rsid w:val="00F95117"/>
    <w:rsid w:val="00F97ED2"/>
    <w:rsid w:val="00FA05D7"/>
    <w:rsid w:val="00FA1C6C"/>
    <w:rsid w:val="00FA2447"/>
    <w:rsid w:val="00FA2C2A"/>
    <w:rsid w:val="00FA309A"/>
    <w:rsid w:val="00FA7644"/>
    <w:rsid w:val="00FB0A9A"/>
    <w:rsid w:val="00FB16AD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9256-9DAF-45DA-B8EF-665D2626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1049</TotalTime>
  <Pages>2</Pages>
  <Words>1283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kucera4376</cp:lastModifiedBy>
  <cp:revision>403</cp:revision>
  <cp:lastPrinted>2015-06-19T06:21:00Z</cp:lastPrinted>
  <dcterms:created xsi:type="dcterms:W3CDTF">2015-12-16T13:30:00Z</dcterms:created>
  <dcterms:modified xsi:type="dcterms:W3CDTF">2016-06-20T11:02:00Z</dcterms:modified>
</cp:coreProperties>
</file>