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FF657" w14:textId="67691ABB" w:rsidR="00182D6D" w:rsidRPr="00DC29B4" w:rsidRDefault="00DE7AA6" w:rsidP="00DE7AA6">
      <w:pPr>
        <w:numPr>
          <w:ilvl w:val="0"/>
          <w:numId w:val="1"/>
        </w:numPr>
        <w:tabs>
          <w:tab w:val="clear" w:pos="720"/>
          <w:tab w:val="num" w:pos="142"/>
        </w:tabs>
        <w:spacing w:line="288" w:lineRule="auto"/>
        <w:ind w:left="709" w:hanging="709"/>
        <w:outlineLvl w:val="0"/>
        <w:rPr>
          <w:rFonts w:ascii="Arial" w:hAnsi="Arial" w:cs="Arial"/>
          <w:b/>
          <w:i/>
          <w:color w:val="0071BC"/>
          <w:sz w:val="32"/>
          <w:szCs w:val="32"/>
          <w:lang w:val="en-GB"/>
        </w:rPr>
      </w:pPr>
      <w:bookmarkStart w:id="0" w:name="_Toc499879040"/>
      <w:bookmarkStart w:id="1" w:name="_GoBack"/>
      <w:bookmarkEnd w:id="1"/>
      <w:r w:rsidRPr="00DC29B4">
        <w:rPr>
          <w:rFonts w:ascii="Arial" w:hAnsi="Arial" w:cs="Arial"/>
          <w:b/>
          <w:i/>
          <w:color w:val="0071BC"/>
          <w:sz w:val="32"/>
          <w:szCs w:val="32"/>
          <w:lang w:val="en-GB"/>
        </w:rPr>
        <w:t>Structure of agricultural holdings by types of farming</w:t>
      </w:r>
      <w:bookmarkEnd w:id="0"/>
    </w:p>
    <w:p w14:paraId="6D9A4A6F" w14:textId="77777777" w:rsidR="00182D6D" w:rsidRPr="00CA56E3" w:rsidRDefault="00182D6D" w:rsidP="00DE7AA6">
      <w:pPr>
        <w:spacing w:line="288" w:lineRule="auto"/>
        <w:ind w:left="360"/>
        <w:rPr>
          <w:rFonts w:ascii="Arial" w:hAnsi="Arial" w:cs="Arial"/>
          <w:b/>
          <w:i/>
          <w:sz w:val="20"/>
          <w:szCs w:val="20"/>
          <w:lang w:val="en-GB"/>
        </w:rPr>
      </w:pPr>
    </w:p>
    <w:p w14:paraId="7F6C592B" w14:textId="2E651B83" w:rsidR="001F16E2" w:rsidRDefault="001F16E2" w:rsidP="001F16E2">
      <w:pPr>
        <w:spacing w:before="120" w:line="288" w:lineRule="auto"/>
        <w:ind w:firstLine="539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The EU agricultural holdings classification system </w:t>
      </w:r>
      <w:r w:rsidR="004B2415">
        <w:rPr>
          <w:rFonts w:ascii="Arial" w:hAnsi="Arial" w:cs="Arial"/>
          <w:i/>
          <w:sz w:val="20"/>
          <w:szCs w:val="20"/>
          <w:lang w:val="en-GB"/>
        </w:rPr>
        <w:t>e</w:t>
      </w:r>
      <w:r w:rsidR="004B2415" w:rsidRPr="004B2415">
        <w:rPr>
          <w:rFonts w:ascii="Arial" w:hAnsi="Arial" w:cs="Arial"/>
          <w:i/>
          <w:sz w:val="20"/>
          <w:szCs w:val="20"/>
          <w:lang w:val="en-GB"/>
        </w:rPr>
        <w:t>nables mapping</w:t>
      </w:r>
      <w:r w:rsidRPr="001F16E2">
        <w:rPr>
          <w:rFonts w:ascii="Arial" w:hAnsi="Arial" w:cs="Arial"/>
          <w:i/>
          <w:sz w:val="20"/>
          <w:szCs w:val="20"/>
          <w:lang w:val="en-GB"/>
        </w:rPr>
        <w:t xml:space="preserve"> the current structure of agricultural holdings in terms of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type</w:t>
      </w:r>
      <w:r w:rsidR="00311F1A">
        <w:rPr>
          <w:rFonts w:ascii="Arial" w:hAnsi="Arial" w:cs="Arial"/>
          <w:i/>
          <w:sz w:val="20"/>
          <w:szCs w:val="20"/>
          <w:lang w:val="en-GB"/>
        </w:rPr>
        <w:t>s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of farming. The basic information on the number of holdings in particular regions broken down by types of farming is given in Annex B1. The results of </w:t>
      </w:r>
      <w:r w:rsidR="00311F1A">
        <w:rPr>
          <w:rFonts w:ascii="Arial" w:hAnsi="Arial" w:cs="Arial"/>
          <w:i/>
          <w:sz w:val="20"/>
          <w:szCs w:val="20"/>
          <w:lang w:val="en-GB"/>
        </w:rPr>
        <w:t xml:space="preserve">the 2023 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Integrated Farm Statistics show that the Czech agricultural production is spread mainly in four types of farming: specialist field crops, specialist grazing livestock, specialist horticulture and permanent </w:t>
      </w:r>
      <w:r w:rsidRPr="009A076A">
        <w:rPr>
          <w:rFonts w:ascii="Arial" w:hAnsi="Arial" w:cs="Arial"/>
          <w:i/>
          <w:sz w:val="20"/>
          <w:szCs w:val="20"/>
          <w:lang w:val="en-GB"/>
        </w:rPr>
        <w:t xml:space="preserve">crops, and mixed production. Moreover, the distribution of </w:t>
      </w:r>
      <w:r w:rsidR="00311F1A" w:rsidRPr="009A076A">
        <w:rPr>
          <w:rFonts w:ascii="Arial" w:hAnsi="Arial" w:cs="Arial"/>
          <w:i/>
          <w:sz w:val="20"/>
          <w:szCs w:val="20"/>
          <w:lang w:val="en-GB"/>
        </w:rPr>
        <w:t>types</w:t>
      </w:r>
      <w:r w:rsidRPr="009A076A">
        <w:rPr>
          <w:rFonts w:ascii="Arial" w:hAnsi="Arial" w:cs="Arial"/>
          <w:i/>
          <w:sz w:val="20"/>
          <w:szCs w:val="20"/>
          <w:lang w:val="en-GB"/>
        </w:rPr>
        <w:t xml:space="preserve"> of farming depends on regional soil-climatic conditions, </w:t>
      </w:r>
      <w:r w:rsidR="005F2F49" w:rsidRPr="005F2F49">
        <w:rPr>
          <w:rFonts w:ascii="Arial" w:hAnsi="Arial" w:cs="Arial"/>
          <w:i/>
          <w:sz w:val="20"/>
          <w:szCs w:val="20"/>
          <w:lang w:val="en-GB"/>
        </w:rPr>
        <w:t xml:space="preserve">which is evidenced by the high proportion of </w:t>
      </w:r>
      <w:r w:rsidR="005F2F49">
        <w:rPr>
          <w:rFonts w:ascii="Arial" w:hAnsi="Arial" w:cs="Arial"/>
          <w:i/>
          <w:sz w:val="20"/>
          <w:szCs w:val="20"/>
          <w:lang w:val="en-GB"/>
        </w:rPr>
        <w:t>holdings</w:t>
      </w:r>
      <w:r w:rsidR="005F2F49" w:rsidRPr="005F2F49">
        <w:rPr>
          <w:rFonts w:ascii="Arial" w:hAnsi="Arial" w:cs="Arial"/>
          <w:i/>
          <w:sz w:val="20"/>
          <w:szCs w:val="20"/>
          <w:lang w:val="en-GB"/>
        </w:rPr>
        <w:t xml:space="preserve"> specializing in horticulture and permanent crops in the South Moravian, </w:t>
      </w:r>
      <w:proofErr w:type="spellStart"/>
      <w:r w:rsidR="005F2F49" w:rsidRPr="005F2F49">
        <w:rPr>
          <w:rFonts w:ascii="Arial" w:hAnsi="Arial" w:cs="Arial"/>
          <w:i/>
          <w:sz w:val="20"/>
          <w:szCs w:val="20"/>
          <w:lang w:val="en-GB"/>
        </w:rPr>
        <w:t>Zlín</w:t>
      </w:r>
      <w:proofErr w:type="spellEnd"/>
      <w:r w:rsidR="005F2F49" w:rsidRPr="005F2F49">
        <w:rPr>
          <w:rFonts w:ascii="Arial" w:hAnsi="Arial" w:cs="Arial"/>
          <w:i/>
          <w:sz w:val="20"/>
          <w:szCs w:val="20"/>
          <w:lang w:val="en-GB"/>
        </w:rPr>
        <w:t xml:space="preserve"> and </w:t>
      </w:r>
      <w:proofErr w:type="spellStart"/>
      <w:r w:rsidR="005F2F49" w:rsidRPr="005F2F49">
        <w:rPr>
          <w:rFonts w:ascii="Arial" w:hAnsi="Arial" w:cs="Arial"/>
          <w:i/>
          <w:sz w:val="20"/>
          <w:szCs w:val="20"/>
          <w:lang w:val="en-GB"/>
        </w:rPr>
        <w:t>Ústí</w:t>
      </w:r>
      <w:proofErr w:type="spellEnd"/>
      <w:r w:rsidR="005F2F49" w:rsidRPr="005F2F49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="005F2F49" w:rsidRPr="005F2F49">
        <w:rPr>
          <w:rFonts w:ascii="Arial" w:hAnsi="Arial" w:cs="Arial"/>
          <w:i/>
          <w:sz w:val="20"/>
          <w:szCs w:val="20"/>
          <w:lang w:val="en-GB"/>
        </w:rPr>
        <w:t>nad</w:t>
      </w:r>
      <w:proofErr w:type="spellEnd"/>
      <w:r w:rsidR="005F2F49" w:rsidRPr="005F2F49">
        <w:rPr>
          <w:rFonts w:ascii="Arial" w:hAnsi="Arial" w:cs="Arial"/>
          <w:i/>
          <w:sz w:val="20"/>
          <w:szCs w:val="20"/>
          <w:lang w:val="en-GB"/>
        </w:rPr>
        <w:t xml:space="preserve"> Labem regions.</w:t>
      </w:r>
    </w:p>
    <w:p w14:paraId="1BC1EC2C" w14:textId="039C8E3D" w:rsidR="00311F1A" w:rsidRDefault="00311F1A" w:rsidP="00311F1A">
      <w:pPr>
        <w:spacing w:before="120" w:line="288" w:lineRule="auto"/>
        <w:ind w:firstLine="539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9A076A">
        <w:rPr>
          <w:rFonts w:ascii="Arial" w:hAnsi="Arial" w:cs="Arial"/>
          <w:i/>
          <w:sz w:val="20"/>
          <w:szCs w:val="20"/>
          <w:lang w:val="en-GB"/>
        </w:rPr>
        <w:t xml:space="preserve">Based on the total </w:t>
      </w:r>
      <w:r w:rsidR="00654E6D" w:rsidRPr="00654E6D">
        <w:rPr>
          <w:rFonts w:ascii="Arial" w:hAnsi="Arial" w:cs="Arial"/>
          <w:i/>
          <w:sz w:val="20"/>
          <w:szCs w:val="20"/>
          <w:lang w:val="en-GB"/>
        </w:rPr>
        <w:t>area of utilized agricultural land</w:t>
      </w:r>
      <w:r w:rsidRPr="009A076A">
        <w:rPr>
          <w:rFonts w:ascii="Arial" w:hAnsi="Arial" w:cs="Arial"/>
          <w:i/>
          <w:sz w:val="20"/>
          <w:szCs w:val="20"/>
          <w:lang w:val="en-GB"/>
        </w:rPr>
        <w:t xml:space="preserve"> (Annex B3), the most widespread specialization</w:t>
      </w:r>
      <w:r w:rsidR="00E41C6B" w:rsidRPr="00E41C6B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E41C6B">
        <w:rPr>
          <w:rFonts w:ascii="Arial" w:hAnsi="Arial" w:cs="Arial"/>
          <w:i/>
          <w:sz w:val="20"/>
          <w:szCs w:val="20"/>
          <w:lang w:val="en-GB"/>
        </w:rPr>
        <w:t>is field crops</w:t>
      </w:r>
      <w:r w:rsidRPr="009A076A">
        <w:rPr>
          <w:rFonts w:ascii="Arial" w:hAnsi="Arial" w:cs="Arial"/>
          <w:i/>
          <w:sz w:val="20"/>
          <w:szCs w:val="20"/>
          <w:lang w:val="en-GB"/>
        </w:rPr>
        <w:t xml:space="preserve">. </w:t>
      </w:r>
      <w:r w:rsidR="00E122EE">
        <w:rPr>
          <w:rFonts w:ascii="Arial" w:hAnsi="Arial" w:cs="Arial"/>
          <w:i/>
          <w:sz w:val="20"/>
          <w:szCs w:val="20"/>
          <w:lang w:val="en-GB"/>
        </w:rPr>
        <w:t>Holdings</w:t>
      </w:r>
      <w:r w:rsidR="00E122EE" w:rsidRPr="00E122EE">
        <w:rPr>
          <w:rFonts w:ascii="Arial" w:hAnsi="Arial" w:cs="Arial"/>
          <w:i/>
          <w:sz w:val="20"/>
          <w:szCs w:val="20"/>
          <w:lang w:val="en-GB"/>
        </w:rPr>
        <w:t xml:space="preserve"> with this specialization manage an area of 1,337 thousand </w:t>
      </w:r>
      <w:r w:rsidR="00AF7EF9" w:rsidRPr="00E122EE">
        <w:rPr>
          <w:rFonts w:ascii="Arial" w:hAnsi="Arial" w:cs="Arial"/>
          <w:i/>
          <w:sz w:val="20"/>
          <w:szCs w:val="20"/>
          <w:lang w:val="en-GB"/>
        </w:rPr>
        <w:t>h</w:t>
      </w:r>
      <w:r w:rsidR="00AF7EF9">
        <w:rPr>
          <w:rFonts w:ascii="Arial" w:hAnsi="Arial" w:cs="Arial"/>
          <w:i/>
          <w:sz w:val="20"/>
          <w:szCs w:val="20"/>
          <w:lang w:val="en-GB"/>
        </w:rPr>
        <w:t>ectares</w:t>
      </w:r>
      <w:r w:rsidR="00AF7EF9" w:rsidRPr="00E122EE">
        <w:rPr>
          <w:rFonts w:ascii="Arial" w:hAnsi="Arial" w:cs="Arial"/>
          <w:i/>
          <w:sz w:val="20"/>
          <w:szCs w:val="20"/>
          <w:lang w:val="en-GB"/>
        </w:rPr>
        <w:t>,</w:t>
      </w:r>
      <w:r w:rsidRPr="009A076A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E41C6B" w:rsidRPr="00311F1A">
        <w:rPr>
          <w:rFonts w:ascii="Arial" w:hAnsi="Arial" w:cs="Arial"/>
          <w:i/>
          <w:sz w:val="20"/>
          <w:szCs w:val="20"/>
          <w:lang w:val="en-GB"/>
        </w:rPr>
        <w:t>of which almost a</w:t>
      </w:r>
      <w:r w:rsidR="00AF7EF9">
        <w:rPr>
          <w:rFonts w:ascii="Arial" w:hAnsi="Arial" w:cs="Arial"/>
          <w:i/>
          <w:sz w:val="20"/>
          <w:szCs w:val="20"/>
          <w:lang w:val="en-GB"/>
        </w:rPr>
        <w:t> </w:t>
      </w:r>
      <w:r w:rsidR="00E41C6B" w:rsidRPr="00311F1A">
        <w:rPr>
          <w:rFonts w:ascii="Arial" w:hAnsi="Arial" w:cs="Arial"/>
          <w:i/>
          <w:sz w:val="20"/>
          <w:szCs w:val="20"/>
          <w:lang w:val="en-GB"/>
        </w:rPr>
        <w:t>quarter (24%) is in the Central Bohemian Region</w:t>
      </w:r>
      <w:r w:rsidRPr="009A076A">
        <w:rPr>
          <w:rFonts w:ascii="Arial" w:hAnsi="Arial" w:cs="Arial"/>
          <w:i/>
          <w:sz w:val="20"/>
          <w:szCs w:val="20"/>
          <w:lang w:val="en-GB"/>
        </w:rPr>
        <w:t xml:space="preserve">. The second largest </w:t>
      </w:r>
      <w:r w:rsidR="00E122EE" w:rsidRPr="00E122EE">
        <w:rPr>
          <w:rFonts w:ascii="Arial" w:hAnsi="Arial" w:cs="Arial"/>
          <w:i/>
          <w:sz w:val="20"/>
          <w:szCs w:val="20"/>
          <w:lang w:val="en-GB"/>
        </w:rPr>
        <w:t>area is managed by</w:t>
      </w:r>
      <w:r w:rsidRPr="009A076A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E122EE">
        <w:rPr>
          <w:rFonts w:ascii="Arial" w:hAnsi="Arial" w:cs="Arial"/>
          <w:i/>
          <w:sz w:val="20"/>
          <w:szCs w:val="20"/>
          <w:lang w:val="en-GB"/>
        </w:rPr>
        <w:t>farms with</w:t>
      </w:r>
      <w:r w:rsidRPr="009A076A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180A65">
        <w:rPr>
          <w:rFonts w:ascii="Arial" w:hAnsi="Arial" w:cs="Arial"/>
          <w:i/>
          <w:sz w:val="20"/>
          <w:szCs w:val="20"/>
          <w:lang w:val="en-GB"/>
        </w:rPr>
        <w:t>mixed production</w:t>
      </w:r>
      <w:r w:rsidR="00E122EE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="008352B3">
        <w:rPr>
          <w:rFonts w:ascii="Arial" w:hAnsi="Arial" w:cs="Arial"/>
          <w:i/>
          <w:sz w:val="20"/>
          <w:szCs w:val="20"/>
          <w:lang w:val="en-GB"/>
        </w:rPr>
        <w:t>in total</w:t>
      </w:r>
      <w:r w:rsidRPr="009A076A">
        <w:rPr>
          <w:rFonts w:ascii="Arial" w:hAnsi="Arial" w:cs="Arial"/>
          <w:i/>
          <w:sz w:val="20"/>
          <w:szCs w:val="20"/>
          <w:lang w:val="en-GB"/>
        </w:rPr>
        <w:t xml:space="preserve"> 1</w:t>
      </w:r>
      <w:r w:rsidR="00180A65">
        <w:rPr>
          <w:rFonts w:ascii="Arial" w:hAnsi="Arial" w:cs="Arial"/>
          <w:i/>
          <w:sz w:val="20"/>
          <w:szCs w:val="20"/>
          <w:lang w:val="en-GB"/>
        </w:rPr>
        <w:t>,</w:t>
      </w:r>
      <w:r w:rsidRPr="009A076A">
        <w:rPr>
          <w:rFonts w:ascii="Arial" w:hAnsi="Arial" w:cs="Arial"/>
          <w:i/>
          <w:sz w:val="20"/>
          <w:szCs w:val="20"/>
          <w:lang w:val="en-GB"/>
        </w:rPr>
        <w:t>2</w:t>
      </w:r>
      <w:r w:rsidR="00180A65">
        <w:rPr>
          <w:rFonts w:ascii="Arial" w:hAnsi="Arial" w:cs="Arial"/>
          <w:i/>
          <w:sz w:val="20"/>
          <w:szCs w:val="20"/>
          <w:lang w:val="en-GB"/>
        </w:rPr>
        <w:t>22</w:t>
      </w:r>
      <w:r w:rsidRPr="009A076A">
        <w:rPr>
          <w:rFonts w:ascii="Arial" w:hAnsi="Arial" w:cs="Arial"/>
          <w:i/>
          <w:sz w:val="20"/>
          <w:szCs w:val="20"/>
          <w:lang w:val="en-GB"/>
        </w:rPr>
        <w:t xml:space="preserve"> thous</w:t>
      </w:r>
      <w:r w:rsidR="00180A65">
        <w:rPr>
          <w:rFonts w:ascii="Arial" w:hAnsi="Arial" w:cs="Arial"/>
          <w:i/>
          <w:sz w:val="20"/>
          <w:szCs w:val="20"/>
          <w:lang w:val="en-GB"/>
        </w:rPr>
        <w:t>and</w:t>
      </w:r>
      <w:r w:rsidRPr="009A076A">
        <w:rPr>
          <w:rFonts w:ascii="Arial" w:hAnsi="Arial" w:cs="Arial"/>
          <w:i/>
          <w:sz w:val="20"/>
          <w:szCs w:val="20"/>
          <w:lang w:val="en-GB"/>
        </w:rPr>
        <w:t xml:space="preserve"> ha</w:t>
      </w:r>
      <w:r w:rsidR="00654E6D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="00654E6D" w:rsidRPr="00654E6D">
        <w:rPr>
          <w:rFonts w:ascii="Arial" w:hAnsi="Arial" w:cs="Arial"/>
          <w:i/>
          <w:sz w:val="20"/>
          <w:szCs w:val="20"/>
          <w:lang w:val="en-GB"/>
        </w:rPr>
        <w:t xml:space="preserve">with the largest areas located in the </w:t>
      </w:r>
      <w:proofErr w:type="spellStart"/>
      <w:r w:rsidR="00654E6D" w:rsidRPr="00654E6D">
        <w:rPr>
          <w:rFonts w:ascii="Arial" w:hAnsi="Arial" w:cs="Arial"/>
          <w:i/>
          <w:sz w:val="20"/>
          <w:szCs w:val="20"/>
          <w:lang w:val="en-GB"/>
        </w:rPr>
        <w:t>Vysočina</w:t>
      </w:r>
      <w:proofErr w:type="spellEnd"/>
      <w:r w:rsidR="00654E6D" w:rsidRPr="00654E6D">
        <w:rPr>
          <w:rFonts w:ascii="Arial" w:hAnsi="Arial" w:cs="Arial"/>
          <w:i/>
          <w:sz w:val="20"/>
          <w:szCs w:val="20"/>
          <w:lang w:val="en-GB"/>
        </w:rPr>
        <w:t xml:space="preserve"> Region (16%)</w:t>
      </w:r>
      <w:r w:rsidRPr="009A076A">
        <w:rPr>
          <w:rFonts w:ascii="Arial" w:hAnsi="Arial" w:cs="Arial"/>
          <w:i/>
          <w:sz w:val="20"/>
          <w:szCs w:val="20"/>
          <w:lang w:val="en-GB"/>
        </w:rPr>
        <w:t>. Specialist grazing livestock represents the third largest area in the CR (5</w:t>
      </w:r>
      <w:r w:rsidR="00654E6D">
        <w:rPr>
          <w:rFonts w:ascii="Arial" w:hAnsi="Arial" w:cs="Arial"/>
          <w:i/>
          <w:sz w:val="20"/>
          <w:szCs w:val="20"/>
          <w:lang w:val="en-GB"/>
        </w:rPr>
        <w:t>47</w:t>
      </w:r>
      <w:r w:rsidRPr="009A076A">
        <w:rPr>
          <w:rFonts w:ascii="Arial" w:hAnsi="Arial" w:cs="Arial"/>
          <w:i/>
          <w:sz w:val="20"/>
          <w:szCs w:val="20"/>
          <w:lang w:val="en-GB"/>
        </w:rPr>
        <w:t xml:space="preserve"> thous</w:t>
      </w:r>
      <w:r w:rsidR="00654E6D">
        <w:rPr>
          <w:rFonts w:ascii="Arial" w:hAnsi="Arial" w:cs="Arial"/>
          <w:i/>
          <w:sz w:val="20"/>
          <w:szCs w:val="20"/>
          <w:lang w:val="en-GB"/>
        </w:rPr>
        <w:t>and</w:t>
      </w:r>
      <w:r w:rsidRPr="009A076A">
        <w:rPr>
          <w:rFonts w:ascii="Arial" w:hAnsi="Arial" w:cs="Arial"/>
          <w:i/>
          <w:sz w:val="20"/>
          <w:szCs w:val="20"/>
          <w:lang w:val="en-GB"/>
        </w:rPr>
        <w:t xml:space="preserve"> ha) </w:t>
      </w:r>
      <w:r w:rsidR="00E122EE">
        <w:rPr>
          <w:rFonts w:ascii="Arial" w:hAnsi="Arial" w:cs="Arial"/>
          <w:i/>
          <w:sz w:val="20"/>
          <w:szCs w:val="20"/>
          <w:lang w:val="en-GB"/>
        </w:rPr>
        <w:t>with</w:t>
      </w:r>
      <w:r w:rsidRPr="009A076A">
        <w:rPr>
          <w:rFonts w:ascii="Arial" w:hAnsi="Arial" w:cs="Arial"/>
          <w:i/>
          <w:sz w:val="20"/>
          <w:szCs w:val="20"/>
          <w:lang w:val="en-GB"/>
        </w:rPr>
        <w:t xml:space="preserve"> 1</w:t>
      </w:r>
      <w:r w:rsidR="00654E6D">
        <w:rPr>
          <w:rFonts w:ascii="Arial" w:hAnsi="Arial" w:cs="Arial"/>
          <w:i/>
          <w:sz w:val="20"/>
          <w:szCs w:val="20"/>
          <w:lang w:val="en-GB"/>
        </w:rPr>
        <w:t>8</w:t>
      </w:r>
      <w:r w:rsidRPr="009A076A">
        <w:rPr>
          <w:rFonts w:ascii="Arial" w:hAnsi="Arial" w:cs="Arial"/>
          <w:i/>
          <w:sz w:val="20"/>
          <w:szCs w:val="20"/>
          <w:lang w:val="en-GB"/>
        </w:rPr>
        <w:t>% located in the South Bohemia Region.</w:t>
      </w:r>
    </w:p>
    <w:p w14:paraId="0DEFB9AB" w14:textId="77777777" w:rsidR="00311F1A" w:rsidRPr="009A076A" w:rsidRDefault="00311F1A" w:rsidP="00DE7AA6">
      <w:pPr>
        <w:spacing w:line="288" w:lineRule="auto"/>
        <w:ind w:firstLine="539"/>
        <w:jc w:val="both"/>
        <w:rPr>
          <w:rFonts w:ascii="Arial" w:hAnsi="Arial" w:cs="Arial"/>
          <w:i/>
          <w:sz w:val="20"/>
          <w:szCs w:val="20"/>
          <w:lang w:val="en-GB"/>
        </w:rPr>
      </w:pPr>
    </w:p>
    <w:p w14:paraId="484C2F0F" w14:textId="5FA31730" w:rsidR="00E122EE" w:rsidRDefault="00E122EE" w:rsidP="00E122EE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  <w:r w:rsidRPr="009A076A">
        <w:rPr>
          <w:rFonts w:ascii="Arial" w:hAnsi="Arial" w:cs="Arial"/>
          <w:i/>
          <w:sz w:val="20"/>
          <w:szCs w:val="20"/>
          <w:lang w:val="en-GB"/>
        </w:rPr>
        <w:t xml:space="preserve">The largest share of the holdings is formed by </w:t>
      </w:r>
      <w:r w:rsidRPr="009A076A">
        <w:rPr>
          <w:rFonts w:ascii="Arial" w:hAnsi="Arial" w:cs="Arial"/>
          <w:b/>
          <w:bCs/>
          <w:i/>
          <w:sz w:val="20"/>
          <w:szCs w:val="20"/>
          <w:lang w:val="en-GB"/>
        </w:rPr>
        <w:t>s</w:t>
      </w:r>
      <w:r w:rsidRPr="009A076A">
        <w:rPr>
          <w:rFonts w:ascii="Arial" w:hAnsi="Arial" w:cs="Arial"/>
          <w:b/>
          <w:i/>
          <w:sz w:val="20"/>
          <w:szCs w:val="20"/>
          <w:lang w:val="en-GB"/>
        </w:rPr>
        <w:t>pecialist field crops</w:t>
      </w:r>
      <w:r w:rsidRPr="009A076A">
        <w:rPr>
          <w:rFonts w:ascii="Arial" w:hAnsi="Arial" w:cs="Arial"/>
          <w:i/>
          <w:sz w:val="20"/>
          <w:szCs w:val="20"/>
          <w:lang w:val="en-GB"/>
        </w:rPr>
        <w:t xml:space="preserve"> with a significant impact on the economy of Czech agriculture. More than one-third of Czech farms specialise in field crops production </w:t>
      </w:r>
      <w:r w:rsidRPr="00EE51B0">
        <w:rPr>
          <w:rFonts w:ascii="Arial" w:hAnsi="Arial" w:cs="Arial"/>
          <w:i/>
          <w:sz w:val="20"/>
          <w:szCs w:val="20"/>
          <w:lang w:val="en-GB"/>
        </w:rPr>
        <w:t>(3</w:t>
      </w:r>
      <w:r w:rsidR="007D4834">
        <w:rPr>
          <w:rFonts w:ascii="Arial" w:hAnsi="Arial" w:cs="Arial"/>
          <w:i/>
          <w:sz w:val="20"/>
          <w:szCs w:val="20"/>
          <w:lang w:val="en-GB"/>
        </w:rPr>
        <w:t>7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%). The share of the total acreage of </w:t>
      </w:r>
      <w:r w:rsidR="000B5760" w:rsidRPr="000B5760">
        <w:rPr>
          <w:rFonts w:ascii="Arial" w:hAnsi="Arial" w:cs="Arial"/>
          <w:i/>
          <w:sz w:val="20"/>
          <w:szCs w:val="20"/>
          <w:lang w:val="en-GB"/>
        </w:rPr>
        <w:t>utilized agricultural land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is 3</w:t>
      </w:r>
      <w:r w:rsidR="007D4834">
        <w:rPr>
          <w:rFonts w:ascii="Arial" w:hAnsi="Arial" w:cs="Arial"/>
          <w:i/>
          <w:sz w:val="20"/>
          <w:szCs w:val="20"/>
          <w:lang w:val="en-GB"/>
        </w:rPr>
        <w:t>8</w:t>
      </w:r>
      <w:r w:rsidRPr="00EE51B0">
        <w:rPr>
          <w:rFonts w:ascii="Arial" w:hAnsi="Arial" w:cs="Arial"/>
          <w:i/>
          <w:sz w:val="20"/>
          <w:szCs w:val="20"/>
          <w:lang w:val="en-GB"/>
        </w:rPr>
        <w:t>%. Concerning the legal form, the majority (8</w:t>
      </w:r>
      <w:r w:rsidR="007D4834">
        <w:rPr>
          <w:rFonts w:ascii="Arial" w:hAnsi="Arial" w:cs="Arial"/>
          <w:i/>
          <w:sz w:val="20"/>
          <w:szCs w:val="20"/>
          <w:lang w:val="en-GB"/>
        </w:rPr>
        <w:t>3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%) of field crops specialists </w:t>
      </w:r>
      <w:r w:rsidR="000B5760">
        <w:rPr>
          <w:rFonts w:ascii="Arial" w:hAnsi="Arial" w:cs="Arial"/>
          <w:i/>
          <w:sz w:val="20"/>
          <w:szCs w:val="20"/>
          <w:lang w:val="en-GB"/>
        </w:rPr>
        <w:t>are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formed by natural person. In terms of the size structure, small-scale holdings prevail within the group of field crops holdings (5</w:t>
      </w:r>
      <w:r w:rsidR="00A55730">
        <w:rPr>
          <w:rFonts w:ascii="Arial" w:hAnsi="Arial" w:cs="Arial"/>
          <w:i/>
          <w:sz w:val="20"/>
          <w:szCs w:val="20"/>
          <w:lang w:val="en-GB"/>
        </w:rPr>
        <w:t>3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%). Only </w:t>
      </w:r>
      <w:r w:rsidR="00A55730">
        <w:rPr>
          <w:rFonts w:ascii="Arial" w:hAnsi="Arial" w:cs="Arial"/>
          <w:i/>
          <w:sz w:val="20"/>
          <w:szCs w:val="20"/>
          <w:lang w:val="en-GB"/>
        </w:rPr>
        <w:t>6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% of the holding </w:t>
      </w:r>
      <w:r w:rsidR="000B5760">
        <w:rPr>
          <w:rFonts w:ascii="Arial" w:hAnsi="Arial" w:cs="Arial"/>
          <w:i/>
          <w:sz w:val="20"/>
          <w:szCs w:val="20"/>
          <w:lang w:val="en-GB"/>
        </w:rPr>
        <w:t>are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defined as a large-scale category. As for regional evaluation, most of the field crops specialists </w:t>
      </w:r>
      <w:r w:rsidR="007E27C8">
        <w:rPr>
          <w:rFonts w:ascii="Arial" w:hAnsi="Arial" w:cs="Arial"/>
          <w:i/>
          <w:sz w:val="20"/>
          <w:szCs w:val="20"/>
          <w:lang w:val="en-GB"/>
        </w:rPr>
        <w:t>are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situated in the Central Bohemian Region (2</w:t>
      </w:r>
      <w:r w:rsidR="00A55730">
        <w:rPr>
          <w:rFonts w:ascii="Arial" w:hAnsi="Arial" w:cs="Arial"/>
          <w:i/>
          <w:sz w:val="20"/>
          <w:szCs w:val="20"/>
          <w:lang w:val="en-GB"/>
        </w:rPr>
        <w:t>,361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holdings) with the largest proportion of this type of farming (56%), leav</w:t>
      </w:r>
      <w:r w:rsidR="00E77FD9">
        <w:rPr>
          <w:rFonts w:ascii="Arial" w:hAnsi="Arial" w:cs="Arial"/>
          <w:i/>
          <w:sz w:val="20"/>
          <w:szCs w:val="20"/>
          <w:lang w:val="en-GB"/>
        </w:rPr>
        <w:t>ing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aside the capital city of Prague as a non-agricultural separate region. </w:t>
      </w:r>
      <w:r w:rsidR="000B5760" w:rsidRPr="000B5760">
        <w:rPr>
          <w:rFonts w:ascii="Arial" w:hAnsi="Arial" w:cs="Arial"/>
          <w:i/>
          <w:sz w:val="20"/>
          <w:szCs w:val="20"/>
          <w:lang w:val="en-GB"/>
        </w:rPr>
        <w:t xml:space="preserve">An important position is also held by the </w:t>
      </w:r>
      <w:proofErr w:type="spellStart"/>
      <w:r w:rsidR="000B5760" w:rsidRPr="000B5760">
        <w:rPr>
          <w:rFonts w:ascii="Arial" w:hAnsi="Arial" w:cs="Arial"/>
          <w:i/>
          <w:sz w:val="20"/>
          <w:szCs w:val="20"/>
          <w:lang w:val="en-GB"/>
        </w:rPr>
        <w:t>Vysočina</w:t>
      </w:r>
      <w:proofErr w:type="spellEnd"/>
      <w:r w:rsidR="000B5760" w:rsidRPr="000B5760">
        <w:rPr>
          <w:rFonts w:ascii="Arial" w:hAnsi="Arial" w:cs="Arial"/>
          <w:i/>
          <w:sz w:val="20"/>
          <w:szCs w:val="20"/>
          <w:lang w:val="en-GB"/>
        </w:rPr>
        <w:t xml:space="preserve"> Region (1,522 holdings), </w:t>
      </w:r>
      <w:proofErr w:type="spellStart"/>
      <w:r w:rsidR="000B5760" w:rsidRPr="000B5760">
        <w:rPr>
          <w:rFonts w:ascii="Arial" w:hAnsi="Arial" w:cs="Arial"/>
          <w:i/>
          <w:sz w:val="20"/>
          <w:szCs w:val="20"/>
          <w:lang w:val="en-GB"/>
        </w:rPr>
        <w:t>Ústí</w:t>
      </w:r>
      <w:proofErr w:type="spellEnd"/>
      <w:r w:rsidR="000B5760" w:rsidRPr="000B5760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="000B5760" w:rsidRPr="000B5760">
        <w:rPr>
          <w:rFonts w:ascii="Arial" w:hAnsi="Arial" w:cs="Arial"/>
          <w:i/>
          <w:sz w:val="20"/>
          <w:szCs w:val="20"/>
          <w:lang w:val="en-GB"/>
        </w:rPr>
        <w:t>nad</w:t>
      </w:r>
      <w:proofErr w:type="spellEnd"/>
      <w:r w:rsidR="000B5760" w:rsidRPr="000B5760">
        <w:rPr>
          <w:rFonts w:ascii="Arial" w:hAnsi="Arial" w:cs="Arial"/>
          <w:i/>
          <w:sz w:val="20"/>
          <w:szCs w:val="20"/>
          <w:lang w:val="en-GB"/>
        </w:rPr>
        <w:t xml:space="preserve"> Labem Region (881 holdings), and Olomouc Region (830 holdings). </w:t>
      </w:r>
      <w:r>
        <w:rPr>
          <w:rFonts w:ascii="Arial" w:hAnsi="Arial" w:cs="Arial"/>
          <w:i/>
          <w:sz w:val="20"/>
          <w:szCs w:val="20"/>
          <w:lang w:val="en-GB"/>
        </w:rPr>
        <w:t>T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he regions suitable for field crops planting are naturally determined by altitude and soil-climatic conditions. </w:t>
      </w:r>
    </w:p>
    <w:p w14:paraId="65AA6183" w14:textId="1E6AEF67" w:rsidR="00E122EE" w:rsidRPr="00EE51B0" w:rsidRDefault="00E75763" w:rsidP="00F91E64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noProof/>
          <w:sz w:val="20"/>
          <w:szCs w:val="20"/>
        </w:rPr>
        <w:drawing>
          <wp:inline distT="0" distB="0" distL="0" distR="0" wp14:anchorId="22E16293" wp14:editId="74F2B732">
            <wp:extent cx="5474970" cy="3286125"/>
            <wp:effectExtent l="0" t="0" r="0" b="9525"/>
            <wp:docPr id="15048284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328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BC77EB" w14:textId="076F0E2D" w:rsidR="00F91E64" w:rsidRPr="00CA56E3" w:rsidRDefault="00F91E64" w:rsidP="00F91E64">
      <w:pPr>
        <w:pStyle w:val="Normlnweb"/>
        <w:tabs>
          <w:tab w:val="left" w:pos="360"/>
        </w:tabs>
        <w:spacing w:line="288" w:lineRule="auto"/>
        <w:ind w:firstLine="0"/>
        <w:rPr>
          <w:rFonts w:ascii="Arial" w:hAnsi="Arial" w:cs="Arial"/>
          <w:i/>
          <w:noProof/>
          <w:sz w:val="20"/>
          <w:szCs w:val="20"/>
          <w:lang w:val="en-GB"/>
        </w:rPr>
      </w:pPr>
    </w:p>
    <w:p w14:paraId="5ACC5251" w14:textId="69125F36" w:rsidR="00770DBB" w:rsidRDefault="00770DBB" w:rsidP="00770DBB">
      <w:pPr>
        <w:pStyle w:val="Normlnweb"/>
        <w:spacing w:line="288" w:lineRule="auto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lastRenderedPageBreak/>
        <w:t>T</w:t>
      </w:r>
      <w:r w:rsidRPr="00EE51B0">
        <w:rPr>
          <w:rFonts w:ascii="Arial" w:hAnsi="Arial" w:cs="Arial"/>
          <w:i/>
          <w:sz w:val="20"/>
          <w:szCs w:val="20"/>
          <w:lang w:val="en-US"/>
        </w:rPr>
        <w:t xml:space="preserve">he general type of field </w:t>
      </w:r>
      <w:r w:rsidR="00CA1F05">
        <w:rPr>
          <w:rFonts w:ascii="Arial" w:hAnsi="Arial" w:cs="Arial"/>
          <w:i/>
          <w:sz w:val="20"/>
          <w:szCs w:val="20"/>
          <w:lang w:val="en-US"/>
        </w:rPr>
        <w:t>production</w:t>
      </w:r>
      <w:r w:rsidRPr="00EE51B0">
        <w:rPr>
          <w:rFonts w:ascii="Arial" w:hAnsi="Arial" w:cs="Arial"/>
          <w:i/>
          <w:sz w:val="20"/>
          <w:szCs w:val="20"/>
          <w:lang w:val="en-US"/>
        </w:rPr>
        <w:t xml:space="preserve"> consists of </w:t>
      </w:r>
      <w:r w:rsidR="00CA1F05">
        <w:rPr>
          <w:rFonts w:ascii="Arial" w:hAnsi="Arial" w:cs="Arial"/>
          <w:i/>
          <w:sz w:val="20"/>
          <w:szCs w:val="20"/>
          <w:lang w:val="en-US"/>
        </w:rPr>
        <w:t xml:space="preserve">holdings specializing in </w:t>
      </w:r>
      <w:r w:rsidRPr="00EE51B0">
        <w:rPr>
          <w:rFonts w:ascii="Arial" w:hAnsi="Arial" w:cs="Arial"/>
          <w:i/>
          <w:sz w:val="20"/>
          <w:szCs w:val="20"/>
          <w:lang w:val="en-US"/>
        </w:rPr>
        <w:t>cereals, oilseeds and protein crops and general field cropping (specialized in combined cropping of field crops, root crops and field vegetables). Almost two-thirds (</w:t>
      </w:r>
      <w:r w:rsidR="002C6FAB">
        <w:rPr>
          <w:rFonts w:ascii="Arial" w:hAnsi="Arial" w:cs="Arial"/>
          <w:i/>
          <w:sz w:val="20"/>
          <w:szCs w:val="20"/>
          <w:lang w:val="en-US"/>
        </w:rPr>
        <w:t>61</w:t>
      </w:r>
      <w:r w:rsidRPr="00EE51B0">
        <w:rPr>
          <w:rFonts w:ascii="Arial" w:hAnsi="Arial" w:cs="Arial"/>
          <w:i/>
          <w:sz w:val="20"/>
          <w:szCs w:val="20"/>
          <w:lang w:val="en-US"/>
        </w:rPr>
        <w:t xml:space="preserve">%) of these holdings belong to the group of farms </w:t>
      </w:r>
      <w:r w:rsidR="00170605" w:rsidRPr="00EE51B0">
        <w:rPr>
          <w:rFonts w:ascii="Arial" w:hAnsi="Arial" w:cs="Arial"/>
          <w:i/>
          <w:sz w:val="20"/>
          <w:szCs w:val="20"/>
          <w:lang w:val="en-US"/>
        </w:rPr>
        <w:t>specializing</w:t>
      </w:r>
      <w:r w:rsidRPr="00EE51B0">
        <w:rPr>
          <w:rFonts w:ascii="Arial" w:hAnsi="Arial" w:cs="Arial"/>
          <w:i/>
          <w:sz w:val="20"/>
          <w:szCs w:val="20"/>
          <w:lang w:val="en-US"/>
        </w:rPr>
        <w:t xml:space="preserve"> in </w:t>
      </w:r>
      <w:r w:rsidR="007E27C8" w:rsidRPr="00EE51B0">
        <w:rPr>
          <w:rFonts w:ascii="Arial" w:hAnsi="Arial" w:cs="Arial"/>
          <w:i/>
          <w:sz w:val="20"/>
          <w:szCs w:val="20"/>
          <w:lang w:val="en-US"/>
        </w:rPr>
        <w:t>cereal</w:t>
      </w:r>
      <w:r w:rsidR="007E27C8">
        <w:rPr>
          <w:rFonts w:ascii="Arial" w:hAnsi="Arial" w:cs="Arial"/>
          <w:i/>
          <w:sz w:val="20"/>
          <w:szCs w:val="20"/>
          <w:lang w:val="en-US"/>
        </w:rPr>
        <w:t>s</w:t>
      </w:r>
      <w:r w:rsidRPr="00EE51B0">
        <w:rPr>
          <w:rFonts w:ascii="Arial" w:hAnsi="Arial" w:cs="Arial"/>
          <w:i/>
          <w:sz w:val="20"/>
          <w:szCs w:val="20"/>
          <w:lang w:val="en-US"/>
        </w:rPr>
        <w:t xml:space="preserve"> and oilseeds cropping. </w:t>
      </w:r>
      <w:r w:rsidR="0073292C" w:rsidRPr="0073292C">
        <w:rPr>
          <w:rFonts w:ascii="Arial" w:hAnsi="Arial" w:cs="Arial"/>
          <w:i/>
          <w:sz w:val="20"/>
          <w:szCs w:val="20"/>
          <w:lang w:val="en-US"/>
        </w:rPr>
        <w:t>These farms manage 76% of the agricultural land under field production and 29% of the total agricultural land in the country.</w:t>
      </w:r>
      <w:r w:rsidR="0073292C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Pr="00EE51B0">
        <w:rPr>
          <w:rFonts w:ascii="Arial" w:hAnsi="Arial" w:cs="Arial"/>
          <w:i/>
          <w:sz w:val="20"/>
          <w:szCs w:val="20"/>
          <w:lang w:val="en-US"/>
        </w:rPr>
        <w:t xml:space="preserve">The remaining </w:t>
      </w:r>
      <w:r w:rsidR="00170605">
        <w:rPr>
          <w:rFonts w:ascii="Arial" w:hAnsi="Arial" w:cs="Arial"/>
          <w:i/>
          <w:sz w:val="20"/>
          <w:szCs w:val="20"/>
          <w:lang w:val="en-US"/>
        </w:rPr>
        <w:t>39</w:t>
      </w:r>
      <w:r w:rsidRPr="00EE51B0">
        <w:rPr>
          <w:rFonts w:ascii="Arial" w:hAnsi="Arial" w:cs="Arial"/>
          <w:i/>
          <w:sz w:val="20"/>
          <w:szCs w:val="20"/>
          <w:lang w:val="en-US"/>
        </w:rPr>
        <w:t>% of field crops specialists were classified as general field cropping. The proportion of small-scale holdings (4</w:t>
      </w:r>
      <w:r w:rsidR="0073292C">
        <w:rPr>
          <w:rFonts w:ascii="Arial" w:hAnsi="Arial" w:cs="Arial"/>
          <w:i/>
          <w:sz w:val="20"/>
          <w:szCs w:val="20"/>
          <w:lang w:val="en-US"/>
        </w:rPr>
        <w:t>0</w:t>
      </w:r>
      <w:r w:rsidRPr="00EE51B0">
        <w:rPr>
          <w:rFonts w:ascii="Arial" w:hAnsi="Arial" w:cs="Arial"/>
          <w:i/>
          <w:sz w:val="20"/>
          <w:szCs w:val="20"/>
          <w:lang w:val="en-US"/>
        </w:rPr>
        <w:t>%), medium-scale holdings (5</w:t>
      </w:r>
      <w:r w:rsidR="0073292C">
        <w:rPr>
          <w:rFonts w:ascii="Arial" w:hAnsi="Arial" w:cs="Arial"/>
          <w:i/>
          <w:sz w:val="20"/>
          <w:szCs w:val="20"/>
          <w:lang w:val="en-US"/>
        </w:rPr>
        <w:t>3</w:t>
      </w:r>
      <w:r w:rsidRPr="00EE51B0">
        <w:rPr>
          <w:rFonts w:ascii="Arial" w:hAnsi="Arial" w:cs="Arial"/>
          <w:i/>
          <w:sz w:val="20"/>
          <w:szCs w:val="20"/>
          <w:lang w:val="en-US"/>
        </w:rPr>
        <w:t>%), and large-scale holdings (</w:t>
      </w:r>
      <w:r w:rsidR="0073292C">
        <w:rPr>
          <w:rFonts w:ascii="Arial" w:hAnsi="Arial" w:cs="Arial"/>
          <w:i/>
          <w:sz w:val="20"/>
          <w:szCs w:val="20"/>
          <w:lang w:val="en-US"/>
        </w:rPr>
        <w:t>7</w:t>
      </w:r>
      <w:r w:rsidRPr="00EE51B0">
        <w:rPr>
          <w:rFonts w:ascii="Arial" w:hAnsi="Arial" w:cs="Arial"/>
          <w:i/>
          <w:sz w:val="20"/>
          <w:szCs w:val="20"/>
          <w:lang w:val="en-US"/>
        </w:rPr>
        <w:t xml:space="preserve">%) is typical for the group of cereals and oilseeds specialists. The average acreage reaches </w:t>
      </w:r>
      <w:r w:rsidR="0073292C">
        <w:rPr>
          <w:rFonts w:ascii="Arial" w:hAnsi="Arial" w:cs="Arial"/>
          <w:i/>
          <w:sz w:val="20"/>
          <w:szCs w:val="20"/>
          <w:lang w:val="en-US"/>
        </w:rPr>
        <w:t>138</w:t>
      </w:r>
      <w:r w:rsidRPr="00EE51B0">
        <w:rPr>
          <w:rFonts w:ascii="Arial" w:hAnsi="Arial" w:cs="Arial"/>
          <w:i/>
          <w:sz w:val="20"/>
          <w:szCs w:val="20"/>
          <w:lang w:val="en-US"/>
        </w:rPr>
        <w:t xml:space="preserve"> hectares per holding in this type of farming. Within agricultural holdings specialized in general field cropping, the proportion of small size farms is more significant (7</w:t>
      </w:r>
      <w:r w:rsidR="00CA1F05">
        <w:rPr>
          <w:rFonts w:ascii="Arial" w:hAnsi="Arial" w:cs="Arial"/>
          <w:i/>
          <w:sz w:val="20"/>
          <w:szCs w:val="20"/>
          <w:lang w:val="en-US"/>
        </w:rPr>
        <w:t>3</w:t>
      </w:r>
      <w:r w:rsidRPr="00EE51B0">
        <w:rPr>
          <w:rFonts w:ascii="Arial" w:hAnsi="Arial" w:cs="Arial"/>
          <w:i/>
          <w:sz w:val="20"/>
          <w:szCs w:val="20"/>
          <w:lang w:val="en-US"/>
        </w:rPr>
        <w:t xml:space="preserve">%); which results in a lower value of the average acreage </w:t>
      </w:r>
      <w:r w:rsidRPr="00EE51B0">
        <w:rPr>
          <w:rFonts w:ascii="Arial" w:hAnsi="Arial" w:cs="Arial"/>
          <w:i/>
          <w:sz w:val="20"/>
          <w:szCs w:val="20"/>
        </w:rPr>
        <w:t>(</w:t>
      </w:r>
      <w:r w:rsidR="00CA1F05">
        <w:rPr>
          <w:rFonts w:ascii="Arial" w:hAnsi="Arial" w:cs="Arial"/>
          <w:i/>
          <w:sz w:val="20"/>
          <w:szCs w:val="20"/>
        </w:rPr>
        <w:t xml:space="preserve">66 </w:t>
      </w:r>
      <w:r w:rsidRPr="00EE51B0">
        <w:rPr>
          <w:rFonts w:ascii="Arial" w:hAnsi="Arial" w:cs="Arial"/>
          <w:i/>
          <w:sz w:val="20"/>
          <w:szCs w:val="20"/>
          <w:lang w:val="en-US"/>
        </w:rPr>
        <w:t>ha/holding).</w:t>
      </w:r>
    </w:p>
    <w:p w14:paraId="08E63FC1" w14:textId="77777777" w:rsidR="00CA1F05" w:rsidRPr="00EE51B0" w:rsidRDefault="00CA1F05" w:rsidP="00770DBB">
      <w:pPr>
        <w:pStyle w:val="Normlnweb"/>
        <w:spacing w:line="288" w:lineRule="auto"/>
        <w:rPr>
          <w:rFonts w:ascii="Arial" w:hAnsi="Arial" w:cs="Arial"/>
          <w:i/>
          <w:sz w:val="20"/>
          <w:szCs w:val="20"/>
        </w:rPr>
      </w:pPr>
    </w:p>
    <w:p w14:paraId="5D7B6763" w14:textId="79ED3E8B" w:rsidR="000232F1" w:rsidRDefault="000232F1" w:rsidP="000232F1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An important role among </w:t>
      </w:r>
      <w:r w:rsidR="005F3516">
        <w:rPr>
          <w:rFonts w:ascii="Arial" w:hAnsi="Arial" w:cs="Arial"/>
          <w:i/>
          <w:sz w:val="20"/>
          <w:szCs w:val="20"/>
          <w:lang w:val="en-GB"/>
        </w:rPr>
        <w:t xml:space="preserve">the </w:t>
      </w:r>
      <w:r w:rsidRPr="00EE51B0">
        <w:rPr>
          <w:rFonts w:ascii="Arial" w:hAnsi="Arial" w:cs="Arial"/>
          <w:i/>
          <w:sz w:val="20"/>
          <w:szCs w:val="20"/>
          <w:lang w:val="en-GB"/>
        </w:rPr>
        <w:t>analysed types of farming</w:t>
      </w:r>
      <w:r w:rsidRPr="00EE51B0">
        <w:rPr>
          <w:rFonts w:ascii="Arial" w:hAnsi="Arial" w:cs="Arial"/>
          <w:b/>
          <w:i/>
          <w:sz w:val="20"/>
          <w:szCs w:val="20"/>
          <w:lang w:val="en-GB"/>
        </w:rPr>
        <w:t xml:space="preserve"> 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plays </w:t>
      </w:r>
      <w:r w:rsidRPr="00EE51B0">
        <w:rPr>
          <w:rFonts w:ascii="Arial" w:hAnsi="Arial" w:cs="Arial"/>
          <w:b/>
          <w:i/>
          <w:sz w:val="20"/>
          <w:szCs w:val="20"/>
          <w:lang w:val="en-GB"/>
        </w:rPr>
        <w:t>specialist grazing livestock</w:t>
      </w:r>
      <w:r>
        <w:rPr>
          <w:rFonts w:ascii="Arial" w:hAnsi="Arial" w:cs="Arial"/>
          <w:i/>
          <w:sz w:val="20"/>
          <w:szCs w:val="20"/>
          <w:lang w:val="en-GB"/>
        </w:rPr>
        <w:t>. The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development </w:t>
      </w:r>
      <w:r>
        <w:rPr>
          <w:rFonts w:ascii="Arial" w:hAnsi="Arial" w:cs="Arial"/>
          <w:i/>
          <w:sz w:val="20"/>
          <w:szCs w:val="20"/>
          <w:lang w:val="en-GB"/>
        </w:rPr>
        <w:t xml:space="preserve">of this production 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was </w:t>
      </w:r>
      <w:r w:rsidR="00765E02">
        <w:rPr>
          <w:rFonts w:ascii="Arial" w:hAnsi="Arial" w:cs="Arial"/>
          <w:i/>
          <w:sz w:val="20"/>
          <w:szCs w:val="20"/>
          <w:lang w:val="en-GB"/>
        </w:rPr>
        <w:t>i</w:t>
      </w:r>
      <w:r w:rsidR="005F3516">
        <w:rPr>
          <w:rFonts w:ascii="Arial" w:hAnsi="Arial" w:cs="Arial"/>
          <w:i/>
          <w:sz w:val="20"/>
          <w:szCs w:val="20"/>
          <w:lang w:val="en-GB"/>
        </w:rPr>
        <w:t>nfluenced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by the support of breeding suckler cows </w:t>
      </w:r>
      <w:r w:rsidR="005F3516">
        <w:rPr>
          <w:rFonts w:ascii="Arial" w:hAnsi="Arial" w:cs="Arial"/>
          <w:i/>
          <w:sz w:val="20"/>
          <w:szCs w:val="20"/>
          <w:lang w:val="en-GB"/>
        </w:rPr>
        <w:t>within the framework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of CAP and is typical for the Areas with Natural Constraints (former Less Favoured Areas). The grazing livestock specialists form </w:t>
      </w:r>
      <w:r>
        <w:rPr>
          <w:rFonts w:ascii="Arial" w:hAnsi="Arial" w:cs="Arial"/>
          <w:i/>
          <w:sz w:val="20"/>
          <w:szCs w:val="20"/>
          <w:lang w:val="en-GB"/>
        </w:rPr>
        <w:t>a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quarter of the total agricultural holdings in the Czech Republic (2</w:t>
      </w:r>
      <w:r>
        <w:rPr>
          <w:rFonts w:ascii="Arial" w:hAnsi="Arial" w:cs="Arial"/>
          <w:i/>
          <w:sz w:val="20"/>
          <w:szCs w:val="20"/>
          <w:lang w:val="en-GB"/>
        </w:rPr>
        <w:t>5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%). </w:t>
      </w:r>
      <w:r>
        <w:rPr>
          <w:rFonts w:ascii="Arial" w:hAnsi="Arial" w:cs="Arial"/>
          <w:i/>
          <w:sz w:val="20"/>
          <w:szCs w:val="20"/>
          <w:lang w:val="en-GB"/>
        </w:rPr>
        <w:t>M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ore than </w:t>
      </w:r>
      <w:r>
        <w:rPr>
          <w:rFonts w:ascii="Arial" w:hAnsi="Arial" w:cs="Arial"/>
          <w:i/>
          <w:sz w:val="20"/>
          <w:szCs w:val="20"/>
          <w:lang w:val="en-GB"/>
        </w:rPr>
        <w:t>two thirds (69</w:t>
      </w:r>
      <w:r w:rsidRPr="00EE51B0">
        <w:rPr>
          <w:rFonts w:ascii="Arial" w:hAnsi="Arial" w:cs="Arial"/>
          <w:i/>
          <w:sz w:val="20"/>
          <w:szCs w:val="20"/>
          <w:lang w:val="en-GB"/>
        </w:rPr>
        <w:t>%</w:t>
      </w:r>
      <w:r>
        <w:rPr>
          <w:rFonts w:ascii="Arial" w:hAnsi="Arial" w:cs="Arial"/>
          <w:i/>
          <w:sz w:val="20"/>
          <w:szCs w:val="20"/>
          <w:lang w:val="en-GB"/>
        </w:rPr>
        <w:t>)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of these farms represent small-scale holdings, which is </w:t>
      </w:r>
      <w:r>
        <w:rPr>
          <w:rFonts w:ascii="Arial" w:hAnsi="Arial" w:cs="Arial"/>
          <w:i/>
          <w:sz w:val="20"/>
          <w:szCs w:val="20"/>
          <w:lang w:val="en-GB"/>
        </w:rPr>
        <w:t>due to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the </w:t>
      </w:r>
      <w:r>
        <w:rPr>
          <w:rFonts w:ascii="Arial" w:hAnsi="Arial" w:cs="Arial"/>
          <w:i/>
          <w:sz w:val="20"/>
          <w:szCs w:val="20"/>
          <w:lang w:val="en-GB"/>
        </w:rPr>
        <w:t>high proportion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of natural person</w:t>
      </w:r>
      <w:r w:rsidR="00765E02">
        <w:rPr>
          <w:rFonts w:ascii="Arial" w:hAnsi="Arial" w:cs="Arial"/>
          <w:i/>
          <w:sz w:val="20"/>
          <w:szCs w:val="20"/>
          <w:lang w:val="en-GB"/>
        </w:rPr>
        <w:t>s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522D90">
        <w:rPr>
          <w:rFonts w:ascii="Arial" w:hAnsi="Arial" w:cs="Arial"/>
          <w:i/>
          <w:sz w:val="20"/>
          <w:szCs w:val="20"/>
          <w:lang w:val="en-GB"/>
        </w:rPr>
        <w:t>in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this specialisation (8</w:t>
      </w:r>
      <w:r w:rsidR="00522D90">
        <w:rPr>
          <w:rFonts w:ascii="Arial" w:hAnsi="Arial" w:cs="Arial"/>
          <w:i/>
          <w:sz w:val="20"/>
          <w:szCs w:val="20"/>
          <w:lang w:val="en-GB"/>
        </w:rPr>
        <w:t>7</w:t>
      </w:r>
      <w:r w:rsidRPr="00EE51B0">
        <w:rPr>
          <w:rFonts w:ascii="Arial" w:hAnsi="Arial" w:cs="Arial"/>
          <w:i/>
          <w:sz w:val="20"/>
          <w:szCs w:val="20"/>
          <w:lang w:val="en-GB"/>
        </w:rPr>
        <w:t>%). Agricultural holdings specialized in grazing livestock utilise</w:t>
      </w:r>
      <w:r w:rsidRPr="00EE51B0">
        <w:rPr>
          <w:rFonts w:ascii="Arial" w:hAnsi="Arial" w:cs="Arial"/>
          <w:i/>
          <w:sz w:val="20"/>
          <w:szCs w:val="20"/>
        </w:rPr>
        <w:t xml:space="preserve"> 16</w:t>
      </w:r>
      <w:r w:rsidRPr="00EE51B0">
        <w:rPr>
          <w:rFonts w:ascii="Arial" w:hAnsi="Arial" w:cs="Arial"/>
          <w:i/>
          <w:sz w:val="20"/>
          <w:szCs w:val="20"/>
          <w:lang w:val="en-GB"/>
        </w:rPr>
        <w:t>% of agricultural land resources. The share of these holdings on total animal production expressed in livestock units is 16%, as well. A</w:t>
      </w:r>
      <w:r w:rsidR="00785CCA">
        <w:rPr>
          <w:rFonts w:ascii="Arial" w:hAnsi="Arial" w:cs="Arial"/>
          <w:i/>
          <w:sz w:val="20"/>
          <w:szCs w:val="20"/>
          <w:lang w:val="en-GB"/>
        </w:rPr>
        <w:t>mong the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522D90" w:rsidRPr="00EE51B0">
        <w:rPr>
          <w:rFonts w:ascii="Arial" w:hAnsi="Arial" w:cs="Arial"/>
          <w:i/>
          <w:sz w:val="20"/>
          <w:szCs w:val="20"/>
          <w:lang w:val="en-GB"/>
        </w:rPr>
        <w:t>regions</w:t>
      </w:r>
      <w:r w:rsidRPr="00EE51B0">
        <w:rPr>
          <w:rFonts w:ascii="Arial" w:hAnsi="Arial" w:cs="Arial"/>
          <w:i/>
          <w:sz w:val="20"/>
          <w:szCs w:val="20"/>
          <w:lang w:val="en-GB"/>
        </w:rPr>
        <w:t>, the largest proportion of grazing livestock specialists is concentrated in Karlovy Vary Region (6</w:t>
      </w:r>
      <w:r w:rsidR="00522D90">
        <w:rPr>
          <w:rFonts w:ascii="Arial" w:hAnsi="Arial" w:cs="Arial"/>
          <w:i/>
          <w:sz w:val="20"/>
          <w:szCs w:val="20"/>
          <w:lang w:val="en-GB"/>
        </w:rPr>
        <w:t>8</w:t>
      </w:r>
      <w:r w:rsidRPr="00EE51B0">
        <w:rPr>
          <w:rFonts w:ascii="Arial" w:hAnsi="Arial" w:cs="Arial"/>
          <w:i/>
          <w:sz w:val="20"/>
          <w:szCs w:val="20"/>
          <w:lang w:val="en-GB"/>
        </w:rPr>
        <w:t>%), followed by Liberec Region (5</w:t>
      </w:r>
      <w:r w:rsidR="00522D90">
        <w:rPr>
          <w:rFonts w:ascii="Arial" w:hAnsi="Arial" w:cs="Arial"/>
          <w:i/>
          <w:sz w:val="20"/>
          <w:szCs w:val="20"/>
          <w:lang w:val="en-GB"/>
        </w:rPr>
        <w:t>8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%) and </w:t>
      </w:r>
      <w:r w:rsidR="00522D90">
        <w:rPr>
          <w:rFonts w:ascii="Arial" w:hAnsi="Arial" w:cs="Arial"/>
          <w:i/>
          <w:sz w:val="20"/>
          <w:szCs w:val="20"/>
          <w:lang w:val="en-GB"/>
        </w:rPr>
        <w:t>South Bohemian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Region (</w:t>
      </w:r>
      <w:r w:rsidR="00522D90">
        <w:rPr>
          <w:rFonts w:ascii="Arial" w:hAnsi="Arial" w:cs="Arial"/>
          <w:i/>
          <w:sz w:val="20"/>
          <w:szCs w:val="20"/>
          <w:lang w:val="en-GB"/>
        </w:rPr>
        <w:t>39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%). In absolute numbers, most of these </w:t>
      </w:r>
      <w:r w:rsidR="00522D90">
        <w:rPr>
          <w:rFonts w:ascii="Arial" w:hAnsi="Arial" w:cs="Arial"/>
          <w:i/>
          <w:sz w:val="20"/>
          <w:szCs w:val="20"/>
          <w:lang w:val="en-GB"/>
        </w:rPr>
        <w:t>farms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operate in South Bohemia Region (1</w:t>
      </w:r>
      <w:r w:rsidR="00522D90">
        <w:rPr>
          <w:rFonts w:ascii="Arial" w:hAnsi="Arial" w:cs="Arial"/>
          <w:i/>
          <w:sz w:val="20"/>
          <w:szCs w:val="20"/>
          <w:lang w:val="en-GB"/>
        </w:rPr>
        <w:t>,402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holdings).</w:t>
      </w:r>
    </w:p>
    <w:p w14:paraId="6C10D9AB" w14:textId="77777777" w:rsidR="000232F1" w:rsidRDefault="000232F1" w:rsidP="00DE7AA6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</w:p>
    <w:p w14:paraId="1776B341" w14:textId="156133FE" w:rsidR="00E75763" w:rsidRPr="00CA56E3" w:rsidRDefault="00E75763" w:rsidP="00DE7AA6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noProof/>
          <w:sz w:val="20"/>
          <w:szCs w:val="20"/>
        </w:rPr>
        <w:drawing>
          <wp:inline distT="0" distB="0" distL="0" distR="0" wp14:anchorId="477C77F1" wp14:editId="1AB7B9D7">
            <wp:extent cx="5474970" cy="3286125"/>
            <wp:effectExtent l="0" t="0" r="0" b="9525"/>
            <wp:docPr id="210480105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328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A62D4" w14:textId="4D14444E" w:rsidR="00182D6D" w:rsidRPr="00CA56E3" w:rsidRDefault="00182D6D" w:rsidP="00DE7AA6">
      <w:pPr>
        <w:pStyle w:val="Normlnweb"/>
        <w:tabs>
          <w:tab w:val="left" w:pos="360"/>
        </w:tabs>
        <w:spacing w:line="288" w:lineRule="auto"/>
        <w:ind w:firstLine="0"/>
        <w:rPr>
          <w:rFonts w:ascii="Arial" w:hAnsi="Arial" w:cs="Arial"/>
          <w:i/>
          <w:sz w:val="20"/>
          <w:szCs w:val="20"/>
          <w:lang w:val="en-GB"/>
        </w:rPr>
      </w:pPr>
    </w:p>
    <w:p w14:paraId="76DCD511" w14:textId="75EF2B87" w:rsidR="00785CCA" w:rsidRDefault="00785CCA" w:rsidP="00785CCA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T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he group </w:t>
      </w:r>
      <w:r>
        <w:rPr>
          <w:rFonts w:ascii="Arial" w:hAnsi="Arial" w:cs="Arial"/>
          <w:i/>
          <w:sz w:val="20"/>
          <w:szCs w:val="20"/>
          <w:lang w:val="en-GB"/>
        </w:rPr>
        <w:t>categorised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9178CA">
        <w:rPr>
          <w:rFonts w:ascii="Arial" w:hAnsi="Arial" w:cs="Arial"/>
          <w:i/>
          <w:sz w:val="20"/>
          <w:szCs w:val="20"/>
          <w:lang w:val="en-GB"/>
        </w:rPr>
        <w:t xml:space="preserve">under </w:t>
      </w:r>
      <w:r w:rsidRPr="00EE51B0">
        <w:rPr>
          <w:rFonts w:ascii="Arial" w:hAnsi="Arial" w:cs="Arial"/>
          <w:i/>
          <w:sz w:val="20"/>
          <w:szCs w:val="20"/>
          <w:lang w:val="en-GB"/>
        </w:rPr>
        <w:t>grazing livestock consists of specialist cattle – rearing and fattening (</w:t>
      </w:r>
      <w:r>
        <w:rPr>
          <w:rFonts w:ascii="Arial" w:hAnsi="Arial" w:cs="Arial"/>
          <w:i/>
          <w:sz w:val="20"/>
          <w:szCs w:val="20"/>
          <w:lang w:val="en-GB"/>
        </w:rPr>
        <w:t>70</w:t>
      </w:r>
      <w:r w:rsidRPr="00EE51B0">
        <w:rPr>
          <w:rFonts w:ascii="Arial" w:hAnsi="Arial" w:cs="Arial"/>
          <w:i/>
          <w:sz w:val="20"/>
          <w:szCs w:val="20"/>
          <w:lang w:val="en-GB"/>
        </w:rPr>
        <w:t>%), cattle – rearing and fattening combined (3%), and sheep, goats and other grazing livestock (2</w:t>
      </w:r>
      <w:r>
        <w:rPr>
          <w:rFonts w:ascii="Arial" w:hAnsi="Arial" w:cs="Arial"/>
          <w:i/>
          <w:sz w:val="20"/>
          <w:szCs w:val="20"/>
          <w:lang w:val="en-GB"/>
        </w:rPr>
        <w:t>7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%). </w:t>
      </w:r>
      <w:r w:rsidR="00F375AA">
        <w:rPr>
          <w:rFonts w:ascii="Arial" w:hAnsi="Arial" w:cs="Arial"/>
          <w:i/>
          <w:sz w:val="20"/>
          <w:szCs w:val="20"/>
          <w:lang w:val="en-GB"/>
        </w:rPr>
        <w:t>Within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the frame of grazing livestock type of farming, </w:t>
      </w:r>
      <w:r w:rsidR="00F375AA">
        <w:rPr>
          <w:rFonts w:ascii="Arial" w:hAnsi="Arial" w:cs="Arial"/>
          <w:i/>
          <w:sz w:val="20"/>
          <w:szCs w:val="20"/>
          <w:lang w:val="en-GB"/>
        </w:rPr>
        <w:t xml:space="preserve">a 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significant role </w:t>
      </w:r>
      <w:r w:rsidR="00F375AA">
        <w:rPr>
          <w:rFonts w:ascii="Arial" w:hAnsi="Arial" w:cs="Arial"/>
          <w:i/>
          <w:sz w:val="20"/>
          <w:szCs w:val="20"/>
          <w:lang w:val="en-GB"/>
        </w:rPr>
        <w:t>is played by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specialist cattle-rearing and fattening (5</w:t>
      </w:r>
      <w:r>
        <w:rPr>
          <w:rFonts w:ascii="Arial" w:hAnsi="Arial" w:cs="Arial"/>
          <w:i/>
          <w:sz w:val="20"/>
          <w:szCs w:val="20"/>
          <w:lang w:val="en-GB"/>
        </w:rPr>
        <w:t>,695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holdings), </w:t>
      </w:r>
      <w:r w:rsidR="00F375AA">
        <w:rPr>
          <w:rFonts w:ascii="Arial" w:hAnsi="Arial" w:cs="Arial"/>
          <w:i/>
          <w:sz w:val="20"/>
          <w:szCs w:val="20"/>
          <w:lang w:val="en-GB"/>
        </w:rPr>
        <w:t>which manage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8</w:t>
      </w:r>
      <w:r>
        <w:rPr>
          <w:rFonts w:ascii="Arial" w:hAnsi="Arial" w:cs="Arial"/>
          <w:i/>
          <w:sz w:val="20"/>
          <w:szCs w:val="20"/>
          <w:lang w:val="en-GB"/>
        </w:rPr>
        <w:t>7</w:t>
      </w:r>
      <w:r w:rsidRPr="00EE51B0">
        <w:rPr>
          <w:rFonts w:ascii="Arial" w:hAnsi="Arial" w:cs="Arial"/>
          <w:i/>
          <w:sz w:val="20"/>
          <w:szCs w:val="20"/>
          <w:lang w:val="en-GB"/>
        </w:rPr>
        <w:t>% of agricultural land and 8</w:t>
      </w:r>
      <w:r>
        <w:rPr>
          <w:rFonts w:ascii="Arial" w:hAnsi="Arial" w:cs="Arial"/>
          <w:i/>
          <w:sz w:val="20"/>
          <w:szCs w:val="20"/>
          <w:lang w:val="en-GB"/>
        </w:rPr>
        <w:t>7</w:t>
      </w:r>
      <w:r w:rsidRPr="00EE51B0">
        <w:rPr>
          <w:rFonts w:ascii="Arial" w:hAnsi="Arial" w:cs="Arial"/>
          <w:i/>
          <w:sz w:val="20"/>
          <w:szCs w:val="20"/>
          <w:lang w:val="en-GB"/>
        </w:rPr>
        <w:t>% of livestock units within the abovementioned general type of farming. Average acreage in this type of farming reaches 8</w:t>
      </w:r>
      <w:r>
        <w:rPr>
          <w:rFonts w:ascii="Arial" w:hAnsi="Arial" w:cs="Arial"/>
          <w:i/>
          <w:sz w:val="20"/>
          <w:szCs w:val="20"/>
          <w:lang w:val="en-GB"/>
        </w:rPr>
        <w:t>3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 ha/holding and the average number of livestock units equals </w:t>
      </w:r>
      <w:r w:rsidR="009178CA">
        <w:rPr>
          <w:rFonts w:ascii="Arial" w:hAnsi="Arial" w:cs="Arial"/>
          <w:i/>
          <w:sz w:val="20"/>
          <w:szCs w:val="20"/>
          <w:lang w:val="en-GB"/>
        </w:rPr>
        <w:t>40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9178CA">
        <w:rPr>
          <w:rFonts w:ascii="Arial" w:hAnsi="Arial" w:cs="Arial"/>
          <w:i/>
          <w:sz w:val="20"/>
          <w:szCs w:val="20"/>
          <w:lang w:val="en-GB"/>
        </w:rPr>
        <w:t>units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per holding. </w:t>
      </w:r>
      <w:r w:rsidR="00F375AA">
        <w:rPr>
          <w:rFonts w:ascii="Arial" w:hAnsi="Arial" w:cs="Arial"/>
          <w:i/>
          <w:sz w:val="20"/>
          <w:szCs w:val="20"/>
          <w:lang w:val="en-GB"/>
        </w:rPr>
        <w:t>T</w:t>
      </w:r>
      <w:r w:rsidRPr="00EE51B0">
        <w:rPr>
          <w:rFonts w:ascii="Arial" w:hAnsi="Arial" w:cs="Arial"/>
          <w:i/>
          <w:sz w:val="20"/>
          <w:szCs w:val="20"/>
          <w:lang w:val="en-GB"/>
        </w:rPr>
        <w:t>he</w:t>
      </w:r>
      <w:r w:rsidR="009178CA">
        <w:rPr>
          <w:rFonts w:ascii="Arial" w:hAnsi="Arial" w:cs="Arial"/>
          <w:i/>
          <w:sz w:val="20"/>
          <w:szCs w:val="20"/>
          <w:lang w:val="en-GB"/>
        </w:rPr>
        <w:t xml:space="preserve"> second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most frequent type of farming </w:t>
      </w:r>
      <w:r w:rsidR="00F375AA">
        <w:rPr>
          <w:rFonts w:ascii="Arial" w:hAnsi="Arial" w:cs="Arial"/>
          <w:i/>
          <w:sz w:val="20"/>
          <w:szCs w:val="20"/>
          <w:lang w:val="en-GB"/>
        </w:rPr>
        <w:t xml:space="preserve">in terms of </w:t>
      </w:r>
      <w:r w:rsidR="00F375AA">
        <w:rPr>
          <w:rFonts w:ascii="Arial" w:hAnsi="Arial" w:cs="Arial"/>
          <w:i/>
          <w:sz w:val="20"/>
          <w:szCs w:val="20"/>
          <w:lang w:val="en-GB"/>
        </w:rPr>
        <w:lastRenderedPageBreak/>
        <w:t>the number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of </w:t>
      </w:r>
      <w:r w:rsidR="009178CA" w:rsidRPr="00EE51B0">
        <w:rPr>
          <w:rFonts w:ascii="Arial" w:hAnsi="Arial" w:cs="Arial"/>
          <w:i/>
          <w:sz w:val="20"/>
          <w:szCs w:val="20"/>
          <w:lang w:val="en-GB"/>
        </w:rPr>
        <w:t>holdings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is sheep, goats and other grazing livestock type (2</w:t>
      </w:r>
      <w:r w:rsidR="009178CA">
        <w:rPr>
          <w:rFonts w:ascii="Arial" w:hAnsi="Arial" w:cs="Arial"/>
          <w:i/>
          <w:sz w:val="20"/>
          <w:szCs w:val="20"/>
          <w:lang w:val="en-GB"/>
        </w:rPr>
        <w:t>,218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holdings). However, </w:t>
      </w:r>
      <w:r w:rsidR="009178CA">
        <w:rPr>
          <w:rFonts w:ascii="Arial" w:hAnsi="Arial" w:cs="Arial"/>
          <w:i/>
          <w:sz w:val="20"/>
          <w:szCs w:val="20"/>
          <w:lang w:val="en-GB"/>
        </w:rPr>
        <w:t>89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% of </w:t>
      </w:r>
      <w:r w:rsidR="00F375AA">
        <w:rPr>
          <w:rFonts w:ascii="Arial" w:hAnsi="Arial" w:cs="Arial"/>
          <w:i/>
          <w:sz w:val="20"/>
          <w:szCs w:val="20"/>
          <w:lang w:val="en-GB"/>
        </w:rPr>
        <w:t>these farms are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by small holdings; therefore, its economic significance within the agricultural sector is negligible.</w:t>
      </w:r>
    </w:p>
    <w:p w14:paraId="55A68712" w14:textId="77777777" w:rsidR="00F375AA" w:rsidRDefault="00F375AA" w:rsidP="00785CCA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</w:p>
    <w:p w14:paraId="60B490B4" w14:textId="12572E36" w:rsidR="00F375AA" w:rsidRDefault="00F375AA" w:rsidP="00F375AA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Despite the marginal share of the total utilized agricultural area (2%), holdings specialized in </w:t>
      </w:r>
      <w:r w:rsidRPr="00EE51B0">
        <w:rPr>
          <w:rFonts w:ascii="Arial" w:hAnsi="Arial" w:cs="Arial"/>
          <w:b/>
          <w:i/>
          <w:sz w:val="20"/>
          <w:szCs w:val="20"/>
          <w:lang w:val="en-GB"/>
        </w:rPr>
        <w:t>horticulture and permanent crops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CE09A1">
        <w:rPr>
          <w:rFonts w:ascii="Arial" w:hAnsi="Arial" w:cs="Arial"/>
          <w:i/>
          <w:sz w:val="20"/>
          <w:szCs w:val="20"/>
          <w:lang w:val="en-GB"/>
        </w:rPr>
        <w:t xml:space="preserve">(19%) 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belong to the third most numerous types of farming and generate </w:t>
      </w:r>
      <w:r>
        <w:rPr>
          <w:rFonts w:ascii="Arial" w:hAnsi="Arial" w:cs="Arial"/>
          <w:i/>
          <w:sz w:val="20"/>
          <w:szCs w:val="20"/>
          <w:lang w:val="en-GB"/>
        </w:rPr>
        <w:t>a</w:t>
      </w:r>
      <w:r w:rsidR="00095B6C">
        <w:rPr>
          <w:rFonts w:ascii="Arial" w:hAnsi="Arial" w:cs="Arial"/>
          <w:i/>
          <w:sz w:val="20"/>
          <w:szCs w:val="20"/>
          <w:lang w:val="en-GB"/>
        </w:rPr>
        <w:t> </w:t>
      </w:r>
      <w:r>
        <w:rPr>
          <w:rFonts w:ascii="Arial" w:hAnsi="Arial" w:cs="Arial"/>
          <w:i/>
          <w:sz w:val="20"/>
          <w:szCs w:val="20"/>
          <w:lang w:val="en-GB"/>
        </w:rPr>
        <w:t xml:space="preserve">relatively 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significant part of Czech agricultural production. </w:t>
      </w:r>
      <w:r w:rsidR="00DE0EFC" w:rsidRPr="00DE0EFC">
        <w:rPr>
          <w:rFonts w:ascii="Arial" w:hAnsi="Arial" w:cs="Arial"/>
          <w:i/>
          <w:sz w:val="20"/>
          <w:szCs w:val="20"/>
          <w:lang w:val="en-GB"/>
        </w:rPr>
        <w:t>Within this speciali</w:t>
      </w:r>
      <w:r w:rsidR="00CC266F">
        <w:rPr>
          <w:rFonts w:ascii="Arial" w:hAnsi="Arial" w:cs="Arial"/>
          <w:i/>
          <w:sz w:val="20"/>
          <w:szCs w:val="20"/>
          <w:lang w:val="en-GB"/>
        </w:rPr>
        <w:t>z</w:t>
      </w:r>
      <w:r w:rsidR="00DE0EFC" w:rsidRPr="00DE0EFC">
        <w:rPr>
          <w:rFonts w:ascii="Arial" w:hAnsi="Arial" w:cs="Arial"/>
          <w:i/>
          <w:sz w:val="20"/>
          <w:szCs w:val="20"/>
          <w:lang w:val="en-GB"/>
        </w:rPr>
        <w:t xml:space="preserve">ation, natural persons predominate (90%), with a high proportion of </w:t>
      </w:r>
      <w:r w:rsidR="00CC266F" w:rsidRPr="00DE0EFC">
        <w:rPr>
          <w:rFonts w:ascii="Arial" w:hAnsi="Arial" w:cs="Arial"/>
          <w:i/>
          <w:sz w:val="20"/>
          <w:szCs w:val="20"/>
          <w:lang w:val="en-GB"/>
        </w:rPr>
        <w:t>small-scale</w:t>
      </w:r>
      <w:r w:rsidR="00DE0EFC" w:rsidRPr="00DE0EFC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DE0EFC">
        <w:rPr>
          <w:rFonts w:ascii="Arial" w:hAnsi="Arial" w:cs="Arial"/>
          <w:i/>
          <w:sz w:val="20"/>
          <w:szCs w:val="20"/>
          <w:lang w:val="en-GB"/>
        </w:rPr>
        <w:t xml:space="preserve">farms </w:t>
      </w:r>
      <w:r w:rsidR="00DE0EFC" w:rsidRPr="00DE0EFC">
        <w:rPr>
          <w:rFonts w:ascii="Arial" w:hAnsi="Arial" w:cs="Arial"/>
          <w:i/>
          <w:sz w:val="20"/>
          <w:szCs w:val="20"/>
          <w:lang w:val="en-GB"/>
        </w:rPr>
        <w:t>(74 %).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CC266F">
        <w:rPr>
          <w:rFonts w:ascii="Arial" w:hAnsi="Arial" w:cs="Arial"/>
          <w:i/>
          <w:sz w:val="20"/>
          <w:szCs w:val="20"/>
          <w:lang w:val="en-GB"/>
        </w:rPr>
        <w:t xml:space="preserve">On average, the 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acreage </w:t>
      </w:r>
      <w:r w:rsidR="00CC266F">
        <w:rPr>
          <w:rFonts w:ascii="Arial" w:hAnsi="Arial" w:cs="Arial"/>
          <w:i/>
          <w:sz w:val="20"/>
          <w:szCs w:val="20"/>
          <w:lang w:val="en-GB"/>
        </w:rPr>
        <w:t xml:space="preserve">managed by these holdings </w:t>
      </w:r>
      <w:r w:rsidRPr="00EE51B0">
        <w:rPr>
          <w:rFonts w:ascii="Arial" w:hAnsi="Arial" w:cs="Arial"/>
          <w:i/>
          <w:sz w:val="20"/>
          <w:szCs w:val="20"/>
          <w:lang w:val="en-GB"/>
        </w:rPr>
        <w:t>is 10 ha/holding. The regional distribution is predominantly determined by climatic conditions. The production is concentrated in traditional wine</w:t>
      </w:r>
      <w:r w:rsidR="00DE0EFC">
        <w:rPr>
          <w:rFonts w:ascii="Arial" w:hAnsi="Arial" w:cs="Arial"/>
          <w:i/>
          <w:sz w:val="20"/>
          <w:szCs w:val="20"/>
          <w:lang w:val="en-GB"/>
        </w:rPr>
        <w:t>growing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and fruit</w:t>
      </w:r>
      <w:r w:rsidR="00DE0EFC">
        <w:rPr>
          <w:rFonts w:ascii="Arial" w:hAnsi="Arial" w:cs="Arial"/>
          <w:i/>
          <w:sz w:val="20"/>
          <w:szCs w:val="20"/>
          <w:lang w:val="en-GB"/>
        </w:rPr>
        <w:t>-growing areas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. </w:t>
      </w:r>
      <w:r w:rsidR="00CC266F">
        <w:rPr>
          <w:rFonts w:ascii="Arial" w:hAnsi="Arial" w:cs="Arial"/>
          <w:i/>
          <w:sz w:val="20"/>
          <w:szCs w:val="20"/>
          <w:lang w:val="en-GB"/>
        </w:rPr>
        <w:t>The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South Moravian Region </w:t>
      </w:r>
      <w:r w:rsidR="00CC266F">
        <w:rPr>
          <w:rFonts w:ascii="Arial" w:hAnsi="Arial" w:cs="Arial"/>
          <w:i/>
          <w:sz w:val="20"/>
          <w:szCs w:val="20"/>
          <w:lang w:val="en-GB"/>
        </w:rPr>
        <w:t>has a clear dominance, with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CC266F">
        <w:rPr>
          <w:rFonts w:ascii="Arial" w:hAnsi="Arial" w:cs="Arial"/>
          <w:i/>
          <w:sz w:val="20"/>
          <w:szCs w:val="20"/>
          <w:lang w:val="en-GB"/>
        </w:rPr>
        <w:t>4,565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horticulture and permanent crops holdings, which </w:t>
      </w:r>
      <w:r w:rsidR="00CC266F">
        <w:rPr>
          <w:rFonts w:ascii="Arial" w:hAnsi="Arial" w:cs="Arial"/>
          <w:i/>
          <w:sz w:val="20"/>
          <w:szCs w:val="20"/>
          <w:lang w:val="en-GB"/>
        </w:rPr>
        <w:t>represents</w:t>
      </w:r>
      <w:r w:rsidRPr="00EE51B0">
        <w:rPr>
          <w:rFonts w:ascii="Arial" w:hAnsi="Arial" w:cs="Arial"/>
          <w:i/>
          <w:sz w:val="20"/>
          <w:szCs w:val="20"/>
        </w:rPr>
        <w:t xml:space="preserve"> </w:t>
      </w:r>
      <w:r w:rsidRPr="00EE51B0">
        <w:rPr>
          <w:rFonts w:ascii="Arial" w:hAnsi="Arial" w:cs="Arial"/>
          <w:i/>
          <w:sz w:val="20"/>
          <w:szCs w:val="20"/>
          <w:lang w:val="en-GB"/>
        </w:rPr>
        <w:t>more than two</w:t>
      </w:r>
      <w:r w:rsidR="002E47CF">
        <w:rPr>
          <w:rFonts w:ascii="Arial" w:hAnsi="Arial" w:cs="Arial"/>
          <w:i/>
          <w:sz w:val="20"/>
          <w:szCs w:val="20"/>
          <w:lang w:val="en-GB"/>
        </w:rPr>
        <w:t>-</w:t>
      </w:r>
      <w:r w:rsidRPr="00EE51B0">
        <w:rPr>
          <w:rFonts w:ascii="Arial" w:hAnsi="Arial" w:cs="Arial"/>
          <w:i/>
          <w:sz w:val="20"/>
          <w:szCs w:val="20"/>
          <w:lang w:val="en-GB"/>
        </w:rPr>
        <w:t>thirds (7</w:t>
      </w:r>
      <w:r w:rsidR="00CC266F">
        <w:rPr>
          <w:rFonts w:ascii="Arial" w:hAnsi="Arial" w:cs="Arial"/>
          <w:i/>
          <w:sz w:val="20"/>
          <w:szCs w:val="20"/>
          <w:lang w:val="en-GB"/>
        </w:rPr>
        <w:t>1</w:t>
      </w:r>
      <w:r w:rsidRPr="00EE51B0">
        <w:rPr>
          <w:rFonts w:ascii="Arial" w:hAnsi="Arial" w:cs="Arial"/>
          <w:i/>
          <w:sz w:val="20"/>
          <w:szCs w:val="20"/>
          <w:lang w:val="en-GB"/>
        </w:rPr>
        <w:t>%) of these holdings in the Czech Republic.</w:t>
      </w:r>
    </w:p>
    <w:p w14:paraId="4F8B6B07" w14:textId="70CBD7D0" w:rsidR="00E75763" w:rsidRPr="00EE51B0" w:rsidRDefault="00E75763" w:rsidP="00C93BF2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noProof/>
          <w:sz w:val="20"/>
          <w:szCs w:val="20"/>
        </w:rPr>
        <w:drawing>
          <wp:inline distT="0" distB="0" distL="0" distR="0" wp14:anchorId="146A9490" wp14:editId="334E976C">
            <wp:extent cx="5456555" cy="3291840"/>
            <wp:effectExtent l="0" t="0" r="0" b="3810"/>
            <wp:docPr id="75262812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55" cy="329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E26AA6" w14:textId="3AF0A0C6" w:rsidR="00C93BF2" w:rsidRPr="00CA56E3" w:rsidRDefault="00C93BF2" w:rsidP="00C93BF2">
      <w:pPr>
        <w:pStyle w:val="Normlnweb"/>
        <w:tabs>
          <w:tab w:val="left" w:pos="360"/>
        </w:tabs>
        <w:spacing w:line="288" w:lineRule="auto"/>
        <w:ind w:firstLine="142"/>
        <w:rPr>
          <w:rFonts w:ascii="Arial" w:hAnsi="Arial" w:cs="Arial"/>
          <w:i/>
          <w:sz w:val="20"/>
          <w:szCs w:val="20"/>
          <w:lang w:val="en-GB"/>
        </w:rPr>
      </w:pPr>
    </w:p>
    <w:p w14:paraId="46F8ADF5" w14:textId="4A25C7F5" w:rsidR="002E47CF" w:rsidRDefault="002E47CF" w:rsidP="002E47CF">
      <w:pPr>
        <w:pStyle w:val="Normlnweb"/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The </w:t>
      </w:r>
      <w:r>
        <w:rPr>
          <w:rFonts w:ascii="Arial" w:hAnsi="Arial" w:cs="Arial"/>
          <w:i/>
          <w:sz w:val="20"/>
          <w:szCs w:val="20"/>
          <w:lang w:val="en-GB"/>
        </w:rPr>
        <w:t xml:space="preserve">2023 </w:t>
      </w:r>
      <w:r w:rsidR="006D12F7">
        <w:rPr>
          <w:rFonts w:ascii="Arial" w:hAnsi="Arial" w:cs="Arial"/>
          <w:i/>
          <w:sz w:val="20"/>
          <w:szCs w:val="20"/>
          <w:lang w:val="en-GB"/>
        </w:rPr>
        <w:t>Integrated Farm Survey</w:t>
      </w:r>
      <w:r>
        <w:rPr>
          <w:rFonts w:ascii="Arial" w:hAnsi="Arial" w:cs="Arial"/>
          <w:i/>
          <w:sz w:val="20"/>
          <w:szCs w:val="20"/>
          <w:lang w:val="en-GB"/>
        </w:rPr>
        <w:t xml:space="preserve"> included </w:t>
      </w:r>
      <w:r w:rsidR="006D12F7">
        <w:rPr>
          <w:rFonts w:ascii="Arial" w:hAnsi="Arial" w:cs="Arial"/>
          <w:i/>
          <w:sz w:val="20"/>
          <w:szCs w:val="20"/>
          <w:lang w:val="en-GB"/>
        </w:rPr>
        <w:t>460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6D12F7">
        <w:rPr>
          <w:rFonts w:ascii="Arial" w:hAnsi="Arial" w:cs="Arial"/>
          <w:i/>
          <w:sz w:val="20"/>
          <w:szCs w:val="20"/>
          <w:lang w:val="en-GB"/>
        </w:rPr>
        <w:t xml:space="preserve">subjects specialized in </w:t>
      </w:r>
      <w:r w:rsidRPr="00EE51B0">
        <w:rPr>
          <w:rFonts w:ascii="Arial" w:hAnsi="Arial" w:cs="Arial"/>
          <w:i/>
          <w:sz w:val="20"/>
          <w:szCs w:val="20"/>
          <w:lang w:val="en-GB"/>
        </w:rPr>
        <w:t>horticulture. This group consists of specialist</w:t>
      </w:r>
      <w:r w:rsidR="006D12F7">
        <w:rPr>
          <w:rFonts w:ascii="Arial" w:hAnsi="Arial" w:cs="Arial"/>
          <w:i/>
          <w:sz w:val="20"/>
          <w:szCs w:val="20"/>
          <w:lang w:val="en-GB"/>
        </w:rPr>
        <w:t>s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6D12F7">
        <w:rPr>
          <w:rFonts w:ascii="Arial" w:hAnsi="Arial" w:cs="Arial"/>
          <w:i/>
          <w:sz w:val="20"/>
          <w:szCs w:val="20"/>
          <w:lang w:val="en-GB"/>
        </w:rPr>
        <w:t xml:space="preserve">in 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horticulture indoors (greenhouses, foil covers - </w:t>
      </w:r>
      <w:r w:rsidR="006D12F7">
        <w:rPr>
          <w:rFonts w:ascii="Arial" w:hAnsi="Arial" w:cs="Arial"/>
          <w:i/>
          <w:sz w:val="20"/>
          <w:szCs w:val="20"/>
          <w:lang w:val="en-GB"/>
        </w:rPr>
        <w:t>38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%), </w:t>
      </w:r>
      <w:r w:rsidR="006D12F7" w:rsidRPr="00EE51B0">
        <w:rPr>
          <w:rFonts w:ascii="Arial" w:hAnsi="Arial" w:cs="Arial"/>
          <w:i/>
          <w:sz w:val="20"/>
          <w:szCs w:val="20"/>
          <w:lang w:val="en-GB"/>
        </w:rPr>
        <w:t>horticulture outdoors (3</w:t>
      </w:r>
      <w:r w:rsidR="006D12F7">
        <w:rPr>
          <w:rFonts w:ascii="Arial" w:hAnsi="Arial" w:cs="Arial"/>
          <w:i/>
          <w:sz w:val="20"/>
          <w:szCs w:val="20"/>
          <w:lang w:val="en-GB"/>
        </w:rPr>
        <w:t>2</w:t>
      </w:r>
      <w:r w:rsidR="006D12F7" w:rsidRPr="00EE51B0">
        <w:rPr>
          <w:rFonts w:ascii="Arial" w:hAnsi="Arial" w:cs="Arial"/>
          <w:i/>
          <w:sz w:val="20"/>
          <w:szCs w:val="20"/>
          <w:lang w:val="en-GB"/>
        </w:rPr>
        <w:t xml:space="preserve">%), </w:t>
      </w:r>
      <w:r w:rsidRPr="00EE51B0">
        <w:rPr>
          <w:rFonts w:ascii="Arial" w:hAnsi="Arial" w:cs="Arial"/>
          <w:i/>
          <w:sz w:val="20"/>
          <w:szCs w:val="20"/>
          <w:lang w:val="en-GB"/>
        </w:rPr>
        <w:t>and other horticulture (</w:t>
      </w:r>
      <w:r w:rsidR="006D12F7">
        <w:rPr>
          <w:rFonts w:ascii="Arial" w:hAnsi="Arial" w:cs="Arial"/>
          <w:i/>
          <w:sz w:val="20"/>
          <w:szCs w:val="20"/>
          <w:lang w:val="en-GB"/>
        </w:rPr>
        <w:t>30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%). </w:t>
      </w:r>
      <w:r w:rsidR="003277B5">
        <w:rPr>
          <w:rFonts w:ascii="Arial" w:hAnsi="Arial" w:cs="Arial"/>
          <w:i/>
          <w:sz w:val="20"/>
          <w:szCs w:val="20"/>
          <w:lang w:val="en-GB"/>
        </w:rPr>
        <w:t>The category of o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ther horticulture involves holdings specialized in nurseries </w:t>
      </w:r>
      <w:r w:rsidR="006D12F7" w:rsidRPr="002E47CF">
        <w:rPr>
          <w:rFonts w:ascii="Arial" w:hAnsi="Arial" w:cs="Arial"/>
          <w:i/>
          <w:sz w:val="20"/>
          <w:szCs w:val="20"/>
          <w:lang w:val="en-GB"/>
        </w:rPr>
        <w:t>(growing seedlings of trees, shrubs and other plants for planting)</w:t>
      </w:r>
      <w:r w:rsidR="006D12F7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EE51B0">
        <w:rPr>
          <w:rFonts w:ascii="Arial" w:hAnsi="Arial" w:cs="Arial"/>
          <w:i/>
          <w:sz w:val="20"/>
          <w:szCs w:val="20"/>
          <w:lang w:val="en-GB"/>
        </w:rPr>
        <w:t>and mushroom production</w:t>
      </w:r>
      <w:r w:rsidR="006D12F7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6D12F7" w:rsidRPr="002E47CF">
        <w:rPr>
          <w:rFonts w:ascii="Arial" w:hAnsi="Arial" w:cs="Arial"/>
          <w:i/>
          <w:sz w:val="20"/>
          <w:szCs w:val="20"/>
          <w:lang w:val="en-GB"/>
        </w:rPr>
        <w:t>(production of various types of mushrooms, often in specialised facilities), etc</w:t>
      </w:r>
      <w:r w:rsidR="006D12F7">
        <w:rPr>
          <w:rFonts w:ascii="Arial" w:hAnsi="Arial" w:cs="Arial"/>
          <w:i/>
          <w:sz w:val="20"/>
          <w:szCs w:val="20"/>
          <w:lang w:val="en-GB"/>
        </w:rPr>
        <w:t>.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</w:t>
      </w:r>
    </w:p>
    <w:p w14:paraId="0E838FC0" w14:textId="635ED148" w:rsidR="003277B5" w:rsidRPr="00EE51B0" w:rsidRDefault="003277B5" w:rsidP="003277B5">
      <w:pPr>
        <w:pStyle w:val="Normlnweb"/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The specialist permanent crops represent </w:t>
      </w:r>
      <w:r w:rsidR="007C5983">
        <w:rPr>
          <w:rFonts w:ascii="Arial" w:hAnsi="Arial" w:cs="Arial"/>
          <w:i/>
          <w:sz w:val="20"/>
          <w:szCs w:val="20"/>
          <w:lang w:val="en-GB"/>
        </w:rPr>
        <w:t xml:space="preserve">a significant group in terms of </w:t>
      </w:r>
      <w:r w:rsidRPr="00EE51B0">
        <w:rPr>
          <w:rFonts w:ascii="Arial" w:hAnsi="Arial" w:cs="Arial"/>
          <w:i/>
          <w:sz w:val="20"/>
          <w:szCs w:val="20"/>
          <w:lang w:val="en-GB"/>
        </w:rPr>
        <w:t>the number of holdings (</w:t>
      </w:r>
      <w:r>
        <w:rPr>
          <w:rFonts w:ascii="Arial" w:hAnsi="Arial" w:cs="Arial"/>
          <w:i/>
          <w:sz w:val="20"/>
          <w:szCs w:val="20"/>
          <w:lang w:val="en-GB"/>
        </w:rPr>
        <w:t>5,926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holdings). This group is divided into specialist vineyards (</w:t>
      </w:r>
      <w:r w:rsidR="006A0044">
        <w:rPr>
          <w:rFonts w:ascii="Arial" w:hAnsi="Arial" w:cs="Arial"/>
          <w:i/>
          <w:sz w:val="20"/>
          <w:szCs w:val="20"/>
          <w:lang w:val="en-GB"/>
        </w:rPr>
        <w:t>69</w:t>
      </w:r>
      <w:r w:rsidRPr="00EE51B0">
        <w:rPr>
          <w:rFonts w:ascii="Arial" w:hAnsi="Arial" w:cs="Arial"/>
          <w:i/>
          <w:sz w:val="20"/>
          <w:szCs w:val="20"/>
          <w:lang w:val="en-GB"/>
        </w:rPr>
        <w:t>%)</w:t>
      </w:r>
      <w:r w:rsidR="007C5983">
        <w:rPr>
          <w:rFonts w:ascii="Arial" w:hAnsi="Arial" w:cs="Arial"/>
          <w:i/>
          <w:sz w:val="20"/>
          <w:szCs w:val="20"/>
          <w:lang w:val="en-GB"/>
        </w:rPr>
        <w:t xml:space="preserve"> and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specialist fruit </w:t>
      </w:r>
      <w:r w:rsidR="007C5983">
        <w:rPr>
          <w:rFonts w:ascii="Arial" w:hAnsi="Arial" w:cs="Arial"/>
          <w:i/>
          <w:sz w:val="20"/>
          <w:szCs w:val="20"/>
          <w:lang w:val="en-GB"/>
        </w:rPr>
        <w:t xml:space="preserve">holdings </w:t>
      </w:r>
      <w:r w:rsidRPr="00EE51B0">
        <w:rPr>
          <w:rFonts w:ascii="Arial" w:hAnsi="Arial" w:cs="Arial"/>
          <w:i/>
          <w:sz w:val="20"/>
          <w:szCs w:val="20"/>
          <w:lang w:val="en-GB"/>
        </w:rPr>
        <w:t>(</w:t>
      </w:r>
      <w:r w:rsidR="006A0044">
        <w:rPr>
          <w:rFonts w:ascii="Arial" w:hAnsi="Arial" w:cs="Arial"/>
          <w:i/>
          <w:sz w:val="20"/>
          <w:szCs w:val="20"/>
          <w:lang w:val="en-GB"/>
        </w:rPr>
        <w:t>3</w:t>
      </w:r>
      <w:r w:rsidRPr="00EE51B0">
        <w:rPr>
          <w:rFonts w:ascii="Arial" w:hAnsi="Arial" w:cs="Arial"/>
          <w:i/>
          <w:sz w:val="20"/>
          <w:szCs w:val="20"/>
          <w:lang w:val="en-GB"/>
        </w:rPr>
        <w:t>1%)</w:t>
      </w:r>
      <w:r w:rsidR="006A0044">
        <w:rPr>
          <w:rFonts w:ascii="Arial" w:hAnsi="Arial" w:cs="Arial"/>
          <w:i/>
          <w:sz w:val="20"/>
          <w:szCs w:val="20"/>
          <w:lang w:val="en-GB"/>
        </w:rPr>
        <w:t>.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7C5983" w:rsidRPr="003277B5">
        <w:rPr>
          <w:rFonts w:ascii="Arial" w:hAnsi="Arial" w:cs="Arial"/>
          <w:i/>
          <w:sz w:val="20"/>
          <w:szCs w:val="20"/>
          <w:lang w:val="en-GB"/>
        </w:rPr>
        <w:t xml:space="preserve">Within the fruit-growing </w:t>
      </w:r>
      <w:r w:rsidR="007C5983">
        <w:rPr>
          <w:rFonts w:ascii="Arial" w:hAnsi="Arial" w:cs="Arial"/>
          <w:i/>
          <w:sz w:val="20"/>
          <w:szCs w:val="20"/>
          <w:lang w:val="en-GB"/>
        </w:rPr>
        <w:t>holdings</w:t>
      </w:r>
      <w:r w:rsidR="007C5983" w:rsidRPr="003277B5">
        <w:rPr>
          <w:rFonts w:ascii="Arial" w:hAnsi="Arial" w:cs="Arial"/>
          <w:i/>
          <w:sz w:val="20"/>
          <w:szCs w:val="20"/>
          <w:lang w:val="en-GB"/>
        </w:rPr>
        <w:t>, less than half (47%) are permanent crop producers and more than half (53%) are diversified permanent crop producers.</w:t>
      </w:r>
      <w:r w:rsidR="007C5983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EE51B0">
        <w:rPr>
          <w:rFonts w:ascii="Arial" w:hAnsi="Arial" w:cs="Arial"/>
          <w:i/>
          <w:sz w:val="20"/>
          <w:szCs w:val="20"/>
          <w:lang w:val="en-GB"/>
        </w:rPr>
        <w:t>Most specialist vineyards belong to small size economic classes (8</w:t>
      </w:r>
      <w:r w:rsidR="006A0044">
        <w:rPr>
          <w:rFonts w:ascii="Arial" w:hAnsi="Arial" w:cs="Arial"/>
          <w:i/>
          <w:sz w:val="20"/>
          <w:szCs w:val="20"/>
          <w:lang w:val="en-GB"/>
        </w:rPr>
        <w:t>1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%). Specialist vineyards reach average acreage of </w:t>
      </w:r>
      <w:r w:rsidR="006A0044">
        <w:rPr>
          <w:rFonts w:ascii="Arial" w:hAnsi="Arial" w:cs="Arial"/>
          <w:i/>
          <w:sz w:val="20"/>
          <w:szCs w:val="20"/>
          <w:lang w:val="en-GB"/>
        </w:rPr>
        <w:t>4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ha/holding. In the case of fruit</w:t>
      </w:r>
      <w:r w:rsidR="006A0044">
        <w:rPr>
          <w:rFonts w:ascii="Arial" w:hAnsi="Arial" w:cs="Arial"/>
          <w:i/>
          <w:sz w:val="20"/>
          <w:szCs w:val="20"/>
          <w:lang w:val="en-GB"/>
        </w:rPr>
        <w:t>-growing holdings</w:t>
      </w:r>
      <w:r w:rsidRPr="00EE51B0">
        <w:rPr>
          <w:rFonts w:ascii="Arial" w:hAnsi="Arial" w:cs="Arial"/>
          <w:i/>
          <w:sz w:val="20"/>
          <w:szCs w:val="20"/>
          <w:lang w:val="en-GB"/>
        </w:rPr>
        <w:t>, small</w:t>
      </w:r>
      <w:r w:rsidR="006A0044">
        <w:rPr>
          <w:rFonts w:ascii="Arial" w:hAnsi="Arial" w:cs="Arial"/>
          <w:i/>
          <w:sz w:val="20"/>
          <w:szCs w:val="20"/>
          <w:lang w:val="en-GB"/>
        </w:rPr>
        <w:t>-sized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6A0044">
        <w:rPr>
          <w:rFonts w:ascii="Arial" w:hAnsi="Arial" w:cs="Arial"/>
          <w:i/>
          <w:sz w:val="20"/>
          <w:szCs w:val="20"/>
          <w:lang w:val="en-GB"/>
        </w:rPr>
        <w:t xml:space="preserve">farms </w:t>
      </w:r>
      <w:r w:rsidR="007C5983">
        <w:rPr>
          <w:rFonts w:ascii="Arial" w:hAnsi="Arial" w:cs="Arial"/>
          <w:i/>
          <w:sz w:val="20"/>
          <w:szCs w:val="20"/>
          <w:lang w:val="en-GB"/>
        </w:rPr>
        <w:t>account</w:t>
      </w:r>
      <w:r w:rsidR="006A0044">
        <w:rPr>
          <w:rFonts w:ascii="Arial" w:hAnsi="Arial" w:cs="Arial"/>
          <w:i/>
          <w:sz w:val="20"/>
          <w:szCs w:val="20"/>
          <w:lang w:val="en-GB"/>
        </w:rPr>
        <w:t xml:space="preserve"> for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7</w:t>
      </w:r>
      <w:r w:rsidR="006A0044">
        <w:rPr>
          <w:rFonts w:ascii="Arial" w:hAnsi="Arial" w:cs="Arial"/>
          <w:i/>
          <w:sz w:val="20"/>
          <w:szCs w:val="20"/>
          <w:lang w:val="en-GB"/>
        </w:rPr>
        <w:t>0</w:t>
      </w:r>
      <w:r w:rsidRPr="00EE51B0">
        <w:rPr>
          <w:rFonts w:ascii="Arial" w:hAnsi="Arial" w:cs="Arial"/>
          <w:i/>
          <w:sz w:val="20"/>
          <w:szCs w:val="20"/>
          <w:lang w:val="en-GB"/>
        </w:rPr>
        <w:t>% within this specialization. Fruit farms utilize 1</w:t>
      </w:r>
      <w:r w:rsidR="006A0044">
        <w:rPr>
          <w:rFonts w:ascii="Arial" w:hAnsi="Arial" w:cs="Arial"/>
          <w:i/>
          <w:sz w:val="20"/>
          <w:szCs w:val="20"/>
          <w:lang w:val="en-GB"/>
        </w:rPr>
        <w:t>1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ha/holding on average. </w:t>
      </w:r>
      <w:r w:rsidR="007C5983">
        <w:rPr>
          <w:rFonts w:ascii="Arial" w:hAnsi="Arial" w:cs="Arial"/>
          <w:i/>
          <w:sz w:val="20"/>
          <w:szCs w:val="20"/>
          <w:lang w:val="en-GB"/>
        </w:rPr>
        <w:t>The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various permanent crops </w:t>
      </w:r>
      <w:r w:rsidR="007C5983">
        <w:rPr>
          <w:rFonts w:ascii="Arial" w:hAnsi="Arial" w:cs="Arial"/>
          <w:i/>
          <w:sz w:val="20"/>
          <w:szCs w:val="20"/>
          <w:lang w:val="en-GB"/>
        </w:rPr>
        <w:t xml:space="preserve">holdings are composed </w:t>
      </w:r>
      <w:r w:rsidRPr="00EE51B0">
        <w:rPr>
          <w:rFonts w:ascii="Arial" w:hAnsi="Arial" w:cs="Arial"/>
          <w:i/>
          <w:sz w:val="20"/>
          <w:szCs w:val="20"/>
          <w:lang w:val="en-GB"/>
        </w:rPr>
        <w:t>of 7</w:t>
      </w:r>
      <w:r w:rsidR="007C5983">
        <w:rPr>
          <w:rFonts w:ascii="Arial" w:hAnsi="Arial" w:cs="Arial"/>
          <w:i/>
          <w:sz w:val="20"/>
          <w:szCs w:val="20"/>
          <w:lang w:val="en-GB"/>
        </w:rPr>
        <w:t>4</w:t>
      </w:r>
      <w:r w:rsidRPr="00EE51B0">
        <w:rPr>
          <w:rFonts w:ascii="Arial" w:hAnsi="Arial" w:cs="Arial"/>
          <w:i/>
          <w:sz w:val="20"/>
          <w:szCs w:val="20"/>
          <w:lang w:val="en-GB"/>
        </w:rPr>
        <w:t>% small holdings and utilize 3</w:t>
      </w:r>
      <w:r w:rsidR="007C5983">
        <w:rPr>
          <w:rFonts w:ascii="Arial" w:hAnsi="Arial" w:cs="Arial"/>
          <w:i/>
          <w:sz w:val="20"/>
          <w:szCs w:val="20"/>
          <w:lang w:val="en-GB"/>
        </w:rPr>
        <w:t>0</w:t>
      </w:r>
      <w:r w:rsidRPr="00EE51B0">
        <w:rPr>
          <w:rFonts w:ascii="Arial" w:hAnsi="Arial" w:cs="Arial"/>
          <w:i/>
          <w:sz w:val="20"/>
          <w:szCs w:val="20"/>
          <w:lang w:val="en-GB"/>
        </w:rPr>
        <w:t> ha/holding on average.</w:t>
      </w:r>
    </w:p>
    <w:p w14:paraId="00C0F430" w14:textId="478FB436" w:rsidR="003277B5" w:rsidRPr="00EE51B0" w:rsidRDefault="003277B5" w:rsidP="00DE7AA6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</w:p>
    <w:p w14:paraId="161D36E3" w14:textId="2EF09783" w:rsidR="00DD0DAA" w:rsidRDefault="00DD0DAA" w:rsidP="00DD0DAA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The group of agricultural holdings specialized in </w:t>
      </w:r>
      <w:r w:rsidRPr="00EE51B0">
        <w:rPr>
          <w:rFonts w:ascii="Arial" w:hAnsi="Arial" w:cs="Arial"/>
          <w:b/>
          <w:i/>
          <w:sz w:val="20"/>
          <w:szCs w:val="20"/>
          <w:lang w:val="en-GB"/>
        </w:rPr>
        <w:t>mixed production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is composed of mixed crop-livestock farms. On a small</w:t>
      </w:r>
      <w:r w:rsidR="004336F5">
        <w:rPr>
          <w:rFonts w:ascii="Arial" w:hAnsi="Arial" w:cs="Arial"/>
          <w:i/>
          <w:sz w:val="20"/>
          <w:szCs w:val="20"/>
          <w:lang w:val="en-GB"/>
        </w:rPr>
        <w:t>er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scale, holdings oriented on a mixed cropping and mixed livestock production are also </w:t>
      </w:r>
      <w:r w:rsidRPr="00EE51B0">
        <w:rPr>
          <w:rFonts w:ascii="Arial" w:hAnsi="Arial" w:cs="Arial"/>
          <w:i/>
          <w:sz w:val="20"/>
          <w:szCs w:val="20"/>
          <w:lang w:val="en-GB"/>
        </w:rPr>
        <w:lastRenderedPageBreak/>
        <w:t xml:space="preserve">involved. With a total number of </w:t>
      </w:r>
      <w:r>
        <w:rPr>
          <w:rFonts w:ascii="Arial" w:hAnsi="Arial" w:cs="Arial"/>
          <w:i/>
          <w:sz w:val="20"/>
          <w:szCs w:val="20"/>
          <w:lang w:val="en-GB"/>
        </w:rPr>
        <w:t>5,078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holdings, the mixed production type of farming represents the fourth most frequent agricultural specialization in the Czech Republic. </w:t>
      </w:r>
      <w:r w:rsidRPr="00DD0DAA">
        <w:rPr>
          <w:rFonts w:ascii="Arial" w:hAnsi="Arial" w:cs="Arial"/>
          <w:i/>
          <w:sz w:val="20"/>
          <w:szCs w:val="20"/>
          <w:lang w:val="en-GB"/>
        </w:rPr>
        <w:t xml:space="preserve">Mixed production has a decisive influence on the level of agricultural production in the Czech Republic, generated mainly by large </w:t>
      </w:r>
      <w:r>
        <w:rPr>
          <w:rFonts w:ascii="Arial" w:hAnsi="Arial" w:cs="Arial"/>
          <w:i/>
          <w:sz w:val="20"/>
          <w:szCs w:val="20"/>
          <w:lang w:val="en-GB"/>
        </w:rPr>
        <w:t>holdings</w:t>
      </w:r>
      <w:r w:rsidRPr="00DD0DAA">
        <w:rPr>
          <w:rFonts w:ascii="Arial" w:hAnsi="Arial" w:cs="Arial"/>
          <w:i/>
          <w:sz w:val="20"/>
          <w:szCs w:val="20"/>
          <w:lang w:val="en-GB"/>
        </w:rPr>
        <w:t>.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DD0DAA">
        <w:rPr>
          <w:rFonts w:ascii="Arial" w:hAnsi="Arial" w:cs="Arial"/>
          <w:i/>
          <w:sz w:val="20"/>
          <w:szCs w:val="20"/>
          <w:lang w:val="en-GB"/>
        </w:rPr>
        <w:t xml:space="preserve">Large legal </w:t>
      </w:r>
      <w:r>
        <w:rPr>
          <w:rFonts w:ascii="Arial" w:hAnsi="Arial" w:cs="Arial"/>
          <w:i/>
          <w:sz w:val="20"/>
          <w:szCs w:val="20"/>
          <w:lang w:val="en-GB"/>
        </w:rPr>
        <w:t>persons</w:t>
      </w:r>
      <w:r w:rsidRPr="00DD0DAA">
        <w:rPr>
          <w:rFonts w:ascii="Arial" w:hAnsi="Arial" w:cs="Arial"/>
          <w:i/>
          <w:sz w:val="20"/>
          <w:szCs w:val="20"/>
          <w:lang w:val="en-GB"/>
        </w:rPr>
        <w:t xml:space="preserve"> account for 12% of this production speciali</w:t>
      </w:r>
      <w:r w:rsidR="004336F5">
        <w:rPr>
          <w:rFonts w:ascii="Arial" w:hAnsi="Arial" w:cs="Arial"/>
          <w:i/>
          <w:sz w:val="20"/>
          <w:szCs w:val="20"/>
          <w:lang w:val="en-GB"/>
        </w:rPr>
        <w:t>z</w:t>
      </w:r>
      <w:r w:rsidRPr="00DD0DAA">
        <w:rPr>
          <w:rFonts w:ascii="Arial" w:hAnsi="Arial" w:cs="Arial"/>
          <w:i/>
          <w:sz w:val="20"/>
          <w:szCs w:val="20"/>
          <w:lang w:val="en-GB"/>
        </w:rPr>
        <w:t>ation.</w:t>
      </w:r>
      <w:r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A80167">
        <w:rPr>
          <w:rFonts w:ascii="Arial" w:hAnsi="Arial" w:cs="Arial"/>
          <w:i/>
          <w:sz w:val="20"/>
          <w:szCs w:val="20"/>
          <w:lang w:val="en-GB"/>
        </w:rPr>
        <w:t>Natural persons</w:t>
      </w:r>
      <w:r w:rsidR="00A80167" w:rsidRPr="00DD0DAA">
        <w:rPr>
          <w:rFonts w:ascii="Arial" w:hAnsi="Arial" w:cs="Arial"/>
          <w:i/>
          <w:sz w:val="20"/>
          <w:szCs w:val="20"/>
          <w:lang w:val="en-GB"/>
        </w:rPr>
        <w:t xml:space="preserve">, with a predominance of small </w:t>
      </w:r>
      <w:r w:rsidR="00A80167">
        <w:rPr>
          <w:rFonts w:ascii="Arial" w:hAnsi="Arial" w:cs="Arial"/>
          <w:i/>
          <w:sz w:val="20"/>
          <w:szCs w:val="20"/>
          <w:lang w:val="en-GB"/>
        </w:rPr>
        <w:t>holdings</w:t>
      </w:r>
      <w:r w:rsidR="00A80167" w:rsidRPr="00DD0DAA">
        <w:rPr>
          <w:rFonts w:ascii="Arial" w:hAnsi="Arial" w:cs="Arial"/>
          <w:i/>
          <w:sz w:val="20"/>
          <w:szCs w:val="20"/>
          <w:lang w:val="en-GB"/>
        </w:rPr>
        <w:t xml:space="preserve">, account for 82% of all </w:t>
      </w:r>
      <w:r w:rsidR="00A80167">
        <w:rPr>
          <w:rFonts w:ascii="Arial" w:hAnsi="Arial" w:cs="Arial"/>
          <w:i/>
          <w:sz w:val="20"/>
          <w:szCs w:val="20"/>
          <w:lang w:val="en-GB"/>
        </w:rPr>
        <w:t>holdings</w:t>
      </w:r>
      <w:r w:rsidR="00A80167" w:rsidRPr="00DD0DAA">
        <w:rPr>
          <w:rFonts w:ascii="Arial" w:hAnsi="Arial" w:cs="Arial"/>
          <w:i/>
          <w:sz w:val="20"/>
          <w:szCs w:val="20"/>
          <w:lang w:val="en-GB"/>
        </w:rPr>
        <w:t xml:space="preserve"> in this speciali</w:t>
      </w:r>
      <w:r w:rsidR="004336F5">
        <w:rPr>
          <w:rFonts w:ascii="Arial" w:hAnsi="Arial" w:cs="Arial"/>
          <w:i/>
          <w:sz w:val="20"/>
          <w:szCs w:val="20"/>
          <w:lang w:val="en-GB"/>
        </w:rPr>
        <w:t>z</w:t>
      </w:r>
      <w:r w:rsidR="00A80167" w:rsidRPr="00DD0DAA">
        <w:rPr>
          <w:rFonts w:ascii="Arial" w:hAnsi="Arial" w:cs="Arial"/>
          <w:i/>
          <w:sz w:val="20"/>
          <w:szCs w:val="20"/>
          <w:lang w:val="en-GB"/>
        </w:rPr>
        <w:t>ation</w:t>
      </w:r>
      <w:r w:rsidR="004B2415">
        <w:rPr>
          <w:rFonts w:ascii="Arial" w:hAnsi="Arial" w:cs="Arial"/>
          <w:i/>
          <w:sz w:val="20"/>
          <w:szCs w:val="20"/>
          <w:lang w:val="en-GB"/>
        </w:rPr>
        <w:t>.</w:t>
      </w:r>
      <w:r w:rsidR="00A80167" w:rsidRPr="00EE51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Mixed production farms cover </w:t>
      </w:r>
      <w:r>
        <w:rPr>
          <w:rFonts w:ascii="Arial" w:hAnsi="Arial" w:cs="Arial"/>
          <w:i/>
          <w:sz w:val="20"/>
          <w:szCs w:val="20"/>
          <w:lang w:val="en-GB"/>
        </w:rPr>
        <w:t>35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% of the total utilized agricultural area and </w:t>
      </w:r>
      <w:r>
        <w:rPr>
          <w:rFonts w:ascii="Arial" w:hAnsi="Arial" w:cs="Arial"/>
          <w:i/>
          <w:sz w:val="20"/>
          <w:szCs w:val="20"/>
          <w:lang w:val="en-GB"/>
        </w:rPr>
        <w:t>37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% of the total number of livestock units. Most mixed production farms are situated in the </w:t>
      </w:r>
      <w:r w:rsidR="00A80167" w:rsidRPr="00A80167">
        <w:rPr>
          <w:rFonts w:ascii="Arial" w:hAnsi="Arial" w:cs="Arial"/>
          <w:i/>
          <w:sz w:val="20"/>
          <w:szCs w:val="20"/>
          <w:lang w:val="en-GB"/>
        </w:rPr>
        <w:t xml:space="preserve">Pardubice Region, where </w:t>
      </w:r>
      <w:r w:rsidR="004336F5">
        <w:rPr>
          <w:rFonts w:ascii="Arial" w:hAnsi="Arial" w:cs="Arial"/>
          <w:i/>
          <w:sz w:val="20"/>
          <w:szCs w:val="20"/>
          <w:lang w:val="en-GB"/>
        </w:rPr>
        <w:t>they</w:t>
      </w:r>
      <w:r w:rsidR="00A80167" w:rsidRPr="00A80167">
        <w:rPr>
          <w:rFonts w:ascii="Arial" w:hAnsi="Arial" w:cs="Arial"/>
          <w:i/>
          <w:sz w:val="20"/>
          <w:szCs w:val="20"/>
          <w:lang w:val="en-GB"/>
        </w:rPr>
        <w:t xml:space="preserve"> account for a quarter (25%) of the total number of agricultural holdings in this region. The </w:t>
      </w:r>
      <w:proofErr w:type="spellStart"/>
      <w:r w:rsidR="00A80167" w:rsidRPr="00A80167">
        <w:rPr>
          <w:rFonts w:ascii="Arial" w:hAnsi="Arial" w:cs="Arial"/>
          <w:i/>
          <w:sz w:val="20"/>
          <w:szCs w:val="20"/>
          <w:lang w:val="en-GB"/>
        </w:rPr>
        <w:t>Vysočina</w:t>
      </w:r>
      <w:proofErr w:type="spellEnd"/>
      <w:r w:rsidR="00A80167" w:rsidRPr="00A80167">
        <w:rPr>
          <w:rFonts w:ascii="Arial" w:hAnsi="Arial" w:cs="Arial"/>
          <w:i/>
          <w:sz w:val="20"/>
          <w:szCs w:val="20"/>
          <w:lang w:val="en-GB"/>
        </w:rPr>
        <w:t xml:space="preserve"> Region (24%) is almost identical, followed by the Zlín Region (22%).</w:t>
      </w:r>
      <w:r w:rsidR="00A80167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The highest number of holdings is situated in </w:t>
      </w:r>
      <w:r w:rsidR="00A80167">
        <w:rPr>
          <w:rFonts w:ascii="Arial" w:hAnsi="Arial" w:cs="Arial"/>
          <w:i/>
          <w:sz w:val="20"/>
          <w:szCs w:val="20"/>
          <w:lang w:val="en-GB"/>
        </w:rPr>
        <w:t xml:space="preserve">the </w:t>
      </w:r>
      <w:proofErr w:type="spellStart"/>
      <w:r w:rsidRPr="00EE51B0">
        <w:rPr>
          <w:rFonts w:ascii="Arial" w:hAnsi="Arial" w:cs="Arial"/>
          <w:i/>
          <w:sz w:val="20"/>
          <w:szCs w:val="20"/>
          <w:lang w:val="en-GB"/>
        </w:rPr>
        <w:t>Vysočina</w:t>
      </w:r>
      <w:proofErr w:type="spellEnd"/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(</w:t>
      </w:r>
      <w:r w:rsidR="00A80167">
        <w:rPr>
          <w:rFonts w:ascii="Arial" w:hAnsi="Arial" w:cs="Arial"/>
          <w:i/>
          <w:sz w:val="20"/>
          <w:szCs w:val="20"/>
          <w:lang w:val="en-GB"/>
        </w:rPr>
        <w:t>719</w:t>
      </w:r>
      <w:r w:rsidRPr="00EE51B0">
        <w:rPr>
          <w:rFonts w:ascii="Arial" w:hAnsi="Arial" w:cs="Arial"/>
          <w:i/>
          <w:sz w:val="20"/>
          <w:szCs w:val="20"/>
          <w:lang w:val="en-GB"/>
        </w:rPr>
        <w:t> holdings), Central Bohemia (</w:t>
      </w:r>
      <w:r w:rsidR="00A80167">
        <w:rPr>
          <w:rFonts w:ascii="Arial" w:hAnsi="Arial" w:cs="Arial"/>
          <w:i/>
          <w:sz w:val="20"/>
          <w:szCs w:val="20"/>
          <w:lang w:val="en-GB"/>
        </w:rPr>
        <w:t>691</w:t>
      </w:r>
      <w:r w:rsidRPr="00EE51B0">
        <w:rPr>
          <w:rFonts w:ascii="Arial" w:hAnsi="Arial" w:cs="Arial"/>
          <w:i/>
          <w:sz w:val="20"/>
          <w:szCs w:val="20"/>
          <w:lang w:val="en-GB"/>
        </w:rPr>
        <w:t> holdings)</w:t>
      </w:r>
      <w:r w:rsidR="00A80167">
        <w:rPr>
          <w:rFonts w:ascii="Arial" w:hAnsi="Arial" w:cs="Arial"/>
          <w:i/>
          <w:sz w:val="20"/>
          <w:szCs w:val="20"/>
          <w:lang w:val="en-GB"/>
        </w:rPr>
        <w:t xml:space="preserve"> and </w:t>
      </w:r>
      <w:r w:rsidR="00A80167" w:rsidRPr="00EE51B0">
        <w:rPr>
          <w:rFonts w:ascii="Arial" w:hAnsi="Arial" w:cs="Arial"/>
          <w:i/>
          <w:sz w:val="20"/>
          <w:szCs w:val="20"/>
          <w:lang w:val="en-GB"/>
        </w:rPr>
        <w:t>South Bohemia (6</w:t>
      </w:r>
      <w:r w:rsidR="00A80167">
        <w:rPr>
          <w:rFonts w:ascii="Arial" w:hAnsi="Arial" w:cs="Arial"/>
          <w:i/>
          <w:sz w:val="20"/>
          <w:szCs w:val="20"/>
          <w:lang w:val="en-GB"/>
        </w:rPr>
        <w:t>5</w:t>
      </w:r>
      <w:r w:rsidR="00A80167" w:rsidRPr="00EE51B0">
        <w:rPr>
          <w:rFonts w:ascii="Arial" w:hAnsi="Arial" w:cs="Arial"/>
          <w:i/>
          <w:sz w:val="20"/>
          <w:szCs w:val="20"/>
          <w:lang w:val="en-GB"/>
        </w:rPr>
        <w:t>2 holdings)</w:t>
      </w:r>
      <w:r w:rsidR="00A80167">
        <w:rPr>
          <w:rFonts w:ascii="Arial" w:hAnsi="Arial" w:cs="Arial"/>
          <w:i/>
          <w:sz w:val="20"/>
          <w:szCs w:val="20"/>
          <w:lang w:val="en-GB"/>
        </w:rPr>
        <w:t xml:space="preserve"> regions.</w:t>
      </w:r>
    </w:p>
    <w:p w14:paraId="15573487" w14:textId="154A1516" w:rsidR="00E75763" w:rsidRPr="00EE51B0" w:rsidRDefault="00E75763" w:rsidP="00DE7AA6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noProof/>
          <w:sz w:val="20"/>
          <w:szCs w:val="20"/>
        </w:rPr>
        <w:drawing>
          <wp:inline distT="0" distB="0" distL="0" distR="0" wp14:anchorId="00B865E0" wp14:editId="3EE5E9E0">
            <wp:extent cx="5450205" cy="3304540"/>
            <wp:effectExtent l="0" t="0" r="0" b="0"/>
            <wp:docPr id="59033103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205" cy="330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0124D1" w14:textId="5617B73F" w:rsidR="00182D6D" w:rsidRPr="00CA56E3" w:rsidRDefault="00182D6D" w:rsidP="00DE7AA6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</w:p>
    <w:p w14:paraId="18A19C53" w14:textId="4D70DD90" w:rsidR="007A553D" w:rsidRDefault="007A553D" w:rsidP="007A553D">
      <w:pPr>
        <w:pStyle w:val="Normlnweb"/>
        <w:tabs>
          <w:tab w:val="left" w:pos="360"/>
          <w:tab w:val="left" w:pos="54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  <w:r w:rsidRPr="00EE51B0">
        <w:rPr>
          <w:rFonts w:ascii="Arial" w:hAnsi="Arial" w:cs="Arial"/>
          <w:i/>
          <w:sz w:val="20"/>
          <w:szCs w:val="20"/>
          <w:lang w:val="en-GB"/>
        </w:rPr>
        <w:t>The combination of field crops and grazing livestock production is the prevailing type of farming (5</w:t>
      </w:r>
      <w:r w:rsidR="00F2028A">
        <w:rPr>
          <w:rFonts w:ascii="Arial" w:hAnsi="Arial" w:cs="Arial"/>
          <w:i/>
          <w:sz w:val="20"/>
          <w:szCs w:val="20"/>
          <w:lang w:val="en-GB"/>
        </w:rPr>
        <w:t>3</w:t>
      </w:r>
      <w:r w:rsidRPr="00EE51B0">
        <w:rPr>
          <w:rFonts w:ascii="Arial" w:hAnsi="Arial" w:cs="Arial"/>
          <w:i/>
          <w:sz w:val="20"/>
          <w:szCs w:val="20"/>
          <w:lang w:val="en-GB"/>
        </w:rPr>
        <w:t>%) within the group of mixed production specialists, followed by various crops and livestock combined (</w:t>
      </w:r>
      <w:r w:rsidR="00F2028A">
        <w:rPr>
          <w:rFonts w:ascii="Arial" w:hAnsi="Arial" w:cs="Arial"/>
          <w:i/>
          <w:sz w:val="20"/>
          <w:szCs w:val="20"/>
          <w:lang w:val="en-GB"/>
        </w:rPr>
        <w:t>25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%), </w:t>
      </w:r>
      <w:r w:rsidR="00F2028A" w:rsidRPr="00EE51B0">
        <w:rPr>
          <w:rFonts w:ascii="Arial" w:hAnsi="Arial" w:cs="Arial"/>
          <w:i/>
          <w:sz w:val="20"/>
          <w:szCs w:val="20"/>
          <w:lang w:val="en-GB"/>
        </w:rPr>
        <w:t>mixed cropping (</w:t>
      </w:r>
      <w:r w:rsidR="00F2028A">
        <w:rPr>
          <w:rFonts w:ascii="Arial" w:hAnsi="Arial" w:cs="Arial"/>
          <w:i/>
          <w:sz w:val="20"/>
          <w:szCs w:val="20"/>
          <w:lang w:val="en-GB"/>
        </w:rPr>
        <w:t>12</w:t>
      </w:r>
      <w:r w:rsidR="00F2028A" w:rsidRPr="00EE51B0">
        <w:rPr>
          <w:rFonts w:ascii="Arial" w:hAnsi="Arial" w:cs="Arial"/>
          <w:i/>
          <w:sz w:val="20"/>
          <w:szCs w:val="20"/>
          <w:lang w:val="en-GB"/>
        </w:rPr>
        <w:t>%)</w:t>
      </w:r>
      <w:r w:rsidR="00F2028A">
        <w:rPr>
          <w:rFonts w:ascii="Arial" w:hAnsi="Arial" w:cs="Arial"/>
          <w:i/>
          <w:sz w:val="20"/>
          <w:szCs w:val="20"/>
          <w:lang w:val="en-GB"/>
        </w:rPr>
        <w:t>,</w:t>
      </w:r>
      <w:r w:rsidR="00F2028A" w:rsidRPr="00EE51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EE51B0">
        <w:rPr>
          <w:rFonts w:ascii="Arial" w:hAnsi="Arial" w:cs="Arial"/>
          <w:i/>
          <w:sz w:val="20"/>
          <w:szCs w:val="20"/>
          <w:lang w:val="en-GB"/>
        </w:rPr>
        <w:t>mixed livestock, mainly grazing livestock (</w:t>
      </w:r>
      <w:r w:rsidR="00F2028A">
        <w:rPr>
          <w:rFonts w:ascii="Arial" w:hAnsi="Arial" w:cs="Arial"/>
          <w:i/>
          <w:sz w:val="20"/>
          <w:szCs w:val="20"/>
          <w:lang w:val="en-GB"/>
        </w:rPr>
        <w:t>8</w:t>
      </w:r>
      <w:r w:rsidRPr="00EE51B0">
        <w:rPr>
          <w:rFonts w:ascii="Arial" w:hAnsi="Arial" w:cs="Arial"/>
          <w:i/>
          <w:sz w:val="20"/>
          <w:szCs w:val="20"/>
          <w:lang w:val="en-GB"/>
        </w:rPr>
        <w:t>%), and mixed livestock, mainly granivores (</w:t>
      </w:r>
      <w:r w:rsidR="00F2028A">
        <w:rPr>
          <w:rFonts w:ascii="Arial" w:hAnsi="Arial" w:cs="Arial"/>
          <w:i/>
          <w:sz w:val="20"/>
          <w:szCs w:val="20"/>
          <w:lang w:val="en-GB"/>
        </w:rPr>
        <w:t>2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%). </w:t>
      </w:r>
      <w:r w:rsidR="00F2028A">
        <w:rPr>
          <w:rFonts w:ascii="Arial" w:hAnsi="Arial" w:cs="Arial"/>
          <w:i/>
          <w:sz w:val="20"/>
          <w:szCs w:val="20"/>
          <w:lang w:val="en-GB"/>
        </w:rPr>
        <w:t>Holdings</w:t>
      </w:r>
      <w:r w:rsidR="00F2028A" w:rsidRPr="00F2028A">
        <w:rPr>
          <w:rFonts w:ascii="Arial" w:hAnsi="Arial" w:cs="Arial"/>
          <w:i/>
          <w:sz w:val="20"/>
          <w:szCs w:val="20"/>
          <w:lang w:val="en-GB"/>
        </w:rPr>
        <w:t xml:space="preserve"> focusing on a combination of </w:t>
      </w:r>
      <w:r w:rsidR="00F2028A" w:rsidRPr="00EE51B0">
        <w:rPr>
          <w:rFonts w:ascii="Arial" w:hAnsi="Arial" w:cs="Arial"/>
          <w:i/>
          <w:sz w:val="20"/>
          <w:szCs w:val="20"/>
          <w:lang w:val="en-GB"/>
        </w:rPr>
        <w:t xml:space="preserve">field crops and grazing livestock production </w:t>
      </w:r>
      <w:r w:rsidR="00F2028A" w:rsidRPr="00F2028A">
        <w:rPr>
          <w:rFonts w:ascii="Arial" w:hAnsi="Arial" w:cs="Arial"/>
          <w:i/>
          <w:sz w:val="20"/>
          <w:szCs w:val="20"/>
          <w:lang w:val="en-GB"/>
        </w:rPr>
        <w:t>make a decisive contribution to the production of the speciali</w:t>
      </w:r>
      <w:r w:rsidR="007A686B">
        <w:rPr>
          <w:rFonts w:ascii="Arial" w:hAnsi="Arial" w:cs="Arial"/>
          <w:i/>
          <w:sz w:val="20"/>
          <w:szCs w:val="20"/>
          <w:lang w:val="en-GB"/>
        </w:rPr>
        <w:t>z</w:t>
      </w:r>
      <w:r w:rsidR="00F2028A" w:rsidRPr="00F2028A">
        <w:rPr>
          <w:rFonts w:ascii="Arial" w:hAnsi="Arial" w:cs="Arial"/>
          <w:i/>
          <w:sz w:val="20"/>
          <w:szCs w:val="20"/>
          <w:lang w:val="en-GB"/>
        </w:rPr>
        <w:t>ation.</w:t>
      </w:r>
      <w:r w:rsidR="007A686B">
        <w:rPr>
          <w:rFonts w:ascii="Arial" w:hAnsi="Arial" w:cs="Arial"/>
          <w:i/>
          <w:sz w:val="20"/>
          <w:szCs w:val="20"/>
          <w:lang w:val="en-GB"/>
        </w:rPr>
        <w:t xml:space="preserve"> Within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the frame of mixed production type of farming, </w:t>
      </w:r>
      <w:r w:rsidR="007A686B">
        <w:rPr>
          <w:rFonts w:ascii="Arial" w:hAnsi="Arial" w:cs="Arial"/>
          <w:i/>
          <w:sz w:val="20"/>
          <w:szCs w:val="20"/>
          <w:lang w:val="en-GB"/>
        </w:rPr>
        <w:t>these holdings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cover the highest share of both utilized agricultural area (7</w:t>
      </w:r>
      <w:r w:rsidR="007A686B">
        <w:rPr>
          <w:rFonts w:ascii="Arial" w:hAnsi="Arial" w:cs="Arial"/>
          <w:i/>
          <w:sz w:val="20"/>
          <w:szCs w:val="20"/>
          <w:lang w:val="en-GB"/>
        </w:rPr>
        <w:t>8</w:t>
      </w:r>
      <w:r w:rsidRPr="00EE51B0">
        <w:rPr>
          <w:rFonts w:ascii="Arial" w:hAnsi="Arial" w:cs="Arial"/>
          <w:i/>
          <w:sz w:val="20"/>
          <w:szCs w:val="20"/>
          <w:lang w:val="en-GB"/>
        </w:rPr>
        <w:t>%) and the number of livestock units (6</w:t>
      </w:r>
      <w:r w:rsidR="007A686B">
        <w:rPr>
          <w:rFonts w:ascii="Arial" w:hAnsi="Arial" w:cs="Arial"/>
          <w:i/>
          <w:sz w:val="20"/>
          <w:szCs w:val="20"/>
          <w:lang w:val="en-GB"/>
        </w:rPr>
        <w:t>9</w:t>
      </w:r>
      <w:r w:rsidRPr="00EE51B0">
        <w:rPr>
          <w:rFonts w:ascii="Arial" w:hAnsi="Arial" w:cs="Arial"/>
          <w:i/>
          <w:sz w:val="20"/>
          <w:szCs w:val="20"/>
          <w:lang w:val="en-GB"/>
        </w:rPr>
        <w:t>%). This group of farms reaches 3</w:t>
      </w:r>
      <w:r w:rsidR="007A686B">
        <w:rPr>
          <w:rFonts w:ascii="Arial" w:hAnsi="Arial" w:cs="Arial"/>
          <w:i/>
          <w:sz w:val="20"/>
          <w:szCs w:val="20"/>
          <w:lang w:val="en-GB"/>
        </w:rPr>
        <w:t>55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ha/holding and 1</w:t>
      </w:r>
      <w:r w:rsidR="007A686B">
        <w:rPr>
          <w:rFonts w:ascii="Arial" w:hAnsi="Arial" w:cs="Arial"/>
          <w:i/>
          <w:sz w:val="20"/>
          <w:szCs w:val="20"/>
          <w:lang w:val="en-GB"/>
        </w:rPr>
        <w:t>53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LSU/holding on average.</w:t>
      </w:r>
    </w:p>
    <w:p w14:paraId="4F9D4C04" w14:textId="77777777" w:rsidR="007A686B" w:rsidRDefault="007A686B" w:rsidP="007A553D">
      <w:pPr>
        <w:pStyle w:val="Normlnweb"/>
        <w:tabs>
          <w:tab w:val="left" w:pos="360"/>
          <w:tab w:val="left" w:pos="54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</w:p>
    <w:p w14:paraId="0DC9E7ED" w14:textId="7A47FA58" w:rsidR="00483E00" w:rsidRDefault="00483E00" w:rsidP="00483E00">
      <w:pPr>
        <w:pStyle w:val="Normlnweb"/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An intensive form of production is typical for specialist </w:t>
      </w:r>
      <w:r w:rsidRPr="00EE51B0">
        <w:rPr>
          <w:rFonts w:ascii="Arial" w:hAnsi="Arial" w:cs="Arial"/>
          <w:b/>
          <w:bCs/>
          <w:i/>
          <w:sz w:val="20"/>
          <w:szCs w:val="20"/>
          <w:lang w:val="en-GB"/>
        </w:rPr>
        <w:t>dairying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. </w:t>
      </w:r>
      <w:r w:rsidR="00FE30BB">
        <w:rPr>
          <w:rFonts w:ascii="Arial" w:hAnsi="Arial" w:cs="Arial"/>
          <w:i/>
          <w:sz w:val="20"/>
          <w:szCs w:val="20"/>
          <w:lang w:val="en-GB"/>
        </w:rPr>
        <w:t>There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are 8</w:t>
      </w:r>
      <w:r w:rsidR="00FE30BB">
        <w:rPr>
          <w:rFonts w:ascii="Arial" w:hAnsi="Arial" w:cs="Arial"/>
          <w:i/>
          <w:sz w:val="20"/>
          <w:szCs w:val="20"/>
          <w:lang w:val="en-GB"/>
        </w:rPr>
        <w:t>7</w:t>
      </w:r>
      <w:r w:rsidRPr="00EE51B0">
        <w:rPr>
          <w:rFonts w:ascii="Arial" w:hAnsi="Arial" w:cs="Arial"/>
          <w:i/>
          <w:sz w:val="20"/>
          <w:szCs w:val="20"/>
          <w:lang w:val="en-GB"/>
        </w:rPr>
        <w:t>7 holdings</w:t>
      </w:r>
      <w:r w:rsidR="00FE30BB">
        <w:rPr>
          <w:rFonts w:ascii="Arial" w:hAnsi="Arial" w:cs="Arial"/>
          <w:i/>
          <w:sz w:val="20"/>
          <w:szCs w:val="20"/>
          <w:lang w:val="en-GB"/>
        </w:rPr>
        <w:t xml:space="preserve"> classified as such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in the Czech Republic</w:t>
      </w:r>
      <w:r w:rsidR="00F01C65">
        <w:rPr>
          <w:rFonts w:ascii="Arial" w:hAnsi="Arial" w:cs="Arial"/>
          <w:i/>
          <w:sz w:val="20"/>
          <w:szCs w:val="20"/>
          <w:lang w:val="en-GB"/>
        </w:rPr>
        <w:t>.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The highest share of this specialization </w:t>
      </w:r>
      <w:r w:rsidR="00F01C65">
        <w:rPr>
          <w:rFonts w:ascii="Arial" w:hAnsi="Arial" w:cs="Arial"/>
          <w:i/>
          <w:sz w:val="20"/>
          <w:szCs w:val="20"/>
          <w:lang w:val="en-GB"/>
        </w:rPr>
        <w:t>is found in the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FE30BB">
        <w:rPr>
          <w:rFonts w:ascii="Arial" w:hAnsi="Arial" w:cs="Arial"/>
          <w:i/>
          <w:sz w:val="20"/>
          <w:szCs w:val="20"/>
          <w:lang w:val="en-GB"/>
        </w:rPr>
        <w:t xml:space="preserve">regions </w:t>
      </w:r>
      <w:r w:rsidR="00F01C65">
        <w:rPr>
          <w:rFonts w:ascii="Arial" w:hAnsi="Arial" w:cs="Arial"/>
          <w:i/>
          <w:sz w:val="20"/>
          <w:szCs w:val="20"/>
          <w:lang w:val="en-GB"/>
        </w:rPr>
        <w:t xml:space="preserve">of 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Pardubice </w:t>
      </w:r>
      <w:r w:rsidR="00FE30BB">
        <w:rPr>
          <w:rFonts w:ascii="Arial" w:hAnsi="Arial" w:cs="Arial"/>
          <w:i/>
          <w:sz w:val="20"/>
          <w:szCs w:val="20"/>
          <w:lang w:val="en-GB"/>
        </w:rPr>
        <w:t>(6%)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, </w:t>
      </w:r>
      <w:proofErr w:type="spellStart"/>
      <w:r w:rsidRPr="00EE51B0">
        <w:rPr>
          <w:rFonts w:ascii="Arial" w:hAnsi="Arial" w:cs="Arial"/>
          <w:i/>
          <w:sz w:val="20"/>
          <w:szCs w:val="20"/>
          <w:lang w:val="en-GB"/>
        </w:rPr>
        <w:t>Vysočina</w:t>
      </w:r>
      <w:proofErr w:type="spellEnd"/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and Hradec </w:t>
      </w:r>
      <w:proofErr w:type="spellStart"/>
      <w:r w:rsidRPr="00EE51B0">
        <w:rPr>
          <w:rFonts w:ascii="Arial" w:hAnsi="Arial" w:cs="Arial"/>
          <w:i/>
          <w:sz w:val="20"/>
          <w:szCs w:val="20"/>
          <w:lang w:val="en-GB"/>
        </w:rPr>
        <w:t>Králové</w:t>
      </w:r>
      <w:proofErr w:type="spellEnd"/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FE30BB">
        <w:rPr>
          <w:rFonts w:ascii="Arial" w:hAnsi="Arial" w:cs="Arial"/>
          <w:i/>
          <w:sz w:val="20"/>
          <w:szCs w:val="20"/>
          <w:lang w:val="en-GB"/>
        </w:rPr>
        <w:t xml:space="preserve">(5% each). </w:t>
      </w:r>
      <w:r w:rsidRPr="00EE51B0">
        <w:rPr>
          <w:rFonts w:ascii="Arial" w:hAnsi="Arial" w:cs="Arial"/>
          <w:i/>
          <w:sz w:val="20"/>
          <w:szCs w:val="20"/>
          <w:lang w:val="en-GB"/>
        </w:rPr>
        <w:t>Nevertheless, the greatest number of milk farms is loca</w:t>
      </w:r>
      <w:r w:rsidR="00F01C65">
        <w:rPr>
          <w:rFonts w:ascii="Arial" w:hAnsi="Arial" w:cs="Arial"/>
          <w:i/>
          <w:sz w:val="20"/>
          <w:szCs w:val="20"/>
          <w:lang w:val="en-GB"/>
        </w:rPr>
        <w:t>ted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in </w:t>
      </w:r>
      <w:proofErr w:type="spellStart"/>
      <w:r w:rsidRPr="00EE51B0">
        <w:rPr>
          <w:rFonts w:ascii="Arial" w:hAnsi="Arial" w:cs="Arial"/>
          <w:i/>
          <w:sz w:val="20"/>
          <w:szCs w:val="20"/>
          <w:lang w:val="en-GB"/>
        </w:rPr>
        <w:t>Vysočina</w:t>
      </w:r>
      <w:proofErr w:type="spellEnd"/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Region (</w:t>
      </w:r>
      <w:r w:rsidR="00075DB2">
        <w:rPr>
          <w:rFonts w:ascii="Arial" w:hAnsi="Arial" w:cs="Arial"/>
          <w:i/>
          <w:sz w:val="20"/>
          <w:szCs w:val="20"/>
          <w:lang w:val="en-GB"/>
        </w:rPr>
        <w:t>160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holdings), in the South Bohemia Region (1</w:t>
      </w:r>
      <w:r w:rsidR="00075DB2">
        <w:rPr>
          <w:rFonts w:ascii="Arial" w:hAnsi="Arial" w:cs="Arial"/>
          <w:i/>
          <w:sz w:val="20"/>
          <w:szCs w:val="20"/>
          <w:lang w:val="en-GB"/>
        </w:rPr>
        <w:t>28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holdings), and in the Hradec </w:t>
      </w:r>
      <w:proofErr w:type="spellStart"/>
      <w:r w:rsidRPr="00EE51B0">
        <w:rPr>
          <w:rFonts w:ascii="Arial" w:hAnsi="Arial" w:cs="Arial"/>
          <w:i/>
          <w:sz w:val="20"/>
          <w:szCs w:val="20"/>
          <w:lang w:val="en-GB"/>
        </w:rPr>
        <w:t>Králové</w:t>
      </w:r>
      <w:proofErr w:type="spellEnd"/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Region (10</w:t>
      </w:r>
      <w:r w:rsidR="00075DB2">
        <w:rPr>
          <w:rFonts w:ascii="Arial" w:hAnsi="Arial" w:cs="Arial"/>
          <w:i/>
          <w:sz w:val="20"/>
          <w:szCs w:val="20"/>
          <w:lang w:val="en-GB"/>
        </w:rPr>
        <w:t>2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holdings).</w:t>
      </w:r>
    </w:p>
    <w:p w14:paraId="6A921D47" w14:textId="365C095D" w:rsidR="00F01C65" w:rsidRDefault="00F01C65" w:rsidP="00483E00">
      <w:pPr>
        <w:pStyle w:val="Normlnweb"/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</w:p>
    <w:p w14:paraId="64FFE1DA" w14:textId="5CB0522C" w:rsidR="00E75763" w:rsidRPr="00EE51B0" w:rsidRDefault="00E75763" w:rsidP="00570392">
      <w:pPr>
        <w:pStyle w:val="Normlnweb"/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noProof/>
          <w:sz w:val="20"/>
          <w:szCs w:val="20"/>
        </w:rPr>
        <w:lastRenderedPageBreak/>
        <w:drawing>
          <wp:inline distT="0" distB="0" distL="0" distR="0" wp14:anchorId="4257B261" wp14:editId="0845112B">
            <wp:extent cx="5456555" cy="3310255"/>
            <wp:effectExtent l="0" t="0" r="0" b="4445"/>
            <wp:docPr id="34287367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55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A1AD50" w14:textId="3E54DA83" w:rsidR="00F01C65" w:rsidRDefault="00F01C65" w:rsidP="00F01C65">
      <w:pPr>
        <w:pStyle w:val="Normlnweb"/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More than one-half of </w:t>
      </w:r>
      <w:r>
        <w:rPr>
          <w:rFonts w:ascii="Arial" w:hAnsi="Arial" w:cs="Arial"/>
          <w:i/>
          <w:sz w:val="20"/>
          <w:szCs w:val="20"/>
          <w:lang w:val="en-GB"/>
        </w:rPr>
        <w:t>the dairy farms are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of medium</w:t>
      </w:r>
      <w:r w:rsidR="002436ED">
        <w:rPr>
          <w:rFonts w:ascii="Arial" w:hAnsi="Arial" w:cs="Arial"/>
          <w:i/>
          <w:sz w:val="20"/>
          <w:szCs w:val="20"/>
          <w:lang w:val="en-GB"/>
        </w:rPr>
        <w:t>-</w:t>
      </w:r>
      <w:r w:rsidRPr="00EE51B0">
        <w:rPr>
          <w:rFonts w:ascii="Arial" w:hAnsi="Arial" w:cs="Arial"/>
          <w:i/>
          <w:sz w:val="20"/>
          <w:szCs w:val="20"/>
          <w:lang w:val="en-GB"/>
        </w:rPr>
        <w:t>size</w:t>
      </w:r>
      <w:r w:rsidR="002436ED">
        <w:rPr>
          <w:rFonts w:ascii="Arial" w:hAnsi="Arial" w:cs="Arial"/>
          <w:i/>
          <w:sz w:val="20"/>
          <w:szCs w:val="20"/>
          <w:lang w:val="en-GB"/>
        </w:rPr>
        <w:t>d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holdings (5</w:t>
      </w:r>
      <w:r>
        <w:rPr>
          <w:rFonts w:ascii="Arial" w:hAnsi="Arial" w:cs="Arial"/>
          <w:i/>
          <w:sz w:val="20"/>
          <w:szCs w:val="20"/>
          <w:lang w:val="en-GB"/>
        </w:rPr>
        <w:t>4</w:t>
      </w:r>
      <w:r w:rsidRPr="00EE51B0">
        <w:rPr>
          <w:rFonts w:ascii="Arial" w:hAnsi="Arial" w:cs="Arial"/>
          <w:i/>
          <w:sz w:val="20"/>
          <w:szCs w:val="20"/>
          <w:lang w:val="en-GB"/>
        </w:rPr>
        <w:t>%). Almost one-third of holdings belong to the large-scale category (</w:t>
      </w:r>
      <w:r>
        <w:rPr>
          <w:rFonts w:ascii="Arial" w:hAnsi="Arial" w:cs="Arial"/>
          <w:i/>
          <w:sz w:val="20"/>
          <w:szCs w:val="20"/>
          <w:lang w:val="en-GB"/>
        </w:rPr>
        <w:t>32</w:t>
      </w:r>
      <w:r w:rsidRPr="00EE51B0">
        <w:rPr>
          <w:rFonts w:ascii="Arial" w:hAnsi="Arial" w:cs="Arial"/>
          <w:i/>
          <w:sz w:val="20"/>
          <w:szCs w:val="20"/>
          <w:lang w:val="en-GB"/>
        </w:rPr>
        <w:t>%) and only 1</w:t>
      </w:r>
      <w:r>
        <w:rPr>
          <w:rFonts w:ascii="Arial" w:hAnsi="Arial" w:cs="Arial"/>
          <w:i/>
          <w:sz w:val="20"/>
          <w:szCs w:val="20"/>
          <w:lang w:val="en-GB"/>
        </w:rPr>
        <w:t>4</w:t>
      </w:r>
      <w:r w:rsidRPr="00EE51B0">
        <w:rPr>
          <w:rFonts w:ascii="Arial" w:hAnsi="Arial" w:cs="Arial"/>
          <w:i/>
          <w:sz w:val="20"/>
          <w:szCs w:val="20"/>
          <w:lang w:val="en-GB"/>
        </w:rPr>
        <w:t>% of holdings belong to the small size</w:t>
      </w:r>
      <w:r w:rsidR="002436ED">
        <w:rPr>
          <w:rFonts w:ascii="Arial" w:hAnsi="Arial" w:cs="Arial"/>
          <w:i/>
          <w:sz w:val="20"/>
          <w:szCs w:val="20"/>
          <w:lang w:val="en-GB"/>
        </w:rPr>
        <w:t xml:space="preserve"> category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. </w:t>
      </w:r>
      <w:r w:rsidRPr="00F01C65">
        <w:rPr>
          <w:rFonts w:ascii="Arial" w:hAnsi="Arial" w:cs="Arial"/>
          <w:i/>
          <w:sz w:val="20"/>
          <w:szCs w:val="20"/>
          <w:lang w:val="en-GB"/>
        </w:rPr>
        <w:t xml:space="preserve">The share of large </w:t>
      </w:r>
      <w:r>
        <w:rPr>
          <w:rFonts w:ascii="Arial" w:hAnsi="Arial" w:cs="Arial"/>
          <w:i/>
          <w:sz w:val="20"/>
          <w:szCs w:val="20"/>
          <w:lang w:val="en-GB"/>
        </w:rPr>
        <w:t>holdings</w:t>
      </w:r>
      <w:r w:rsidRPr="00F01C65">
        <w:rPr>
          <w:rFonts w:ascii="Arial" w:hAnsi="Arial" w:cs="Arial"/>
          <w:i/>
          <w:sz w:val="20"/>
          <w:szCs w:val="20"/>
          <w:lang w:val="en-GB"/>
        </w:rPr>
        <w:t xml:space="preserve"> is significant, accounting for more than a quarter (28%)</w:t>
      </w:r>
      <w:r w:rsidR="00621982">
        <w:rPr>
          <w:rFonts w:ascii="Arial" w:hAnsi="Arial" w:cs="Arial"/>
          <w:i/>
          <w:sz w:val="20"/>
          <w:szCs w:val="20"/>
          <w:lang w:val="en-GB"/>
        </w:rPr>
        <w:t xml:space="preserve">. </w:t>
      </w:r>
      <w:r w:rsidR="00621982" w:rsidRPr="00F01C65">
        <w:rPr>
          <w:rFonts w:ascii="Arial" w:hAnsi="Arial" w:cs="Arial"/>
          <w:i/>
          <w:sz w:val="20"/>
          <w:szCs w:val="20"/>
          <w:lang w:val="en-GB"/>
        </w:rPr>
        <w:t xml:space="preserve">This group of </w:t>
      </w:r>
      <w:r w:rsidR="00621982">
        <w:rPr>
          <w:rFonts w:ascii="Arial" w:hAnsi="Arial" w:cs="Arial"/>
          <w:i/>
          <w:sz w:val="20"/>
          <w:szCs w:val="20"/>
          <w:lang w:val="en-GB"/>
        </w:rPr>
        <w:t>holdings</w:t>
      </w:r>
      <w:r w:rsidR="00621982" w:rsidRPr="00F01C65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621982">
        <w:rPr>
          <w:rFonts w:ascii="Arial" w:hAnsi="Arial" w:cs="Arial"/>
          <w:i/>
          <w:sz w:val="20"/>
          <w:szCs w:val="20"/>
          <w:lang w:val="en-GB"/>
        </w:rPr>
        <w:t xml:space="preserve">significantly </w:t>
      </w:r>
      <w:r w:rsidR="00621982" w:rsidRPr="00F01C65">
        <w:rPr>
          <w:rFonts w:ascii="Arial" w:hAnsi="Arial" w:cs="Arial"/>
          <w:i/>
          <w:sz w:val="20"/>
          <w:szCs w:val="20"/>
          <w:lang w:val="en-GB"/>
        </w:rPr>
        <w:t>contributes to the agricultural output</w:t>
      </w:r>
      <w:r w:rsidR="00621982">
        <w:rPr>
          <w:rFonts w:ascii="Arial" w:hAnsi="Arial" w:cs="Arial"/>
          <w:i/>
          <w:sz w:val="20"/>
          <w:szCs w:val="20"/>
          <w:lang w:val="en-GB"/>
        </w:rPr>
        <w:t>.</w:t>
      </w:r>
      <w:r w:rsidR="00621982" w:rsidRPr="00EE51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Specialist dairying </w:t>
      </w:r>
      <w:r w:rsidR="002436ED">
        <w:rPr>
          <w:rFonts w:ascii="Arial" w:hAnsi="Arial" w:cs="Arial"/>
          <w:i/>
          <w:sz w:val="20"/>
          <w:szCs w:val="20"/>
          <w:lang w:val="en-GB"/>
        </w:rPr>
        <w:t xml:space="preserve">farms </w:t>
      </w:r>
      <w:r w:rsidRPr="00EE51B0">
        <w:rPr>
          <w:rFonts w:ascii="Arial" w:hAnsi="Arial" w:cs="Arial"/>
          <w:i/>
          <w:sz w:val="20"/>
          <w:szCs w:val="20"/>
          <w:lang w:val="en-GB"/>
        </w:rPr>
        <w:t>utili</w:t>
      </w:r>
      <w:r w:rsidR="00296C6F">
        <w:rPr>
          <w:rFonts w:ascii="Arial" w:hAnsi="Arial" w:cs="Arial"/>
          <w:i/>
          <w:sz w:val="20"/>
          <w:szCs w:val="20"/>
          <w:lang w:val="en-GB"/>
        </w:rPr>
        <w:t>s</w:t>
      </w:r>
      <w:r w:rsidRPr="00EE51B0">
        <w:rPr>
          <w:rFonts w:ascii="Arial" w:hAnsi="Arial" w:cs="Arial"/>
          <w:i/>
          <w:sz w:val="20"/>
          <w:szCs w:val="20"/>
          <w:lang w:val="en-GB"/>
        </w:rPr>
        <w:t>e 3</w:t>
      </w:r>
      <w:r w:rsidR="00621982">
        <w:rPr>
          <w:rFonts w:ascii="Arial" w:hAnsi="Arial" w:cs="Arial"/>
          <w:i/>
          <w:sz w:val="20"/>
          <w:szCs w:val="20"/>
          <w:lang w:val="en-GB"/>
        </w:rPr>
        <w:t>78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ha/holding on average, which covers 9% of the total </w:t>
      </w:r>
      <w:r w:rsidR="00621982">
        <w:rPr>
          <w:rFonts w:ascii="Arial" w:hAnsi="Arial" w:cs="Arial"/>
          <w:i/>
          <w:sz w:val="20"/>
          <w:szCs w:val="20"/>
          <w:lang w:val="en-GB"/>
        </w:rPr>
        <w:t>agricultural land in the country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. Dairy farms </w:t>
      </w:r>
      <w:r w:rsidR="002436ED">
        <w:rPr>
          <w:rFonts w:ascii="Arial" w:hAnsi="Arial" w:cs="Arial"/>
          <w:i/>
          <w:sz w:val="20"/>
          <w:szCs w:val="20"/>
          <w:lang w:val="en-GB"/>
        </w:rPr>
        <w:t>account for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14% of the total livestock units of the CR. One holding of this specialization, therefore, rears on average 2</w:t>
      </w:r>
      <w:r w:rsidR="00621982">
        <w:rPr>
          <w:rFonts w:ascii="Arial" w:hAnsi="Arial" w:cs="Arial"/>
          <w:i/>
          <w:sz w:val="20"/>
          <w:szCs w:val="20"/>
          <w:lang w:val="en-GB"/>
        </w:rPr>
        <w:t>60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livestock units.</w:t>
      </w:r>
    </w:p>
    <w:p w14:paraId="6DD27031" w14:textId="77777777" w:rsidR="00621982" w:rsidRPr="00EE51B0" w:rsidRDefault="00621982" w:rsidP="00DE7AA6">
      <w:pPr>
        <w:pStyle w:val="Normlnweb"/>
        <w:tabs>
          <w:tab w:val="left" w:pos="360"/>
          <w:tab w:val="left" w:pos="54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</w:p>
    <w:p w14:paraId="2D83E5A5" w14:textId="249732C5" w:rsidR="00296C6F" w:rsidRDefault="00296C6F" w:rsidP="00296C6F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The lowest number of holdings </w:t>
      </w:r>
      <w:r>
        <w:rPr>
          <w:rFonts w:ascii="Arial" w:hAnsi="Arial" w:cs="Arial"/>
          <w:i/>
          <w:sz w:val="20"/>
          <w:szCs w:val="20"/>
          <w:lang w:val="en-GB"/>
        </w:rPr>
        <w:t>in the Czech Republic is classified as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rearing of </w:t>
      </w:r>
      <w:r w:rsidRPr="00EE51B0">
        <w:rPr>
          <w:rFonts w:ascii="Arial" w:hAnsi="Arial" w:cs="Arial"/>
          <w:b/>
          <w:i/>
          <w:sz w:val="20"/>
          <w:szCs w:val="20"/>
          <w:lang w:val="en-GB"/>
        </w:rPr>
        <w:t>granivores</w:t>
      </w:r>
      <w:r w:rsidRPr="00EE51B0">
        <w:rPr>
          <w:rFonts w:ascii="Arial" w:hAnsi="Arial" w:cs="Arial"/>
          <w:i/>
          <w:sz w:val="20"/>
          <w:szCs w:val="20"/>
          <w:lang w:val="en-GB"/>
        </w:rPr>
        <w:t>. This specialization involve</w:t>
      </w:r>
      <w:r w:rsidR="00F71A1B">
        <w:rPr>
          <w:rFonts w:ascii="Arial" w:hAnsi="Arial" w:cs="Arial"/>
          <w:i/>
          <w:sz w:val="20"/>
          <w:szCs w:val="20"/>
          <w:lang w:val="en-GB"/>
        </w:rPr>
        <w:t>s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3</w:t>
      </w:r>
      <w:r>
        <w:rPr>
          <w:rFonts w:ascii="Arial" w:hAnsi="Arial" w:cs="Arial"/>
          <w:i/>
          <w:sz w:val="20"/>
          <w:szCs w:val="20"/>
          <w:lang w:val="en-GB"/>
        </w:rPr>
        <w:t>91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holdings. A high proportion of legal persons (</w:t>
      </w:r>
      <w:r>
        <w:rPr>
          <w:rFonts w:ascii="Arial" w:hAnsi="Arial" w:cs="Arial"/>
          <w:i/>
          <w:sz w:val="20"/>
          <w:szCs w:val="20"/>
          <w:lang w:val="en-GB"/>
        </w:rPr>
        <w:t>42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%) and large-scale holdings is typical for this group. </w:t>
      </w:r>
      <w:r w:rsidR="00FC3FCA" w:rsidRPr="00296C6F">
        <w:rPr>
          <w:rFonts w:ascii="Arial" w:hAnsi="Arial" w:cs="Arial"/>
          <w:i/>
          <w:sz w:val="20"/>
          <w:szCs w:val="20"/>
          <w:lang w:val="en-GB"/>
        </w:rPr>
        <w:t xml:space="preserve">Most </w:t>
      </w:r>
      <w:r w:rsidR="00FC3FCA">
        <w:rPr>
          <w:rFonts w:ascii="Arial" w:hAnsi="Arial" w:cs="Arial"/>
          <w:i/>
          <w:sz w:val="20"/>
          <w:szCs w:val="20"/>
          <w:lang w:val="en-GB"/>
        </w:rPr>
        <w:t>holdings</w:t>
      </w:r>
      <w:r w:rsidR="00FC3FCA" w:rsidRPr="00296C6F">
        <w:rPr>
          <w:rFonts w:ascii="Arial" w:hAnsi="Arial" w:cs="Arial"/>
          <w:i/>
          <w:sz w:val="20"/>
          <w:szCs w:val="20"/>
          <w:lang w:val="en-GB"/>
        </w:rPr>
        <w:t xml:space="preserve"> are small farms (41%), nearly a third are large </w:t>
      </w:r>
      <w:r w:rsidR="00FC3FCA">
        <w:rPr>
          <w:rFonts w:ascii="Arial" w:hAnsi="Arial" w:cs="Arial"/>
          <w:i/>
          <w:sz w:val="20"/>
          <w:szCs w:val="20"/>
          <w:lang w:val="en-GB"/>
        </w:rPr>
        <w:t>holdings</w:t>
      </w:r>
      <w:r w:rsidR="00FC3FCA" w:rsidRPr="00296C6F">
        <w:rPr>
          <w:rFonts w:ascii="Arial" w:hAnsi="Arial" w:cs="Arial"/>
          <w:i/>
          <w:sz w:val="20"/>
          <w:szCs w:val="20"/>
          <w:lang w:val="en-GB"/>
        </w:rPr>
        <w:t xml:space="preserve"> (31%) and slightly fewer are classified as medium-sized </w:t>
      </w:r>
      <w:r w:rsidR="00FC3FCA">
        <w:rPr>
          <w:rFonts w:ascii="Arial" w:hAnsi="Arial" w:cs="Arial"/>
          <w:i/>
          <w:sz w:val="20"/>
          <w:szCs w:val="20"/>
          <w:lang w:val="en-GB"/>
        </w:rPr>
        <w:t>holdings</w:t>
      </w:r>
      <w:r w:rsidR="00FC3FCA" w:rsidRPr="00296C6F">
        <w:rPr>
          <w:rFonts w:ascii="Arial" w:hAnsi="Arial" w:cs="Arial"/>
          <w:i/>
          <w:sz w:val="20"/>
          <w:szCs w:val="20"/>
          <w:lang w:val="en-GB"/>
        </w:rPr>
        <w:t xml:space="preserve"> (29%).</w:t>
      </w:r>
      <w:r w:rsidR="00FC3FCA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EE51B0">
        <w:rPr>
          <w:rFonts w:ascii="Arial" w:hAnsi="Arial" w:cs="Arial"/>
          <w:i/>
          <w:sz w:val="20"/>
          <w:szCs w:val="20"/>
          <w:lang w:val="en-GB"/>
        </w:rPr>
        <w:t>Agricultur</w:t>
      </w:r>
      <w:r w:rsidR="00F71A1B">
        <w:rPr>
          <w:rFonts w:ascii="Arial" w:hAnsi="Arial" w:cs="Arial"/>
          <w:i/>
          <w:sz w:val="20"/>
          <w:szCs w:val="20"/>
          <w:lang w:val="en-GB"/>
        </w:rPr>
        <w:t>al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holdings belonging to specialist granivores can be characterized by </w:t>
      </w:r>
      <w:r w:rsidR="00F71A1B">
        <w:rPr>
          <w:rFonts w:ascii="Arial" w:hAnsi="Arial" w:cs="Arial"/>
          <w:i/>
          <w:sz w:val="20"/>
          <w:szCs w:val="20"/>
          <w:lang w:val="en-GB"/>
        </w:rPr>
        <w:t xml:space="preserve">an </w:t>
      </w:r>
      <w:r w:rsidRPr="00EE51B0">
        <w:rPr>
          <w:rFonts w:ascii="Arial" w:hAnsi="Arial" w:cs="Arial"/>
          <w:i/>
          <w:sz w:val="20"/>
          <w:szCs w:val="20"/>
          <w:lang w:val="en-GB"/>
        </w:rPr>
        <w:t>intensive way of rearing. These holdings concentrate 2</w:t>
      </w:r>
      <w:r w:rsidR="00FC3FCA">
        <w:rPr>
          <w:rFonts w:ascii="Arial" w:hAnsi="Arial" w:cs="Arial"/>
          <w:i/>
          <w:sz w:val="20"/>
          <w:szCs w:val="20"/>
          <w:lang w:val="en-GB"/>
        </w:rPr>
        <w:t>8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% of the total number of livestock units in the Czech Republic. On average, </w:t>
      </w:r>
      <w:r w:rsidR="00FC3FCA">
        <w:rPr>
          <w:rFonts w:ascii="Arial" w:hAnsi="Arial" w:cs="Arial"/>
          <w:i/>
          <w:sz w:val="20"/>
          <w:szCs w:val="20"/>
          <w:lang w:val="en-GB"/>
        </w:rPr>
        <w:t>there are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1</w:t>
      </w:r>
      <w:r w:rsidR="00FC3FCA">
        <w:rPr>
          <w:rFonts w:ascii="Arial" w:hAnsi="Arial" w:cs="Arial"/>
          <w:i/>
          <w:sz w:val="20"/>
          <w:szCs w:val="20"/>
          <w:lang w:val="en-GB"/>
        </w:rPr>
        <w:t>,182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FC3FCA" w:rsidRPr="00FC3FCA">
        <w:rPr>
          <w:rFonts w:ascii="Arial" w:hAnsi="Arial" w:cs="Arial"/>
          <w:i/>
          <w:sz w:val="20"/>
          <w:szCs w:val="20"/>
          <w:lang w:val="en-GB"/>
        </w:rPr>
        <w:t xml:space="preserve">livestock units per </w:t>
      </w:r>
      <w:r w:rsidR="00FC3FCA">
        <w:rPr>
          <w:rFonts w:ascii="Arial" w:hAnsi="Arial" w:cs="Arial"/>
          <w:i/>
          <w:sz w:val="20"/>
          <w:szCs w:val="20"/>
          <w:lang w:val="en-GB"/>
        </w:rPr>
        <w:t>holding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. </w:t>
      </w:r>
      <w:r w:rsidR="00FC3FCA" w:rsidRPr="00296C6F">
        <w:rPr>
          <w:rFonts w:ascii="Arial" w:hAnsi="Arial" w:cs="Arial"/>
          <w:i/>
          <w:sz w:val="20"/>
          <w:szCs w:val="20"/>
          <w:lang w:val="en-GB"/>
        </w:rPr>
        <w:t>The average area is only 44 ha/</w:t>
      </w:r>
      <w:r w:rsidR="00FC3FCA">
        <w:rPr>
          <w:rFonts w:ascii="Arial" w:hAnsi="Arial" w:cs="Arial"/>
          <w:i/>
          <w:sz w:val="20"/>
          <w:szCs w:val="20"/>
          <w:lang w:val="en-GB"/>
        </w:rPr>
        <w:t>holding</w:t>
      </w:r>
      <w:r w:rsidR="00FC3FCA" w:rsidRPr="00296C6F">
        <w:rPr>
          <w:rFonts w:ascii="Arial" w:hAnsi="Arial" w:cs="Arial"/>
          <w:i/>
          <w:sz w:val="20"/>
          <w:szCs w:val="20"/>
          <w:lang w:val="en-GB"/>
        </w:rPr>
        <w:t xml:space="preserve"> due to the </w:t>
      </w:r>
      <w:r w:rsidR="00FC3FCA">
        <w:rPr>
          <w:rFonts w:ascii="Arial" w:hAnsi="Arial" w:cs="Arial"/>
          <w:i/>
          <w:sz w:val="20"/>
          <w:szCs w:val="20"/>
          <w:lang w:val="en-GB"/>
        </w:rPr>
        <w:t>nature</w:t>
      </w:r>
      <w:r w:rsidR="00FC3FCA" w:rsidRPr="00296C6F">
        <w:rPr>
          <w:rFonts w:ascii="Arial" w:hAnsi="Arial" w:cs="Arial"/>
          <w:i/>
          <w:sz w:val="20"/>
          <w:szCs w:val="20"/>
          <w:lang w:val="en-GB"/>
        </w:rPr>
        <w:t xml:space="preserve"> of this livestock production.</w:t>
      </w:r>
      <w:r w:rsidR="00FC3FCA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Most of the granivores holdings </w:t>
      </w:r>
      <w:r w:rsidR="00FC3FCA" w:rsidRPr="00EE51B0">
        <w:rPr>
          <w:rFonts w:ascii="Arial" w:hAnsi="Arial" w:cs="Arial"/>
          <w:i/>
          <w:sz w:val="20"/>
          <w:szCs w:val="20"/>
          <w:lang w:val="en-GB"/>
        </w:rPr>
        <w:t>are</w:t>
      </w:r>
      <w:r w:rsidR="00FC3FCA">
        <w:rPr>
          <w:rFonts w:ascii="Arial" w:hAnsi="Arial" w:cs="Arial"/>
          <w:i/>
          <w:sz w:val="20"/>
          <w:szCs w:val="20"/>
          <w:lang w:val="en-GB"/>
        </w:rPr>
        <w:t xml:space="preserve"> located </w:t>
      </w:r>
      <w:r w:rsidR="00FC3FCA" w:rsidRPr="00EE51B0">
        <w:rPr>
          <w:rFonts w:ascii="Arial" w:hAnsi="Arial" w:cs="Arial"/>
          <w:i/>
          <w:sz w:val="20"/>
          <w:szCs w:val="20"/>
          <w:lang w:val="en-GB"/>
        </w:rPr>
        <w:t>in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the </w:t>
      </w:r>
      <w:r w:rsidR="00FC3FCA" w:rsidRPr="00FC3FCA">
        <w:rPr>
          <w:rFonts w:ascii="Arial" w:hAnsi="Arial" w:cs="Arial"/>
          <w:i/>
          <w:sz w:val="20"/>
          <w:szCs w:val="20"/>
          <w:lang w:val="en-GB"/>
        </w:rPr>
        <w:t>Olomouc, South Moravia and Central Bohemia regions.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</w:t>
      </w:r>
    </w:p>
    <w:p w14:paraId="5BED556A" w14:textId="57837BEB" w:rsidR="00FC3FCA" w:rsidRDefault="00FC3FCA" w:rsidP="00296C6F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</w:p>
    <w:p w14:paraId="2E7B9749" w14:textId="0424723F" w:rsidR="00E75763" w:rsidRPr="00EE51B0" w:rsidRDefault="00E75763" w:rsidP="00DE7AA6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noProof/>
          <w:sz w:val="20"/>
          <w:szCs w:val="20"/>
        </w:rPr>
        <w:lastRenderedPageBreak/>
        <w:drawing>
          <wp:inline distT="0" distB="0" distL="0" distR="0" wp14:anchorId="5D293B2B" wp14:editId="7A9368B2">
            <wp:extent cx="5462270" cy="3310255"/>
            <wp:effectExtent l="0" t="0" r="5080" b="4445"/>
            <wp:docPr id="107292687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270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9D72D0" w14:textId="77777777" w:rsidR="00182D6D" w:rsidRPr="00CA56E3" w:rsidRDefault="00182D6D" w:rsidP="00DE7AA6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</w:p>
    <w:p w14:paraId="54E27F9F" w14:textId="30F6AF01" w:rsidR="00F71A1B" w:rsidRDefault="00F71A1B" w:rsidP="00F71A1B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  <w:r w:rsidRPr="00EE51B0">
        <w:rPr>
          <w:rFonts w:ascii="Arial" w:hAnsi="Arial" w:cs="Arial"/>
          <w:i/>
          <w:sz w:val="20"/>
          <w:szCs w:val="20"/>
          <w:lang w:val="en-GB"/>
        </w:rPr>
        <w:t>The principal type of farming speci</w:t>
      </w:r>
      <w:r>
        <w:rPr>
          <w:rFonts w:ascii="Arial" w:hAnsi="Arial" w:cs="Arial"/>
          <w:i/>
          <w:sz w:val="20"/>
          <w:szCs w:val="20"/>
          <w:lang w:val="en-GB"/>
        </w:rPr>
        <w:t>alizing in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granivores includes specialist pig </w:t>
      </w:r>
      <w:r>
        <w:rPr>
          <w:rFonts w:ascii="Arial" w:hAnsi="Arial" w:cs="Arial"/>
          <w:i/>
          <w:sz w:val="20"/>
          <w:szCs w:val="20"/>
          <w:lang w:val="en-GB"/>
        </w:rPr>
        <w:t xml:space="preserve">farming </w:t>
      </w:r>
      <w:r w:rsidRPr="00EE51B0">
        <w:rPr>
          <w:rFonts w:ascii="Arial" w:hAnsi="Arial" w:cs="Arial"/>
          <w:i/>
          <w:sz w:val="20"/>
          <w:szCs w:val="20"/>
          <w:lang w:val="en-GB"/>
        </w:rPr>
        <w:t>(5</w:t>
      </w:r>
      <w:r>
        <w:rPr>
          <w:rFonts w:ascii="Arial" w:hAnsi="Arial" w:cs="Arial"/>
          <w:i/>
          <w:sz w:val="20"/>
          <w:szCs w:val="20"/>
          <w:lang w:val="en-GB"/>
        </w:rPr>
        <w:t>3</w:t>
      </w:r>
      <w:r w:rsidRPr="00EE51B0">
        <w:rPr>
          <w:rFonts w:ascii="Arial" w:hAnsi="Arial" w:cs="Arial"/>
          <w:i/>
          <w:sz w:val="20"/>
          <w:szCs w:val="20"/>
          <w:lang w:val="en-GB"/>
        </w:rPr>
        <w:t>%), specialist poultry</w:t>
      </w:r>
      <w:r>
        <w:rPr>
          <w:rFonts w:ascii="Arial" w:hAnsi="Arial" w:cs="Arial"/>
          <w:i/>
          <w:sz w:val="20"/>
          <w:szCs w:val="20"/>
          <w:lang w:val="en-GB"/>
        </w:rPr>
        <w:t xml:space="preserve"> farming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(</w:t>
      </w:r>
      <w:r>
        <w:rPr>
          <w:rFonts w:ascii="Arial" w:hAnsi="Arial" w:cs="Arial"/>
          <w:i/>
          <w:sz w:val="20"/>
          <w:szCs w:val="20"/>
          <w:lang w:val="en-GB"/>
        </w:rPr>
        <w:t>39</w:t>
      </w:r>
      <w:r w:rsidRPr="00EE51B0">
        <w:rPr>
          <w:rFonts w:ascii="Arial" w:hAnsi="Arial" w:cs="Arial"/>
          <w:i/>
          <w:sz w:val="20"/>
          <w:szCs w:val="20"/>
          <w:lang w:val="en-GB"/>
        </w:rPr>
        <w:t>%) and various combined granivores, i.e.</w:t>
      </w:r>
      <w:r>
        <w:rPr>
          <w:rFonts w:ascii="Arial" w:hAnsi="Arial" w:cs="Arial"/>
          <w:i/>
          <w:sz w:val="20"/>
          <w:szCs w:val="20"/>
          <w:lang w:val="en-GB"/>
        </w:rPr>
        <w:t xml:space="preserve">, a </w:t>
      </w:r>
      <w:r w:rsidRPr="00EE51B0">
        <w:rPr>
          <w:rFonts w:ascii="Arial" w:hAnsi="Arial" w:cs="Arial"/>
          <w:i/>
          <w:sz w:val="20"/>
          <w:szCs w:val="20"/>
          <w:lang w:val="en-GB"/>
        </w:rPr>
        <w:t>combination of specialist pig and poultry</w:t>
      </w:r>
      <w:r>
        <w:rPr>
          <w:rFonts w:ascii="Arial" w:hAnsi="Arial" w:cs="Arial"/>
          <w:i/>
          <w:sz w:val="20"/>
          <w:szCs w:val="20"/>
          <w:lang w:val="en-GB"/>
        </w:rPr>
        <w:t xml:space="preserve"> farming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 (</w:t>
      </w:r>
      <w:r>
        <w:rPr>
          <w:rFonts w:ascii="Arial" w:hAnsi="Arial" w:cs="Arial"/>
          <w:i/>
          <w:sz w:val="20"/>
          <w:szCs w:val="20"/>
          <w:lang w:val="en-GB"/>
        </w:rPr>
        <w:t>8</w:t>
      </w:r>
      <w:r w:rsidRPr="00EE51B0">
        <w:rPr>
          <w:rFonts w:ascii="Arial" w:hAnsi="Arial" w:cs="Arial"/>
          <w:i/>
          <w:sz w:val="20"/>
          <w:szCs w:val="20"/>
          <w:lang w:val="en-GB"/>
        </w:rPr>
        <w:t xml:space="preserve">%). </w:t>
      </w:r>
    </w:p>
    <w:p w14:paraId="62670767" w14:textId="02A4995A" w:rsidR="00F71A1B" w:rsidRPr="00EE51B0" w:rsidRDefault="00F71A1B" w:rsidP="00F71A1B">
      <w:pPr>
        <w:pStyle w:val="Normlnweb"/>
        <w:tabs>
          <w:tab w:val="left" w:pos="360"/>
        </w:tabs>
        <w:spacing w:line="288" w:lineRule="auto"/>
        <w:rPr>
          <w:rFonts w:ascii="Arial" w:hAnsi="Arial" w:cs="Arial"/>
          <w:i/>
          <w:sz w:val="20"/>
          <w:szCs w:val="20"/>
          <w:lang w:val="en-GB"/>
        </w:rPr>
      </w:pPr>
    </w:p>
    <w:sectPr w:rsidR="00F71A1B" w:rsidRPr="00EE51B0" w:rsidSect="0021604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134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8813C" w14:textId="77777777" w:rsidR="000D53B5" w:rsidRDefault="000D53B5">
      <w:r>
        <w:separator/>
      </w:r>
    </w:p>
  </w:endnote>
  <w:endnote w:type="continuationSeparator" w:id="0">
    <w:p w14:paraId="6DE3A5FD" w14:textId="77777777" w:rsidR="000D53B5" w:rsidRDefault="000D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20A9A" w14:textId="08F8A6CB" w:rsidR="004776AE" w:rsidRPr="004776AE" w:rsidRDefault="004776AE" w:rsidP="004776AE">
    <w:pPr>
      <w:tabs>
        <w:tab w:val="center" w:pos="4820"/>
        <w:tab w:val="right" w:pos="9639"/>
      </w:tabs>
      <w:rPr>
        <w:rFonts w:ascii="Arial" w:eastAsia="Calibri" w:hAnsi="Arial" w:cs="Arial"/>
        <w:noProof/>
        <w:sz w:val="16"/>
        <w:szCs w:val="16"/>
        <w:lang w:val="cs-CZ" w:eastAsia="en-US"/>
      </w:rPr>
    </w:pPr>
    <w:r w:rsidRPr="004776AE">
      <w:rPr>
        <w:rFonts w:ascii="Arial" w:eastAsia="Calibri" w:hAnsi="Arial" w:cs="Arial"/>
        <w:noProof/>
        <w:sz w:val="16"/>
        <w:szCs w:val="16"/>
        <w:lang w:val="cs-CZ"/>
      </w:rPr>
      <w:drawing>
        <wp:anchor distT="0" distB="0" distL="114300" distR="114300" simplePos="0" relativeHeight="251661312" behindDoc="0" locked="0" layoutInCell="1" allowOverlap="1" wp14:anchorId="5A5D8897" wp14:editId="514DF01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76AE">
      <w:rPr>
        <w:rFonts w:ascii="Arial" w:eastAsia="Calibri" w:hAnsi="Arial" w:cs="Arial"/>
        <w:noProof/>
        <w:sz w:val="16"/>
        <w:szCs w:val="16"/>
        <w:lang w:val="cs-CZ" w:eastAsia="en-US"/>
      </w:rPr>
      <w:fldChar w:fldCharType="begin"/>
    </w:r>
    <w:r w:rsidRPr="004776AE">
      <w:rPr>
        <w:rFonts w:ascii="Arial" w:eastAsia="Calibri" w:hAnsi="Arial" w:cs="Arial"/>
        <w:noProof/>
        <w:sz w:val="16"/>
        <w:szCs w:val="16"/>
        <w:lang w:val="cs-CZ" w:eastAsia="en-US"/>
      </w:rPr>
      <w:instrText>PAGE   \* MERGEFORMAT</w:instrText>
    </w:r>
    <w:r w:rsidRPr="004776AE">
      <w:rPr>
        <w:rFonts w:ascii="Arial" w:eastAsia="Calibri" w:hAnsi="Arial" w:cs="Arial"/>
        <w:noProof/>
        <w:sz w:val="16"/>
        <w:szCs w:val="16"/>
        <w:lang w:val="cs-CZ" w:eastAsia="en-US"/>
      </w:rPr>
      <w:fldChar w:fldCharType="separate"/>
    </w:r>
    <w:r w:rsidR="0025520B">
      <w:rPr>
        <w:rFonts w:ascii="Arial" w:eastAsia="Calibri" w:hAnsi="Arial" w:cs="Arial"/>
        <w:noProof/>
        <w:sz w:val="16"/>
        <w:szCs w:val="16"/>
        <w:lang w:val="cs-CZ" w:eastAsia="en-US"/>
      </w:rPr>
      <w:t>6</w:t>
    </w:r>
    <w:r w:rsidRPr="004776AE">
      <w:rPr>
        <w:rFonts w:ascii="Arial" w:eastAsia="Calibri" w:hAnsi="Arial" w:cs="Arial"/>
        <w:noProof/>
        <w:sz w:val="16"/>
        <w:szCs w:val="16"/>
        <w:lang w:val="cs-CZ" w:eastAsia="en-US"/>
      </w:rPr>
      <w:fldChar w:fldCharType="end"/>
    </w:r>
    <w:r w:rsidRPr="004776AE">
      <w:rPr>
        <w:rFonts w:ascii="Arial" w:eastAsia="Calibri" w:hAnsi="Arial" w:cs="Arial"/>
        <w:noProof/>
        <w:sz w:val="16"/>
        <w:szCs w:val="16"/>
        <w:lang w:val="cs-CZ" w:eastAsia="en-US"/>
      </w:rPr>
      <w:tab/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59765" w14:textId="2DA94D6B" w:rsidR="0021604D" w:rsidRPr="000C3451" w:rsidRDefault="0021604D" w:rsidP="0021604D">
    <w:pPr>
      <w:tabs>
        <w:tab w:val="center" w:pos="4820"/>
        <w:tab w:val="right" w:pos="9639"/>
      </w:tabs>
      <w:rPr>
        <w:rFonts w:ascii="Arial" w:eastAsia="Calibri" w:hAnsi="Arial" w:cs="Arial"/>
        <w:noProof/>
        <w:sz w:val="16"/>
        <w:szCs w:val="16"/>
        <w:lang w:val="cs-CZ" w:eastAsia="en-US"/>
      </w:rPr>
    </w:pPr>
    <w:r w:rsidRPr="000C3451">
      <w:rPr>
        <w:rFonts w:ascii="Arial" w:eastAsia="Calibri" w:hAnsi="Arial" w:cs="Arial"/>
        <w:noProof/>
        <w:sz w:val="16"/>
        <w:szCs w:val="16"/>
        <w:lang w:val="cs-CZ"/>
      </w:rPr>
      <w:drawing>
        <wp:anchor distT="0" distB="0" distL="114300" distR="114300" simplePos="0" relativeHeight="251659264" behindDoc="0" locked="0" layoutInCell="1" allowOverlap="1" wp14:anchorId="7CBDC5EB" wp14:editId="175ECC79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3451">
      <w:rPr>
        <w:rFonts w:ascii="Arial" w:eastAsia="Calibri" w:hAnsi="Arial" w:cs="Arial"/>
        <w:noProof/>
        <w:sz w:val="16"/>
        <w:szCs w:val="16"/>
        <w:lang w:val="cs-CZ" w:eastAsia="en-US"/>
      </w:rPr>
      <w:tab/>
      <w:t>2023</w:t>
    </w:r>
    <w:r w:rsidRPr="000C3451">
      <w:rPr>
        <w:rFonts w:ascii="Arial" w:eastAsia="Calibri" w:hAnsi="Arial" w:cs="Arial"/>
        <w:noProof/>
        <w:sz w:val="16"/>
        <w:szCs w:val="16"/>
        <w:lang w:val="cs-CZ" w:eastAsia="en-US"/>
      </w:rPr>
      <w:tab/>
    </w:r>
    <w:r w:rsidRPr="000C3451">
      <w:rPr>
        <w:rFonts w:ascii="Arial" w:eastAsia="Calibri" w:hAnsi="Arial" w:cs="Arial"/>
        <w:noProof/>
        <w:sz w:val="16"/>
        <w:szCs w:val="16"/>
        <w:lang w:val="cs-CZ" w:eastAsia="en-US"/>
      </w:rPr>
      <w:fldChar w:fldCharType="begin"/>
    </w:r>
    <w:r w:rsidRPr="000C3451">
      <w:rPr>
        <w:rFonts w:ascii="Arial" w:eastAsia="Calibri" w:hAnsi="Arial" w:cs="Arial"/>
        <w:noProof/>
        <w:sz w:val="16"/>
        <w:szCs w:val="16"/>
        <w:lang w:val="cs-CZ" w:eastAsia="en-US"/>
      </w:rPr>
      <w:instrText>PAGE   \* MERGEFORMAT</w:instrText>
    </w:r>
    <w:r w:rsidRPr="000C3451">
      <w:rPr>
        <w:rFonts w:ascii="Arial" w:eastAsia="Calibri" w:hAnsi="Arial" w:cs="Arial"/>
        <w:noProof/>
        <w:sz w:val="16"/>
        <w:szCs w:val="16"/>
        <w:lang w:val="cs-CZ" w:eastAsia="en-US"/>
      </w:rPr>
      <w:fldChar w:fldCharType="separate"/>
    </w:r>
    <w:r w:rsidR="0025520B">
      <w:rPr>
        <w:rFonts w:ascii="Arial" w:eastAsia="Calibri" w:hAnsi="Arial" w:cs="Arial"/>
        <w:noProof/>
        <w:sz w:val="16"/>
        <w:szCs w:val="16"/>
        <w:lang w:val="cs-CZ" w:eastAsia="en-US"/>
      </w:rPr>
      <w:t>5</w:t>
    </w:r>
    <w:r w:rsidRPr="000C3451">
      <w:rPr>
        <w:rFonts w:ascii="Arial" w:eastAsia="Calibri" w:hAnsi="Arial" w:cs="Arial"/>
        <w:noProof/>
        <w:sz w:val="16"/>
        <w:szCs w:val="16"/>
        <w:lang w:val="cs-CZ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8BF52" w14:textId="77777777" w:rsidR="000C3451" w:rsidRDefault="000C3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79041" w14:textId="77777777" w:rsidR="000D53B5" w:rsidRDefault="000D53B5">
      <w:r>
        <w:separator/>
      </w:r>
    </w:p>
  </w:footnote>
  <w:footnote w:type="continuationSeparator" w:id="0">
    <w:p w14:paraId="555CB2FC" w14:textId="77777777" w:rsidR="000D53B5" w:rsidRDefault="000D5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DAF2C" w14:textId="77777777" w:rsidR="000C3451" w:rsidRPr="000C3451" w:rsidRDefault="000C3451" w:rsidP="000C3451">
    <w:pPr>
      <w:spacing w:line="288" w:lineRule="auto"/>
      <w:rPr>
        <w:rFonts w:ascii="Arial" w:eastAsia="Calibri" w:hAnsi="Arial"/>
        <w:sz w:val="16"/>
        <w:szCs w:val="22"/>
        <w:lang w:val="cs-CZ" w:eastAsia="en-US"/>
      </w:rPr>
    </w:pPr>
    <w:r w:rsidRPr="000C3451">
      <w:rPr>
        <w:rFonts w:ascii="Arial" w:eastAsia="Calibri" w:hAnsi="Arial"/>
        <w:sz w:val="16"/>
        <w:szCs w:val="22"/>
        <w:lang w:val="cs-CZ" w:eastAsia="en-US"/>
      </w:rPr>
      <w:t>Integrované šetření v zemědělství – analytické vyhodnocení</w:t>
    </w:r>
  </w:p>
  <w:p w14:paraId="43B61CCD" w14:textId="77777777" w:rsidR="000C3451" w:rsidRPr="000C3451" w:rsidRDefault="000C3451" w:rsidP="000C3451">
    <w:pPr>
      <w:spacing w:line="288" w:lineRule="auto"/>
      <w:rPr>
        <w:rFonts w:ascii="Arial" w:eastAsia="Calibri" w:hAnsi="Arial"/>
        <w:i/>
        <w:sz w:val="16"/>
        <w:szCs w:val="22"/>
        <w:lang w:val="cs-CZ" w:eastAsia="en-US"/>
      </w:rPr>
    </w:pPr>
    <w:proofErr w:type="spellStart"/>
    <w:r w:rsidRPr="000C3451">
      <w:rPr>
        <w:rFonts w:ascii="Arial" w:eastAsia="Calibri" w:hAnsi="Arial"/>
        <w:i/>
        <w:sz w:val="16"/>
        <w:szCs w:val="22"/>
        <w:lang w:val="cs-CZ" w:eastAsia="en-US"/>
      </w:rPr>
      <w:t>Integrated</w:t>
    </w:r>
    <w:proofErr w:type="spellEnd"/>
    <w:r w:rsidRPr="000C3451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0C3451">
      <w:rPr>
        <w:rFonts w:ascii="Arial" w:eastAsia="Calibri" w:hAnsi="Arial"/>
        <w:i/>
        <w:sz w:val="16"/>
        <w:szCs w:val="22"/>
        <w:lang w:val="cs-CZ" w:eastAsia="en-US"/>
      </w:rPr>
      <w:t>Farm</w:t>
    </w:r>
    <w:proofErr w:type="spellEnd"/>
    <w:r w:rsidRPr="000C3451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0C3451">
      <w:rPr>
        <w:rFonts w:ascii="Arial" w:eastAsia="Calibri" w:hAnsi="Arial"/>
        <w:i/>
        <w:sz w:val="16"/>
        <w:szCs w:val="22"/>
        <w:lang w:val="cs-CZ" w:eastAsia="en-US"/>
      </w:rPr>
      <w:t>Survey</w:t>
    </w:r>
    <w:proofErr w:type="spellEnd"/>
    <w:r w:rsidRPr="000C3451">
      <w:rPr>
        <w:rFonts w:ascii="Arial" w:eastAsia="Calibri" w:hAnsi="Arial"/>
        <w:i/>
        <w:sz w:val="16"/>
        <w:szCs w:val="22"/>
        <w:lang w:val="cs-CZ" w:eastAsia="en-US"/>
      </w:rPr>
      <w:t xml:space="preserve"> – </w:t>
    </w:r>
    <w:proofErr w:type="spellStart"/>
    <w:r w:rsidRPr="000C3451">
      <w:rPr>
        <w:rFonts w:ascii="Arial" w:eastAsia="Calibri" w:hAnsi="Arial"/>
        <w:i/>
        <w:sz w:val="16"/>
        <w:szCs w:val="22"/>
        <w:lang w:val="cs-CZ" w:eastAsia="en-US"/>
      </w:rPr>
      <w:t>analytical</w:t>
    </w:r>
    <w:proofErr w:type="spellEnd"/>
    <w:r w:rsidRPr="000C3451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0C3451">
      <w:rPr>
        <w:rFonts w:ascii="Arial" w:eastAsia="Calibri" w:hAnsi="Arial"/>
        <w:i/>
        <w:sz w:val="16"/>
        <w:szCs w:val="22"/>
        <w:lang w:val="cs-CZ" w:eastAsia="en-US"/>
      </w:rPr>
      <w:t>evaluation</w:t>
    </w:r>
    <w:proofErr w:type="spellEnd"/>
  </w:p>
  <w:p w14:paraId="22EF2552" w14:textId="77777777" w:rsidR="000C3451" w:rsidRDefault="000C34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D7549" w14:textId="77777777" w:rsidR="000C3451" w:rsidRPr="000C3451" w:rsidRDefault="000C3451" w:rsidP="000C3451">
    <w:pPr>
      <w:spacing w:line="288" w:lineRule="auto"/>
      <w:rPr>
        <w:rFonts w:ascii="Arial" w:eastAsia="Calibri" w:hAnsi="Arial"/>
        <w:sz w:val="16"/>
        <w:szCs w:val="22"/>
        <w:lang w:val="cs-CZ" w:eastAsia="en-US"/>
      </w:rPr>
    </w:pPr>
    <w:r w:rsidRPr="000C3451">
      <w:rPr>
        <w:rFonts w:ascii="Arial" w:eastAsia="Calibri" w:hAnsi="Arial"/>
        <w:sz w:val="16"/>
        <w:szCs w:val="22"/>
        <w:lang w:val="cs-CZ" w:eastAsia="en-US"/>
      </w:rPr>
      <w:t>Integrované šetření v zemědělství – analytické vyhodnocení</w:t>
    </w:r>
  </w:p>
  <w:p w14:paraId="041948BD" w14:textId="77777777" w:rsidR="000C3451" w:rsidRPr="000C3451" w:rsidRDefault="000C3451" w:rsidP="000C3451">
    <w:pPr>
      <w:spacing w:line="288" w:lineRule="auto"/>
      <w:rPr>
        <w:rFonts w:ascii="Arial" w:eastAsia="Calibri" w:hAnsi="Arial"/>
        <w:i/>
        <w:sz w:val="16"/>
        <w:szCs w:val="22"/>
        <w:lang w:val="cs-CZ" w:eastAsia="en-US"/>
      </w:rPr>
    </w:pPr>
    <w:proofErr w:type="spellStart"/>
    <w:r w:rsidRPr="000C3451">
      <w:rPr>
        <w:rFonts w:ascii="Arial" w:eastAsia="Calibri" w:hAnsi="Arial"/>
        <w:i/>
        <w:sz w:val="16"/>
        <w:szCs w:val="22"/>
        <w:lang w:val="cs-CZ" w:eastAsia="en-US"/>
      </w:rPr>
      <w:t>Integrated</w:t>
    </w:r>
    <w:proofErr w:type="spellEnd"/>
    <w:r w:rsidRPr="000C3451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0C3451">
      <w:rPr>
        <w:rFonts w:ascii="Arial" w:eastAsia="Calibri" w:hAnsi="Arial"/>
        <w:i/>
        <w:sz w:val="16"/>
        <w:szCs w:val="22"/>
        <w:lang w:val="cs-CZ" w:eastAsia="en-US"/>
      </w:rPr>
      <w:t>Farm</w:t>
    </w:r>
    <w:proofErr w:type="spellEnd"/>
    <w:r w:rsidRPr="000C3451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0C3451">
      <w:rPr>
        <w:rFonts w:ascii="Arial" w:eastAsia="Calibri" w:hAnsi="Arial"/>
        <w:i/>
        <w:sz w:val="16"/>
        <w:szCs w:val="22"/>
        <w:lang w:val="cs-CZ" w:eastAsia="en-US"/>
      </w:rPr>
      <w:t>Survey</w:t>
    </w:r>
    <w:proofErr w:type="spellEnd"/>
    <w:r w:rsidRPr="000C3451">
      <w:rPr>
        <w:rFonts w:ascii="Arial" w:eastAsia="Calibri" w:hAnsi="Arial"/>
        <w:i/>
        <w:sz w:val="16"/>
        <w:szCs w:val="22"/>
        <w:lang w:val="cs-CZ" w:eastAsia="en-US"/>
      </w:rPr>
      <w:t xml:space="preserve"> – </w:t>
    </w:r>
    <w:proofErr w:type="spellStart"/>
    <w:r w:rsidRPr="000C3451">
      <w:rPr>
        <w:rFonts w:ascii="Arial" w:eastAsia="Calibri" w:hAnsi="Arial"/>
        <w:i/>
        <w:sz w:val="16"/>
        <w:szCs w:val="22"/>
        <w:lang w:val="cs-CZ" w:eastAsia="en-US"/>
      </w:rPr>
      <w:t>analytical</w:t>
    </w:r>
    <w:proofErr w:type="spellEnd"/>
    <w:r w:rsidRPr="000C3451">
      <w:rPr>
        <w:rFonts w:ascii="Arial" w:eastAsia="Calibri" w:hAnsi="Arial"/>
        <w:i/>
        <w:sz w:val="16"/>
        <w:szCs w:val="22"/>
        <w:lang w:val="cs-CZ" w:eastAsia="en-US"/>
      </w:rPr>
      <w:t xml:space="preserve"> </w:t>
    </w:r>
    <w:proofErr w:type="spellStart"/>
    <w:r w:rsidRPr="000C3451">
      <w:rPr>
        <w:rFonts w:ascii="Arial" w:eastAsia="Calibri" w:hAnsi="Arial"/>
        <w:i/>
        <w:sz w:val="16"/>
        <w:szCs w:val="22"/>
        <w:lang w:val="cs-CZ" w:eastAsia="en-US"/>
      </w:rPr>
      <w:t>evaluation</w:t>
    </w:r>
    <w:proofErr w:type="spellEnd"/>
  </w:p>
  <w:p w14:paraId="41ED3FEF" w14:textId="77777777" w:rsidR="000C3451" w:rsidRDefault="000C3451" w:rsidP="000C34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E5F47" w14:textId="77777777" w:rsidR="000C3451" w:rsidRDefault="000C34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474484"/>
    <w:multiLevelType w:val="hybridMultilevel"/>
    <w:tmpl w:val="A30EBF22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C7575"/>
    <w:multiLevelType w:val="hybridMultilevel"/>
    <w:tmpl w:val="54A8282C"/>
    <w:lvl w:ilvl="0" w:tplc="40320B7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1B416D"/>
    <w:multiLevelType w:val="hybridMultilevel"/>
    <w:tmpl w:val="61987278"/>
    <w:lvl w:ilvl="0" w:tplc="5970B0B2">
      <w:start w:val="1"/>
      <w:numFmt w:val="bullet"/>
      <w:pStyle w:val="Sodrkami2"/>
      <w:lvlText w:val="-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45"/>
    <w:rsid w:val="00001415"/>
    <w:rsid w:val="00004453"/>
    <w:rsid w:val="00006D4A"/>
    <w:rsid w:val="00007098"/>
    <w:rsid w:val="000078F2"/>
    <w:rsid w:val="00011F50"/>
    <w:rsid w:val="000169A7"/>
    <w:rsid w:val="00016E26"/>
    <w:rsid w:val="00017333"/>
    <w:rsid w:val="00020530"/>
    <w:rsid w:val="000232F1"/>
    <w:rsid w:val="00031B05"/>
    <w:rsid w:val="00036A1B"/>
    <w:rsid w:val="00036CF5"/>
    <w:rsid w:val="00037474"/>
    <w:rsid w:val="00043DD8"/>
    <w:rsid w:val="00044275"/>
    <w:rsid w:val="00044285"/>
    <w:rsid w:val="000500A4"/>
    <w:rsid w:val="00052634"/>
    <w:rsid w:val="00057EED"/>
    <w:rsid w:val="00062416"/>
    <w:rsid w:val="00063761"/>
    <w:rsid w:val="00065AD0"/>
    <w:rsid w:val="00066DF4"/>
    <w:rsid w:val="00067E18"/>
    <w:rsid w:val="000758AF"/>
    <w:rsid w:val="00075DB2"/>
    <w:rsid w:val="000871EB"/>
    <w:rsid w:val="0008768A"/>
    <w:rsid w:val="00095B6C"/>
    <w:rsid w:val="00097126"/>
    <w:rsid w:val="000A0AEE"/>
    <w:rsid w:val="000B2549"/>
    <w:rsid w:val="000B5760"/>
    <w:rsid w:val="000B6A87"/>
    <w:rsid w:val="000C3451"/>
    <w:rsid w:val="000C47EA"/>
    <w:rsid w:val="000D0BDC"/>
    <w:rsid w:val="000D310D"/>
    <w:rsid w:val="000D53B5"/>
    <w:rsid w:val="000E1999"/>
    <w:rsid w:val="000E2F59"/>
    <w:rsid w:val="000E5CB2"/>
    <w:rsid w:val="000E6FE3"/>
    <w:rsid w:val="000F6B59"/>
    <w:rsid w:val="001000D4"/>
    <w:rsid w:val="0012436D"/>
    <w:rsid w:val="00124C57"/>
    <w:rsid w:val="001251C0"/>
    <w:rsid w:val="00127D9F"/>
    <w:rsid w:val="00132296"/>
    <w:rsid w:val="001325A6"/>
    <w:rsid w:val="00134C1A"/>
    <w:rsid w:val="00142920"/>
    <w:rsid w:val="00143B57"/>
    <w:rsid w:val="0014492F"/>
    <w:rsid w:val="00152C8D"/>
    <w:rsid w:val="00157197"/>
    <w:rsid w:val="0016278A"/>
    <w:rsid w:val="00170605"/>
    <w:rsid w:val="00172A62"/>
    <w:rsid w:val="00174563"/>
    <w:rsid w:val="00180A65"/>
    <w:rsid w:val="00181E2F"/>
    <w:rsid w:val="00182D6D"/>
    <w:rsid w:val="00183D08"/>
    <w:rsid w:val="00186490"/>
    <w:rsid w:val="00194AE4"/>
    <w:rsid w:val="001979DC"/>
    <w:rsid w:val="00197C6C"/>
    <w:rsid w:val="001A1D0B"/>
    <w:rsid w:val="001A4DBE"/>
    <w:rsid w:val="001B3B51"/>
    <w:rsid w:val="001B70FE"/>
    <w:rsid w:val="001D43AC"/>
    <w:rsid w:val="001D5A61"/>
    <w:rsid w:val="001E2A1C"/>
    <w:rsid w:val="001E6F0E"/>
    <w:rsid w:val="001F16E2"/>
    <w:rsid w:val="001F3134"/>
    <w:rsid w:val="001F35CA"/>
    <w:rsid w:val="00204CFF"/>
    <w:rsid w:val="00212068"/>
    <w:rsid w:val="0021604D"/>
    <w:rsid w:val="00220231"/>
    <w:rsid w:val="00222D88"/>
    <w:rsid w:val="002255DC"/>
    <w:rsid w:val="00231177"/>
    <w:rsid w:val="002316CB"/>
    <w:rsid w:val="00237D3F"/>
    <w:rsid w:val="002436ED"/>
    <w:rsid w:val="00244CD1"/>
    <w:rsid w:val="00246D27"/>
    <w:rsid w:val="00250179"/>
    <w:rsid w:val="0025520B"/>
    <w:rsid w:val="00271E0C"/>
    <w:rsid w:val="00272617"/>
    <w:rsid w:val="002734B9"/>
    <w:rsid w:val="00273717"/>
    <w:rsid w:val="0028589E"/>
    <w:rsid w:val="00296C6F"/>
    <w:rsid w:val="002A0131"/>
    <w:rsid w:val="002A2840"/>
    <w:rsid w:val="002A2E95"/>
    <w:rsid w:val="002A3EF8"/>
    <w:rsid w:val="002B2926"/>
    <w:rsid w:val="002B342F"/>
    <w:rsid w:val="002B4404"/>
    <w:rsid w:val="002B45F7"/>
    <w:rsid w:val="002B796E"/>
    <w:rsid w:val="002C1CA5"/>
    <w:rsid w:val="002C6644"/>
    <w:rsid w:val="002C669F"/>
    <w:rsid w:val="002C6FAB"/>
    <w:rsid w:val="002D2AD4"/>
    <w:rsid w:val="002D2C8B"/>
    <w:rsid w:val="002D4551"/>
    <w:rsid w:val="002E2B1E"/>
    <w:rsid w:val="002E47CF"/>
    <w:rsid w:val="002F0751"/>
    <w:rsid w:val="002F26EF"/>
    <w:rsid w:val="002F4D6B"/>
    <w:rsid w:val="002F6BF6"/>
    <w:rsid w:val="00301003"/>
    <w:rsid w:val="00310CAD"/>
    <w:rsid w:val="00311F1A"/>
    <w:rsid w:val="00313AA1"/>
    <w:rsid w:val="00313E66"/>
    <w:rsid w:val="0032220A"/>
    <w:rsid w:val="00323893"/>
    <w:rsid w:val="0032478F"/>
    <w:rsid w:val="0032574B"/>
    <w:rsid w:val="003263DA"/>
    <w:rsid w:val="0032701E"/>
    <w:rsid w:val="003275E3"/>
    <w:rsid w:val="003277B5"/>
    <w:rsid w:val="00327A1F"/>
    <w:rsid w:val="00330FFF"/>
    <w:rsid w:val="0033463C"/>
    <w:rsid w:val="00337278"/>
    <w:rsid w:val="003437A2"/>
    <w:rsid w:val="003452EC"/>
    <w:rsid w:val="00354059"/>
    <w:rsid w:val="00354D33"/>
    <w:rsid w:val="00356FD6"/>
    <w:rsid w:val="00360FD0"/>
    <w:rsid w:val="00365E79"/>
    <w:rsid w:val="003661FA"/>
    <w:rsid w:val="00371F9A"/>
    <w:rsid w:val="00375E39"/>
    <w:rsid w:val="00377064"/>
    <w:rsid w:val="003770B5"/>
    <w:rsid w:val="00386C7A"/>
    <w:rsid w:val="00386F0E"/>
    <w:rsid w:val="0039740A"/>
    <w:rsid w:val="003A27B9"/>
    <w:rsid w:val="003A28CE"/>
    <w:rsid w:val="003A2E26"/>
    <w:rsid w:val="003C49CD"/>
    <w:rsid w:val="003D3421"/>
    <w:rsid w:val="003D5943"/>
    <w:rsid w:val="003E254A"/>
    <w:rsid w:val="003E4E25"/>
    <w:rsid w:val="003E5637"/>
    <w:rsid w:val="003F050F"/>
    <w:rsid w:val="003F096B"/>
    <w:rsid w:val="004024B5"/>
    <w:rsid w:val="00403AE0"/>
    <w:rsid w:val="00404ED5"/>
    <w:rsid w:val="0040667A"/>
    <w:rsid w:val="00414989"/>
    <w:rsid w:val="004168B1"/>
    <w:rsid w:val="004319C5"/>
    <w:rsid w:val="004336F5"/>
    <w:rsid w:val="00437DBD"/>
    <w:rsid w:val="00440271"/>
    <w:rsid w:val="004469A0"/>
    <w:rsid w:val="0045321C"/>
    <w:rsid w:val="00457B9C"/>
    <w:rsid w:val="00464366"/>
    <w:rsid w:val="00466EE2"/>
    <w:rsid w:val="00470560"/>
    <w:rsid w:val="0047591B"/>
    <w:rsid w:val="004765D6"/>
    <w:rsid w:val="004776AE"/>
    <w:rsid w:val="00483E00"/>
    <w:rsid w:val="0048454E"/>
    <w:rsid w:val="00485EC2"/>
    <w:rsid w:val="00492C25"/>
    <w:rsid w:val="004A0C73"/>
    <w:rsid w:val="004A6EFA"/>
    <w:rsid w:val="004B2415"/>
    <w:rsid w:val="004B4D6A"/>
    <w:rsid w:val="004B5DEB"/>
    <w:rsid w:val="004B61C6"/>
    <w:rsid w:val="004C3D8D"/>
    <w:rsid w:val="004C3F81"/>
    <w:rsid w:val="004C4E05"/>
    <w:rsid w:val="004D3A51"/>
    <w:rsid w:val="004D4680"/>
    <w:rsid w:val="004D586D"/>
    <w:rsid w:val="004D58DA"/>
    <w:rsid w:val="004E748D"/>
    <w:rsid w:val="004F3386"/>
    <w:rsid w:val="0050074B"/>
    <w:rsid w:val="00500EFF"/>
    <w:rsid w:val="00501CD5"/>
    <w:rsid w:val="005040A8"/>
    <w:rsid w:val="00522D90"/>
    <w:rsid w:val="005315ED"/>
    <w:rsid w:val="0053227C"/>
    <w:rsid w:val="00541306"/>
    <w:rsid w:val="00541A74"/>
    <w:rsid w:val="00550B7C"/>
    <w:rsid w:val="00551A9D"/>
    <w:rsid w:val="005528B5"/>
    <w:rsid w:val="00554873"/>
    <w:rsid w:val="00555F7A"/>
    <w:rsid w:val="005560A6"/>
    <w:rsid w:val="005632DD"/>
    <w:rsid w:val="00564295"/>
    <w:rsid w:val="00570392"/>
    <w:rsid w:val="005769F9"/>
    <w:rsid w:val="00580B08"/>
    <w:rsid w:val="00586874"/>
    <w:rsid w:val="00591D84"/>
    <w:rsid w:val="00593FBD"/>
    <w:rsid w:val="00597F4D"/>
    <w:rsid w:val="005A11F0"/>
    <w:rsid w:val="005B502F"/>
    <w:rsid w:val="005C53A9"/>
    <w:rsid w:val="005C65F2"/>
    <w:rsid w:val="005C6AE9"/>
    <w:rsid w:val="005C7F82"/>
    <w:rsid w:val="005D10F6"/>
    <w:rsid w:val="005D4FD2"/>
    <w:rsid w:val="005E0AC8"/>
    <w:rsid w:val="005E2B86"/>
    <w:rsid w:val="005E4064"/>
    <w:rsid w:val="005F2F49"/>
    <w:rsid w:val="005F3516"/>
    <w:rsid w:val="005F7716"/>
    <w:rsid w:val="006047E1"/>
    <w:rsid w:val="00621982"/>
    <w:rsid w:val="00622829"/>
    <w:rsid w:val="006246A6"/>
    <w:rsid w:val="00654E6D"/>
    <w:rsid w:val="00661A14"/>
    <w:rsid w:val="00663E77"/>
    <w:rsid w:val="00664A24"/>
    <w:rsid w:val="006658EC"/>
    <w:rsid w:val="00673306"/>
    <w:rsid w:val="00674093"/>
    <w:rsid w:val="006746DF"/>
    <w:rsid w:val="00683F54"/>
    <w:rsid w:val="00693723"/>
    <w:rsid w:val="006A0044"/>
    <w:rsid w:val="006A191C"/>
    <w:rsid w:val="006A4CB0"/>
    <w:rsid w:val="006A69E9"/>
    <w:rsid w:val="006A7DFC"/>
    <w:rsid w:val="006B3F36"/>
    <w:rsid w:val="006B49B1"/>
    <w:rsid w:val="006B70FB"/>
    <w:rsid w:val="006C21D1"/>
    <w:rsid w:val="006D12F7"/>
    <w:rsid w:val="006D3D13"/>
    <w:rsid w:val="006D3E45"/>
    <w:rsid w:val="006F1857"/>
    <w:rsid w:val="006F1BA5"/>
    <w:rsid w:val="006F4326"/>
    <w:rsid w:val="006F727A"/>
    <w:rsid w:val="00712FB1"/>
    <w:rsid w:val="00714D7B"/>
    <w:rsid w:val="00714E5A"/>
    <w:rsid w:val="00715A06"/>
    <w:rsid w:val="00716119"/>
    <w:rsid w:val="007165C0"/>
    <w:rsid w:val="00721BA3"/>
    <w:rsid w:val="0073292C"/>
    <w:rsid w:val="00732CC8"/>
    <w:rsid w:val="00734E0F"/>
    <w:rsid w:val="00737202"/>
    <w:rsid w:val="00740DF4"/>
    <w:rsid w:val="00746008"/>
    <w:rsid w:val="0074782C"/>
    <w:rsid w:val="007509E2"/>
    <w:rsid w:val="00753CC1"/>
    <w:rsid w:val="00756248"/>
    <w:rsid w:val="00757D09"/>
    <w:rsid w:val="00762ACA"/>
    <w:rsid w:val="007658C4"/>
    <w:rsid w:val="00765E02"/>
    <w:rsid w:val="00765F26"/>
    <w:rsid w:val="00767053"/>
    <w:rsid w:val="00770DBB"/>
    <w:rsid w:val="0077166C"/>
    <w:rsid w:val="00772607"/>
    <w:rsid w:val="00777D49"/>
    <w:rsid w:val="0078014F"/>
    <w:rsid w:val="00782F5C"/>
    <w:rsid w:val="00785CCA"/>
    <w:rsid w:val="007875A3"/>
    <w:rsid w:val="007959F1"/>
    <w:rsid w:val="00797378"/>
    <w:rsid w:val="00797F74"/>
    <w:rsid w:val="007A553D"/>
    <w:rsid w:val="007A686B"/>
    <w:rsid w:val="007B4499"/>
    <w:rsid w:val="007C2567"/>
    <w:rsid w:val="007C26E7"/>
    <w:rsid w:val="007C5983"/>
    <w:rsid w:val="007D3E4B"/>
    <w:rsid w:val="007D4834"/>
    <w:rsid w:val="007E02AC"/>
    <w:rsid w:val="007E052A"/>
    <w:rsid w:val="007E27C8"/>
    <w:rsid w:val="007E30C7"/>
    <w:rsid w:val="007E6A0F"/>
    <w:rsid w:val="007F3616"/>
    <w:rsid w:val="007F7814"/>
    <w:rsid w:val="0081594B"/>
    <w:rsid w:val="00816A3B"/>
    <w:rsid w:val="0081748A"/>
    <w:rsid w:val="00820756"/>
    <w:rsid w:val="008233C8"/>
    <w:rsid w:val="00823C07"/>
    <w:rsid w:val="00834E1F"/>
    <w:rsid w:val="008352B3"/>
    <w:rsid w:val="008418BF"/>
    <w:rsid w:val="00865DB7"/>
    <w:rsid w:val="0086646F"/>
    <w:rsid w:val="00875885"/>
    <w:rsid w:val="008813E4"/>
    <w:rsid w:val="00881493"/>
    <w:rsid w:val="00893A2F"/>
    <w:rsid w:val="008A11B4"/>
    <w:rsid w:val="008A2AB3"/>
    <w:rsid w:val="008B3710"/>
    <w:rsid w:val="008C3E3B"/>
    <w:rsid w:val="008D4B18"/>
    <w:rsid w:val="008E503F"/>
    <w:rsid w:val="008F6214"/>
    <w:rsid w:val="0090609A"/>
    <w:rsid w:val="009178CA"/>
    <w:rsid w:val="0092256D"/>
    <w:rsid w:val="009432DD"/>
    <w:rsid w:val="00951AA2"/>
    <w:rsid w:val="00956D52"/>
    <w:rsid w:val="009570E3"/>
    <w:rsid w:val="00962F63"/>
    <w:rsid w:val="00965AD2"/>
    <w:rsid w:val="00980EA3"/>
    <w:rsid w:val="0099072B"/>
    <w:rsid w:val="009A076A"/>
    <w:rsid w:val="009B203E"/>
    <w:rsid w:val="009B3BD3"/>
    <w:rsid w:val="009B7DE5"/>
    <w:rsid w:val="009C2B92"/>
    <w:rsid w:val="009C70ED"/>
    <w:rsid w:val="009C79B2"/>
    <w:rsid w:val="009D0777"/>
    <w:rsid w:val="009F2C4F"/>
    <w:rsid w:val="009F41D0"/>
    <w:rsid w:val="009F60C0"/>
    <w:rsid w:val="009F68DE"/>
    <w:rsid w:val="009F7693"/>
    <w:rsid w:val="00A01732"/>
    <w:rsid w:val="00A05D7B"/>
    <w:rsid w:val="00A13AEE"/>
    <w:rsid w:val="00A14996"/>
    <w:rsid w:val="00A205F1"/>
    <w:rsid w:val="00A372D1"/>
    <w:rsid w:val="00A40145"/>
    <w:rsid w:val="00A424D8"/>
    <w:rsid w:val="00A4548A"/>
    <w:rsid w:val="00A47654"/>
    <w:rsid w:val="00A50A1D"/>
    <w:rsid w:val="00A5437D"/>
    <w:rsid w:val="00A55730"/>
    <w:rsid w:val="00A55DE3"/>
    <w:rsid w:val="00A57A25"/>
    <w:rsid w:val="00A60B3B"/>
    <w:rsid w:val="00A66403"/>
    <w:rsid w:val="00A70856"/>
    <w:rsid w:val="00A7253C"/>
    <w:rsid w:val="00A80167"/>
    <w:rsid w:val="00A840C3"/>
    <w:rsid w:val="00A90268"/>
    <w:rsid w:val="00A90C0C"/>
    <w:rsid w:val="00A97468"/>
    <w:rsid w:val="00AA3568"/>
    <w:rsid w:val="00AB011A"/>
    <w:rsid w:val="00AB7F07"/>
    <w:rsid w:val="00AC0E11"/>
    <w:rsid w:val="00AC2BE6"/>
    <w:rsid w:val="00AD09F9"/>
    <w:rsid w:val="00AD1D20"/>
    <w:rsid w:val="00AD1F47"/>
    <w:rsid w:val="00AE03BC"/>
    <w:rsid w:val="00AE0A14"/>
    <w:rsid w:val="00AE2321"/>
    <w:rsid w:val="00AE4F8A"/>
    <w:rsid w:val="00AE6A49"/>
    <w:rsid w:val="00AF05BD"/>
    <w:rsid w:val="00AF0901"/>
    <w:rsid w:val="00AF1922"/>
    <w:rsid w:val="00AF1D1A"/>
    <w:rsid w:val="00AF7EF9"/>
    <w:rsid w:val="00B056FC"/>
    <w:rsid w:val="00B05882"/>
    <w:rsid w:val="00B1124F"/>
    <w:rsid w:val="00B17E06"/>
    <w:rsid w:val="00B20A75"/>
    <w:rsid w:val="00B233E3"/>
    <w:rsid w:val="00B25E5A"/>
    <w:rsid w:val="00B31604"/>
    <w:rsid w:val="00B31E17"/>
    <w:rsid w:val="00B33E1E"/>
    <w:rsid w:val="00B37804"/>
    <w:rsid w:val="00B40FA8"/>
    <w:rsid w:val="00B44059"/>
    <w:rsid w:val="00B5210A"/>
    <w:rsid w:val="00B529F1"/>
    <w:rsid w:val="00B55002"/>
    <w:rsid w:val="00B616B1"/>
    <w:rsid w:val="00B62260"/>
    <w:rsid w:val="00B64E1E"/>
    <w:rsid w:val="00B64FAF"/>
    <w:rsid w:val="00B66491"/>
    <w:rsid w:val="00B67059"/>
    <w:rsid w:val="00B73935"/>
    <w:rsid w:val="00B8075F"/>
    <w:rsid w:val="00B81449"/>
    <w:rsid w:val="00B8446B"/>
    <w:rsid w:val="00B873C6"/>
    <w:rsid w:val="00B9011B"/>
    <w:rsid w:val="00B93789"/>
    <w:rsid w:val="00B93807"/>
    <w:rsid w:val="00B939FE"/>
    <w:rsid w:val="00B96005"/>
    <w:rsid w:val="00BA1C75"/>
    <w:rsid w:val="00BA4A36"/>
    <w:rsid w:val="00BD1AF3"/>
    <w:rsid w:val="00BD1B3C"/>
    <w:rsid w:val="00BD3E23"/>
    <w:rsid w:val="00BE1C7D"/>
    <w:rsid w:val="00BE42BE"/>
    <w:rsid w:val="00BE778B"/>
    <w:rsid w:val="00BF0984"/>
    <w:rsid w:val="00BF6E03"/>
    <w:rsid w:val="00C10AF0"/>
    <w:rsid w:val="00C14CE7"/>
    <w:rsid w:val="00C157D8"/>
    <w:rsid w:val="00C16723"/>
    <w:rsid w:val="00C22AD5"/>
    <w:rsid w:val="00C22DEA"/>
    <w:rsid w:val="00C30B5F"/>
    <w:rsid w:val="00C439EC"/>
    <w:rsid w:val="00C453D5"/>
    <w:rsid w:val="00C46B32"/>
    <w:rsid w:val="00C60CA4"/>
    <w:rsid w:val="00C62101"/>
    <w:rsid w:val="00C669A0"/>
    <w:rsid w:val="00C70E0A"/>
    <w:rsid w:val="00C72152"/>
    <w:rsid w:val="00C7263F"/>
    <w:rsid w:val="00C74753"/>
    <w:rsid w:val="00C774E3"/>
    <w:rsid w:val="00C77EF7"/>
    <w:rsid w:val="00C804AE"/>
    <w:rsid w:val="00C914D5"/>
    <w:rsid w:val="00C91F48"/>
    <w:rsid w:val="00C93BF2"/>
    <w:rsid w:val="00C94974"/>
    <w:rsid w:val="00CA1F05"/>
    <w:rsid w:val="00CA341B"/>
    <w:rsid w:val="00CA42A4"/>
    <w:rsid w:val="00CA56E3"/>
    <w:rsid w:val="00CB2F12"/>
    <w:rsid w:val="00CC266F"/>
    <w:rsid w:val="00CC5C36"/>
    <w:rsid w:val="00CC6EE9"/>
    <w:rsid w:val="00CE09A1"/>
    <w:rsid w:val="00CE0FB8"/>
    <w:rsid w:val="00CE52C1"/>
    <w:rsid w:val="00CE68A4"/>
    <w:rsid w:val="00CF4136"/>
    <w:rsid w:val="00CF7977"/>
    <w:rsid w:val="00D0412F"/>
    <w:rsid w:val="00D06769"/>
    <w:rsid w:val="00D07AA2"/>
    <w:rsid w:val="00D21A9E"/>
    <w:rsid w:val="00D221EB"/>
    <w:rsid w:val="00D3345E"/>
    <w:rsid w:val="00D420B5"/>
    <w:rsid w:val="00D6155F"/>
    <w:rsid w:val="00D623F0"/>
    <w:rsid w:val="00D665C4"/>
    <w:rsid w:val="00D66E39"/>
    <w:rsid w:val="00D747AF"/>
    <w:rsid w:val="00D83179"/>
    <w:rsid w:val="00D83336"/>
    <w:rsid w:val="00D8429D"/>
    <w:rsid w:val="00D852D5"/>
    <w:rsid w:val="00D91451"/>
    <w:rsid w:val="00D976A1"/>
    <w:rsid w:val="00DA245D"/>
    <w:rsid w:val="00DA4D46"/>
    <w:rsid w:val="00DC29B4"/>
    <w:rsid w:val="00DC78ED"/>
    <w:rsid w:val="00DD0DAA"/>
    <w:rsid w:val="00DD5E6B"/>
    <w:rsid w:val="00DE0EFC"/>
    <w:rsid w:val="00DE7AA6"/>
    <w:rsid w:val="00DE7EAB"/>
    <w:rsid w:val="00DF43DB"/>
    <w:rsid w:val="00DF670D"/>
    <w:rsid w:val="00E04E7A"/>
    <w:rsid w:val="00E06056"/>
    <w:rsid w:val="00E122EE"/>
    <w:rsid w:val="00E154C1"/>
    <w:rsid w:val="00E17ACD"/>
    <w:rsid w:val="00E2198D"/>
    <w:rsid w:val="00E34FD8"/>
    <w:rsid w:val="00E41895"/>
    <w:rsid w:val="00E41C53"/>
    <w:rsid w:val="00E41C6B"/>
    <w:rsid w:val="00E44491"/>
    <w:rsid w:val="00E45789"/>
    <w:rsid w:val="00E51E91"/>
    <w:rsid w:val="00E56B27"/>
    <w:rsid w:val="00E646D9"/>
    <w:rsid w:val="00E674C0"/>
    <w:rsid w:val="00E71600"/>
    <w:rsid w:val="00E72332"/>
    <w:rsid w:val="00E72722"/>
    <w:rsid w:val="00E72CDC"/>
    <w:rsid w:val="00E73374"/>
    <w:rsid w:val="00E75763"/>
    <w:rsid w:val="00E76644"/>
    <w:rsid w:val="00E77FD9"/>
    <w:rsid w:val="00E80CAD"/>
    <w:rsid w:val="00E864F9"/>
    <w:rsid w:val="00E94B1F"/>
    <w:rsid w:val="00EB0A90"/>
    <w:rsid w:val="00EB27EC"/>
    <w:rsid w:val="00EC4A56"/>
    <w:rsid w:val="00EC6594"/>
    <w:rsid w:val="00ED0E69"/>
    <w:rsid w:val="00ED182E"/>
    <w:rsid w:val="00ED45D9"/>
    <w:rsid w:val="00EE06BB"/>
    <w:rsid w:val="00EE4255"/>
    <w:rsid w:val="00EE472C"/>
    <w:rsid w:val="00EE51B0"/>
    <w:rsid w:val="00EE52FD"/>
    <w:rsid w:val="00EF3D74"/>
    <w:rsid w:val="00EF483D"/>
    <w:rsid w:val="00EF6352"/>
    <w:rsid w:val="00F01C65"/>
    <w:rsid w:val="00F02572"/>
    <w:rsid w:val="00F05C2E"/>
    <w:rsid w:val="00F116F3"/>
    <w:rsid w:val="00F1318E"/>
    <w:rsid w:val="00F170B6"/>
    <w:rsid w:val="00F2028A"/>
    <w:rsid w:val="00F21D4B"/>
    <w:rsid w:val="00F251E1"/>
    <w:rsid w:val="00F33623"/>
    <w:rsid w:val="00F33710"/>
    <w:rsid w:val="00F35B56"/>
    <w:rsid w:val="00F375AA"/>
    <w:rsid w:val="00F410AD"/>
    <w:rsid w:val="00F4460C"/>
    <w:rsid w:val="00F52677"/>
    <w:rsid w:val="00F53D3D"/>
    <w:rsid w:val="00F6030A"/>
    <w:rsid w:val="00F63DFC"/>
    <w:rsid w:val="00F66CC7"/>
    <w:rsid w:val="00F66F63"/>
    <w:rsid w:val="00F71A1B"/>
    <w:rsid w:val="00F72527"/>
    <w:rsid w:val="00F753C8"/>
    <w:rsid w:val="00F80AA7"/>
    <w:rsid w:val="00F829D4"/>
    <w:rsid w:val="00F82DCE"/>
    <w:rsid w:val="00F91E64"/>
    <w:rsid w:val="00F92399"/>
    <w:rsid w:val="00F97A4A"/>
    <w:rsid w:val="00FA1317"/>
    <w:rsid w:val="00FA1990"/>
    <w:rsid w:val="00FB45CD"/>
    <w:rsid w:val="00FC2A3E"/>
    <w:rsid w:val="00FC3FCA"/>
    <w:rsid w:val="00FD1F8B"/>
    <w:rsid w:val="00FE30BB"/>
    <w:rsid w:val="00FE705D"/>
    <w:rsid w:val="00FE7AED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8CE1B"/>
  <w15:docId w15:val="{AE651E2B-E52F-4835-9C06-7EF3D716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64F9"/>
    <w:rPr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F753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C804AE"/>
    <w:pPr>
      <w:keepNext/>
      <w:spacing w:before="240" w:after="60" w:line="360" w:lineRule="auto"/>
      <w:ind w:firstLine="567"/>
      <w:jc w:val="both"/>
      <w:outlineLvl w:val="2"/>
    </w:pPr>
    <w:rPr>
      <w:rFonts w:ascii="Arial" w:hAnsi="Arial" w:cs="Arial"/>
      <w:b/>
      <w:bCs/>
      <w:sz w:val="26"/>
      <w:szCs w:val="2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A40145"/>
    <w:rPr>
      <w:sz w:val="20"/>
      <w:szCs w:val="20"/>
    </w:rPr>
  </w:style>
  <w:style w:type="character" w:styleId="Znakapoznpodarou">
    <w:name w:val="footnote reference"/>
    <w:semiHidden/>
    <w:rsid w:val="00A40145"/>
    <w:rPr>
      <w:vertAlign w:val="superscript"/>
    </w:rPr>
  </w:style>
  <w:style w:type="paragraph" w:styleId="Zpat">
    <w:name w:val="footer"/>
    <w:basedOn w:val="Normln"/>
    <w:rsid w:val="009F2C4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2C4F"/>
  </w:style>
  <w:style w:type="paragraph" w:styleId="Normlnweb">
    <w:name w:val="Normal (Web)"/>
    <w:basedOn w:val="Normln"/>
    <w:rsid w:val="00C804AE"/>
    <w:pPr>
      <w:spacing w:before="120" w:line="360" w:lineRule="auto"/>
      <w:ind w:firstLine="567"/>
      <w:jc w:val="both"/>
    </w:pPr>
    <w:rPr>
      <w:lang w:val="cs-CZ"/>
    </w:rPr>
  </w:style>
  <w:style w:type="table" w:styleId="Mkatabulky">
    <w:name w:val="Table Grid"/>
    <w:basedOn w:val="Normlntabulka"/>
    <w:rsid w:val="00C14CE7"/>
    <w:pPr>
      <w:spacing w:before="120"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drkami2">
    <w:name w:val="S odrážkami 2"/>
    <w:basedOn w:val="Normln"/>
    <w:rsid w:val="0048454E"/>
    <w:pPr>
      <w:numPr>
        <w:numId w:val="2"/>
      </w:numPr>
      <w:spacing w:before="120" w:line="360" w:lineRule="auto"/>
      <w:jc w:val="both"/>
    </w:pPr>
    <w:rPr>
      <w:lang w:val="cs-CZ"/>
    </w:rPr>
  </w:style>
  <w:style w:type="paragraph" w:styleId="Zhlav">
    <w:name w:val="header"/>
    <w:basedOn w:val="Normln"/>
    <w:link w:val="ZhlavChar"/>
    <w:uiPriority w:val="99"/>
    <w:rsid w:val="00D976A1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DA245D"/>
    <w:pPr>
      <w:tabs>
        <w:tab w:val="left" w:pos="480"/>
        <w:tab w:val="right" w:leader="dot" w:pos="9060"/>
      </w:tabs>
      <w:spacing w:line="360" w:lineRule="auto"/>
    </w:pPr>
  </w:style>
  <w:style w:type="character" w:styleId="Hypertextovodkaz">
    <w:name w:val="Hyperlink"/>
    <w:uiPriority w:val="99"/>
    <w:rsid w:val="00B25E5A"/>
    <w:rPr>
      <w:color w:val="0000FF"/>
      <w:u w:val="single"/>
    </w:rPr>
  </w:style>
  <w:style w:type="character" w:customStyle="1" w:styleId="Nadpis1Char">
    <w:name w:val="Nadpis 1 Char"/>
    <w:link w:val="Nadpis1"/>
    <w:rsid w:val="00F753C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Textbubliny">
    <w:name w:val="Balloon Text"/>
    <w:basedOn w:val="Normln"/>
    <w:link w:val="TextbublinyChar"/>
    <w:rsid w:val="00DE7A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E7AA6"/>
    <w:rPr>
      <w:rFonts w:ascii="Tahoma" w:hAnsi="Tahoma" w:cs="Tahoma"/>
      <w:sz w:val="16"/>
      <w:szCs w:val="16"/>
      <w:lang w:val="en-US"/>
    </w:rPr>
  </w:style>
  <w:style w:type="character" w:styleId="Odkaznakoment">
    <w:name w:val="annotation reference"/>
    <w:basedOn w:val="Standardnpsmoodstavce"/>
    <w:semiHidden/>
    <w:unhideWhenUsed/>
    <w:rsid w:val="001F16E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F16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16E2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F16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F16E2"/>
    <w:rPr>
      <w:b/>
      <w:bCs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0C3451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707B4-A745-4757-AB77-68112E11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</Pages>
  <Words>1670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11506</CharactersWithSpaces>
  <SharedDoc>false</SharedDoc>
  <HLinks>
    <vt:vector size="36" baseType="variant">
      <vt:variant>
        <vt:i4>1703986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_Toc403568306</vt:lpwstr>
      </vt:variant>
      <vt:variant>
        <vt:i4>1703986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_Toc403568305</vt:lpwstr>
      </vt:variant>
      <vt:variant>
        <vt:i4>1703986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_Toc403568304</vt:lpwstr>
      </vt:variant>
      <vt:variant>
        <vt:i4>1703986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_Toc403568303</vt:lpwstr>
      </vt:variant>
      <vt:variant>
        <vt:i4>1703986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_Toc403568302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_Toc403568301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agriculture holdings by types of farming</dc:title>
  <dc:creator>Macháčková Jana</dc:creator>
  <cp:lastModifiedBy>Olšovská Jelínková Lucie</cp:lastModifiedBy>
  <cp:revision>15</cp:revision>
  <cp:lastPrinted>2025-05-26T11:31:00Z</cp:lastPrinted>
  <dcterms:created xsi:type="dcterms:W3CDTF">2025-02-01T20:10:00Z</dcterms:created>
  <dcterms:modified xsi:type="dcterms:W3CDTF">2025-05-26T11:31:00Z</dcterms:modified>
</cp:coreProperties>
</file>