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ED595" w14:textId="00597C0F" w:rsidR="00FB4423" w:rsidRPr="00F204DA" w:rsidRDefault="00FB4423" w:rsidP="00FB4423">
      <w:pPr>
        <w:pStyle w:val="Nadpis1"/>
      </w:pPr>
      <w:bookmarkStart w:id="0" w:name="_Toc137233031"/>
      <w:bookmarkStart w:id="1" w:name="_Toc176767107"/>
      <w:bookmarkStart w:id="2" w:name="_Toc161914427"/>
      <w:bookmarkStart w:id="3" w:name="_Toc185241004"/>
      <w:r>
        <w:t>4</w:t>
      </w:r>
      <w:bookmarkStart w:id="4" w:name="_Toc19090679"/>
      <w:bookmarkStart w:id="5" w:name="_Toc74643856"/>
      <w:bookmarkStart w:id="6" w:name="_Toc42852411"/>
      <w:bookmarkStart w:id="7" w:name="_Toc74643857"/>
      <w:bookmarkEnd w:id="4"/>
      <w:r>
        <w:t>. Vnější vztahy</w:t>
      </w:r>
      <w:bookmarkEnd w:id="3"/>
    </w:p>
    <w:tbl>
      <w:tblPr>
        <w:tblW w:w="9677" w:type="dxa"/>
        <w:tblInd w:w="-15" w:type="dxa"/>
        <w:tblLayout w:type="fixed"/>
        <w:tblCellMar>
          <w:left w:w="0" w:type="dxa"/>
          <w:right w:w="0" w:type="dxa"/>
        </w:tblCellMar>
        <w:tblLook w:val="00A0" w:firstRow="1" w:lastRow="0" w:firstColumn="1" w:lastColumn="0" w:noHBand="0" w:noVBand="0"/>
      </w:tblPr>
      <w:tblGrid>
        <w:gridCol w:w="1748"/>
        <w:gridCol w:w="252"/>
        <w:gridCol w:w="2811"/>
        <w:gridCol w:w="57"/>
        <w:gridCol w:w="4809"/>
      </w:tblGrid>
      <w:tr w:rsidR="00FB4423" w14:paraId="363C85A2" w14:textId="77777777" w:rsidTr="00775F26">
        <w:trPr>
          <w:trHeight w:val="145"/>
        </w:trPr>
        <w:tc>
          <w:tcPr>
            <w:tcW w:w="1748" w:type="dxa"/>
            <w:hideMark/>
          </w:tcPr>
          <w:p w14:paraId="47D48EAB" w14:textId="77777777" w:rsidR="00FB4423" w:rsidRDefault="00FB4423" w:rsidP="00775F26">
            <w:pPr>
              <w:pStyle w:val="Marginlie"/>
              <w:rPr>
                <w:lang w:eastAsia="en-US"/>
              </w:rPr>
            </w:pPr>
            <w:r>
              <w:rPr>
                <w:lang w:eastAsia="en-US"/>
              </w:rPr>
              <w:t xml:space="preserve">Vývoz zboží ve </w:t>
            </w:r>
            <w:r>
              <w:rPr>
                <w:lang w:eastAsia="en-US"/>
              </w:rPr>
              <w:br/>
              <w:t>3. čtvrtletí mohutně meziročně rostl.</w:t>
            </w:r>
          </w:p>
        </w:tc>
        <w:tc>
          <w:tcPr>
            <w:tcW w:w="252" w:type="dxa"/>
          </w:tcPr>
          <w:p w14:paraId="40721248" w14:textId="77777777" w:rsidR="00FB4423" w:rsidRDefault="00FB4423" w:rsidP="00775F26">
            <w:pPr>
              <w:pStyle w:val="Textpoznpodarou"/>
              <w:jc w:val="both"/>
              <w:rPr>
                <w:spacing w:val="-4"/>
                <w:lang w:eastAsia="en-US"/>
              </w:rPr>
            </w:pPr>
          </w:p>
        </w:tc>
        <w:tc>
          <w:tcPr>
            <w:tcW w:w="7677" w:type="dxa"/>
            <w:gridSpan w:val="3"/>
            <w:hideMark/>
          </w:tcPr>
          <w:p w14:paraId="73343E07" w14:textId="2AEC4DED" w:rsidR="00FB4423" w:rsidRDefault="00FB4423" w:rsidP="003E62A5">
            <w:pPr>
              <w:spacing w:after="180"/>
              <w:rPr>
                <w:spacing w:val="-4"/>
                <w:lang w:eastAsia="en-US"/>
              </w:rPr>
            </w:pPr>
            <w:r>
              <w:rPr>
                <w:spacing w:val="-4"/>
                <w:lang w:eastAsia="en-US"/>
              </w:rPr>
              <w:t>Celková hodnota vývozu zboží</w:t>
            </w:r>
            <w:r>
              <w:rPr>
                <w:rStyle w:val="Znakapoznpodarou"/>
                <w:spacing w:val="-4"/>
                <w:lang w:eastAsia="en-US"/>
              </w:rPr>
              <w:footnoteReference w:id="1"/>
            </w:r>
            <w:r>
              <w:rPr>
                <w:spacing w:val="-4"/>
                <w:lang w:eastAsia="en-US"/>
              </w:rPr>
              <w:t xml:space="preserve"> v 1. až 3. čtvrtletí dosáhla 3 471,8 mld. korun a meziročně tak byla vyšší o 162,3 mld. (4,9 %). Výraznou většinu z tohoto nárůstu lze přičíst vývoji ve 3. čtvrtletí, kdy export zboží meziročně vzrostl o 108,2 mld. korun (10,6 %) a dosáhl celkem 1 128,2 mld. Na vývoji ve 3. čtvrtletí 2024 se projevila slabá základna předchozího roku a za částí mohutného růstu hodnoty exportu stál i růst cen</w:t>
            </w:r>
            <w:r>
              <w:rPr>
                <w:rStyle w:val="Znakapoznpodarou"/>
                <w:spacing w:val="-4"/>
                <w:lang w:eastAsia="en-US"/>
              </w:rPr>
              <w:footnoteReference w:id="2"/>
            </w:r>
            <w:r>
              <w:rPr>
                <w:spacing w:val="-4"/>
                <w:lang w:eastAsia="en-US"/>
              </w:rPr>
              <w:t>. Podle sezónně očištěných údajů se hodnota vývozu zboží ve 3. čtvrtletí mezičtvrtletně zvýšila o 0,5 % a nominální přírůstek se tak nezměnil ve srovnání s předchozím kvartálem.</w:t>
            </w:r>
          </w:p>
        </w:tc>
      </w:tr>
      <w:tr w:rsidR="00FB4423" w14:paraId="5E3FBC21" w14:textId="77777777" w:rsidTr="00775F26">
        <w:trPr>
          <w:trHeight w:val="150"/>
        </w:trPr>
        <w:tc>
          <w:tcPr>
            <w:tcW w:w="1748" w:type="dxa"/>
            <w:vMerge w:val="restart"/>
          </w:tcPr>
          <w:p w14:paraId="4ADF71B1" w14:textId="77777777" w:rsidR="00FB4423" w:rsidRDefault="00FB4423" w:rsidP="00775F26">
            <w:pPr>
              <w:pStyle w:val="Marginlie"/>
              <w:rPr>
                <w:lang w:eastAsia="en-US"/>
              </w:rPr>
            </w:pPr>
          </w:p>
        </w:tc>
        <w:tc>
          <w:tcPr>
            <w:tcW w:w="252" w:type="dxa"/>
            <w:vMerge w:val="restart"/>
          </w:tcPr>
          <w:p w14:paraId="791964F8" w14:textId="77777777" w:rsidR="00FB4423" w:rsidRDefault="00FB4423" w:rsidP="00775F26">
            <w:pPr>
              <w:pStyle w:val="Textpoznpodarou"/>
              <w:jc w:val="both"/>
              <w:rPr>
                <w:spacing w:val="-4"/>
                <w:lang w:eastAsia="en-US"/>
              </w:rPr>
            </w:pPr>
          </w:p>
        </w:tc>
        <w:tc>
          <w:tcPr>
            <w:tcW w:w="7677" w:type="dxa"/>
            <w:gridSpan w:val="3"/>
          </w:tcPr>
          <w:p w14:paraId="5E437DD8" w14:textId="77777777" w:rsidR="00FB4423" w:rsidRDefault="00FB4423" w:rsidP="00775F26">
            <w:pPr>
              <w:spacing w:after="0"/>
              <w:rPr>
                <w:spacing w:val="-4"/>
                <w:lang w:eastAsia="en-US"/>
              </w:rPr>
            </w:pPr>
            <w:r>
              <w:rPr>
                <w:rFonts w:cs="Arial"/>
                <w:b/>
                <w:bCs/>
                <w:color w:val="000000"/>
                <w:szCs w:val="20"/>
                <w:lang w:eastAsia="en-US"/>
              </w:rPr>
              <w:t xml:space="preserve">Graf č. 9 Vývoz a dovoz zboží </w:t>
            </w:r>
            <w:r>
              <w:rPr>
                <w:rFonts w:cs="Arial"/>
                <w:bCs/>
                <w:color w:val="000000"/>
                <w:szCs w:val="20"/>
                <w:lang w:eastAsia="en-US"/>
              </w:rPr>
              <w:t>(meziročně v %)</w:t>
            </w:r>
            <w:r>
              <w:rPr>
                <w:rFonts w:cs="Arial"/>
                <w:b/>
                <w:bCs/>
                <w:color w:val="000000"/>
                <w:szCs w:val="20"/>
                <w:lang w:eastAsia="en-US"/>
              </w:rPr>
              <w:t xml:space="preserve"> a bilance zahraničního obchodu se zbožím </w:t>
            </w:r>
            <w:r>
              <w:rPr>
                <w:rFonts w:cs="Arial"/>
                <w:bCs/>
                <w:color w:val="000000"/>
                <w:szCs w:val="20"/>
                <w:lang w:eastAsia="en-US"/>
              </w:rPr>
              <w:t>(v mld. korun, pravá osa)</w:t>
            </w:r>
            <w:r>
              <w:rPr>
                <w:rFonts w:cs="Arial"/>
                <w:b/>
                <w:bCs/>
                <w:color w:val="000000"/>
                <w:szCs w:val="20"/>
                <w:lang w:eastAsia="en-US"/>
              </w:rPr>
              <w:t xml:space="preserve"> </w:t>
            </w:r>
          </w:p>
        </w:tc>
      </w:tr>
      <w:tr w:rsidR="00FB4423" w14:paraId="2A7AF772" w14:textId="77777777" w:rsidTr="00775F26">
        <w:tblPrEx>
          <w:tblCellMar>
            <w:left w:w="70" w:type="dxa"/>
            <w:right w:w="70" w:type="dxa"/>
          </w:tblCellMar>
        </w:tblPrEx>
        <w:trPr>
          <w:trHeight w:val="150"/>
        </w:trPr>
        <w:tc>
          <w:tcPr>
            <w:tcW w:w="1748" w:type="dxa"/>
            <w:vMerge/>
          </w:tcPr>
          <w:p w14:paraId="4E213712" w14:textId="77777777" w:rsidR="00FB4423" w:rsidRDefault="00FB4423" w:rsidP="00775F26">
            <w:pPr>
              <w:pStyle w:val="Marginlie"/>
              <w:rPr>
                <w:lang w:eastAsia="en-US"/>
              </w:rPr>
            </w:pPr>
          </w:p>
        </w:tc>
        <w:tc>
          <w:tcPr>
            <w:tcW w:w="252" w:type="dxa"/>
            <w:vMerge/>
          </w:tcPr>
          <w:p w14:paraId="6B4A9BC2" w14:textId="77777777" w:rsidR="00FB4423" w:rsidRDefault="00FB4423" w:rsidP="00775F26">
            <w:pPr>
              <w:pStyle w:val="Textpoznpodarou"/>
              <w:jc w:val="both"/>
              <w:rPr>
                <w:spacing w:val="-4"/>
                <w:lang w:eastAsia="en-US"/>
              </w:rPr>
            </w:pPr>
          </w:p>
        </w:tc>
        <w:tc>
          <w:tcPr>
            <w:tcW w:w="7677" w:type="dxa"/>
            <w:gridSpan w:val="3"/>
          </w:tcPr>
          <w:p w14:paraId="284642BC" w14:textId="77777777" w:rsidR="00FB4423" w:rsidRDefault="00FB4423" w:rsidP="00775F26">
            <w:pPr>
              <w:spacing w:after="0"/>
              <w:rPr>
                <w:spacing w:val="-4"/>
                <w:lang w:eastAsia="en-US"/>
              </w:rPr>
            </w:pPr>
            <w:r>
              <w:rPr>
                <w:noProof/>
              </w:rPr>
              <w:drawing>
                <wp:inline distT="0" distB="0" distL="0" distR="0" wp14:anchorId="60DA5A3F" wp14:editId="33C51827">
                  <wp:extent cx="4752000" cy="3492000"/>
                  <wp:effectExtent l="0" t="0" r="0" b="0"/>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FB4423" w14:paraId="28CBE978" w14:textId="77777777" w:rsidTr="00775F26">
        <w:trPr>
          <w:trHeight w:val="150"/>
        </w:trPr>
        <w:tc>
          <w:tcPr>
            <w:tcW w:w="1748" w:type="dxa"/>
            <w:vMerge/>
          </w:tcPr>
          <w:p w14:paraId="4A739F63" w14:textId="77777777" w:rsidR="00FB4423" w:rsidRDefault="00FB4423" w:rsidP="00775F26">
            <w:pPr>
              <w:pStyle w:val="Marginlie"/>
              <w:rPr>
                <w:lang w:eastAsia="en-US"/>
              </w:rPr>
            </w:pPr>
          </w:p>
        </w:tc>
        <w:tc>
          <w:tcPr>
            <w:tcW w:w="252" w:type="dxa"/>
            <w:vMerge/>
          </w:tcPr>
          <w:p w14:paraId="50B68409" w14:textId="77777777" w:rsidR="00FB4423" w:rsidRDefault="00FB4423" w:rsidP="00775F26">
            <w:pPr>
              <w:pStyle w:val="Textpoznpodarou"/>
              <w:jc w:val="both"/>
              <w:rPr>
                <w:spacing w:val="-4"/>
                <w:lang w:eastAsia="en-US"/>
              </w:rPr>
            </w:pPr>
          </w:p>
        </w:tc>
        <w:tc>
          <w:tcPr>
            <w:tcW w:w="7677" w:type="dxa"/>
            <w:gridSpan w:val="3"/>
          </w:tcPr>
          <w:p w14:paraId="04F43CC4" w14:textId="77777777" w:rsidR="00FB4423" w:rsidRDefault="00FB4423" w:rsidP="00775F26">
            <w:pPr>
              <w:spacing w:after="180"/>
              <w:jc w:val="right"/>
              <w:rPr>
                <w:spacing w:val="-4"/>
                <w:lang w:eastAsia="en-US"/>
              </w:rPr>
            </w:pPr>
            <w:r>
              <w:rPr>
                <w:sz w:val="16"/>
                <w:szCs w:val="16"/>
                <w:lang w:eastAsia="en-US"/>
              </w:rPr>
              <w:t>Zdroj: ČSÚ</w:t>
            </w:r>
          </w:p>
        </w:tc>
      </w:tr>
      <w:tr w:rsidR="00FB4423" w14:paraId="2C9641E4" w14:textId="77777777" w:rsidTr="00775F26">
        <w:trPr>
          <w:trHeight w:val="145"/>
        </w:trPr>
        <w:tc>
          <w:tcPr>
            <w:tcW w:w="1748" w:type="dxa"/>
          </w:tcPr>
          <w:p w14:paraId="31C87843" w14:textId="77777777" w:rsidR="00FB4423" w:rsidRDefault="00FB4423" w:rsidP="00775F26">
            <w:pPr>
              <w:pStyle w:val="Marginlie"/>
              <w:rPr>
                <w:lang w:eastAsia="en-US"/>
              </w:rPr>
            </w:pPr>
            <w:r>
              <w:rPr>
                <w:lang w:eastAsia="en-US"/>
              </w:rPr>
              <w:t>Od začátku roku se výrazně zvyšuje export do Velké Británie.</w:t>
            </w:r>
          </w:p>
        </w:tc>
        <w:tc>
          <w:tcPr>
            <w:tcW w:w="252" w:type="dxa"/>
          </w:tcPr>
          <w:p w14:paraId="72BA69BE" w14:textId="77777777" w:rsidR="00FB4423" w:rsidRDefault="00FB4423" w:rsidP="00775F26">
            <w:pPr>
              <w:pStyle w:val="Textpoznpodarou"/>
              <w:jc w:val="both"/>
              <w:rPr>
                <w:spacing w:val="-4"/>
                <w:lang w:eastAsia="en-US"/>
              </w:rPr>
            </w:pPr>
          </w:p>
        </w:tc>
        <w:tc>
          <w:tcPr>
            <w:tcW w:w="7677" w:type="dxa"/>
            <w:gridSpan w:val="3"/>
          </w:tcPr>
          <w:p w14:paraId="7477A232" w14:textId="77777777" w:rsidR="00FB4423" w:rsidRDefault="00FB4423" w:rsidP="00622275">
            <w:pPr>
              <w:spacing w:after="220"/>
              <w:rPr>
                <w:spacing w:val="-4"/>
                <w:lang w:eastAsia="en-US"/>
              </w:rPr>
            </w:pPr>
            <w:r>
              <w:rPr>
                <w:spacing w:val="-4"/>
                <w:lang w:eastAsia="en-US"/>
              </w:rPr>
              <w:t xml:space="preserve">V kumulaci za 1. až 3. čtvrtletí meziročně rostl zejména vývoz do zemí mimo EU (+105,8 mld. korun, 16,4 %), zatímco vývoz do EU byl vyšší o 56,3 mld. (2,1 %). Nejvíce rostl export do Velké Británie (+33,6 mld. korun, 25,3 %), Polska (+18,8 mld., 8,0 %), Spojených států amerických (+16,0 mld., 19,2 %) a Německa (14,6 mld. 1,4 %). V samotném 3. čtvrtletí se vývoz do EU meziročně zvýšil o 61,2 mld. korun (7,6 %) </w:t>
            </w:r>
            <w:r>
              <w:rPr>
                <w:spacing w:val="-4"/>
                <w:lang w:eastAsia="en-US"/>
              </w:rPr>
              <w:br/>
              <w:t>a přírůstek tak zrychlil. Export do zemí mimo EU byl vyšší o 47,1 mld. (22,4 %). Ve 3. čtvrtletí nejvíce rostl export do Německa a pokračoval výrazný meziroční růst vývozu do Velké Británie</w:t>
            </w:r>
            <w:r>
              <w:rPr>
                <w:rStyle w:val="Znakapoznpodarou"/>
                <w:spacing w:val="-4"/>
                <w:lang w:eastAsia="en-US"/>
              </w:rPr>
              <w:footnoteReference w:id="3"/>
            </w:r>
            <w:r>
              <w:rPr>
                <w:spacing w:val="-4"/>
                <w:lang w:eastAsia="en-US"/>
              </w:rPr>
              <w:t xml:space="preserve"> (viz Tabulka č. 2). Silné bylo také navýšení vývozu do Spojených států amerických i na Slovensko, do Francie, Polska a Itálie. V seznamu zemí, kam ve 3. čtvrtletí ve větší míře směřoval český export, figuruje i několik východních destinací, jako je Singapur, Čína </w:t>
            </w:r>
            <w:r>
              <w:rPr>
                <w:spacing w:val="-4"/>
                <w:lang w:eastAsia="en-US"/>
              </w:rPr>
              <w:br/>
              <w:t xml:space="preserve">a Turecko, a přetrvávalo také oživení vývozu do Japonska. Kromě toho mezi destinace, kam ve 3. čtvrtletí vývoz významněji vzrostl, patřily také Dánsko, Rakousko nebo Nizozemsko. Zaznamenaných meziročních poklesů bylo ve 3. čtvrtletí málo a hranici miliardy korun </w:t>
            </w:r>
            <w:r>
              <w:rPr>
                <w:spacing w:val="-4"/>
                <w:lang w:eastAsia="en-US"/>
              </w:rPr>
              <w:lastRenderedPageBreak/>
              <w:t xml:space="preserve">překročilo jen snížení exportu do Španělska (−1,2 mld. korun, −4,4 %) a Mexika (−1,1 mld., −16,1 %).    </w:t>
            </w:r>
          </w:p>
        </w:tc>
      </w:tr>
      <w:tr w:rsidR="00FB4423" w14:paraId="4E3032F2" w14:textId="77777777" w:rsidTr="00775F26">
        <w:trPr>
          <w:trHeight w:val="145"/>
        </w:trPr>
        <w:tc>
          <w:tcPr>
            <w:tcW w:w="1748" w:type="dxa"/>
          </w:tcPr>
          <w:p w14:paraId="1B6A86B2" w14:textId="77777777" w:rsidR="00FB4423" w:rsidRDefault="00FB4423" w:rsidP="00775F26">
            <w:pPr>
              <w:pStyle w:val="Marginlie"/>
              <w:rPr>
                <w:lang w:eastAsia="en-US"/>
              </w:rPr>
            </w:pPr>
            <w:r>
              <w:rPr>
                <w:lang w:eastAsia="en-US"/>
              </w:rPr>
              <w:lastRenderedPageBreak/>
              <w:t>Motorová vozidla stojí v popředí růstu exportu.</w:t>
            </w:r>
          </w:p>
        </w:tc>
        <w:tc>
          <w:tcPr>
            <w:tcW w:w="252" w:type="dxa"/>
          </w:tcPr>
          <w:p w14:paraId="60BE1D59" w14:textId="77777777" w:rsidR="00FB4423" w:rsidRDefault="00FB4423" w:rsidP="00775F26">
            <w:pPr>
              <w:pStyle w:val="Textpoznpodarou"/>
              <w:jc w:val="both"/>
              <w:rPr>
                <w:spacing w:val="-4"/>
                <w:lang w:eastAsia="en-US"/>
              </w:rPr>
            </w:pPr>
          </w:p>
        </w:tc>
        <w:tc>
          <w:tcPr>
            <w:tcW w:w="7677" w:type="dxa"/>
            <w:gridSpan w:val="3"/>
          </w:tcPr>
          <w:p w14:paraId="7878D27E" w14:textId="77777777" w:rsidR="00FB4423" w:rsidRDefault="00FB4423" w:rsidP="00775F26">
            <w:pPr>
              <w:spacing w:after="180"/>
              <w:rPr>
                <w:spacing w:val="-4"/>
                <w:lang w:eastAsia="en-US"/>
              </w:rPr>
            </w:pPr>
            <w:r>
              <w:rPr>
                <w:spacing w:val="-4"/>
                <w:lang w:eastAsia="en-US"/>
              </w:rPr>
              <w:t>V kumulaci od začátku roku nejvíce vzrostl export motorových vozidel a jejich dílů (+73,0 mld. korun, 8,1 %), počítačů, elektronických a optických přístrojů a zařízení (+42,4 mld., 15,8 %), potravinářských výrobků (+15,8 mld., 12,9 %), pryžových a plastových výrobků (+12,0 mld., 7,4 %) a chemických látek a přípravků (+11,3 mld., 7,4 %). Významné poklesy byly zaznamenány u vývozu strojů a zařízení (−10,4 mld. korun, −2,6 %) a elektřiny, plynu, páry a klimatizovaného vzduchu (−10,3 mld., −26,4 %). Také v samotném 3. čtvrtletí nejvíce meziročně rostl vývoz motorových vozidel a počítačů, elektronických a optických přístrojů a zařízení (viz Tabulka č. 1). Další významné přírůstky byly zaznamenány u elektrických zařízení, potravinářských výrobků, pryžových a plastových výrobků, chemických látek a přípravků nebo kovodělných výrobků. Meziroční pokles byl ve 3. čtvrtletí zaznamenán u menšiny výrobků, významněji se snižoval jen export koksu a rafinovaných ropných výrobků.</w:t>
            </w:r>
          </w:p>
        </w:tc>
      </w:tr>
      <w:tr w:rsidR="00FB4423" w14:paraId="4B5291C0" w14:textId="77777777" w:rsidTr="00775F26">
        <w:trPr>
          <w:trHeight w:val="170"/>
        </w:trPr>
        <w:tc>
          <w:tcPr>
            <w:tcW w:w="4811" w:type="dxa"/>
            <w:gridSpan w:val="3"/>
            <w:hideMark/>
          </w:tcPr>
          <w:p w14:paraId="2A1F3B77" w14:textId="77777777" w:rsidR="00FB4423" w:rsidRDefault="00FB4423" w:rsidP="00775F26">
            <w:pPr>
              <w:spacing w:after="0"/>
              <w:rPr>
                <w:rFonts w:cs="Arial"/>
                <w:b/>
                <w:bCs/>
                <w:color w:val="000000"/>
                <w:sz w:val="18"/>
                <w:szCs w:val="18"/>
                <w:lang w:eastAsia="en-US"/>
              </w:rPr>
            </w:pPr>
            <w:r>
              <w:rPr>
                <w:rFonts w:cs="Arial"/>
                <w:b/>
                <w:bCs/>
                <w:color w:val="000000"/>
                <w:sz w:val="18"/>
                <w:szCs w:val="18"/>
                <w:lang w:eastAsia="en-US"/>
              </w:rPr>
              <w:t xml:space="preserve">Tabulka č. 1 Oddíly klasifikace CPA s největším </w:t>
            </w:r>
          </w:p>
          <w:p w14:paraId="0B391E00" w14:textId="77777777" w:rsidR="00FB4423" w:rsidRDefault="00FB4423" w:rsidP="00775F26">
            <w:pPr>
              <w:spacing w:after="0"/>
              <w:jc w:val="left"/>
              <w:rPr>
                <w:spacing w:val="-4"/>
                <w:lang w:eastAsia="en-US"/>
              </w:rPr>
            </w:pPr>
            <w:r>
              <w:rPr>
                <w:rFonts w:cs="Arial"/>
                <w:b/>
                <w:bCs/>
                <w:color w:val="000000"/>
                <w:sz w:val="18"/>
                <w:szCs w:val="18"/>
                <w:lang w:eastAsia="en-US"/>
              </w:rPr>
              <w:t xml:space="preserve">vlivem na vývoj vývozu zboží ve 3. čtvrtletí 2024 </w:t>
            </w:r>
            <w:r>
              <w:rPr>
                <w:rFonts w:cs="Arial"/>
                <w:bCs/>
                <w:color w:val="000000"/>
                <w:sz w:val="18"/>
                <w:szCs w:val="18"/>
                <w:lang w:eastAsia="en-US"/>
              </w:rPr>
              <w:t>(meziročně)</w:t>
            </w:r>
          </w:p>
        </w:tc>
        <w:tc>
          <w:tcPr>
            <w:tcW w:w="57" w:type="dxa"/>
          </w:tcPr>
          <w:p w14:paraId="29408A58" w14:textId="77777777" w:rsidR="00FB4423" w:rsidRDefault="00FB4423" w:rsidP="00775F26">
            <w:pPr>
              <w:spacing w:after="0"/>
              <w:rPr>
                <w:spacing w:val="-4"/>
                <w:lang w:eastAsia="en-US"/>
              </w:rPr>
            </w:pPr>
          </w:p>
        </w:tc>
        <w:tc>
          <w:tcPr>
            <w:tcW w:w="4809" w:type="dxa"/>
            <w:hideMark/>
          </w:tcPr>
          <w:p w14:paraId="2C08091E" w14:textId="77777777" w:rsidR="00FB4423" w:rsidRDefault="00FB4423" w:rsidP="00775F26">
            <w:pPr>
              <w:spacing w:after="0"/>
              <w:jc w:val="left"/>
              <w:rPr>
                <w:spacing w:val="-4"/>
                <w:sz w:val="18"/>
                <w:szCs w:val="18"/>
                <w:lang w:eastAsia="en-US"/>
              </w:rPr>
            </w:pPr>
            <w:r>
              <w:rPr>
                <w:rFonts w:cs="Arial"/>
                <w:b/>
                <w:bCs/>
                <w:color w:val="000000"/>
                <w:sz w:val="18"/>
                <w:szCs w:val="18"/>
                <w:lang w:eastAsia="en-US"/>
              </w:rPr>
              <w:t xml:space="preserve">Tabulka č. 2 Země s největším vlivem na vývoj vývozu zboží ve 3. čtvrtletí 2024 </w:t>
            </w:r>
            <w:r>
              <w:rPr>
                <w:rFonts w:cs="Arial"/>
                <w:bCs/>
                <w:color w:val="000000"/>
                <w:sz w:val="18"/>
                <w:szCs w:val="18"/>
                <w:lang w:eastAsia="en-US"/>
              </w:rPr>
              <w:t>(meziročně)</w:t>
            </w:r>
          </w:p>
        </w:tc>
      </w:tr>
      <w:tr w:rsidR="00FB4423" w14:paraId="52E1E60C" w14:textId="77777777" w:rsidTr="00775F26">
        <w:trPr>
          <w:trHeight w:val="170"/>
        </w:trPr>
        <w:tc>
          <w:tcPr>
            <w:tcW w:w="4811" w:type="dxa"/>
            <w:gridSpan w:val="3"/>
            <w:hideMark/>
          </w:tcPr>
          <w:tbl>
            <w:tblPr>
              <w:tblW w:w="4817" w:type="dxa"/>
              <w:tblLayout w:type="fixed"/>
              <w:tblCellMar>
                <w:left w:w="70" w:type="dxa"/>
                <w:right w:w="70" w:type="dxa"/>
              </w:tblCellMar>
              <w:tblLook w:val="04A0" w:firstRow="1" w:lastRow="0" w:firstColumn="1" w:lastColumn="0" w:noHBand="0" w:noVBand="1"/>
            </w:tblPr>
            <w:tblGrid>
              <w:gridCol w:w="3417"/>
              <w:gridCol w:w="700"/>
              <w:gridCol w:w="700"/>
            </w:tblGrid>
            <w:tr w:rsidR="00FB4423" w:rsidRPr="00F17A98" w14:paraId="05D785F7" w14:textId="77777777" w:rsidTr="00775F26">
              <w:trPr>
                <w:trHeight w:val="255"/>
              </w:trPr>
              <w:tc>
                <w:tcPr>
                  <w:tcW w:w="3417" w:type="dxa"/>
                  <w:tcBorders>
                    <w:top w:val="nil"/>
                    <w:left w:val="nil"/>
                    <w:bottom w:val="nil"/>
                    <w:right w:val="nil"/>
                  </w:tcBorders>
                  <w:shd w:val="clear" w:color="auto" w:fill="auto"/>
                  <w:noWrap/>
                  <w:vAlign w:val="bottom"/>
                  <w:hideMark/>
                </w:tcPr>
                <w:p w14:paraId="39AE4206" w14:textId="77777777" w:rsidR="00FB4423" w:rsidRPr="00F17A98" w:rsidRDefault="00FB4423" w:rsidP="00775F26">
                  <w:pPr>
                    <w:spacing w:after="0" w:line="240" w:lineRule="auto"/>
                    <w:jc w:val="left"/>
                    <w:rPr>
                      <w:rFonts w:ascii="Times New Roman" w:hAnsi="Times New Roman"/>
                      <w:sz w:val="24"/>
                      <w:szCs w:val="20"/>
                    </w:rPr>
                  </w:pPr>
                </w:p>
              </w:tc>
              <w:tc>
                <w:tcPr>
                  <w:tcW w:w="700" w:type="dxa"/>
                  <w:tcBorders>
                    <w:top w:val="nil"/>
                    <w:left w:val="nil"/>
                    <w:bottom w:val="nil"/>
                    <w:right w:val="nil"/>
                  </w:tcBorders>
                  <w:shd w:val="clear" w:color="auto" w:fill="auto"/>
                  <w:noWrap/>
                  <w:vAlign w:val="bottom"/>
                  <w:hideMark/>
                </w:tcPr>
                <w:p w14:paraId="6D27C0C3"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mld. Kč</w:t>
                  </w:r>
                </w:p>
              </w:tc>
              <w:tc>
                <w:tcPr>
                  <w:tcW w:w="700" w:type="dxa"/>
                  <w:tcBorders>
                    <w:top w:val="nil"/>
                    <w:left w:val="nil"/>
                    <w:bottom w:val="nil"/>
                    <w:right w:val="nil"/>
                  </w:tcBorders>
                  <w:shd w:val="clear" w:color="auto" w:fill="auto"/>
                  <w:noWrap/>
                  <w:vAlign w:val="bottom"/>
                  <w:hideMark/>
                </w:tcPr>
                <w:p w14:paraId="291AD7DA"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w:t>
                  </w:r>
                </w:p>
              </w:tc>
            </w:tr>
            <w:tr w:rsidR="00FB4423" w:rsidRPr="00F17A98" w14:paraId="01BCD0A4" w14:textId="77777777" w:rsidTr="00775F26">
              <w:trPr>
                <w:trHeight w:val="255"/>
              </w:trPr>
              <w:tc>
                <w:tcPr>
                  <w:tcW w:w="3417" w:type="dxa"/>
                  <w:tcBorders>
                    <w:top w:val="single" w:sz="4" w:space="0" w:color="auto"/>
                    <w:left w:val="nil"/>
                    <w:bottom w:val="nil"/>
                    <w:right w:val="nil"/>
                  </w:tcBorders>
                  <w:shd w:val="clear" w:color="auto" w:fill="auto"/>
                  <w:noWrap/>
                  <w:vAlign w:val="bottom"/>
                  <w:hideMark/>
                </w:tcPr>
                <w:p w14:paraId="383AF7F3"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Motorová vozidla (kromě motocyklů) a díly</w:t>
                  </w:r>
                </w:p>
              </w:tc>
              <w:tc>
                <w:tcPr>
                  <w:tcW w:w="700" w:type="dxa"/>
                  <w:tcBorders>
                    <w:top w:val="single" w:sz="4" w:space="0" w:color="auto"/>
                    <w:left w:val="nil"/>
                    <w:bottom w:val="nil"/>
                    <w:right w:val="nil"/>
                  </w:tcBorders>
                  <w:shd w:val="clear" w:color="auto" w:fill="auto"/>
                  <w:noWrap/>
                  <w:vAlign w:val="bottom"/>
                  <w:hideMark/>
                </w:tcPr>
                <w:p w14:paraId="4946E6FD"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+33,7</w:t>
                  </w:r>
                </w:p>
              </w:tc>
              <w:tc>
                <w:tcPr>
                  <w:tcW w:w="700" w:type="dxa"/>
                  <w:tcBorders>
                    <w:top w:val="single" w:sz="4" w:space="0" w:color="auto"/>
                    <w:left w:val="nil"/>
                    <w:bottom w:val="nil"/>
                    <w:right w:val="nil"/>
                  </w:tcBorders>
                  <w:shd w:val="clear" w:color="auto" w:fill="auto"/>
                  <w:noWrap/>
                  <w:vAlign w:val="bottom"/>
                  <w:hideMark/>
                </w:tcPr>
                <w:p w14:paraId="40185D37"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+12,5</w:t>
                  </w:r>
                </w:p>
              </w:tc>
            </w:tr>
            <w:tr w:rsidR="00FB4423" w:rsidRPr="00F17A98" w14:paraId="28F918D0" w14:textId="77777777" w:rsidTr="00775F26">
              <w:trPr>
                <w:trHeight w:val="255"/>
              </w:trPr>
              <w:tc>
                <w:tcPr>
                  <w:tcW w:w="3417" w:type="dxa"/>
                  <w:tcBorders>
                    <w:top w:val="nil"/>
                    <w:left w:val="nil"/>
                    <w:bottom w:val="nil"/>
                    <w:right w:val="nil"/>
                  </w:tcBorders>
                  <w:shd w:val="clear" w:color="auto" w:fill="auto"/>
                  <w:noWrap/>
                  <w:vAlign w:val="bottom"/>
                  <w:hideMark/>
                </w:tcPr>
                <w:p w14:paraId="439CC5E5" w14:textId="77777777" w:rsidR="00FB4423" w:rsidRPr="00F17A98" w:rsidRDefault="00FB4423" w:rsidP="00775F26">
                  <w:pPr>
                    <w:spacing w:after="0" w:line="240" w:lineRule="auto"/>
                    <w:jc w:val="left"/>
                    <w:rPr>
                      <w:rFonts w:cs="Arial"/>
                      <w:color w:val="000000"/>
                      <w:sz w:val="16"/>
                      <w:szCs w:val="16"/>
                    </w:rPr>
                  </w:pPr>
                  <w:r>
                    <w:rPr>
                      <w:rFonts w:cs="Arial"/>
                      <w:color w:val="000000"/>
                      <w:sz w:val="16"/>
                      <w:szCs w:val="16"/>
                    </w:rPr>
                    <w:t>Počítače, elektron. a opt.</w:t>
                  </w:r>
                  <w:r w:rsidRPr="00F17A98">
                    <w:rPr>
                      <w:rFonts w:cs="Arial"/>
                      <w:color w:val="000000"/>
                      <w:sz w:val="16"/>
                      <w:szCs w:val="16"/>
                    </w:rPr>
                    <w:t xml:space="preserve"> přístroje a zařízení</w:t>
                  </w:r>
                </w:p>
              </w:tc>
              <w:tc>
                <w:tcPr>
                  <w:tcW w:w="700" w:type="dxa"/>
                  <w:tcBorders>
                    <w:top w:val="nil"/>
                    <w:left w:val="nil"/>
                    <w:bottom w:val="nil"/>
                    <w:right w:val="nil"/>
                  </w:tcBorders>
                  <w:shd w:val="clear" w:color="auto" w:fill="auto"/>
                  <w:noWrap/>
                  <w:vAlign w:val="bottom"/>
                  <w:hideMark/>
                </w:tcPr>
                <w:p w14:paraId="7060C360"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+25,6</w:t>
                  </w:r>
                </w:p>
              </w:tc>
              <w:tc>
                <w:tcPr>
                  <w:tcW w:w="700" w:type="dxa"/>
                  <w:tcBorders>
                    <w:top w:val="nil"/>
                    <w:left w:val="nil"/>
                    <w:bottom w:val="nil"/>
                    <w:right w:val="nil"/>
                  </w:tcBorders>
                  <w:shd w:val="clear" w:color="auto" w:fill="auto"/>
                  <w:noWrap/>
                  <w:vAlign w:val="bottom"/>
                  <w:hideMark/>
                </w:tcPr>
                <w:p w14:paraId="4B341AE8"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+29,4</w:t>
                  </w:r>
                </w:p>
              </w:tc>
            </w:tr>
            <w:tr w:rsidR="00FB4423" w:rsidRPr="00F17A98" w14:paraId="456B67C1" w14:textId="77777777" w:rsidTr="00775F26">
              <w:trPr>
                <w:trHeight w:val="255"/>
              </w:trPr>
              <w:tc>
                <w:tcPr>
                  <w:tcW w:w="3417" w:type="dxa"/>
                  <w:tcBorders>
                    <w:top w:val="nil"/>
                    <w:left w:val="nil"/>
                    <w:bottom w:val="nil"/>
                    <w:right w:val="nil"/>
                  </w:tcBorders>
                  <w:shd w:val="clear" w:color="auto" w:fill="auto"/>
                  <w:noWrap/>
                  <w:vAlign w:val="bottom"/>
                  <w:hideMark/>
                </w:tcPr>
                <w:p w14:paraId="7739B7EE"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Elektrická zařízení</w:t>
                  </w:r>
                </w:p>
              </w:tc>
              <w:tc>
                <w:tcPr>
                  <w:tcW w:w="700" w:type="dxa"/>
                  <w:tcBorders>
                    <w:top w:val="nil"/>
                    <w:left w:val="nil"/>
                    <w:bottom w:val="nil"/>
                    <w:right w:val="nil"/>
                  </w:tcBorders>
                  <w:shd w:val="clear" w:color="auto" w:fill="auto"/>
                  <w:noWrap/>
                  <w:vAlign w:val="bottom"/>
                  <w:hideMark/>
                </w:tcPr>
                <w:p w14:paraId="7C521387"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+11,6</w:t>
                  </w:r>
                </w:p>
              </w:tc>
              <w:tc>
                <w:tcPr>
                  <w:tcW w:w="700" w:type="dxa"/>
                  <w:tcBorders>
                    <w:top w:val="nil"/>
                    <w:left w:val="nil"/>
                    <w:bottom w:val="nil"/>
                    <w:right w:val="nil"/>
                  </w:tcBorders>
                  <w:shd w:val="clear" w:color="auto" w:fill="auto"/>
                  <w:noWrap/>
                  <w:vAlign w:val="bottom"/>
                  <w:hideMark/>
                </w:tcPr>
                <w:p w14:paraId="73C41BCC"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+11,0</w:t>
                  </w:r>
                </w:p>
              </w:tc>
            </w:tr>
            <w:tr w:rsidR="00FB4423" w:rsidRPr="00F17A98" w14:paraId="107A9AF3" w14:textId="77777777" w:rsidTr="00775F26">
              <w:trPr>
                <w:trHeight w:val="255"/>
              </w:trPr>
              <w:tc>
                <w:tcPr>
                  <w:tcW w:w="3417" w:type="dxa"/>
                  <w:tcBorders>
                    <w:top w:val="nil"/>
                    <w:left w:val="nil"/>
                    <w:bottom w:val="nil"/>
                    <w:right w:val="nil"/>
                  </w:tcBorders>
                  <w:shd w:val="clear" w:color="auto" w:fill="auto"/>
                  <w:noWrap/>
                  <w:vAlign w:val="bottom"/>
                  <w:hideMark/>
                </w:tcPr>
                <w:p w14:paraId="447840B0"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Potravinářské výrobky</w:t>
                  </w:r>
                </w:p>
              </w:tc>
              <w:tc>
                <w:tcPr>
                  <w:tcW w:w="700" w:type="dxa"/>
                  <w:tcBorders>
                    <w:top w:val="nil"/>
                    <w:left w:val="nil"/>
                    <w:bottom w:val="nil"/>
                    <w:right w:val="nil"/>
                  </w:tcBorders>
                  <w:shd w:val="clear" w:color="auto" w:fill="auto"/>
                  <w:noWrap/>
                  <w:vAlign w:val="bottom"/>
                  <w:hideMark/>
                </w:tcPr>
                <w:p w14:paraId="54567727"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+6,7</w:t>
                  </w:r>
                </w:p>
              </w:tc>
              <w:tc>
                <w:tcPr>
                  <w:tcW w:w="700" w:type="dxa"/>
                  <w:tcBorders>
                    <w:top w:val="nil"/>
                    <w:left w:val="nil"/>
                    <w:bottom w:val="nil"/>
                    <w:right w:val="nil"/>
                  </w:tcBorders>
                  <w:shd w:val="clear" w:color="auto" w:fill="auto"/>
                  <w:noWrap/>
                  <w:vAlign w:val="bottom"/>
                  <w:hideMark/>
                </w:tcPr>
                <w:p w14:paraId="1425FD7F"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+16,6</w:t>
                  </w:r>
                </w:p>
              </w:tc>
            </w:tr>
            <w:tr w:rsidR="00FB4423" w:rsidRPr="00F17A98" w14:paraId="2FC35746" w14:textId="77777777" w:rsidTr="00775F26">
              <w:trPr>
                <w:trHeight w:val="255"/>
              </w:trPr>
              <w:tc>
                <w:tcPr>
                  <w:tcW w:w="3417" w:type="dxa"/>
                  <w:tcBorders>
                    <w:top w:val="nil"/>
                    <w:left w:val="nil"/>
                    <w:bottom w:val="nil"/>
                    <w:right w:val="nil"/>
                  </w:tcBorders>
                  <w:shd w:val="clear" w:color="auto" w:fill="auto"/>
                  <w:noWrap/>
                  <w:vAlign w:val="bottom"/>
                  <w:hideMark/>
                </w:tcPr>
                <w:p w14:paraId="4A971D64"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Pryžové a plastové výrobky</w:t>
                  </w:r>
                </w:p>
              </w:tc>
              <w:tc>
                <w:tcPr>
                  <w:tcW w:w="700" w:type="dxa"/>
                  <w:tcBorders>
                    <w:top w:val="nil"/>
                    <w:left w:val="nil"/>
                    <w:bottom w:val="nil"/>
                    <w:right w:val="nil"/>
                  </w:tcBorders>
                  <w:shd w:val="clear" w:color="auto" w:fill="auto"/>
                  <w:noWrap/>
                  <w:vAlign w:val="bottom"/>
                  <w:hideMark/>
                </w:tcPr>
                <w:p w14:paraId="224F5940"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+6,2</w:t>
                  </w:r>
                </w:p>
              </w:tc>
              <w:tc>
                <w:tcPr>
                  <w:tcW w:w="700" w:type="dxa"/>
                  <w:tcBorders>
                    <w:top w:val="nil"/>
                    <w:left w:val="nil"/>
                    <w:bottom w:val="nil"/>
                    <w:right w:val="nil"/>
                  </w:tcBorders>
                  <w:shd w:val="clear" w:color="auto" w:fill="auto"/>
                  <w:noWrap/>
                  <w:vAlign w:val="bottom"/>
                  <w:hideMark/>
                </w:tcPr>
                <w:p w14:paraId="591FB082"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+12,3</w:t>
                  </w:r>
                </w:p>
              </w:tc>
            </w:tr>
            <w:tr w:rsidR="00FB4423" w:rsidRPr="00F17A98" w14:paraId="3CD5F73E" w14:textId="77777777" w:rsidTr="00775F26">
              <w:trPr>
                <w:trHeight w:val="255"/>
              </w:trPr>
              <w:tc>
                <w:tcPr>
                  <w:tcW w:w="3417" w:type="dxa"/>
                  <w:tcBorders>
                    <w:top w:val="nil"/>
                    <w:left w:val="nil"/>
                    <w:bottom w:val="nil"/>
                    <w:right w:val="nil"/>
                  </w:tcBorders>
                  <w:shd w:val="clear" w:color="auto" w:fill="auto"/>
                  <w:noWrap/>
                  <w:vAlign w:val="bottom"/>
                  <w:hideMark/>
                </w:tcPr>
                <w:p w14:paraId="73F7EF6B"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Chemické látky a přípravky</w:t>
                  </w:r>
                </w:p>
              </w:tc>
              <w:tc>
                <w:tcPr>
                  <w:tcW w:w="700" w:type="dxa"/>
                  <w:tcBorders>
                    <w:top w:val="nil"/>
                    <w:left w:val="nil"/>
                    <w:bottom w:val="nil"/>
                    <w:right w:val="nil"/>
                  </w:tcBorders>
                  <w:shd w:val="clear" w:color="auto" w:fill="auto"/>
                  <w:noWrap/>
                  <w:vAlign w:val="bottom"/>
                  <w:hideMark/>
                </w:tcPr>
                <w:p w14:paraId="09A8D7A8"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+5,2</w:t>
                  </w:r>
                </w:p>
              </w:tc>
              <w:tc>
                <w:tcPr>
                  <w:tcW w:w="700" w:type="dxa"/>
                  <w:tcBorders>
                    <w:top w:val="nil"/>
                    <w:left w:val="nil"/>
                    <w:bottom w:val="nil"/>
                    <w:right w:val="nil"/>
                  </w:tcBorders>
                  <w:shd w:val="clear" w:color="auto" w:fill="auto"/>
                  <w:noWrap/>
                  <w:vAlign w:val="bottom"/>
                  <w:hideMark/>
                </w:tcPr>
                <w:p w14:paraId="2D65FE35"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+11,0</w:t>
                  </w:r>
                </w:p>
              </w:tc>
            </w:tr>
            <w:tr w:rsidR="00FB4423" w:rsidRPr="00F17A98" w14:paraId="6C36ACFC" w14:textId="77777777" w:rsidTr="00775F26">
              <w:trPr>
                <w:trHeight w:val="255"/>
              </w:trPr>
              <w:tc>
                <w:tcPr>
                  <w:tcW w:w="3417" w:type="dxa"/>
                  <w:tcBorders>
                    <w:top w:val="nil"/>
                    <w:left w:val="nil"/>
                    <w:bottom w:val="nil"/>
                    <w:right w:val="nil"/>
                  </w:tcBorders>
                  <w:shd w:val="clear" w:color="auto" w:fill="auto"/>
                  <w:noWrap/>
                  <w:vAlign w:val="bottom"/>
                  <w:hideMark/>
                </w:tcPr>
                <w:p w14:paraId="777AE401"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Kovodělné výrobky kromě strojů a zařízení</w:t>
                  </w:r>
                </w:p>
              </w:tc>
              <w:tc>
                <w:tcPr>
                  <w:tcW w:w="700" w:type="dxa"/>
                  <w:tcBorders>
                    <w:top w:val="nil"/>
                    <w:left w:val="nil"/>
                    <w:bottom w:val="nil"/>
                    <w:right w:val="nil"/>
                  </w:tcBorders>
                  <w:shd w:val="clear" w:color="auto" w:fill="auto"/>
                  <w:noWrap/>
                  <w:vAlign w:val="bottom"/>
                  <w:hideMark/>
                </w:tcPr>
                <w:p w14:paraId="4089FC70"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+4,8</w:t>
                  </w:r>
                </w:p>
              </w:tc>
              <w:tc>
                <w:tcPr>
                  <w:tcW w:w="700" w:type="dxa"/>
                  <w:tcBorders>
                    <w:top w:val="nil"/>
                    <w:left w:val="nil"/>
                    <w:bottom w:val="nil"/>
                    <w:right w:val="nil"/>
                  </w:tcBorders>
                  <w:shd w:val="clear" w:color="auto" w:fill="auto"/>
                  <w:noWrap/>
                  <w:vAlign w:val="bottom"/>
                  <w:hideMark/>
                </w:tcPr>
                <w:p w14:paraId="08A63B1E"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+7,7</w:t>
                  </w:r>
                </w:p>
              </w:tc>
            </w:tr>
            <w:tr w:rsidR="00FB4423" w:rsidRPr="00F17A98" w14:paraId="41847E28" w14:textId="77777777" w:rsidTr="00775F26">
              <w:trPr>
                <w:trHeight w:val="255"/>
              </w:trPr>
              <w:tc>
                <w:tcPr>
                  <w:tcW w:w="3417" w:type="dxa"/>
                  <w:tcBorders>
                    <w:top w:val="nil"/>
                    <w:left w:val="nil"/>
                    <w:bottom w:val="nil"/>
                    <w:right w:val="nil"/>
                  </w:tcBorders>
                  <w:shd w:val="clear" w:color="auto" w:fill="auto"/>
                  <w:noWrap/>
                  <w:vAlign w:val="bottom"/>
                  <w:hideMark/>
                </w:tcPr>
                <w:p w14:paraId="08973D81"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Ostatní výrobky zpracovatelského průmyslu</w:t>
                  </w:r>
                </w:p>
              </w:tc>
              <w:tc>
                <w:tcPr>
                  <w:tcW w:w="700" w:type="dxa"/>
                  <w:tcBorders>
                    <w:top w:val="nil"/>
                    <w:left w:val="nil"/>
                    <w:bottom w:val="nil"/>
                    <w:right w:val="nil"/>
                  </w:tcBorders>
                  <w:shd w:val="clear" w:color="auto" w:fill="auto"/>
                  <w:noWrap/>
                  <w:vAlign w:val="bottom"/>
                  <w:hideMark/>
                </w:tcPr>
                <w:p w14:paraId="2D1F3E61"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+3,2</w:t>
                  </w:r>
                </w:p>
              </w:tc>
              <w:tc>
                <w:tcPr>
                  <w:tcW w:w="700" w:type="dxa"/>
                  <w:tcBorders>
                    <w:top w:val="nil"/>
                    <w:left w:val="nil"/>
                    <w:bottom w:val="nil"/>
                    <w:right w:val="nil"/>
                  </w:tcBorders>
                  <w:shd w:val="clear" w:color="auto" w:fill="auto"/>
                  <w:noWrap/>
                  <w:vAlign w:val="bottom"/>
                  <w:hideMark/>
                </w:tcPr>
                <w:p w14:paraId="22A8D1C7"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+13,9</w:t>
                  </w:r>
                </w:p>
              </w:tc>
            </w:tr>
            <w:tr w:rsidR="00FB4423" w:rsidRPr="00F17A98" w14:paraId="0A43249F" w14:textId="77777777" w:rsidTr="00775F26">
              <w:trPr>
                <w:trHeight w:val="255"/>
              </w:trPr>
              <w:tc>
                <w:tcPr>
                  <w:tcW w:w="3417" w:type="dxa"/>
                  <w:tcBorders>
                    <w:top w:val="nil"/>
                    <w:left w:val="nil"/>
                    <w:bottom w:val="nil"/>
                    <w:right w:val="nil"/>
                  </w:tcBorders>
                  <w:shd w:val="clear" w:color="auto" w:fill="auto"/>
                  <w:noWrap/>
                  <w:vAlign w:val="bottom"/>
                  <w:hideMark/>
                </w:tcPr>
                <w:p w14:paraId="12E8AD95"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Základní farmaceutické výrobky a přípravky</w:t>
                  </w:r>
                </w:p>
              </w:tc>
              <w:tc>
                <w:tcPr>
                  <w:tcW w:w="700" w:type="dxa"/>
                  <w:tcBorders>
                    <w:top w:val="nil"/>
                    <w:left w:val="nil"/>
                    <w:bottom w:val="nil"/>
                    <w:right w:val="nil"/>
                  </w:tcBorders>
                  <w:shd w:val="clear" w:color="auto" w:fill="auto"/>
                  <w:noWrap/>
                  <w:vAlign w:val="bottom"/>
                  <w:hideMark/>
                </w:tcPr>
                <w:p w14:paraId="0357F9EF"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+2,9</w:t>
                  </w:r>
                </w:p>
              </w:tc>
              <w:tc>
                <w:tcPr>
                  <w:tcW w:w="700" w:type="dxa"/>
                  <w:tcBorders>
                    <w:top w:val="nil"/>
                    <w:left w:val="nil"/>
                    <w:bottom w:val="nil"/>
                    <w:right w:val="nil"/>
                  </w:tcBorders>
                  <w:shd w:val="clear" w:color="auto" w:fill="auto"/>
                  <w:noWrap/>
                  <w:vAlign w:val="bottom"/>
                  <w:hideMark/>
                </w:tcPr>
                <w:p w14:paraId="611C0044"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+18,2</w:t>
                  </w:r>
                </w:p>
              </w:tc>
            </w:tr>
            <w:tr w:rsidR="00FB4423" w:rsidRPr="00F17A98" w14:paraId="1BD29B97" w14:textId="77777777" w:rsidTr="00775F26">
              <w:trPr>
                <w:trHeight w:val="255"/>
              </w:trPr>
              <w:tc>
                <w:tcPr>
                  <w:tcW w:w="3417" w:type="dxa"/>
                  <w:tcBorders>
                    <w:top w:val="nil"/>
                    <w:left w:val="nil"/>
                    <w:bottom w:val="nil"/>
                    <w:right w:val="nil"/>
                  </w:tcBorders>
                  <w:shd w:val="clear" w:color="auto" w:fill="auto"/>
                  <w:noWrap/>
                  <w:vAlign w:val="bottom"/>
                  <w:hideMark/>
                </w:tcPr>
                <w:p w14:paraId="4CE09B29"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Sběr, příprava, likvidace a zpracování odpadu</w:t>
                  </w:r>
                </w:p>
              </w:tc>
              <w:tc>
                <w:tcPr>
                  <w:tcW w:w="700" w:type="dxa"/>
                  <w:tcBorders>
                    <w:top w:val="nil"/>
                    <w:left w:val="nil"/>
                    <w:bottom w:val="nil"/>
                    <w:right w:val="nil"/>
                  </w:tcBorders>
                  <w:shd w:val="clear" w:color="auto" w:fill="auto"/>
                  <w:noWrap/>
                  <w:vAlign w:val="bottom"/>
                  <w:hideMark/>
                </w:tcPr>
                <w:p w14:paraId="5FAD64F6"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+2,8</w:t>
                  </w:r>
                </w:p>
              </w:tc>
              <w:tc>
                <w:tcPr>
                  <w:tcW w:w="700" w:type="dxa"/>
                  <w:tcBorders>
                    <w:top w:val="nil"/>
                    <w:left w:val="nil"/>
                    <w:bottom w:val="nil"/>
                    <w:right w:val="nil"/>
                  </w:tcBorders>
                  <w:shd w:val="clear" w:color="auto" w:fill="auto"/>
                  <w:noWrap/>
                  <w:vAlign w:val="bottom"/>
                  <w:hideMark/>
                </w:tcPr>
                <w:p w14:paraId="1A070EE1"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+32,8</w:t>
                  </w:r>
                </w:p>
              </w:tc>
            </w:tr>
            <w:tr w:rsidR="00FB4423" w:rsidRPr="00F17A98" w14:paraId="10B7EF5C" w14:textId="77777777" w:rsidTr="00775F26">
              <w:trPr>
                <w:trHeight w:val="255"/>
              </w:trPr>
              <w:tc>
                <w:tcPr>
                  <w:tcW w:w="3417" w:type="dxa"/>
                  <w:tcBorders>
                    <w:top w:val="nil"/>
                    <w:left w:val="nil"/>
                    <w:bottom w:val="nil"/>
                    <w:right w:val="nil"/>
                  </w:tcBorders>
                  <w:shd w:val="clear" w:color="auto" w:fill="auto"/>
                  <w:noWrap/>
                  <w:vAlign w:val="bottom"/>
                  <w:hideMark/>
                </w:tcPr>
                <w:p w14:paraId="79A7BF20"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Papír a výrobky z papíru</w:t>
                  </w:r>
                </w:p>
              </w:tc>
              <w:tc>
                <w:tcPr>
                  <w:tcW w:w="700" w:type="dxa"/>
                  <w:tcBorders>
                    <w:top w:val="nil"/>
                    <w:left w:val="nil"/>
                    <w:bottom w:val="nil"/>
                    <w:right w:val="nil"/>
                  </w:tcBorders>
                  <w:shd w:val="clear" w:color="auto" w:fill="auto"/>
                  <w:noWrap/>
                  <w:vAlign w:val="bottom"/>
                  <w:hideMark/>
                </w:tcPr>
                <w:p w14:paraId="335C3592"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+1,7</w:t>
                  </w:r>
                </w:p>
              </w:tc>
              <w:tc>
                <w:tcPr>
                  <w:tcW w:w="700" w:type="dxa"/>
                  <w:tcBorders>
                    <w:top w:val="nil"/>
                    <w:left w:val="nil"/>
                    <w:bottom w:val="nil"/>
                    <w:right w:val="nil"/>
                  </w:tcBorders>
                  <w:shd w:val="clear" w:color="auto" w:fill="auto"/>
                  <w:noWrap/>
                  <w:vAlign w:val="bottom"/>
                  <w:hideMark/>
                </w:tcPr>
                <w:p w14:paraId="7380011F"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+9,1</w:t>
                  </w:r>
                </w:p>
              </w:tc>
            </w:tr>
            <w:tr w:rsidR="00FB4423" w:rsidRPr="00F17A98" w14:paraId="67BB6B7F" w14:textId="77777777" w:rsidTr="00775F26">
              <w:trPr>
                <w:trHeight w:val="255"/>
              </w:trPr>
              <w:tc>
                <w:tcPr>
                  <w:tcW w:w="3417" w:type="dxa"/>
                  <w:tcBorders>
                    <w:top w:val="nil"/>
                    <w:left w:val="nil"/>
                    <w:bottom w:val="nil"/>
                    <w:right w:val="nil"/>
                  </w:tcBorders>
                  <w:shd w:val="clear" w:color="auto" w:fill="auto"/>
                  <w:noWrap/>
                  <w:vAlign w:val="bottom"/>
                  <w:hideMark/>
                </w:tcPr>
                <w:p w14:paraId="7B6661E1"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Nábytek</w:t>
                  </w:r>
                </w:p>
              </w:tc>
              <w:tc>
                <w:tcPr>
                  <w:tcW w:w="700" w:type="dxa"/>
                  <w:tcBorders>
                    <w:top w:val="nil"/>
                    <w:left w:val="nil"/>
                    <w:bottom w:val="nil"/>
                    <w:right w:val="nil"/>
                  </w:tcBorders>
                  <w:shd w:val="clear" w:color="auto" w:fill="auto"/>
                  <w:noWrap/>
                  <w:vAlign w:val="bottom"/>
                  <w:hideMark/>
                </w:tcPr>
                <w:p w14:paraId="21C5DD31"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+1,6</w:t>
                  </w:r>
                </w:p>
              </w:tc>
              <w:tc>
                <w:tcPr>
                  <w:tcW w:w="700" w:type="dxa"/>
                  <w:tcBorders>
                    <w:top w:val="nil"/>
                    <w:left w:val="nil"/>
                    <w:bottom w:val="nil"/>
                    <w:right w:val="nil"/>
                  </w:tcBorders>
                  <w:shd w:val="clear" w:color="auto" w:fill="auto"/>
                  <w:noWrap/>
                  <w:vAlign w:val="bottom"/>
                  <w:hideMark/>
                </w:tcPr>
                <w:p w14:paraId="3EC35C5F"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+21,7</w:t>
                  </w:r>
                </w:p>
              </w:tc>
            </w:tr>
            <w:tr w:rsidR="00FB4423" w:rsidRPr="00F17A98" w14:paraId="447B58A1" w14:textId="77777777" w:rsidTr="00775F26">
              <w:trPr>
                <w:trHeight w:val="255"/>
              </w:trPr>
              <w:tc>
                <w:tcPr>
                  <w:tcW w:w="3417" w:type="dxa"/>
                  <w:tcBorders>
                    <w:top w:val="nil"/>
                    <w:left w:val="nil"/>
                    <w:bottom w:val="nil"/>
                    <w:right w:val="nil"/>
                  </w:tcBorders>
                  <w:shd w:val="clear" w:color="auto" w:fill="auto"/>
                  <w:noWrap/>
                  <w:vAlign w:val="bottom"/>
                  <w:hideMark/>
                </w:tcPr>
                <w:p w14:paraId="1C17CFD0"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Produkty zemědělství a myslivosti</w:t>
                  </w:r>
                </w:p>
              </w:tc>
              <w:tc>
                <w:tcPr>
                  <w:tcW w:w="700" w:type="dxa"/>
                  <w:tcBorders>
                    <w:top w:val="nil"/>
                    <w:left w:val="nil"/>
                    <w:bottom w:val="nil"/>
                    <w:right w:val="nil"/>
                  </w:tcBorders>
                  <w:shd w:val="clear" w:color="auto" w:fill="auto"/>
                  <w:noWrap/>
                  <w:vAlign w:val="bottom"/>
                  <w:hideMark/>
                </w:tcPr>
                <w:p w14:paraId="588C2EE2"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+1,1</w:t>
                  </w:r>
                </w:p>
              </w:tc>
              <w:tc>
                <w:tcPr>
                  <w:tcW w:w="700" w:type="dxa"/>
                  <w:tcBorders>
                    <w:top w:val="nil"/>
                    <w:left w:val="nil"/>
                    <w:bottom w:val="nil"/>
                    <w:right w:val="nil"/>
                  </w:tcBorders>
                  <w:shd w:val="clear" w:color="auto" w:fill="auto"/>
                  <w:noWrap/>
                  <w:vAlign w:val="bottom"/>
                  <w:hideMark/>
                </w:tcPr>
                <w:p w14:paraId="14EF8984"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+9,0</w:t>
                  </w:r>
                </w:p>
              </w:tc>
            </w:tr>
            <w:tr w:rsidR="00FB4423" w:rsidRPr="00F17A98" w14:paraId="118FE6C4" w14:textId="77777777" w:rsidTr="00775F26">
              <w:trPr>
                <w:trHeight w:val="255"/>
              </w:trPr>
              <w:tc>
                <w:tcPr>
                  <w:tcW w:w="3417" w:type="dxa"/>
                  <w:tcBorders>
                    <w:top w:val="nil"/>
                    <w:left w:val="nil"/>
                    <w:bottom w:val="nil"/>
                    <w:right w:val="nil"/>
                  </w:tcBorders>
                  <w:shd w:val="clear" w:color="auto" w:fill="auto"/>
                  <w:noWrap/>
                  <w:vAlign w:val="bottom"/>
                  <w:hideMark/>
                </w:tcPr>
                <w:p w14:paraId="4B0403DC"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Nápoje</w:t>
                  </w:r>
                </w:p>
              </w:tc>
              <w:tc>
                <w:tcPr>
                  <w:tcW w:w="700" w:type="dxa"/>
                  <w:tcBorders>
                    <w:top w:val="nil"/>
                    <w:left w:val="nil"/>
                    <w:bottom w:val="nil"/>
                    <w:right w:val="nil"/>
                  </w:tcBorders>
                  <w:shd w:val="clear" w:color="auto" w:fill="auto"/>
                  <w:noWrap/>
                  <w:vAlign w:val="bottom"/>
                  <w:hideMark/>
                </w:tcPr>
                <w:p w14:paraId="7414F3EC"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+1,0</w:t>
                  </w:r>
                </w:p>
              </w:tc>
              <w:tc>
                <w:tcPr>
                  <w:tcW w:w="700" w:type="dxa"/>
                  <w:tcBorders>
                    <w:top w:val="nil"/>
                    <w:left w:val="nil"/>
                    <w:bottom w:val="nil"/>
                    <w:right w:val="nil"/>
                  </w:tcBorders>
                  <w:shd w:val="clear" w:color="auto" w:fill="auto"/>
                  <w:noWrap/>
                  <w:vAlign w:val="bottom"/>
                  <w:hideMark/>
                </w:tcPr>
                <w:p w14:paraId="62DE9F3E"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+17,0</w:t>
                  </w:r>
                </w:p>
              </w:tc>
            </w:tr>
            <w:tr w:rsidR="00FB4423" w:rsidRPr="00F17A98" w14:paraId="79FFE1AB" w14:textId="77777777" w:rsidTr="00775F26">
              <w:trPr>
                <w:trHeight w:val="255"/>
              </w:trPr>
              <w:tc>
                <w:tcPr>
                  <w:tcW w:w="3417" w:type="dxa"/>
                  <w:tcBorders>
                    <w:top w:val="nil"/>
                    <w:left w:val="nil"/>
                    <w:bottom w:val="nil"/>
                    <w:right w:val="nil"/>
                  </w:tcBorders>
                  <w:shd w:val="clear" w:color="auto" w:fill="auto"/>
                  <w:noWrap/>
                  <w:vAlign w:val="bottom"/>
                  <w:hideMark/>
                </w:tcPr>
                <w:p w14:paraId="5894AD7E"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Koks a rafinované ropné produkty</w:t>
                  </w:r>
                </w:p>
              </w:tc>
              <w:tc>
                <w:tcPr>
                  <w:tcW w:w="700" w:type="dxa"/>
                  <w:tcBorders>
                    <w:top w:val="nil"/>
                    <w:left w:val="nil"/>
                    <w:bottom w:val="nil"/>
                    <w:right w:val="nil"/>
                  </w:tcBorders>
                  <w:shd w:val="clear" w:color="auto" w:fill="auto"/>
                  <w:noWrap/>
                  <w:vAlign w:val="bottom"/>
                  <w:hideMark/>
                </w:tcPr>
                <w:p w14:paraId="5AD08EC4" w14:textId="77777777" w:rsidR="00FB4423" w:rsidRPr="00F17A98" w:rsidRDefault="00FB4423" w:rsidP="00775F26">
                  <w:pPr>
                    <w:spacing w:after="0" w:line="240" w:lineRule="auto"/>
                    <w:jc w:val="right"/>
                    <w:rPr>
                      <w:rFonts w:cs="Arial"/>
                      <w:color w:val="000000"/>
                      <w:sz w:val="16"/>
                      <w:szCs w:val="16"/>
                    </w:rPr>
                  </w:pPr>
                  <w:r>
                    <w:rPr>
                      <w:rFonts w:cs="Arial"/>
                      <w:color w:val="000000"/>
                      <w:sz w:val="16"/>
                      <w:szCs w:val="16"/>
                    </w:rPr>
                    <w:t>−</w:t>
                  </w:r>
                  <w:r w:rsidRPr="00F17A98">
                    <w:rPr>
                      <w:rFonts w:cs="Arial"/>
                      <w:color w:val="000000"/>
                      <w:sz w:val="16"/>
                      <w:szCs w:val="16"/>
                    </w:rPr>
                    <w:t>3,9</w:t>
                  </w:r>
                </w:p>
              </w:tc>
              <w:tc>
                <w:tcPr>
                  <w:tcW w:w="700" w:type="dxa"/>
                  <w:tcBorders>
                    <w:top w:val="nil"/>
                    <w:left w:val="nil"/>
                    <w:bottom w:val="nil"/>
                    <w:right w:val="nil"/>
                  </w:tcBorders>
                  <w:shd w:val="clear" w:color="auto" w:fill="auto"/>
                  <w:noWrap/>
                  <w:vAlign w:val="bottom"/>
                  <w:hideMark/>
                </w:tcPr>
                <w:p w14:paraId="0E01E6CC" w14:textId="77777777" w:rsidR="00FB4423" w:rsidRPr="00F17A98" w:rsidRDefault="00FB4423" w:rsidP="00775F26">
                  <w:pPr>
                    <w:spacing w:after="0" w:line="240" w:lineRule="auto"/>
                    <w:jc w:val="right"/>
                    <w:rPr>
                      <w:rFonts w:cs="Arial"/>
                      <w:color w:val="000000"/>
                      <w:sz w:val="16"/>
                      <w:szCs w:val="16"/>
                    </w:rPr>
                  </w:pPr>
                  <w:r>
                    <w:rPr>
                      <w:rFonts w:cs="Arial"/>
                      <w:color w:val="000000"/>
                      <w:sz w:val="16"/>
                      <w:szCs w:val="16"/>
                    </w:rPr>
                    <w:t>−</w:t>
                  </w:r>
                  <w:r w:rsidRPr="00F17A98">
                    <w:rPr>
                      <w:rFonts w:cs="Arial"/>
                      <w:color w:val="000000"/>
                      <w:sz w:val="16"/>
                      <w:szCs w:val="16"/>
                    </w:rPr>
                    <w:t>28,7</w:t>
                  </w:r>
                </w:p>
              </w:tc>
            </w:tr>
          </w:tbl>
          <w:p w14:paraId="68815AD9" w14:textId="77777777" w:rsidR="00FB4423" w:rsidRDefault="00FB4423" w:rsidP="00775F26">
            <w:pPr>
              <w:spacing w:after="0"/>
              <w:rPr>
                <w:spacing w:val="-4"/>
                <w:lang w:eastAsia="en-US"/>
              </w:rPr>
            </w:pPr>
          </w:p>
        </w:tc>
        <w:tc>
          <w:tcPr>
            <w:tcW w:w="57" w:type="dxa"/>
          </w:tcPr>
          <w:p w14:paraId="45872F3E" w14:textId="77777777" w:rsidR="00FB4423" w:rsidRDefault="00FB4423" w:rsidP="00775F26">
            <w:pPr>
              <w:spacing w:after="0"/>
              <w:rPr>
                <w:spacing w:val="-4"/>
                <w:lang w:eastAsia="en-US"/>
              </w:rPr>
            </w:pPr>
          </w:p>
        </w:tc>
        <w:tc>
          <w:tcPr>
            <w:tcW w:w="4809" w:type="dxa"/>
            <w:hideMark/>
          </w:tcPr>
          <w:tbl>
            <w:tblPr>
              <w:tblW w:w="4762" w:type="dxa"/>
              <w:tblLayout w:type="fixed"/>
              <w:tblCellMar>
                <w:left w:w="70" w:type="dxa"/>
                <w:right w:w="70" w:type="dxa"/>
              </w:tblCellMar>
              <w:tblLook w:val="04A0" w:firstRow="1" w:lastRow="0" w:firstColumn="1" w:lastColumn="0" w:noHBand="0" w:noVBand="1"/>
            </w:tblPr>
            <w:tblGrid>
              <w:gridCol w:w="3362"/>
              <w:gridCol w:w="700"/>
              <w:gridCol w:w="700"/>
            </w:tblGrid>
            <w:tr w:rsidR="00FB4423" w:rsidRPr="00F17A98" w14:paraId="57283D8A" w14:textId="77777777" w:rsidTr="00775F26">
              <w:trPr>
                <w:trHeight w:val="255"/>
              </w:trPr>
              <w:tc>
                <w:tcPr>
                  <w:tcW w:w="3362" w:type="dxa"/>
                  <w:tcBorders>
                    <w:top w:val="nil"/>
                    <w:left w:val="nil"/>
                    <w:bottom w:val="nil"/>
                    <w:right w:val="nil"/>
                  </w:tcBorders>
                  <w:shd w:val="clear" w:color="auto" w:fill="auto"/>
                  <w:noWrap/>
                  <w:vAlign w:val="bottom"/>
                  <w:hideMark/>
                </w:tcPr>
                <w:p w14:paraId="6E2C3364" w14:textId="77777777" w:rsidR="00FB4423" w:rsidRPr="00F17A98" w:rsidRDefault="00FB4423" w:rsidP="00775F26">
                  <w:pPr>
                    <w:spacing w:after="0" w:line="240" w:lineRule="auto"/>
                    <w:jc w:val="left"/>
                    <w:rPr>
                      <w:rFonts w:ascii="Times New Roman" w:hAnsi="Times New Roman"/>
                      <w:sz w:val="24"/>
                      <w:szCs w:val="20"/>
                    </w:rPr>
                  </w:pPr>
                </w:p>
              </w:tc>
              <w:tc>
                <w:tcPr>
                  <w:tcW w:w="700" w:type="dxa"/>
                  <w:tcBorders>
                    <w:top w:val="nil"/>
                    <w:left w:val="nil"/>
                    <w:bottom w:val="nil"/>
                    <w:right w:val="nil"/>
                  </w:tcBorders>
                  <w:shd w:val="clear" w:color="auto" w:fill="auto"/>
                  <w:noWrap/>
                  <w:vAlign w:val="bottom"/>
                  <w:hideMark/>
                </w:tcPr>
                <w:p w14:paraId="30BC6350"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mld. Kč</w:t>
                  </w:r>
                </w:p>
              </w:tc>
              <w:tc>
                <w:tcPr>
                  <w:tcW w:w="700" w:type="dxa"/>
                  <w:tcBorders>
                    <w:top w:val="nil"/>
                    <w:left w:val="nil"/>
                    <w:bottom w:val="nil"/>
                    <w:right w:val="nil"/>
                  </w:tcBorders>
                  <w:shd w:val="clear" w:color="auto" w:fill="auto"/>
                  <w:noWrap/>
                  <w:vAlign w:val="bottom"/>
                  <w:hideMark/>
                </w:tcPr>
                <w:p w14:paraId="463AC1C3"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w:t>
                  </w:r>
                </w:p>
              </w:tc>
            </w:tr>
            <w:tr w:rsidR="00FB4423" w:rsidRPr="00F17A98" w14:paraId="5A4DE104" w14:textId="77777777" w:rsidTr="00775F26">
              <w:trPr>
                <w:trHeight w:val="255"/>
              </w:trPr>
              <w:tc>
                <w:tcPr>
                  <w:tcW w:w="3362" w:type="dxa"/>
                  <w:tcBorders>
                    <w:top w:val="single" w:sz="4" w:space="0" w:color="auto"/>
                    <w:left w:val="nil"/>
                    <w:bottom w:val="nil"/>
                    <w:right w:val="nil"/>
                  </w:tcBorders>
                  <w:shd w:val="clear" w:color="auto" w:fill="auto"/>
                  <w:noWrap/>
                  <w:vAlign w:val="bottom"/>
                  <w:hideMark/>
                </w:tcPr>
                <w:p w14:paraId="3DCDBFF5"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Německo</w:t>
                  </w:r>
                </w:p>
              </w:tc>
              <w:tc>
                <w:tcPr>
                  <w:tcW w:w="700" w:type="dxa"/>
                  <w:tcBorders>
                    <w:top w:val="single" w:sz="4" w:space="0" w:color="auto"/>
                    <w:left w:val="nil"/>
                    <w:bottom w:val="nil"/>
                    <w:right w:val="nil"/>
                  </w:tcBorders>
                  <w:shd w:val="clear" w:color="auto" w:fill="auto"/>
                  <w:noWrap/>
                  <w:vAlign w:val="bottom"/>
                  <w:hideMark/>
                </w:tcPr>
                <w:p w14:paraId="1949F844"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+22,3</w:t>
                  </w:r>
                </w:p>
              </w:tc>
              <w:tc>
                <w:tcPr>
                  <w:tcW w:w="700" w:type="dxa"/>
                  <w:tcBorders>
                    <w:top w:val="single" w:sz="4" w:space="0" w:color="auto"/>
                    <w:left w:val="nil"/>
                    <w:bottom w:val="nil"/>
                    <w:right w:val="nil"/>
                  </w:tcBorders>
                  <w:shd w:val="clear" w:color="auto" w:fill="auto"/>
                  <w:noWrap/>
                  <w:vAlign w:val="bottom"/>
                  <w:hideMark/>
                </w:tcPr>
                <w:p w14:paraId="45C60F83"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+7,2</w:t>
                  </w:r>
                </w:p>
              </w:tc>
            </w:tr>
            <w:tr w:rsidR="00FB4423" w:rsidRPr="00F17A98" w14:paraId="67316131" w14:textId="77777777" w:rsidTr="00775F26">
              <w:trPr>
                <w:trHeight w:val="255"/>
              </w:trPr>
              <w:tc>
                <w:tcPr>
                  <w:tcW w:w="3362" w:type="dxa"/>
                  <w:tcBorders>
                    <w:top w:val="nil"/>
                    <w:left w:val="nil"/>
                    <w:bottom w:val="nil"/>
                    <w:right w:val="nil"/>
                  </w:tcBorders>
                  <w:shd w:val="clear" w:color="auto" w:fill="auto"/>
                  <w:noWrap/>
                  <w:vAlign w:val="bottom"/>
                  <w:hideMark/>
                </w:tcPr>
                <w:p w14:paraId="78BE3AC7"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Velká Británie</w:t>
                  </w:r>
                </w:p>
              </w:tc>
              <w:tc>
                <w:tcPr>
                  <w:tcW w:w="700" w:type="dxa"/>
                  <w:tcBorders>
                    <w:top w:val="nil"/>
                    <w:left w:val="nil"/>
                    <w:bottom w:val="nil"/>
                    <w:right w:val="nil"/>
                  </w:tcBorders>
                  <w:shd w:val="clear" w:color="auto" w:fill="auto"/>
                  <w:noWrap/>
                  <w:vAlign w:val="bottom"/>
                  <w:hideMark/>
                </w:tcPr>
                <w:p w14:paraId="34E1ECD0"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+13,8</w:t>
                  </w:r>
                </w:p>
              </w:tc>
              <w:tc>
                <w:tcPr>
                  <w:tcW w:w="700" w:type="dxa"/>
                  <w:tcBorders>
                    <w:top w:val="nil"/>
                    <w:left w:val="nil"/>
                    <w:bottom w:val="nil"/>
                    <w:right w:val="nil"/>
                  </w:tcBorders>
                  <w:shd w:val="clear" w:color="auto" w:fill="auto"/>
                  <w:noWrap/>
                  <w:vAlign w:val="bottom"/>
                  <w:hideMark/>
                </w:tcPr>
                <w:p w14:paraId="5A46BF9A"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+32,1</w:t>
                  </w:r>
                </w:p>
              </w:tc>
            </w:tr>
            <w:tr w:rsidR="00FB4423" w:rsidRPr="00F17A98" w14:paraId="38505F9B" w14:textId="77777777" w:rsidTr="00775F26">
              <w:trPr>
                <w:trHeight w:val="255"/>
              </w:trPr>
              <w:tc>
                <w:tcPr>
                  <w:tcW w:w="3362" w:type="dxa"/>
                  <w:tcBorders>
                    <w:top w:val="nil"/>
                    <w:left w:val="nil"/>
                    <w:bottom w:val="nil"/>
                    <w:right w:val="nil"/>
                  </w:tcBorders>
                  <w:shd w:val="clear" w:color="auto" w:fill="auto"/>
                  <w:noWrap/>
                  <w:vAlign w:val="bottom"/>
                  <w:hideMark/>
                </w:tcPr>
                <w:p w14:paraId="6C6A845E"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Spojené státy</w:t>
                  </w:r>
                  <w:r>
                    <w:rPr>
                      <w:rFonts w:cs="Arial"/>
                      <w:color w:val="000000"/>
                      <w:sz w:val="16"/>
                      <w:szCs w:val="16"/>
                    </w:rPr>
                    <w:t xml:space="preserve"> americké</w:t>
                  </w:r>
                </w:p>
              </w:tc>
              <w:tc>
                <w:tcPr>
                  <w:tcW w:w="700" w:type="dxa"/>
                  <w:tcBorders>
                    <w:top w:val="nil"/>
                    <w:left w:val="nil"/>
                    <w:bottom w:val="nil"/>
                    <w:right w:val="nil"/>
                  </w:tcBorders>
                  <w:shd w:val="clear" w:color="auto" w:fill="auto"/>
                  <w:noWrap/>
                  <w:vAlign w:val="bottom"/>
                  <w:hideMark/>
                </w:tcPr>
                <w:p w14:paraId="4D64F5BF"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+8,0</w:t>
                  </w:r>
                </w:p>
              </w:tc>
              <w:tc>
                <w:tcPr>
                  <w:tcW w:w="700" w:type="dxa"/>
                  <w:tcBorders>
                    <w:top w:val="nil"/>
                    <w:left w:val="nil"/>
                    <w:bottom w:val="nil"/>
                    <w:right w:val="nil"/>
                  </w:tcBorders>
                  <w:shd w:val="clear" w:color="auto" w:fill="auto"/>
                  <w:noWrap/>
                  <w:vAlign w:val="bottom"/>
                  <w:hideMark/>
                </w:tcPr>
                <w:p w14:paraId="353473EF"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+29,1</w:t>
                  </w:r>
                </w:p>
              </w:tc>
            </w:tr>
            <w:tr w:rsidR="00FB4423" w:rsidRPr="00F17A98" w14:paraId="3491C08F" w14:textId="77777777" w:rsidTr="00775F26">
              <w:trPr>
                <w:trHeight w:val="255"/>
              </w:trPr>
              <w:tc>
                <w:tcPr>
                  <w:tcW w:w="3362" w:type="dxa"/>
                  <w:tcBorders>
                    <w:top w:val="nil"/>
                    <w:left w:val="nil"/>
                    <w:bottom w:val="nil"/>
                    <w:right w:val="nil"/>
                  </w:tcBorders>
                  <w:shd w:val="clear" w:color="auto" w:fill="auto"/>
                  <w:noWrap/>
                  <w:vAlign w:val="bottom"/>
                  <w:hideMark/>
                </w:tcPr>
                <w:p w14:paraId="7E709798"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Slovensko</w:t>
                  </w:r>
                </w:p>
              </w:tc>
              <w:tc>
                <w:tcPr>
                  <w:tcW w:w="700" w:type="dxa"/>
                  <w:tcBorders>
                    <w:top w:val="nil"/>
                    <w:left w:val="nil"/>
                    <w:bottom w:val="nil"/>
                    <w:right w:val="nil"/>
                  </w:tcBorders>
                  <w:shd w:val="clear" w:color="auto" w:fill="auto"/>
                  <w:noWrap/>
                  <w:vAlign w:val="bottom"/>
                  <w:hideMark/>
                </w:tcPr>
                <w:p w14:paraId="40749DB3"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+6,7</w:t>
                  </w:r>
                </w:p>
              </w:tc>
              <w:tc>
                <w:tcPr>
                  <w:tcW w:w="700" w:type="dxa"/>
                  <w:tcBorders>
                    <w:top w:val="nil"/>
                    <w:left w:val="nil"/>
                    <w:bottom w:val="nil"/>
                    <w:right w:val="nil"/>
                  </w:tcBorders>
                  <w:shd w:val="clear" w:color="auto" w:fill="auto"/>
                  <w:noWrap/>
                  <w:vAlign w:val="bottom"/>
                  <w:hideMark/>
                </w:tcPr>
                <w:p w14:paraId="54D2C30E"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+7,0</w:t>
                  </w:r>
                </w:p>
              </w:tc>
            </w:tr>
            <w:tr w:rsidR="00FB4423" w:rsidRPr="00F17A98" w14:paraId="632F5B0F" w14:textId="77777777" w:rsidTr="00775F26">
              <w:trPr>
                <w:trHeight w:val="255"/>
              </w:trPr>
              <w:tc>
                <w:tcPr>
                  <w:tcW w:w="3362" w:type="dxa"/>
                  <w:tcBorders>
                    <w:top w:val="nil"/>
                    <w:left w:val="nil"/>
                    <w:bottom w:val="nil"/>
                    <w:right w:val="nil"/>
                  </w:tcBorders>
                  <w:shd w:val="clear" w:color="auto" w:fill="auto"/>
                  <w:noWrap/>
                  <w:vAlign w:val="bottom"/>
                  <w:hideMark/>
                </w:tcPr>
                <w:p w14:paraId="56950AEF"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Francie</w:t>
                  </w:r>
                </w:p>
              </w:tc>
              <w:tc>
                <w:tcPr>
                  <w:tcW w:w="700" w:type="dxa"/>
                  <w:tcBorders>
                    <w:top w:val="nil"/>
                    <w:left w:val="nil"/>
                    <w:bottom w:val="nil"/>
                    <w:right w:val="nil"/>
                  </w:tcBorders>
                  <w:shd w:val="clear" w:color="auto" w:fill="auto"/>
                  <w:noWrap/>
                  <w:vAlign w:val="bottom"/>
                  <w:hideMark/>
                </w:tcPr>
                <w:p w14:paraId="2ED15CA0"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+6,6</w:t>
                  </w:r>
                </w:p>
              </w:tc>
              <w:tc>
                <w:tcPr>
                  <w:tcW w:w="700" w:type="dxa"/>
                  <w:tcBorders>
                    <w:top w:val="nil"/>
                    <w:left w:val="nil"/>
                    <w:bottom w:val="nil"/>
                    <w:right w:val="nil"/>
                  </w:tcBorders>
                  <w:shd w:val="clear" w:color="auto" w:fill="auto"/>
                  <w:noWrap/>
                  <w:vAlign w:val="bottom"/>
                  <w:hideMark/>
                </w:tcPr>
                <w:p w14:paraId="30DB2BE2"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+14,3</w:t>
                  </w:r>
                </w:p>
              </w:tc>
            </w:tr>
            <w:tr w:rsidR="00FB4423" w:rsidRPr="00F17A98" w14:paraId="012385D3" w14:textId="77777777" w:rsidTr="00775F26">
              <w:trPr>
                <w:trHeight w:val="255"/>
              </w:trPr>
              <w:tc>
                <w:tcPr>
                  <w:tcW w:w="3362" w:type="dxa"/>
                  <w:tcBorders>
                    <w:top w:val="nil"/>
                    <w:left w:val="nil"/>
                    <w:bottom w:val="nil"/>
                    <w:right w:val="nil"/>
                  </w:tcBorders>
                  <w:shd w:val="clear" w:color="auto" w:fill="auto"/>
                  <w:noWrap/>
                  <w:vAlign w:val="bottom"/>
                  <w:hideMark/>
                </w:tcPr>
                <w:p w14:paraId="2AC5461C"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Polsko</w:t>
                  </w:r>
                </w:p>
              </w:tc>
              <w:tc>
                <w:tcPr>
                  <w:tcW w:w="700" w:type="dxa"/>
                  <w:tcBorders>
                    <w:top w:val="nil"/>
                    <w:left w:val="nil"/>
                    <w:bottom w:val="nil"/>
                    <w:right w:val="nil"/>
                  </w:tcBorders>
                  <w:shd w:val="clear" w:color="auto" w:fill="auto"/>
                  <w:noWrap/>
                  <w:vAlign w:val="bottom"/>
                  <w:hideMark/>
                </w:tcPr>
                <w:p w14:paraId="6D1F7D15"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+5,7</w:t>
                  </w:r>
                </w:p>
              </w:tc>
              <w:tc>
                <w:tcPr>
                  <w:tcW w:w="700" w:type="dxa"/>
                  <w:tcBorders>
                    <w:top w:val="nil"/>
                    <w:left w:val="nil"/>
                    <w:bottom w:val="nil"/>
                    <w:right w:val="nil"/>
                  </w:tcBorders>
                  <w:shd w:val="clear" w:color="auto" w:fill="auto"/>
                  <w:noWrap/>
                  <w:vAlign w:val="bottom"/>
                  <w:hideMark/>
                </w:tcPr>
                <w:p w14:paraId="6C0E7175"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+7,6</w:t>
                  </w:r>
                </w:p>
              </w:tc>
            </w:tr>
            <w:tr w:rsidR="00FB4423" w:rsidRPr="00F17A98" w14:paraId="708F1CA7" w14:textId="77777777" w:rsidTr="00775F26">
              <w:trPr>
                <w:trHeight w:val="255"/>
              </w:trPr>
              <w:tc>
                <w:tcPr>
                  <w:tcW w:w="3362" w:type="dxa"/>
                  <w:tcBorders>
                    <w:top w:val="nil"/>
                    <w:left w:val="nil"/>
                    <w:bottom w:val="nil"/>
                    <w:right w:val="nil"/>
                  </w:tcBorders>
                  <w:shd w:val="clear" w:color="auto" w:fill="auto"/>
                  <w:noWrap/>
                  <w:vAlign w:val="bottom"/>
                  <w:hideMark/>
                </w:tcPr>
                <w:p w14:paraId="4AD1ADEB"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Itálie</w:t>
                  </w:r>
                </w:p>
              </w:tc>
              <w:tc>
                <w:tcPr>
                  <w:tcW w:w="700" w:type="dxa"/>
                  <w:tcBorders>
                    <w:top w:val="nil"/>
                    <w:left w:val="nil"/>
                    <w:bottom w:val="nil"/>
                    <w:right w:val="nil"/>
                  </w:tcBorders>
                  <w:shd w:val="clear" w:color="auto" w:fill="auto"/>
                  <w:noWrap/>
                  <w:vAlign w:val="bottom"/>
                  <w:hideMark/>
                </w:tcPr>
                <w:p w14:paraId="6909E809"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+5,1</w:t>
                  </w:r>
                </w:p>
              </w:tc>
              <w:tc>
                <w:tcPr>
                  <w:tcW w:w="700" w:type="dxa"/>
                  <w:tcBorders>
                    <w:top w:val="nil"/>
                    <w:left w:val="nil"/>
                    <w:bottom w:val="nil"/>
                    <w:right w:val="nil"/>
                  </w:tcBorders>
                  <w:shd w:val="clear" w:color="auto" w:fill="auto"/>
                  <w:noWrap/>
                  <w:vAlign w:val="bottom"/>
                  <w:hideMark/>
                </w:tcPr>
                <w:p w14:paraId="3C179A81"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+12,8</w:t>
                  </w:r>
                </w:p>
              </w:tc>
            </w:tr>
            <w:tr w:rsidR="00FB4423" w:rsidRPr="00F17A98" w14:paraId="05E8FFBB" w14:textId="77777777" w:rsidTr="00775F26">
              <w:trPr>
                <w:trHeight w:val="255"/>
              </w:trPr>
              <w:tc>
                <w:tcPr>
                  <w:tcW w:w="3362" w:type="dxa"/>
                  <w:tcBorders>
                    <w:top w:val="nil"/>
                    <w:left w:val="nil"/>
                    <w:bottom w:val="nil"/>
                    <w:right w:val="nil"/>
                  </w:tcBorders>
                  <w:shd w:val="clear" w:color="auto" w:fill="auto"/>
                  <w:noWrap/>
                  <w:vAlign w:val="bottom"/>
                  <w:hideMark/>
                </w:tcPr>
                <w:p w14:paraId="3D4B320C"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Singapur</w:t>
                  </w:r>
                </w:p>
              </w:tc>
              <w:tc>
                <w:tcPr>
                  <w:tcW w:w="700" w:type="dxa"/>
                  <w:tcBorders>
                    <w:top w:val="nil"/>
                    <w:left w:val="nil"/>
                    <w:bottom w:val="nil"/>
                    <w:right w:val="nil"/>
                  </w:tcBorders>
                  <w:shd w:val="clear" w:color="auto" w:fill="auto"/>
                  <w:noWrap/>
                  <w:vAlign w:val="bottom"/>
                  <w:hideMark/>
                </w:tcPr>
                <w:p w14:paraId="08CBC81C"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+4,8</w:t>
                  </w:r>
                </w:p>
              </w:tc>
              <w:tc>
                <w:tcPr>
                  <w:tcW w:w="700" w:type="dxa"/>
                  <w:tcBorders>
                    <w:top w:val="nil"/>
                    <w:left w:val="nil"/>
                    <w:bottom w:val="nil"/>
                    <w:right w:val="nil"/>
                  </w:tcBorders>
                  <w:shd w:val="clear" w:color="auto" w:fill="auto"/>
                  <w:noWrap/>
                  <w:vAlign w:val="bottom"/>
                  <w:hideMark/>
                </w:tcPr>
                <w:p w14:paraId="0CC8942B"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+236,5</w:t>
                  </w:r>
                </w:p>
              </w:tc>
            </w:tr>
            <w:tr w:rsidR="00FB4423" w:rsidRPr="00F17A98" w14:paraId="02A1BCB3" w14:textId="77777777" w:rsidTr="00775F26">
              <w:trPr>
                <w:trHeight w:val="255"/>
              </w:trPr>
              <w:tc>
                <w:tcPr>
                  <w:tcW w:w="3362" w:type="dxa"/>
                  <w:tcBorders>
                    <w:top w:val="nil"/>
                    <w:left w:val="nil"/>
                    <w:bottom w:val="nil"/>
                    <w:right w:val="nil"/>
                  </w:tcBorders>
                  <w:shd w:val="clear" w:color="auto" w:fill="auto"/>
                  <w:noWrap/>
                  <w:vAlign w:val="bottom"/>
                  <w:hideMark/>
                </w:tcPr>
                <w:p w14:paraId="56A74EB2"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Čína</w:t>
                  </w:r>
                </w:p>
              </w:tc>
              <w:tc>
                <w:tcPr>
                  <w:tcW w:w="700" w:type="dxa"/>
                  <w:tcBorders>
                    <w:top w:val="nil"/>
                    <w:left w:val="nil"/>
                    <w:bottom w:val="nil"/>
                    <w:right w:val="nil"/>
                  </w:tcBorders>
                  <w:shd w:val="clear" w:color="auto" w:fill="auto"/>
                  <w:noWrap/>
                  <w:vAlign w:val="bottom"/>
                  <w:hideMark/>
                </w:tcPr>
                <w:p w14:paraId="6B82F17B"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+2,9</w:t>
                  </w:r>
                </w:p>
              </w:tc>
              <w:tc>
                <w:tcPr>
                  <w:tcW w:w="700" w:type="dxa"/>
                  <w:tcBorders>
                    <w:top w:val="nil"/>
                    <w:left w:val="nil"/>
                    <w:bottom w:val="nil"/>
                    <w:right w:val="nil"/>
                  </w:tcBorders>
                  <w:shd w:val="clear" w:color="auto" w:fill="auto"/>
                  <w:noWrap/>
                  <w:vAlign w:val="bottom"/>
                  <w:hideMark/>
                </w:tcPr>
                <w:p w14:paraId="1976EE54"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+28,7</w:t>
                  </w:r>
                </w:p>
              </w:tc>
            </w:tr>
            <w:tr w:rsidR="00FB4423" w:rsidRPr="00F17A98" w14:paraId="092EB321" w14:textId="77777777" w:rsidTr="00775F26">
              <w:trPr>
                <w:trHeight w:val="255"/>
              </w:trPr>
              <w:tc>
                <w:tcPr>
                  <w:tcW w:w="3362" w:type="dxa"/>
                  <w:tcBorders>
                    <w:top w:val="nil"/>
                    <w:left w:val="nil"/>
                    <w:bottom w:val="nil"/>
                    <w:right w:val="nil"/>
                  </w:tcBorders>
                  <w:shd w:val="clear" w:color="auto" w:fill="auto"/>
                  <w:noWrap/>
                  <w:vAlign w:val="bottom"/>
                  <w:hideMark/>
                </w:tcPr>
                <w:p w14:paraId="11D0CAA4"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Turecko</w:t>
                  </w:r>
                </w:p>
              </w:tc>
              <w:tc>
                <w:tcPr>
                  <w:tcW w:w="700" w:type="dxa"/>
                  <w:tcBorders>
                    <w:top w:val="nil"/>
                    <w:left w:val="nil"/>
                    <w:bottom w:val="nil"/>
                    <w:right w:val="nil"/>
                  </w:tcBorders>
                  <w:shd w:val="clear" w:color="auto" w:fill="auto"/>
                  <w:noWrap/>
                  <w:vAlign w:val="bottom"/>
                  <w:hideMark/>
                </w:tcPr>
                <w:p w14:paraId="11FA9E1F"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+2,8</w:t>
                  </w:r>
                </w:p>
              </w:tc>
              <w:tc>
                <w:tcPr>
                  <w:tcW w:w="700" w:type="dxa"/>
                  <w:tcBorders>
                    <w:top w:val="nil"/>
                    <w:left w:val="nil"/>
                    <w:bottom w:val="nil"/>
                    <w:right w:val="nil"/>
                  </w:tcBorders>
                  <w:shd w:val="clear" w:color="auto" w:fill="auto"/>
                  <w:noWrap/>
                  <w:vAlign w:val="bottom"/>
                  <w:hideMark/>
                </w:tcPr>
                <w:p w14:paraId="5690B9A4"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+18,6</w:t>
                  </w:r>
                </w:p>
              </w:tc>
            </w:tr>
            <w:tr w:rsidR="00FB4423" w:rsidRPr="00F17A98" w14:paraId="33BB9057" w14:textId="77777777" w:rsidTr="00775F26">
              <w:trPr>
                <w:trHeight w:val="255"/>
              </w:trPr>
              <w:tc>
                <w:tcPr>
                  <w:tcW w:w="3362" w:type="dxa"/>
                  <w:tcBorders>
                    <w:top w:val="nil"/>
                    <w:left w:val="nil"/>
                    <w:bottom w:val="nil"/>
                    <w:right w:val="nil"/>
                  </w:tcBorders>
                  <w:shd w:val="clear" w:color="auto" w:fill="auto"/>
                  <w:noWrap/>
                  <w:vAlign w:val="bottom"/>
                  <w:hideMark/>
                </w:tcPr>
                <w:p w14:paraId="5F9AB7B4"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Dánsko</w:t>
                  </w:r>
                </w:p>
              </w:tc>
              <w:tc>
                <w:tcPr>
                  <w:tcW w:w="700" w:type="dxa"/>
                  <w:tcBorders>
                    <w:top w:val="nil"/>
                    <w:left w:val="nil"/>
                    <w:bottom w:val="nil"/>
                    <w:right w:val="nil"/>
                  </w:tcBorders>
                  <w:shd w:val="clear" w:color="auto" w:fill="auto"/>
                  <w:noWrap/>
                  <w:vAlign w:val="bottom"/>
                  <w:hideMark/>
                </w:tcPr>
                <w:p w14:paraId="4D864F81"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+2,5</w:t>
                  </w:r>
                </w:p>
              </w:tc>
              <w:tc>
                <w:tcPr>
                  <w:tcW w:w="700" w:type="dxa"/>
                  <w:tcBorders>
                    <w:top w:val="nil"/>
                    <w:left w:val="nil"/>
                    <w:bottom w:val="nil"/>
                    <w:right w:val="nil"/>
                  </w:tcBorders>
                  <w:shd w:val="clear" w:color="auto" w:fill="auto"/>
                  <w:noWrap/>
                  <w:vAlign w:val="bottom"/>
                  <w:hideMark/>
                </w:tcPr>
                <w:p w14:paraId="34A4DCE8"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+31,5</w:t>
                  </w:r>
                </w:p>
              </w:tc>
            </w:tr>
            <w:tr w:rsidR="00FB4423" w:rsidRPr="00F17A98" w14:paraId="32885EA2" w14:textId="77777777" w:rsidTr="00775F26">
              <w:trPr>
                <w:trHeight w:val="255"/>
              </w:trPr>
              <w:tc>
                <w:tcPr>
                  <w:tcW w:w="3362" w:type="dxa"/>
                  <w:tcBorders>
                    <w:top w:val="nil"/>
                    <w:left w:val="nil"/>
                    <w:bottom w:val="nil"/>
                    <w:right w:val="nil"/>
                  </w:tcBorders>
                  <w:shd w:val="clear" w:color="auto" w:fill="auto"/>
                  <w:noWrap/>
                  <w:vAlign w:val="bottom"/>
                  <w:hideMark/>
                </w:tcPr>
                <w:p w14:paraId="3D9D2E33"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Nizozemsko</w:t>
                  </w:r>
                </w:p>
              </w:tc>
              <w:tc>
                <w:tcPr>
                  <w:tcW w:w="700" w:type="dxa"/>
                  <w:tcBorders>
                    <w:top w:val="nil"/>
                    <w:left w:val="nil"/>
                    <w:bottom w:val="nil"/>
                    <w:right w:val="nil"/>
                  </w:tcBorders>
                  <w:shd w:val="clear" w:color="auto" w:fill="auto"/>
                  <w:noWrap/>
                  <w:vAlign w:val="bottom"/>
                  <w:hideMark/>
                </w:tcPr>
                <w:p w14:paraId="52023723"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+2,4</w:t>
                  </w:r>
                </w:p>
              </w:tc>
              <w:tc>
                <w:tcPr>
                  <w:tcW w:w="700" w:type="dxa"/>
                  <w:tcBorders>
                    <w:top w:val="nil"/>
                    <w:left w:val="nil"/>
                    <w:bottom w:val="nil"/>
                    <w:right w:val="nil"/>
                  </w:tcBorders>
                  <w:shd w:val="clear" w:color="auto" w:fill="auto"/>
                  <w:noWrap/>
                  <w:vAlign w:val="bottom"/>
                  <w:hideMark/>
                </w:tcPr>
                <w:p w14:paraId="3A0A2709"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+7,1</w:t>
                  </w:r>
                </w:p>
              </w:tc>
            </w:tr>
            <w:tr w:rsidR="00FB4423" w:rsidRPr="00F17A98" w14:paraId="5F6C4B37" w14:textId="77777777" w:rsidTr="00775F26">
              <w:trPr>
                <w:trHeight w:val="255"/>
              </w:trPr>
              <w:tc>
                <w:tcPr>
                  <w:tcW w:w="3362" w:type="dxa"/>
                  <w:tcBorders>
                    <w:top w:val="nil"/>
                    <w:left w:val="nil"/>
                    <w:bottom w:val="nil"/>
                    <w:right w:val="nil"/>
                  </w:tcBorders>
                  <w:shd w:val="clear" w:color="auto" w:fill="auto"/>
                  <w:noWrap/>
                  <w:vAlign w:val="bottom"/>
                  <w:hideMark/>
                </w:tcPr>
                <w:p w14:paraId="34A348F0"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Rakousko</w:t>
                  </w:r>
                </w:p>
              </w:tc>
              <w:tc>
                <w:tcPr>
                  <w:tcW w:w="700" w:type="dxa"/>
                  <w:tcBorders>
                    <w:top w:val="nil"/>
                    <w:left w:val="nil"/>
                    <w:bottom w:val="nil"/>
                    <w:right w:val="nil"/>
                  </w:tcBorders>
                  <w:shd w:val="clear" w:color="auto" w:fill="auto"/>
                  <w:noWrap/>
                  <w:vAlign w:val="bottom"/>
                  <w:hideMark/>
                </w:tcPr>
                <w:p w14:paraId="77320217"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+2,2</w:t>
                  </w:r>
                </w:p>
              </w:tc>
              <w:tc>
                <w:tcPr>
                  <w:tcW w:w="700" w:type="dxa"/>
                  <w:tcBorders>
                    <w:top w:val="nil"/>
                    <w:left w:val="nil"/>
                    <w:bottom w:val="nil"/>
                    <w:right w:val="nil"/>
                  </w:tcBorders>
                  <w:shd w:val="clear" w:color="auto" w:fill="auto"/>
                  <w:noWrap/>
                  <w:vAlign w:val="bottom"/>
                  <w:hideMark/>
                </w:tcPr>
                <w:p w14:paraId="54872391"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+5,2</w:t>
                  </w:r>
                </w:p>
              </w:tc>
            </w:tr>
            <w:tr w:rsidR="00FB4423" w:rsidRPr="00F17A98" w14:paraId="121CB3FE" w14:textId="77777777" w:rsidTr="00775F26">
              <w:trPr>
                <w:trHeight w:val="255"/>
              </w:trPr>
              <w:tc>
                <w:tcPr>
                  <w:tcW w:w="3362" w:type="dxa"/>
                  <w:tcBorders>
                    <w:top w:val="nil"/>
                    <w:left w:val="nil"/>
                    <w:bottom w:val="nil"/>
                    <w:right w:val="nil"/>
                  </w:tcBorders>
                  <w:shd w:val="clear" w:color="auto" w:fill="auto"/>
                  <w:noWrap/>
                  <w:vAlign w:val="bottom"/>
                  <w:hideMark/>
                </w:tcPr>
                <w:p w14:paraId="588E5924"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Ukrajina</w:t>
                  </w:r>
                </w:p>
              </w:tc>
              <w:tc>
                <w:tcPr>
                  <w:tcW w:w="700" w:type="dxa"/>
                  <w:tcBorders>
                    <w:top w:val="nil"/>
                    <w:left w:val="nil"/>
                    <w:bottom w:val="nil"/>
                    <w:right w:val="nil"/>
                  </w:tcBorders>
                  <w:shd w:val="clear" w:color="auto" w:fill="auto"/>
                  <w:noWrap/>
                  <w:vAlign w:val="bottom"/>
                  <w:hideMark/>
                </w:tcPr>
                <w:p w14:paraId="67FEA3F3"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+1,7</w:t>
                  </w:r>
                </w:p>
              </w:tc>
              <w:tc>
                <w:tcPr>
                  <w:tcW w:w="700" w:type="dxa"/>
                  <w:tcBorders>
                    <w:top w:val="nil"/>
                    <w:left w:val="nil"/>
                    <w:bottom w:val="nil"/>
                    <w:right w:val="nil"/>
                  </w:tcBorders>
                  <w:shd w:val="clear" w:color="auto" w:fill="auto"/>
                  <w:noWrap/>
                  <w:vAlign w:val="bottom"/>
                  <w:hideMark/>
                </w:tcPr>
                <w:p w14:paraId="2EE4945E"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+18,0</w:t>
                  </w:r>
                </w:p>
              </w:tc>
            </w:tr>
            <w:tr w:rsidR="00FB4423" w:rsidRPr="00F17A98" w14:paraId="2C50EB32" w14:textId="77777777" w:rsidTr="00775F26">
              <w:trPr>
                <w:trHeight w:val="255"/>
              </w:trPr>
              <w:tc>
                <w:tcPr>
                  <w:tcW w:w="3362" w:type="dxa"/>
                  <w:tcBorders>
                    <w:top w:val="nil"/>
                    <w:left w:val="nil"/>
                    <w:bottom w:val="nil"/>
                    <w:right w:val="nil"/>
                  </w:tcBorders>
                  <w:shd w:val="clear" w:color="auto" w:fill="auto"/>
                  <w:noWrap/>
                  <w:vAlign w:val="bottom"/>
                  <w:hideMark/>
                </w:tcPr>
                <w:p w14:paraId="7231C294"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Švédsko</w:t>
                  </w:r>
                </w:p>
              </w:tc>
              <w:tc>
                <w:tcPr>
                  <w:tcW w:w="700" w:type="dxa"/>
                  <w:tcBorders>
                    <w:top w:val="nil"/>
                    <w:left w:val="nil"/>
                    <w:bottom w:val="nil"/>
                    <w:right w:val="nil"/>
                  </w:tcBorders>
                  <w:shd w:val="clear" w:color="auto" w:fill="auto"/>
                  <w:noWrap/>
                  <w:vAlign w:val="bottom"/>
                  <w:hideMark/>
                </w:tcPr>
                <w:p w14:paraId="7A02A784"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+1,7</w:t>
                  </w:r>
                </w:p>
              </w:tc>
              <w:tc>
                <w:tcPr>
                  <w:tcW w:w="700" w:type="dxa"/>
                  <w:tcBorders>
                    <w:top w:val="nil"/>
                    <w:left w:val="nil"/>
                    <w:bottom w:val="nil"/>
                    <w:right w:val="nil"/>
                  </w:tcBorders>
                  <w:shd w:val="clear" w:color="auto" w:fill="auto"/>
                  <w:noWrap/>
                  <w:vAlign w:val="bottom"/>
                  <w:hideMark/>
                </w:tcPr>
                <w:p w14:paraId="52E1679E"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+11,4</w:t>
                  </w:r>
                </w:p>
              </w:tc>
            </w:tr>
          </w:tbl>
          <w:p w14:paraId="375BABFD" w14:textId="77777777" w:rsidR="00FB4423" w:rsidRDefault="00FB4423" w:rsidP="00775F26">
            <w:pPr>
              <w:spacing w:after="0"/>
              <w:rPr>
                <w:spacing w:val="-4"/>
                <w:lang w:eastAsia="en-US"/>
              </w:rPr>
            </w:pPr>
          </w:p>
        </w:tc>
      </w:tr>
      <w:tr w:rsidR="00FB4423" w14:paraId="089EB1B0" w14:textId="77777777" w:rsidTr="00775F26">
        <w:trPr>
          <w:trHeight w:val="170"/>
        </w:trPr>
        <w:tc>
          <w:tcPr>
            <w:tcW w:w="4811" w:type="dxa"/>
            <w:gridSpan w:val="3"/>
            <w:hideMark/>
          </w:tcPr>
          <w:p w14:paraId="3F432BBB" w14:textId="77777777" w:rsidR="00FB4423" w:rsidRDefault="00FB4423" w:rsidP="00775F26">
            <w:pPr>
              <w:jc w:val="right"/>
              <w:rPr>
                <w:spacing w:val="-4"/>
                <w:sz w:val="16"/>
                <w:szCs w:val="16"/>
                <w:lang w:eastAsia="en-US"/>
              </w:rPr>
            </w:pPr>
            <w:r>
              <w:rPr>
                <w:spacing w:val="-4"/>
                <w:sz w:val="16"/>
                <w:szCs w:val="16"/>
                <w:lang w:eastAsia="en-US"/>
              </w:rPr>
              <w:t>Zdroj: ČSÚ</w:t>
            </w:r>
          </w:p>
        </w:tc>
        <w:tc>
          <w:tcPr>
            <w:tcW w:w="57" w:type="dxa"/>
          </w:tcPr>
          <w:p w14:paraId="0EF188D1" w14:textId="77777777" w:rsidR="00FB4423" w:rsidRDefault="00FB4423" w:rsidP="00775F26">
            <w:pPr>
              <w:spacing w:after="0"/>
              <w:rPr>
                <w:spacing w:val="-4"/>
                <w:lang w:eastAsia="en-US"/>
              </w:rPr>
            </w:pPr>
          </w:p>
        </w:tc>
        <w:tc>
          <w:tcPr>
            <w:tcW w:w="4809" w:type="dxa"/>
            <w:hideMark/>
          </w:tcPr>
          <w:p w14:paraId="631A7245" w14:textId="77777777" w:rsidR="00FB4423" w:rsidRDefault="00FB4423" w:rsidP="00775F26">
            <w:pPr>
              <w:spacing w:after="0"/>
              <w:jc w:val="right"/>
              <w:rPr>
                <w:spacing w:val="-4"/>
                <w:lang w:eastAsia="en-US"/>
              </w:rPr>
            </w:pPr>
            <w:r>
              <w:rPr>
                <w:spacing w:val="-4"/>
                <w:sz w:val="16"/>
                <w:szCs w:val="16"/>
                <w:lang w:eastAsia="en-US"/>
              </w:rPr>
              <w:t>Zdroj: ČSÚ</w:t>
            </w:r>
          </w:p>
        </w:tc>
      </w:tr>
      <w:tr w:rsidR="00FB4423" w14:paraId="6A23DE47" w14:textId="77777777" w:rsidTr="00775F26">
        <w:trPr>
          <w:trHeight w:val="145"/>
        </w:trPr>
        <w:tc>
          <w:tcPr>
            <w:tcW w:w="1748" w:type="dxa"/>
            <w:hideMark/>
          </w:tcPr>
          <w:p w14:paraId="4B1360A3" w14:textId="77777777" w:rsidR="00FB4423" w:rsidRDefault="00FB4423" w:rsidP="00775F26">
            <w:pPr>
              <w:pStyle w:val="Marginlie"/>
              <w:rPr>
                <w:lang w:eastAsia="en-US"/>
              </w:rPr>
            </w:pPr>
            <w:r>
              <w:rPr>
                <w:lang w:eastAsia="en-US"/>
              </w:rPr>
              <w:t>Růst importu je výrazně slabší než růst exportu.</w:t>
            </w:r>
          </w:p>
        </w:tc>
        <w:tc>
          <w:tcPr>
            <w:tcW w:w="252" w:type="dxa"/>
          </w:tcPr>
          <w:p w14:paraId="416F33CB" w14:textId="77777777" w:rsidR="00FB4423" w:rsidRDefault="00FB4423" w:rsidP="00775F26">
            <w:pPr>
              <w:pStyle w:val="Textpoznpodarou"/>
              <w:jc w:val="both"/>
              <w:rPr>
                <w:spacing w:val="-4"/>
                <w:lang w:eastAsia="en-US"/>
              </w:rPr>
            </w:pPr>
          </w:p>
        </w:tc>
        <w:tc>
          <w:tcPr>
            <w:tcW w:w="7677" w:type="dxa"/>
            <w:gridSpan w:val="3"/>
            <w:hideMark/>
          </w:tcPr>
          <w:p w14:paraId="6222BFC5" w14:textId="553E1F20" w:rsidR="00FB4423" w:rsidRDefault="00FB4423" w:rsidP="003E62A5">
            <w:pPr>
              <w:spacing w:after="180"/>
              <w:rPr>
                <w:spacing w:val="-4"/>
                <w:lang w:eastAsia="en-US"/>
              </w:rPr>
            </w:pPr>
            <w:r>
              <w:rPr>
                <w:spacing w:val="-4"/>
                <w:lang w:eastAsia="en-US"/>
              </w:rPr>
              <w:t xml:space="preserve">Celková hodnota </w:t>
            </w:r>
            <w:r w:rsidR="003E62A5">
              <w:rPr>
                <w:spacing w:val="-4"/>
                <w:lang w:eastAsia="en-US"/>
              </w:rPr>
              <w:t>dovozu</w:t>
            </w:r>
            <w:r>
              <w:rPr>
                <w:spacing w:val="-4"/>
                <w:lang w:eastAsia="en-US"/>
              </w:rPr>
              <w:t xml:space="preserve"> zboží od začátku roku 2024 dosáhla 3 2987,8 mld. korun a byla meziročně vyšší o 54,1 mld. (1,7 %). Také v případě importu přineslo 3. čtvrtletí roku výrazný meziroční nárůst (77,6 mld. korun, 7,6 %). Ve srovnání s vývozem ale dynamika dovozu od počátku roku stagnuje, čímž se projevuje oslabená spotřební i podniková poptávka </w:t>
            </w:r>
            <w:r>
              <w:rPr>
                <w:spacing w:val="-4"/>
                <w:lang w:eastAsia="en-US"/>
              </w:rPr>
              <w:br/>
              <w:t>i meziroční pokles cen surovin, které mají v dovozu výraznější roli. Zároveň byl celkový nárůst nezanedbatelně ovlivněn vývojem cen</w:t>
            </w:r>
            <w:r>
              <w:rPr>
                <w:rStyle w:val="Znakapoznpodarou"/>
                <w:spacing w:val="-4"/>
                <w:lang w:eastAsia="en-US"/>
              </w:rPr>
              <w:footnoteReference w:id="4"/>
            </w:r>
            <w:r>
              <w:rPr>
                <w:spacing w:val="-4"/>
                <w:lang w:eastAsia="en-US"/>
              </w:rPr>
              <w:t>. Mezičtvrtletně se dovoz zboží podle sezónně očištěných dat ve 3. čtvrtletí zvýšil o 0,9 %. V kumulaci od začátku roku meziročně vzrostl import ze zemí EU o 40,7 mld. korun</w:t>
            </w:r>
            <w:r w:rsidR="003E62A5">
              <w:rPr>
                <w:spacing w:val="-4"/>
                <w:lang w:eastAsia="en-US"/>
              </w:rPr>
              <w:t xml:space="preserve"> (2,0 %) a z mimounijních zemí o 12,8 mld. </w:t>
            </w:r>
            <w:r>
              <w:rPr>
                <w:spacing w:val="-4"/>
                <w:lang w:eastAsia="en-US"/>
              </w:rPr>
              <w:t>(1,1 %). Významně zatím letos vzrostl import zboží z Polska (+19,4 ml</w:t>
            </w:r>
            <w:r w:rsidR="003E62A5">
              <w:rPr>
                <w:spacing w:val="-4"/>
                <w:lang w:eastAsia="en-US"/>
              </w:rPr>
              <w:t xml:space="preserve">d. korun, </w:t>
            </w:r>
            <w:r>
              <w:rPr>
                <w:spacing w:val="-4"/>
                <w:lang w:eastAsia="en-US"/>
              </w:rPr>
              <w:t>6,7 %), Tchaj-wanu (+14,1 mld., 65,8 %)</w:t>
            </w:r>
            <w:r>
              <w:rPr>
                <w:rStyle w:val="Znakapoznpodarou"/>
                <w:spacing w:val="-4"/>
                <w:lang w:eastAsia="en-US"/>
              </w:rPr>
              <w:footnoteReference w:id="5"/>
            </w:r>
            <w:r>
              <w:rPr>
                <w:spacing w:val="-4"/>
                <w:lang w:eastAsia="en-US"/>
              </w:rPr>
              <w:t>, Ázerbájdžán</w:t>
            </w:r>
            <w:r w:rsidR="003E62A5">
              <w:rPr>
                <w:spacing w:val="-4"/>
                <w:lang w:eastAsia="en-US"/>
              </w:rPr>
              <w:t xml:space="preserve">u (+9,2 mld., 44,4 %) a Německa </w:t>
            </w:r>
            <w:r>
              <w:rPr>
                <w:spacing w:val="-4"/>
                <w:lang w:eastAsia="en-US"/>
              </w:rPr>
              <w:t>(+9,1 mld., 1,2 %). Vlivem poklesu cen ropy a zemníh</w:t>
            </w:r>
            <w:r w:rsidR="003E62A5">
              <w:rPr>
                <w:spacing w:val="-4"/>
                <w:lang w:eastAsia="en-US"/>
              </w:rPr>
              <w:t xml:space="preserve">o plynu se naopak propadl dovoz </w:t>
            </w:r>
            <w:r>
              <w:rPr>
                <w:spacing w:val="-4"/>
                <w:lang w:eastAsia="en-US"/>
              </w:rPr>
              <w:t>z Norska (−21,1 mld. korun, −31,6 %). V samotném 3. čtvrtletí se import z EU meziročně zvýšil o 48,4 mld. korun (7,7 %) a ze zemí mimo EU o 29,4 ml</w:t>
            </w:r>
            <w:r w:rsidR="003E62A5">
              <w:rPr>
                <w:spacing w:val="-4"/>
                <w:lang w:eastAsia="en-US"/>
              </w:rPr>
              <w:t xml:space="preserve">d. (7,7 %). Nejvíce rostl dovoz </w:t>
            </w:r>
            <w:r>
              <w:rPr>
                <w:spacing w:val="-4"/>
                <w:lang w:eastAsia="en-US"/>
              </w:rPr>
              <w:t>z Číny a Polska (viz Tabulka č. 4). S odstupem následoval me</w:t>
            </w:r>
            <w:r w:rsidR="003E62A5">
              <w:rPr>
                <w:spacing w:val="-4"/>
                <w:lang w:eastAsia="en-US"/>
              </w:rPr>
              <w:t xml:space="preserve">ziroční přírůstek importu zboží </w:t>
            </w:r>
            <w:r>
              <w:rPr>
                <w:spacing w:val="-4"/>
                <w:lang w:eastAsia="en-US"/>
              </w:rPr>
              <w:t xml:space="preserve">z Německa a Slovenska. Relativně velký byl ve 3. čtvrtletí přírůstek dovozu z Ázerbájdžánu, </w:t>
            </w:r>
            <w:r>
              <w:rPr>
                <w:spacing w:val="-4"/>
                <w:lang w:eastAsia="en-US"/>
              </w:rPr>
              <w:lastRenderedPageBreak/>
              <w:t>Nizozemska a také z Tchaj-wanu. Nejvíce se meziročně snižoval dovoz z Ruska, Velké Británie a Spojených států amerických.</w:t>
            </w:r>
          </w:p>
        </w:tc>
      </w:tr>
      <w:tr w:rsidR="00FB4423" w14:paraId="0D79B2BF" w14:textId="77777777" w:rsidTr="00775F26">
        <w:trPr>
          <w:trHeight w:val="145"/>
        </w:trPr>
        <w:tc>
          <w:tcPr>
            <w:tcW w:w="1748" w:type="dxa"/>
          </w:tcPr>
          <w:p w14:paraId="7D133157" w14:textId="77777777" w:rsidR="00FB4423" w:rsidRDefault="00FB4423" w:rsidP="00775F26">
            <w:pPr>
              <w:pStyle w:val="Marginlie"/>
              <w:rPr>
                <w:lang w:eastAsia="en-US"/>
              </w:rPr>
            </w:pPr>
            <w:r>
              <w:rPr>
                <w:lang w:eastAsia="en-US"/>
              </w:rPr>
              <w:lastRenderedPageBreak/>
              <w:t>Ve 3. čtvrtletí vyprchal vliv vysoké srovnávací základny u elektrických zařízení a jejich dovoz tak meziročně vzrostl.</w:t>
            </w:r>
          </w:p>
        </w:tc>
        <w:tc>
          <w:tcPr>
            <w:tcW w:w="252" w:type="dxa"/>
          </w:tcPr>
          <w:p w14:paraId="6458D7DB" w14:textId="77777777" w:rsidR="00FB4423" w:rsidRDefault="00FB4423" w:rsidP="00775F26">
            <w:pPr>
              <w:pStyle w:val="Textpoznpodarou"/>
              <w:jc w:val="both"/>
              <w:rPr>
                <w:spacing w:val="-4"/>
                <w:lang w:eastAsia="en-US"/>
              </w:rPr>
            </w:pPr>
          </w:p>
        </w:tc>
        <w:tc>
          <w:tcPr>
            <w:tcW w:w="7677" w:type="dxa"/>
            <w:gridSpan w:val="3"/>
          </w:tcPr>
          <w:p w14:paraId="3F5DD323" w14:textId="4D78FAB4" w:rsidR="00FB4423" w:rsidRDefault="00FB4423" w:rsidP="00FB4423">
            <w:pPr>
              <w:spacing w:after="180"/>
              <w:rPr>
                <w:spacing w:val="-4"/>
                <w:lang w:eastAsia="en-US"/>
              </w:rPr>
            </w:pPr>
            <w:r>
              <w:rPr>
                <w:spacing w:val="-4"/>
                <w:lang w:eastAsia="en-US"/>
              </w:rPr>
              <w:t>V kumulaci od začátku roku nejvíce meziročně vzrostl dovoz počítačů, elektronických a optických přístrojů a zařízení (37,1 mld. korun, 11,0 %), potravinářských výrobků (+19,1 mld., 11,9 %) a motorových vozidel (15,9 mld., 3,3 %). Kromě toho napomohly celkovému růstu dovozu i menší přírůstky (mírně pod 10 mld. korun) u položek, jako jsou koks a rafinované ropné produkty, základní farmaceutické výrobky a chemické látky a přípravky. Silná srovnávací základna se projevila na poklesu dovozu elektrických zařízení</w:t>
            </w:r>
            <w:r>
              <w:rPr>
                <w:rStyle w:val="Znakapoznpodarou"/>
                <w:spacing w:val="-4"/>
                <w:lang w:eastAsia="en-US"/>
              </w:rPr>
              <w:footnoteReference w:id="6"/>
            </w:r>
            <w:r>
              <w:rPr>
                <w:spacing w:val="-4"/>
                <w:lang w:eastAsia="en-US"/>
              </w:rPr>
              <w:t xml:space="preserve"> (−23,9 mld. korun, −6,9 %), slabší investiční poptávka zasáhla import strojů a zařízení (−16,8 mld., −5,5 %). U ropy a zemního plynu (−14,1 mld., −10,7 %) se projevil pokles cen. V samotném 3. čtvrtletí dovoz většiny druhů zboží meziročně rostl. Vyšší byl import počítačů, elektronických přístrojů a zařízení (viz Tabulka č. 3), vliv snížené srovnávací základny napomohl také růstu dovozu elektrických zařízení a podobně také motorovým vozidlům. Solidní přírůstky byly zjištěny také v případě importu chemických látek </w:t>
            </w:r>
            <w:r>
              <w:rPr>
                <w:spacing w:val="-4"/>
                <w:lang w:eastAsia="en-US"/>
              </w:rPr>
              <w:br/>
              <w:t>a přípravků, potravinářských výrobků, základních kovů, základních farmaceutických výrobků nebo kovodělných výrobků. Mezi nemnoha zaznamenanými meziročními poklesy dovozu zboží byly významnější zejména ropa a zemní plyn a rudy.</w:t>
            </w:r>
          </w:p>
        </w:tc>
      </w:tr>
      <w:tr w:rsidR="00FB4423" w14:paraId="381BF788" w14:textId="77777777" w:rsidTr="00775F26">
        <w:trPr>
          <w:trHeight w:val="170"/>
        </w:trPr>
        <w:tc>
          <w:tcPr>
            <w:tcW w:w="4811" w:type="dxa"/>
            <w:gridSpan w:val="3"/>
            <w:hideMark/>
          </w:tcPr>
          <w:p w14:paraId="10CAF260" w14:textId="77777777" w:rsidR="00FB4423" w:rsidRDefault="00FB4423" w:rsidP="00775F26">
            <w:pPr>
              <w:spacing w:after="0"/>
              <w:jc w:val="left"/>
              <w:rPr>
                <w:spacing w:val="-4"/>
                <w:lang w:eastAsia="en-US"/>
              </w:rPr>
            </w:pPr>
            <w:r>
              <w:rPr>
                <w:rFonts w:cs="Arial"/>
                <w:b/>
                <w:bCs/>
                <w:color w:val="000000"/>
                <w:sz w:val="18"/>
                <w:szCs w:val="18"/>
                <w:lang w:eastAsia="en-US"/>
              </w:rPr>
              <w:t xml:space="preserve">Tabulka č. 3 Oddíly klasifikace CPA s největším vlivem na vývoj dovozu zboží ve 3. čtvrtletí 2024 </w:t>
            </w:r>
            <w:r>
              <w:rPr>
                <w:rFonts w:cs="Arial"/>
                <w:bCs/>
                <w:color w:val="000000"/>
                <w:sz w:val="18"/>
                <w:szCs w:val="18"/>
                <w:lang w:eastAsia="en-US"/>
              </w:rPr>
              <w:t>(meziročně)</w:t>
            </w:r>
          </w:p>
        </w:tc>
        <w:tc>
          <w:tcPr>
            <w:tcW w:w="57" w:type="dxa"/>
          </w:tcPr>
          <w:p w14:paraId="54C10E10" w14:textId="77777777" w:rsidR="00FB4423" w:rsidRDefault="00FB4423" w:rsidP="00775F26">
            <w:pPr>
              <w:spacing w:after="0"/>
              <w:rPr>
                <w:spacing w:val="-4"/>
                <w:lang w:eastAsia="en-US"/>
              </w:rPr>
            </w:pPr>
          </w:p>
        </w:tc>
        <w:tc>
          <w:tcPr>
            <w:tcW w:w="4809" w:type="dxa"/>
            <w:hideMark/>
          </w:tcPr>
          <w:p w14:paraId="0D4556B4" w14:textId="77777777" w:rsidR="00FB4423" w:rsidRDefault="00FB4423" w:rsidP="00775F26">
            <w:pPr>
              <w:spacing w:after="0"/>
              <w:jc w:val="left"/>
              <w:rPr>
                <w:spacing w:val="-4"/>
                <w:sz w:val="18"/>
                <w:szCs w:val="18"/>
                <w:lang w:eastAsia="en-US"/>
              </w:rPr>
            </w:pPr>
            <w:r>
              <w:rPr>
                <w:rFonts w:cs="Arial"/>
                <w:b/>
                <w:bCs/>
                <w:color w:val="000000"/>
                <w:sz w:val="18"/>
                <w:szCs w:val="18"/>
                <w:lang w:eastAsia="en-US"/>
              </w:rPr>
              <w:t xml:space="preserve">Tabulka č. 4 Země s největším vlivem na vývoj dovozu zboží ve 3. čtvrtletí 2024 </w:t>
            </w:r>
            <w:r>
              <w:rPr>
                <w:rFonts w:cs="Arial"/>
                <w:bCs/>
                <w:color w:val="000000"/>
                <w:sz w:val="18"/>
                <w:szCs w:val="18"/>
                <w:lang w:eastAsia="en-US"/>
              </w:rPr>
              <w:t>(meziročně)</w:t>
            </w:r>
          </w:p>
        </w:tc>
      </w:tr>
      <w:tr w:rsidR="00FB4423" w:rsidRPr="005A40B7" w14:paraId="5881A45A" w14:textId="77777777" w:rsidTr="00775F26">
        <w:trPr>
          <w:trHeight w:val="170"/>
        </w:trPr>
        <w:tc>
          <w:tcPr>
            <w:tcW w:w="4811" w:type="dxa"/>
            <w:gridSpan w:val="3"/>
            <w:hideMark/>
          </w:tcPr>
          <w:tbl>
            <w:tblPr>
              <w:tblW w:w="4817" w:type="dxa"/>
              <w:tblLayout w:type="fixed"/>
              <w:tblCellMar>
                <w:left w:w="70" w:type="dxa"/>
                <w:right w:w="70" w:type="dxa"/>
              </w:tblCellMar>
              <w:tblLook w:val="04A0" w:firstRow="1" w:lastRow="0" w:firstColumn="1" w:lastColumn="0" w:noHBand="0" w:noVBand="1"/>
            </w:tblPr>
            <w:tblGrid>
              <w:gridCol w:w="3417"/>
              <w:gridCol w:w="700"/>
              <w:gridCol w:w="700"/>
            </w:tblGrid>
            <w:tr w:rsidR="00FB4423" w:rsidRPr="00F17A98" w14:paraId="258C8D4D" w14:textId="77777777" w:rsidTr="00775F26">
              <w:trPr>
                <w:trHeight w:val="255"/>
              </w:trPr>
              <w:tc>
                <w:tcPr>
                  <w:tcW w:w="3417" w:type="dxa"/>
                  <w:tcBorders>
                    <w:top w:val="nil"/>
                    <w:left w:val="nil"/>
                    <w:bottom w:val="single" w:sz="4" w:space="0" w:color="auto"/>
                    <w:right w:val="nil"/>
                  </w:tcBorders>
                  <w:shd w:val="clear" w:color="auto" w:fill="auto"/>
                  <w:noWrap/>
                  <w:vAlign w:val="bottom"/>
                  <w:hideMark/>
                </w:tcPr>
                <w:p w14:paraId="23F3E277"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 </w:t>
                  </w:r>
                </w:p>
              </w:tc>
              <w:tc>
                <w:tcPr>
                  <w:tcW w:w="700" w:type="dxa"/>
                  <w:tcBorders>
                    <w:top w:val="nil"/>
                    <w:left w:val="nil"/>
                    <w:bottom w:val="single" w:sz="4" w:space="0" w:color="auto"/>
                    <w:right w:val="nil"/>
                  </w:tcBorders>
                  <w:shd w:val="clear" w:color="auto" w:fill="auto"/>
                  <w:noWrap/>
                  <w:vAlign w:val="bottom"/>
                  <w:hideMark/>
                </w:tcPr>
                <w:p w14:paraId="5E43C2B3"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mld. Kč</w:t>
                  </w:r>
                </w:p>
              </w:tc>
              <w:tc>
                <w:tcPr>
                  <w:tcW w:w="700" w:type="dxa"/>
                  <w:tcBorders>
                    <w:top w:val="nil"/>
                    <w:left w:val="nil"/>
                    <w:bottom w:val="single" w:sz="4" w:space="0" w:color="auto"/>
                    <w:right w:val="nil"/>
                  </w:tcBorders>
                  <w:shd w:val="clear" w:color="auto" w:fill="auto"/>
                  <w:noWrap/>
                  <w:vAlign w:val="bottom"/>
                  <w:hideMark/>
                </w:tcPr>
                <w:p w14:paraId="68913434"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w:t>
                  </w:r>
                </w:p>
              </w:tc>
            </w:tr>
            <w:tr w:rsidR="00FB4423" w:rsidRPr="00F17A98" w14:paraId="64467DDF" w14:textId="77777777" w:rsidTr="00775F26">
              <w:trPr>
                <w:trHeight w:val="255"/>
              </w:trPr>
              <w:tc>
                <w:tcPr>
                  <w:tcW w:w="3417" w:type="dxa"/>
                  <w:tcBorders>
                    <w:top w:val="nil"/>
                    <w:left w:val="nil"/>
                    <w:bottom w:val="nil"/>
                    <w:right w:val="nil"/>
                  </w:tcBorders>
                  <w:shd w:val="clear" w:color="auto" w:fill="auto"/>
                  <w:noWrap/>
                  <w:vAlign w:val="bottom"/>
                  <w:hideMark/>
                </w:tcPr>
                <w:p w14:paraId="1C1597B8"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Počítače, elektron</w:t>
                  </w:r>
                  <w:r>
                    <w:rPr>
                      <w:rFonts w:cs="Arial"/>
                      <w:color w:val="000000"/>
                      <w:sz w:val="16"/>
                      <w:szCs w:val="16"/>
                    </w:rPr>
                    <w:t>.</w:t>
                  </w:r>
                  <w:r w:rsidRPr="00F17A98">
                    <w:rPr>
                      <w:rFonts w:cs="Arial"/>
                      <w:color w:val="000000"/>
                      <w:sz w:val="16"/>
                      <w:szCs w:val="16"/>
                    </w:rPr>
                    <w:t xml:space="preserve"> a opt</w:t>
                  </w:r>
                  <w:r>
                    <w:rPr>
                      <w:rFonts w:cs="Arial"/>
                      <w:color w:val="000000"/>
                      <w:sz w:val="16"/>
                      <w:szCs w:val="16"/>
                    </w:rPr>
                    <w:t xml:space="preserve">. </w:t>
                  </w:r>
                  <w:r w:rsidRPr="00F17A98">
                    <w:rPr>
                      <w:rFonts w:cs="Arial"/>
                      <w:color w:val="000000"/>
                      <w:sz w:val="16"/>
                      <w:szCs w:val="16"/>
                    </w:rPr>
                    <w:t>přístroje a zařízení</w:t>
                  </w:r>
                </w:p>
              </w:tc>
              <w:tc>
                <w:tcPr>
                  <w:tcW w:w="700" w:type="dxa"/>
                  <w:tcBorders>
                    <w:top w:val="nil"/>
                    <w:left w:val="nil"/>
                    <w:bottom w:val="nil"/>
                    <w:right w:val="nil"/>
                  </w:tcBorders>
                  <w:shd w:val="clear" w:color="auto" w:fill="auto"/>
                  <w:noWrap/>
                  <w:vAlign w:val="bottom"/>
                  <w:hideMark/>
                </w:tcPr>
                <w:p w14:paraId="036A3208"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+11,8</w:t>
                  </w:r>
                </w:p>
              </w:tc>
              <w:tc>
                <w:tcPr>
                  <w:tcW w:w="700" w:type="dxa"/>
                  <w:tcBorders>
                    <w:top w:val="nil"/>
                    <w:left w:val="nil"/>
                    <w:bottom w:val="nil"/>
                    <w:right w:val="nil"/>
                  </w:tcBorders>
                  <w:shd w:val="clear" w:color="auto" w:fill="auto"/>
                  <w:noWrap/>
                  <w:vAlign w:val="bottom"/>
                  <w:hideMark/>
                </w:tcPr>
                <w:p w14:paraId="1C0E1BA0"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+10,5</w:t>
                  </w:r>
                </w:p>
              </w:tc>
            </w:tr>
            <w:tr w:rsidR="00FB4423" w:rsidRPr="00F17A98" w14:paraId="1AF60B71" w14:textId="77777777" w:rsidTr="00775F26">
              <w:trPr>
                <w:trHeight w:val="255"/>
              </w:trPr>
              <w:tc>
                <w:tcPr>
                  <w:tcW w:w="3417" w:type="dxa"/>
                  <w:tcBorders>
                    <w:top w:val="nil"/>
                    <w:left w:val="nil"/>
                    <w:bottom w:val="nil"/>
                    <w:right w:val="nil"/>
                  </w:tcBorders>
                  <w:shd w:val="clear" w:color="auto" w:fill="auto"/>
                  <w:noWrap/>
                  <w:vAlign w:val="bottom"/>
                  <w:hideMark/>
                </w:tcPr>
                <w:p w14:paraId="7F57CF6A"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Elektrická zařízení</w:t>
                  </w:r>
                </w:p>
              </w:tc>
              <w:tc>
                <w:tcPr>
                  <w:tcW w:w="700" w:type="dxa"/>
                  <w:tcBorders>
                    <w:top w:val="nil"/>
                    <w:left w:val="nil"/>
                    <w:bottom w:val="nil"/>
                    <w:right w:val="nil"/>
                  </w:tcBorders>
                  <w:shd w:val="clear" w:color="auto" w:fill="auto"/>
                  <w:noWrap/>
                  <w:vAlign w:val="bottom"/>
                  <w:hideMark/>
                </w:tcPr>
                <w:p w14:paraId="66BD1BED"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+11,3</w:t>
                  </w:r>
                </w:p>
              </w:tc>
              <w:tc>
                <w:tcPr>
                  <w:tcW w:w="700" w:type="dxa"/>
                  <w:tcBorders>
                    <w:top w:val="nil"/>
                    <w:left w:val="nil"/>
                    <w:bottom w:val="nil"/>
                    <w:right w:val="nil"/>
                  </w:tcBorders>
                  <w:shd w:val="clear" w:color="auto" w:fill="auto"/>
                  <w:noWrap/>
                  <w:vAlign w:val="bottom"/>
                  <w:hideMark/>
                </w:tcPr>
                <w:p w14:paraId="7FE54E34"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+10,7</w:t>
                  </w:r>
                </w:p>
              </w:tc>
            </w:tr>
            <w:tr w:rsidR="00FB4423" w:rsidRPr="00F17A98" w14:paraId="24A139CD" w14:textId="77777777" w:rsidTr="00775F26">
              <w:trPr>
                <w:trHeight w:val="255"/>
              </w:trPr>
              <w:tc>
                <w:tcPr>
                  <w:tcW w:w="3417" w:type="dxa"/>
                  <w:tcBorders>
                    <w:top w:val="nil"/>
                    <w:left w:val="nil"/>
                    <w:bottom w:val="nil"/>
                    <w:right w:val="nil"/>
                  </w:tcBorders>
                  <w:shd w:val="clear" w:color="auto" w:fill="auto"/>
                  <w:noWrap/>
                  <w:vAlign w:val="bottom"/>
                  <w:hideMark/>
                </w:tcPr>
                <w:p w14:paraId="6C21ACEA"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Motorová vozidla (kromě motocyklů) a díly</w:t>
                  </w:r>
                </w:p>
              </w:tc>
              <w:tc>
                <w:tcPr>
                  <w:tcW w:w="700" w:type="dxa"/>
                  <w:tcBorders>
                    <w:top w:val="nil"/>
                    <w:left w:val="nil"/>
                    <w:bottom w:val="nil"/>
                    <w:right w:val="nil"/>
                  </w:tcBorders>
                  <w:shd w:val="clear" w:color="auto" w:fill="auto"/>
                  <w:noWrap/>
                  <w:vAlign w:val="bottom"/>
                  <w:hideMark/>
                </w:tcPr>
                <w:p w14:paraId="62F3760E"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+9,4</w:t>
                  </w:r>
                </w:p>
              </w:tc>
              <w:tc>
                <w:tcPr>
                  <w:tcW w:w="700" w:type="dxa"/>
                  <w:tcBorders>
                    <w:top w:val="nil"/>
                    <w:left w:val="nil"/>
                    <w:bottom w:val="nil"/>
                    <w:right w:val="nil"/>
                  </w:tcBorders>
                  <w:shd w:val="clear" w:color="auto" w:fill="auto"/>
                  <w:noWrap/>
                  <w:vAlign w:val="bottom"/>
                  <w:hideMark/>
                </w:tcPr>
                <w:p w14:paraId="3104EA67"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+6,5</w:t>
                  </w:r>
                </w:p>
              </w:tc>
            </w:tr>
            <w:tr w:rsidR="00FB4423" w:rsidRPr="00F17A98" w14:paraId="1E26489B" w14:textId="77777777" w:rsidTr="00775F26">
              <w:trPr>
                <w:trHeight w:val="255"/>
              </w:trPr>
              <w:tc>
                <w:tcPr>
                  <w:tcW w:w="3417" w:type="dxa"/>
                  <w:tcBorders>
                    <w:top w:val="nil"/>
                    <w:left w:val="nil"/>
                    <w:bottom w:val="nil"/>
                    <w:right w:val="nil"/>
                  </w:tcBorders>
                  <w:shd w:val="clear" w:color="auto" w:fill="auto"/>
                  <w:noWrap/>
                  <w:vAlign w:val="bottom"/>
                  <w:hideMark/>
                </w:tcPr>
                <w:p w14:paraId="583332C8"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Chemické látky a přípravky</w:t>
                  </w:r>
                </w:p>
              </w:tc>
              <w:tc>
                <w:tcPr>
                  <w:tcW w:w="700" w:type="dxa"/>
                  <w:tcBorders>
                    <w:top w:val="nil"/>
                    <w:left w:val="nil"/>
                    <w:bottom w:val="nil"/>
                    <w:right w:val="nil"/>
                  </w:tcBorders>
                  <w:shd w:val="clear" w:color="auto" w:fill="auto"/>
                  <w:noWrap/>
                  <w:vAlign w:val="bottom"/>
                  <w:hideMark/>
                </w:tcPr>
                <w:p w14:paraId="3F2FFD2C"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+7,8</w:t>
                  </w:r>
                </w:p>
              </w:tc>
              <w:tc>
                <w:tcPr>
                  <w:tcW w:w="700" w:type="dxa"/>
                  <w:tcBorders>
                    <w:top w:val="nil"/>
                    <w:left w:val="nil"/>
                    <w:bottom w:val="nil"/>
                    <w:right w:val="nil"/>
                  </w:tcBorders>
                  <w:shd w:val="clear" w:color="auto" w:fill="auto"/>
                  <w:noWrap/>
                  <w:vAlign w:val="bottom"/>
                  <w:hideMark/>
                </w:tcPr>
                <w:p w14:paraId="2F1044A5"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+9,6</w:t>
                  </w:r>
                </w:p>
              </w:tc>
            </w:tr>
            <w:tr w:rsidR="00FB4423" w:rsidRPr="00F17A98" w14:paraId="0A5FA21E" w14:textId="77777777" w:rsidTr="00775F26">
              <w:trPr>
                <w:trHeight w:val="255"/>
              </w:trPr>
              <w:tc>
                <w:tcPr>
                  <w:tcW w:w="3417" w:type="dxa"/>
                  <w:tcBorders>
                    <w:top w:val="nil"/>
                    <w:left w:val="nil"/>
                    <w:bottom w:val="nil"/>
                    <w:right w:val="nil"/>
                  </w:tcBorders>
                  <w:shd w:val="clear" w:color="auto" w:fill="auto"/>
                  <w:noWrap/>
                  <w:vAlign w:val="bottom"/>
                  <w:hideMark/>
                </w:tcPr>
                <w:p w14:paraId="3DBC33E8"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Potravinářské výrobky</w:t>
                  </w:r>
                </w:p>
              </w:tc>
              <w:tc>
                <w:tcPr>
                  <w:tcW w:w="700" w:type="dxa"/>
                  <w:tcBorders>
                    <w:top w:val="nil"/>
                    <w:left w:val="nil"/>
                    <w:bottom w:val="nil"/>
                    <w:right w:val="nil"/>
                  </w:tcBorders>
                  <w:shd w:val="clear" w:color="auto" w:fill="auto"/>
                  <w:noWrap/>
                  <w:vAlign w:val="bottom"/>
                  <w:hideMark/>
                </w:tcPr>
                <w:p w14:paraId="78201DB3"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+7,8</w:t>
                  </w:r>
                </w:p>
              </w:tc>
              <w:tc>
                <w:tcPr>
                  <w:tcW w:w="700" w:type="dxa"/>
                  <w:tcBorders>
                    <w:top w:val="nil"/>
                    <w:left w:val="nil"/>
                    <w:bottom w:val="nil"/>
                    <w:right w:val="nil"/>
                  </w:tcBorders>
                  <w:shd w:val="clear" w:color="auto" w:fill="auto"/>
                  <w:noWrap/>
                  <w:vAlign w:val="bottom"/>
                  <w:hideMark/>
                </w:tcPr>
                <w:p w14:paraId="032054BE"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+14,5</w:t>
                  </w:r>
                </w:p>
              </w:tc>
            </w:tr>
            <w:tr w:rsidR="00FB4423" w:rsidRPr="00F17A98" w14:paraId="207DEB89" w14:textId="77777777" w:rsidTr="00775F26">
              <w:trPr>
                <w:trHeight w:val="255"/>
              </w:trPr>
              <w:tc>
                <w:tcPr>
                  <w:tcW w:w="3417" w:type="dxa"/>
                  <w:tcBorders>
                    <w:top w:val="nil"/>
                    <w:left w:val="nil"/>
                    <w:bottom w:val="nil"/>
                    <w:right w:val="nil"/>
                  </w:tcBorders>
                  <w:shd w:val="clear" w:color="auto" w:fill="auto"/>
                  <w:noWrap/>
                  <w:vAlign w:val="bottom"/>
                  <w:hideMark/>
                </w:tcPr>
                <w:p w14:paraId="11DB0902"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Základní kovy</w:t>
                  </w:r>
                </w:p>
              </w:tc>
              <w:tc>
                <w:tcPr>
                  <w:tcW w:w="700" w:type="dxa"/>
                  <w:tcBorders>
                    <w:top w:val="nil"/>
                    <w:left w:val="nil"/>
                    <w:bottom w:val="nil"/>
                    <w:right w:val="nil"/>
                  </w:tcBorders>
                  <w:shd w:val="clear" w:color="auto" w:fill="auto"/>
                  <w:noWrap/>
                  <w:vAlign w:val="bottom"/>
                  <w:hideMark/>
                </w:tcPr>
                <w:p w14:paraId="1AF54D5D"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+6,0</w:t>
                  </w:r>
                </w:p>
              </w:tc>
              <w:tc>
                <w:tcPr>
                  <w:tcW w:w="700" w:type="dxa"/>
                  <w:tcBorders>
                    <w:top w:val="nil"/>
                    <w:left w:val="nil"/>
                    <w:bottom w:val="nil"/>
                    <w:right w:val="nil"/>
                  </w:tcBorders>
                  <w:shd w:val="clear" w:color="auto" w:fill="auto"/>
                  <w:noWrap/>
                  <w:vAlign w:val="bottom"/>
                  <w:hideMark/>
                </w:tcPr>
                <w:p w14:paraId="4FA5A37E"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+8,3</w:t>
                  </w:r>
                </w:p>
              </w:tc>
            </w:tr>
            <w:tr w:rsidR="00FB4423" w:rsidRPr="00F17A98" w14:paraId="7D2B339A" w14:textId="77777777" w:rsidTr="00775F26">
              <w:trPr>
                <w:trHeight w:val="255"/>
              </w:trPr>
              <w:tc>
                <w:tcPr>
                  <w:tcW w:w="3417" w:type="dxa"/>
                  <w:tcBorders>
                    <w:top w:val="nil"/>
                    <w:left w:val="nil"/>
                    <w:bottom w:val="nil"/>
                    <w:right w:val="nil"/>
                  </w:tcBorders>
                  <w:shd w:val="clear" w:color="auto" w:fill="auto"/>
                  <w:noWrap/>
                  <w:vAlign w:val="bottom"/>
                  <w:hideMark/>
                </w:tcPr>
                <w:p w14:paraId="19C19EF8"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Základní farmaceutické výrobky a přípravky</w:t>
                  </w:r>
                </w:p>
              </w:tc>
              <w:tc>
                <w:tcPr>
                  <w:tcW w:w="700" w:type="dxa"/>
                  <w:tcBorders>
                    <w:top w:val="nil"/>
                    <w:left w:val="nil"/>
                    <w:bottom w:val="nil"/>
                    <w:right w:val="nil"/>
                  </w:tcBorders>
                  <w:shd w:val="clear" w:color="auto" w:fill="auto"/>
                  <w:noWrap/>
                  <w:vAlign w:val="bottom"/>
                  <w:hideMark/>
                </w:tcPr>
                <w:p w14:paraId="33FC4C69"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+5,3</w:t>
                  </w:r>
                </w:p>
              </w:tc>
              <w:tc>
                <w:tcPr>
                  <w:tcW w:w="700" w:type="dxa"/>
                  <w:tcBorders>
                    <w:top w:val="nil"/>
                    <w:left w:val="nil"/>
                    <w:bottom w:val="nil"/>
                    <w:right w:val="nil"/>
                  </w:tcBorders>
                  <w:shd w:val="clear" w:color="auto" w:fill="auto"/>
                  <w:noWrap/>
                  <w:vAlign w:val="bottom"/>
                  <w:hideMark/>
                </w:tcPr>
                <w:p w14:paraId="710C3A73"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+16,7</w:t>
                  </w:r>
                </w:p>
              </w:tc>
            </w:tr>
            <w:tr w:rsidR="00FB4423" w:rsidRPr="00F17A98" w14:paraId="565C6DB1" w14:textId="77777777" w:rsidTr="00775F26">
              <w:trPr>
                <w:trHeight w:val="255"/>
              </w:trPr>
              <w:tc>
                <w:tcPr>
                  <w:tcW w:w="3417" w:type="dxa"/>
                  <w:tcBorders>
                    <w:top w:val="nil"/>
                    <w:left w:val="nil"/>
                    <w:bottom w:val="nil"/>
                    <w:right w:val="nil"/>
                  </w:tcBorders>
                  <w:shd w:val="clear" w:color="auto" w:fill="auto"/>
                  <w:noWrap/>
                  <w:vAlign w:val="bottom"/>
                  <w:hideMark/>
                </w:tcPr>
                <w:p w14:paraId="7D679573"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Kovodělné výrobky kromě strojů a zařízení</w:t>
                  </w:r>
                </w:p>
              </w:tc>
              <w:tc>
                <w:tcPr>
                  <w:tcW w:w="700" w:type="dxa"/>
                  <w:tcBorders>
                    <w:top w:val="nil"/>
                    <w:left w:val="nil"/>
                    <w:bottom w:val="nil"/>
                    <w:right w:val="nil"/>
                  </w:tcBorders>
                  <w:shd w:val="clear" w:color="auto" w:fill="auto"/>
                  <w:noWrap/>
                  <w:vAlign w:val="bottom"/>
                  <w:hideMark/>
                </w:tcPr>
                <w:p w14:paraId="09DD5C62"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+5,0</w:t>
                  </w:r>
                </w:p>
              </w:tc>
              <w:tc>
                <w:tcPr>
                  <w:tcW w:w="700" w:type="dxa"/>
                  <w:tcBorders>
                    <w:top w:val="nil"/>
                    <w:left w:val="nil"/>
                    <w:bottom w:val="nil"/>
                    <w:right w:val="nil"/>
                  </w:tcBorders>
                  <w:shd w:val="clear" w:color="auto" w:fill="auto"/>
                  <w:noWrap/>
                  <w:vAlign w:val="bottom"/>
                  <w:hideMark/>
                </w:tcPr>
                <w:p w14:paraId="0C2DDBF8"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+10,6</w:t>
                  </w:r>
                </w:p>
              </w:tc>
            </w:tr>
            <w:tr w:rsidR="00FB4423" w:rsidRPr="00F17A98" w14:paraId="40244E6E" w14:textId="77777777" w:rsidTr="00775F26">
              <w:trPr>
                <w:trHeight w:val="255"/>
              </w:trPr>
              <w:tc>
                <w:tcPr>
                  <w:tcW w:w="3417" w:type="dxa"/>
                  <w:tcBorders>
                    <w:top w:val="nil"/>
                    <w:left w:val="nil"/>
                    <w:bottom w:val="nil"/>
                    <w:right w:val="nil"/>
                  </w:tcBorders>
                  <w:shd w:val="clear" w:color="auto" w:fill="auto"/>
                  <w:noWrap/>
                  <w:vAlign w:val="bottom"/>
                  <w:hideMark/>
                </w:tcPr>
                <w:p w14:paraId="32E90CC6"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Pryžové a plastové výrobky</w:t>
                  </w:r>
                </w:p>
              </w:tc>
              <w:tc>
                <w:tcPr>
                  <w:tcW w:w="700" w:type="dxa"/>
                  <w:tcBorders>
                    <w:top w:val="nil"/>
                    <w:left w:val="nil"/>
                    <w:bottom w:val="nil"/>
                    <w:right w:val="nil"/>
                  </w:tcBorders>
                  <w:shd w:val="clear" w:color="auto" w:fill="auto"/>
                  <w:noWrap/>
                  <w:vAlign w:val="bottom"/>
                  <w:hideMark/>
                </w:tcPr>
                <w:p w14:paraId="319BC9DE"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+4,4</w:t>
                  </w:r>
                </w:p>
              </w:tc>
              <w:tc>
                <w:tcPr>
                  <w:tcW w:w="700" w:type="dxa"/>
                  <w:tcBorders>
                    <w:top w:val="nil"/>
                    <w:left w:val="nil"/>
                    <w:bottom w:val="nil"/>
                    <w:right w:val="nil"/>
                  </w:tcBorders>
                  <w:shd w:val="clear" w:color="auto" w:fill="auto"/>
                  <w:noWrap/>
                  <w:vAlign w:val="bottom"/>
                  <w:hideMark/>
                </w:tcPr>
                <w:p w14:paraId="409C1D7E"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+9,5</w:t>
                  </w:r>
                </w:p>
              </w:tc>
            </w:tr>
            <w:tr w:rsidR="00FB4423" w:rsidRPr="00F17A98" w14:paraId="13F9B337" w14:textId="77777777" w:rsidTr="00775F26">
              <w:trPr>
                <w:trHeight w:val="255"/>
              </w:trPr>
              <w:tc>
                <w:tcPr>
                  <w:tcW w:w="3417" w:type="dxa"/>
                  <w:tcBorders>
                    <w:top w:val="nil"/>
                    <w:left w:val="nil"/>
                    <w:bottom w:val="nil"/>
                    <w:right w:val="nil"/>
                  </w:tcBorders>
                  <w:shd w:val="clear" w:color="auto" w:fill="auto"/>
                  <w:noWrap/>
                  <w:vAlign w:val="bottom"/>
                  <w:hideMark/>
                </w:tcPr>
                <w:p w14:paraId="4BE19BC4"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Ostatní výrobky zpracovatelského průmyslu</w:t>
                  </w:r>
                </w:p>
              </w:tc>
              <w:tc>
                <w:tcPr>
                  <w:tcW w:w="700" w:type="dxa"/>
                  <w:tcBorders>
                    <w:top w:val="nil"/>
                    <w:left w:val="nil"/>
                    <w:bottom w:val="nil"/>
                    <w:right w:val="nil"/>
                  </w:tcBorders>
                  <w:shd w:val="clear" w:color="auto" w:fill="auto"/>
                  <w:noWrap/>
                  <w:vAlign w:val="bottom"/>
                  <w:hideMark/>
                </w:tcPr>
                <w:p w14:paraId="292184D2"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+2,9</w:t>
                  </w:r>
                </w:p>
              </w:tc>
              <w:tc>
                <w:tcPr>
                  <w:tcW w:w="700" w:type="dxa"/>
                  <w:tcBorders>
                    <w:top w:val="nil"/>
                    <w:left w:val="nil"/>
                    <w:bottom w:val="nil"/>
                    <w:right w:val="nil"/>
                  </w:tcBorders>
                  <w:shd w:val="clear" w:color="auto" w:fill="auto"/>
                  <w:noWrap/>
                  <w:vAlign w:val="bottom"/>
                  <w:hideMark/>
                </w:tcPr>
                <w:p w14:paraId="05F1453C"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+13,5</w:t>
                  </w:r>
                </w:p>
              </w:tc>
            </w:tr>
            <w:tr w:rsidR="00FB4423" w:rsidRPr="00F17A98" w14:paraId="33DCFAAE" w14:textId="77777777" w:rsidTr="00775F26">
              <w:trPr>
                <w:trHeight w:val="255"/>
              </w:trPr>
              <w:tc>
                <w:tcPr>
                  <w:tcW w:w="3417" w:type="dxa"/>
                  <w:tcBorders>
                    <w:top w:val="nil"/>
                    <w:left w:val="nil"/>
                    <w:bottom w:val="nil"/>
                    <w:right w:val="nil"/>
                  </w:tcBorders>
                  <w:shd w:val="clear" w:color="auto" w:fill="auto"/>
                  <w:noWrap/>
                  <w:vAlign w:val="bottom"/>
                  <w:hideMark/>
                </w:tcPr>
                <w:p w14:paraId="6D5D0318"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Papír a výrobky z papíru</w:t>
                  </w:r>
                </w:p>
              </w:tc>
              <w:tc>
                <w:tcPr>
                  <w:tcW w:w="700" w:type="dxa"/>
                  <w:tcBorders>
                    <w:top w:val="nil"/>
                    <w:left w:val="nil"/>
                    <w:bottom w:val="nil"/>
                    <w:right w:val="nil"/>
                  </w:tcBorders>
                  <w:shd w:val="clear" w:color="auto" w:fill="auto"/>
                  <w:noWrap/>
                  <w:vAlign w:val="bottom"/>
                  <w:hideMark/>
                </w:tcPr>
                <w:p w14:paraId="244C9FD0"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+2,5</w:t>
                  </w:r>
                </w:p>
              </w:tc>
              <w:tc>
                <w:tcPr>
                  <w:tcW w:w="700" w:type="dxa"/>
                  <w:tcBorders>
                    <w:top w:val="nil"/>
                    <w:left w:val="nil"/>
                    <w:bottom w:val="nil"/>
                    <w:right w:val="nil"/>
                  </w:tcBorders>
                  <w:shd w:val="clear" w:color="auto" w:fill="auto"/>
                  <w:noWrap/>
                  <w:vAlign w:val="bottom"/>
                  <w:hideMark/>
                </w:tcPr>
                <w:p w14:paraId="2A9BBE37"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+17,1</w:t>
                  </w:r>
                </w:p>
              </w:tc>
            </w:tr>
            <w:tr w:rsidR="00FB4423" w:rsidRPr="00F17A98" w14:paraId="1D6E9516" w14:textId="77777777" w:rsidTr="00775F26">
              <w:trPr>
                <w:trHeight w:val="255"/>
              </w:trPr>
              <w:tc>
                <w:tcPr>
                  <w:tcW w:w="3417" w:type="dxa"/>
                  <w:tcBorders>
                    <w:top w:val="nil"/>
                    <w:left w:val="nil"/>
                    <w:bottom w:val="nil"/>
                    <w:right w:val="nil"/>
                  </w:tcBorders>
                  <w:shd w:val="clear" w:color="auto" w:fill="auto"/>
                  <w:noWrap/>
                  <w:vAlign w:val="bottom"/>
                  <w:hideMark/>
                </w:tcPr>
                <w:p w14:paraId="3F89AF9D"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Nábytek</w:t>
                  </w:r>
                </w:p>
              </w:tc>
              <w:tc>
                <w:tcPr>
                  <w:tcW w:w="700" w:type="dxa"/>
                  <w:tcBorders>
                    <w:top w:val="nil"/>
                    <w:left w:val="nil"/>
                    <w:bottom w:val="nil"/>
                    <w:right w:val="nil"/>
                  </w:tcBorders>
                  <w:shd w:val="clear" w:color="auto" w:fill="auto"/>
                  <w:noWrap/>
                  <w:vAlign w:val="bottom"/>
                  <w:hideMark/>
                </w:tcPr>
                <w:p w14:paraId="2023020A"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+1,8</w:t>
                  </w:r>
                </w:p>
              </w:tc>
              <w:tc>
                <w:tcPr>
                  <w:tcW w:w="700" w:type="dxa"/>
                  <w:tcBorders>
                    <w:top w:val="nil"/>
                    <w:left w:val="nil"/>
                    <w:bottom w:val="nil"/>
                    <w:right w:val="nil"/>
                  </w:tcBorders>
                  <w:shd w:val="clear" w:color="auto" w:fill="auto"/>
                  <w:noWrap/>
                  <w:vAlign w:val="bottom"/>
                  <w:hideMark/>
                </w:tcPr>
                <w:p w14:paraId="7A11F19A"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+25,8</w:t>
                  </w:r>
                </w:p>
              </w:tc>
            </w:tr>
            <w:tr w:rsidR="00FB4423" w:rsidRPr="00F17A98" w14:paraId="4DAD56B8" w14:textId="77777777" w:rsidTr="00775F26">
              <w:trPr>
                <w:trHeight w:val="255"/>
              </w:trPr>
              <w:tc>
                <w:tcPr>
                  <w:tcW w:w="3417" w:type="dxa"/>
                  <w:tcBorders>
                    <w:top w:val="nil"/>
                    <w:left w:val="nil"/>
                    <w:bottom w:val="nil"/>
                    <w:right w:val="nil"/>
                  </w:tcBorders>
                  <w:shd w:val="clear" w:color="auto" w:fill="auto"/>
                  <w:noWrap/>
                  <w:vAlign w:val="bottom"/>
                  <w:hideMark/>
                </w:tcPr>
                <w:p w14:paraId="365A3573"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Produkty zemědělství a myslivosti</w:t>
                  </w:r>
                </w:p>
              </w:tc>
              <w:tc>
                <w:tcPr>
                  <w:tcW w:w="700" w:type="dxa"/>
                  <w:tcBorders>
                    <w:top w:val="nil"/>
                    <w:left w:val="nil"/>
                    <w:bottom w:val="nil"/>
                    <w:right w:val="nil"/>
                  </w:tcBorders>
                  <w:shd w:val="clear" w:color="auto" w:fill="auto"/>
                  <w:noWrap/>
                  <w:vAlign w:val="bottom"/>
                  <w:hideMark/>
                </w:tcPr>
                <w:p w14:paraId="3DC1490E"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+1,5</w:t>
                  </w:r>
                </w:p>
              </w:tc>
              <w:tc>
                <w:tcPr>
                  <w:tcW w:w="700" w:type="dxa"/>
                  <w:tcBorders>
                    <w:top w:val="nil"/>
                    <w:left w:val="nil"/>
                    <w:bottom w:val="nil"/>
                    <w:right w:val="nil"/>
                  </w:tcBorders>
                  <w:shd w:val="clear" w:color="auto" w:fill="auto"/>
                  <w:noWrap/>
                  <w:vAlign w:val="bottom"/>
                  <w:hideMark/>
                </w:tcPr>
                <w:p w14:paraId="3B1C747B"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+10,9</w:t>
                  </w:r>
                </w:p>
              </w:tc>
            </w:tr>
            <w:tr w:rsidR="00FB4423" w:rsidRPr="00F17A98" w14:paraId="2C7F01B8" w14:textId="77777777" w:rsidTr="00775F26">
              <w:trPr>
                <w:trHeight w:val="255"/>
              </w:trPr>
              <w:tc>
                <w:tcPr>
                  <w:tcW w:w="3417" w:type="dxa"/>
                  <w:tcBorders>
                    <w:top w:val="nil"/>
                    <w:left w:val="nil"/>
                    <w:bottom w:val="nil"/>
                    <w:right w:val="nil"/>
                  </w:tcBorders>
                  <w:shd w:val="clear" w:color="auto" w:fill="auto"/>
                  <w:noWrap/>
                  <w:vAlign w:val="bottom"/>
                  <w:hideMark/>
                </w:tcPr>
                <w:p w14:paraId="0DE4A7FD"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Rudy</w:t>
                  </w:r>
                </w:p>
              </w:tc>
              <w:tc>
                <w:tcPr>
                  <w:tcW w:w="700" w:type="dxa"/>
                  <w:tcBorders>
                    <w:top w:val="nil"/>
                    <w:left w:val="nil"/>
                    <w:bottom w:val="nil"/>
                    <w:right w:val="nil"/>
                  </w:tcBorders>
                  <w:shd w:val="clear" w:color="auto" w:fill="auto"/>
                  <w:noWrap/>
                  <w:vAlign w:val="bottom"/>
                  <w:hideMark/>
                </w:tcPr>
                <w:p w14:paraId="180D51E8" w14:textId="77777777" w:rsidR="00FB4423" w:rsidRPr="00F17A98" w:rsidRDefault="00FB4423" w:rsidP="00775F26">
                  <w:pPr>
                    <w:spacing w:after="0" w:line="240" w:lineRule="auto"/>
                    <w:jc w:val="right"/>
                    <w:rPr>
                      <w:rFonts w:cs="Arial"/>
                      <w:color w:val="000000"/>
                      <w:sz w:val="16"/>
                      <w:szCs w:val="16"/>
                    </w:rPr>
                  </w:pPr>
                  <w:r>
                    <w:rPr>
                      <w:rFonts w:cs="Arial"/>
                      <w:color w:val="000000"/>
                      <w:sz w:val="16"/>
                      <w:szCs w:val="16"/>
                    </w:rPr>
                    <w:t>−</w:t>
                  </w:r>
                  <w:r w:rsidRPr="00F17A98">
                    <w:rPr>
                      <w:rFonts w:cs="Arial"/>
                      <w:color w:val="000000"/>
                      <w:sz w:val="16"/>
                      <w:szCs w:val="16"/>
                    </w:rPr>
                    <w:t>2,2</w:t>
                  </w:r>
                </w:p>
              </w:tc>
              <w:tc>
                <w:tcPr>
                  <w:tcW w:w="700" w:type="dxa"/>
                  <w:tcBorders>
                    <w:top w:val="nil"/>
                    <w:left w:val="nil"/>
                    <w:bottom w:val="nil"/>
                    <w:right w:val="nil"/>
                  </w:tcBorders>
                  <w:shd w:val="clear" w:color="auto" w:fill="auto"/>
                  <w:noWrap/>
                  <w:vAlign w:val="bottom"/>
                  <w:hideMark/>
                </w:tcPr>
                <w:p w14:paraId="520BDF36" w14:textId="77777777" w:rsidR="00FB4423" w:rsidRPr="00F17A98" w:rsidRDefault="00FB4423" w:rsidP="00775F26">
                  <w:pPr>
                    <w:spacing w:after="0" w:line="240" w:lineRule="auto"/>
                    <w:jc w:val="right"/>
                    <w:rPr>
                      <w:rFonts w:cs="Arial"/>
                      <w:color w:val="000000"/>
                      <w:sz w:val="16"/>
                      <w:szCs w:val="16"/>
                    </w:rPr>
                  </w:pPr>
                  <w:r>
                    <w:rPr>
                      <w:rFonts w:cs="Arial"/>
                      <w:color w:val="000000"/>
                      <w:sz w:val="16"/>
                      <w:szCs w:val="16"/>
                    </w:rPr>
                    <w:t>−</w:t>
                  </w:r>
                  <w:r w:rsidRPr="00F17A98">
                    <w:rPr>
                      <w:rFonts w:cs="Arial"/>
                      <w:color w:val="000000"/>
                      <w:sz w:val="16"/>
                      <w:szCs w:val="16"/>
                    </w:rPr>
                    <w:t>53,2</w:t>
                  </w:r>
                </w:p>
              </w:tc>
            </w:tr>
            <w:tr w:rsidR="00FB4423" w:rsidRPr="00F17A98" w14:paraId="5EA9DD9A" w14:textId="77777777" w:rsidTr="00775F26">
              <w:trPr>
                <w:trHeight w:val="255"/>
              </w:trPr>
              <w:tc>
                <w:tcPr>
                  <w:tcW w:w="3417" w:type="dxa"/>
                  <w:tcBorders>
                    <w:top w:val="nil"/>
                    <w:left w:val="nil"/>
                    <w:bottom w:val="nil"/>
                    <w:right w:val="nil"/>
                  </w:tcBorders>
                  <w:shd w:val="clear" w:color="auto" w:fill="auto"/>
                  <w:noWrap/>
                  <w:vAlign w:val="bottom"/>
                  <w:hideMark/>
                </w:tcPr>
                <w:p w14:paraId="1F71C74A"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Ropa a zemní plyn</w:t>
                  </w:r>
                </w:p>
              </w:tc>
              <w:tc>
                <w:tcPr>
                  <w:tcW w:w="700" w:type="dxa"/>
                  <w:tcBorders>
                    <w:top w:val="nil"/>
                    <w:left w:val="nil"/>
                    <w:bottom w:val="nil"/>
                    <w:right w:val="nil"/>
                  </w:tcBorders>
                  <w:shd w:val="clear" w:color="auto" w:fill="auto"/>
                  <w:noWrap/>
                  <w:vAlign w:val="bottom"/>
                  <w:hideMark/>
                </w:tcPr>
                <w:p w14:paraId="6AF71462" w14:textId="77777777" w:rsidR="00FB4423" w:rsidRPr="00F17A98" w:rsidRDefault="00FB4423" w:rsidP="00775F26">
                  <w:pPr>
                    <w:spacing w:after="0" w:line="240" w:lineRule="auto"/>
                    <w:jc w:val="right"/>
                    <w:rPr>
                      <w:rFonts w:cs="Arial"/>
                      <w:color w:val="000000"/>
                      <w:sz w:val="16"/>
                      <w:szCs w:val="16"/>
                    </w:rPr>
                  </w:pPr>
                  <w:r>
                    <w:rPr>
                      <w:rFonts w:cs="Arial"/>
                      <w:color w:val="000000"/>
                      <w:sz w:val="16"/>
                      <w:szCs w:val="16"/>
                    </w:rPr>
                    <w:t>−</w:t>
                  </w:r>
                  <w:r w:rsidRPr="00F17A98">
                    <w:rPr>
                      <w:rFonts w:cs="Arial"/>
                      <w:color w:val="000000"/>
                      <w:sz w:val="16"/>
                      <w:szCs w:val="16"/>
                    </w:rPr>
                    <w:t>2,8</w:t>
                  </w:r>
                </w:p>
              </w:tc>
              <w:tc>
                <w:tcPr>
                  <w:tcW w:w="700" w:type="dxa"/>
                  <w:tcBorders>
                    <w:top w:val="nil"/>
                    <w:left w:val="nil"/>
                    <w:bottom w:val="nil"/>
                    <w:right w:val="nil"/>
                  </w:tcBorders>
                  <w:shd w:val="clear" w:color="auto" w:fill="auto"/>
                  <w:noWrap/>
                  <w:vAlign w:val="bottom"/>
                  <w:hideMark/>
                </w:tcPr>
                <w:p w14:paraId="23D5DDC7" w14:textId="77777777" w:rsidR="00FB4423" w:rsidRPr="00F17A98" w:rsidRDefault="00FB4423" w:rsidP="00775F26">
                  <w:pPr>
                    <w:spacing w:after="0" w:line="240" w:lineRule="auto"/>
                    <w:jc w:val="right"/>
                    <w:rPr>
                      <w:rFonts w:cs="Arial"/>
                      <w:color w:val="000000"/>
                      <w:sz w:val="16"/>
                      <w:szCs w:val="16"/>
                    </w:rPr>
                  </w:pPr>
                  <w:r>
                    <w:rPr>
                      <w:rFonts w:cs="Arial"/>
                      <w:color w:val="000000"/>
                      <w:sz w:val="16"/>
                      <w:szCs w:val="16"/>
                    </w:rPr>
                    <w:t>−</w:t>
                  </w:r>
                  <w:r w:rsidRPr="00F17A98">
                    <w:rPr>
                      <w:rFonts w:cs="Arial"/>
                      <w:color w:val="000000"/>
                      <w:sz w:val="16"/>
                      <w:szCs w:val="16"/>
                    </w:rPr>
                    <w:t>6,4</w:t>
                  </w:r>
                </w:p>
              </w:tc>
            </w:tr>
          </w:tbl>
          <w:p w14:paraId="35A753A2" w14:textId="77777777" w:rsidR="00FB4423" w:rsidRPr="005A40B7" w:rsidRDefault="00FB4423" w:rsidP="00775F26">
            <w:pPr>
              <w:spacing w:after="0"/>
              <w:rPr>
                <w:spacing w:val="-4"/>
                <w:sz w:val="16"/>
                <w:szCs w:val="16"/>
                <w:lang w:eastAsia="en-US"/>
              </w:rPr>
            </w:pPr>
          </w:p>
        </w:tc>
        <w:tc>
          <w:tcPr>
            <w:tcW w:w="57" w:type="dxa"/>
          </w:tcPr>
          <w:p w14:paraId="6F403CE6" w14:textId="77777777" w:rsidR="00FB4423" w:rsidRPr="005A40B7" w:rsidRDefault="00FB4423" w:rsidP="00775F26">
            <w:pPr>
              <w:spacing w:after="0"/>
              <w:rPr>
                <w:spacing w:val="-4"/>
                <w:sz w:val="16"/>
                <w:szCs w:val="16"/>
                <w:lang w:eastAsia="en-US"/>
              </w:rPr>
            </w:pPr>
          </w:p>
        </w:tc>
        <w:tc>
          <w:tcPr>
            <w:tcW w:w="4809" w:type="dxa"/>
            <w:hideMark/>
          </w:tcPr>
          <w:tbl>
            <w:tblPr>
              <w:tblW w:w="4762" w:type="dxa"/>
              <w:tblLayout w:type="fixed"/>
              <w:tblCellMar>
                <w:left w:w="70" w:type="dxa"/>
                <w:right w:w="70" w:type="dxa"/>
              </w:tblCellMar>
              <w:tblLook w:val="04A0" w:firstRow="1" w:lastRow="0" w:firstColumn="1" w:lastColumn="0" w:noHBand="0" w:noVBand="1"/>
            </w:tblPr>
            <w:tblGrid>
              <w:gridCol w:w="3362"/>
              <w:gridCol w:w="700"/>
              <w:gridCol w:w="700"/>
            </w:tblGrid>
            <w:tr w:rsidR="00FB4423" w:rsidRPr="00F17A98" w14:paraId="595ABBD9" w14:textId="77777777" w:rsidTr="00775F26">
              <w:trPr>
                <w:trHeight w:val="255"/>
              </w:trPr>
              <w:tc>
                <w:tcPr>
                  <w:tcW w:w="3362" w:type="dxa"/>
                  <w:tcBorders>
                    <w:top w:val="nil"/>
                    <w:left w:val="nil"/>
                    <w:bottom w:val="single" w:sz="4" w:space="0" w:color="auto"/>
                    <w:right w:val="nil"/>
                  </w:tcBorders>
                  <w:shd w:val="clear" w:color="auto" w:fill="auto"/>
                  <w:noWrap/>
                  <w:vAlign w:val="bottom"/>
                  <w:hideMark/>
                </w:tcPr>
                <w:p w14:paraId="0E6D3599" w14:textId="77777777" w:rsidR="00FB4423" w:rsidRPr="00F17A98" w:rsidRDefault="00FB4423" w:rsidP="00775F26">
                  <w:pPr>
                    <w:spacing w:after="0" w:line="240" w:lineRule="auto"/>
                    <w:jc w:val="left"/>
                    <w:rPr>
                      <w:rFonts w:ascii="Calibri" w:hAnsi="Calibri" w:cs="Calibri"/>
                      <w:color w:val="000000"/>
                      <w:sz w:val="16"/>
                      <w:szCs w:val="16"/>
                    </w:rPr>
                  </w:pPr>
                </w:p>
              </w:tc>
              <w:tc>
                <w:tcPr>
                  <w:tcW w:w="700" w:type="dxa"/>
                  <w:tcBorders>
                    <w:top w:val="nil"/>
                    <w:left w:val="nil"/>
                    <w:bottom w:val="single" w:sz="4" w:space="0" w:color="auto"/>
                    <w:right w:val="nil"/>
                  </w:tcBorders>
                  <w:shd w:val="clear" w:color="auto" w:fill="auto"/>
                  <w:noWrap/>
                  <w:vAlign w:val="bottom"/>
                  <w:hideMark/>
                </w:tcPr>
                <w:p w14:paraId="0EADF3BF"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mld. Kč</w:t>
                  </w:r>
                </w:p>
              </w:tc>
              <w:tc>
                <w:tcPr>
                  <w:tcW w:w="700" w:type="dxa"/>
                  <w:tcBorders>
                    <w:top w:val="nil"/>
                    <w:left w:val="nil"/>
                    <w:bottom w:val="single" w:sz="4" w:space="0" w:color="auto"/>
                    <w:right w:val="nil"/>
                  </w:tcBorders>
                  <w:shd w:val="clear" w:color="auto" w:fill="auto"/>
                  <w:noWrap/>
                  <w:vAlign w:val="bottom"/>
                  <w:hideMark/>
                </w:tcPr>
                <w:p w14:paraId="426C8C9A"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w:t>
                  </w:r>
                </w:p>
              </w:tc>
            </w:tr>
            <w:tr w:rsidR="00FB4423" w:rsidRPr="00F17A98" w14:paraId="3F66702A" w14:textId="77777777" w:rsidTr="00775F26">
              <w:trPr>
                <w:trHeight w:val="255"/>
              </w:trPr>
              <w:tc>
                <w:tcPr>
                  <w:tcW w:w="3362" w:type="dxa"/>
                  <w:tcBorders>
                    <w:top w:val="nil"/>
                    <w:left w:val="nil"/>
                    <w:bottom w:val="nil"/>
                    <w:right w:val="nil"/>
                  </w:tcBorders>
                  <w:shd w:val="clear" w:color="auto" w:fill="auto"/>
                  <w:noWrap/>
                  <w:vAlign w:val="bottom"/>
                  <w:hideMark/>
                </w:tcPr>
                <w:p w14:paraId="08E54DC0"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Čína</w:t>
                  </w:r>
                </w:p>
              </w:tc>
              <w:tc>
                <w:tcPr>
                  <w:tcW w:w="700" w:type="dxa"/>
                  <w:tcBorders>
                    <w:top w:val="nil"/>
                    <w:left w:val="nil"/>
                    <w:bottom w:val="nil"/>
                    <w:right w:val="nil"/>
                  </w:tcBorders>
                  <w:shd w:val="clear" w:color="auto" w:fill="auto"/>
                  <w:noWrap/>
                  <w:vAlign w:val="bottom"/>
                  <w:hideMark/>
                </w:tcPr>
                <w:p w14:paraId="5FE47106"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+19,1</w:t>
                  </w:r>
                </w:p>
              </w:tc>
              <w:tc>
                <w:tcPr>
                  <w:tcW w:w="700" w:type="dxa"/>
                  <w:tcBorders>
                    <w:top w:val="nil"/>
                    <w:left w:val="nil"/>
                    <w:bottom w:val="nil"/>
                    <w:right w:val="nil"/>
                  </w:tcBorders>
                  <w:shd w:val="clear" w:color="auto" w:fill="auto"/>
                  <w:noWrap/>
                  <w:vAlign w:val="bottom"/>
                  <w:hideMark/>
                </w:tcPr>
                <w:p w14:paraId="59D0EECF"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+15,3</w:t>
                  </w:r>
                </w:p>
              </w:tc>
            </w:tr>
            <w:tr w:rsidR="00FB4423" w:rsidRPr="00F17A98" w14:paraId="04C74D71" w14:textId="77777777" w:rsidTr="00775F26">
              <w:trPr>
                <w:trHeight w:val="255"/>
              </w:trPr>
              <w:tc>
                <w:tcPr>
                  <w:tcW w:w="3362" w:type="dxa"/>
                  <w:tcBorders>
                    <w:top w:val="nil"/>
                    <w:left w:val="nil"/>
                    <w:bottom w:val="nil"/>
                    <w:right w:val="nil"/>
                  </w:tcBorders>
                  <w:shd w:val="clear" w:color="auto" w:fill="auto"/>
                  <w:noWrap/>
                  <w:vAlign w:val="bottom"/>
                  <w:hideMark/>
                </w:tcPr>
                <w:p w14:paraId="57E9C37D"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Polsko</w:t>
                  </w:r>
                </w:p>
              </w:tc>
              <w:tc>
                <w:tcPr>
                  <w:tcW w:w="700" w:type="dxa"/>
                  <w:tcBorders>
                    <w:top w:val="nil"/>
                    <w:left w:val="nil"/>
                    <w:bottom w:val="nil"/>
                    <w:right w:val="nil"/>
                  </w:tcBorders>
                  <w:shd w:val="clear" w:color="auto" w:fill="auto"/>
                  <w:noWrap/>
                  <w:vAlign w:val="bottom"/>
                  <w:hideMark/>
                </w:tcPr>
                <w:p w14:paraId="3DFD7025"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+17,3</w:t>
                  </w:r>
                </w:p>
              </w:tc>
              <w:tc>
                <w:tcPr>
                  <w:tcW w:w="700" w:type="dxa"/>
                  <w:tcBorders>
                    <w:top w:val="nil"/>
                    <w:left w:val="nil"/>
                    <w:bottom w:val="nil"/>
                    <w:right w:val="nil"/>
                  </w:tcBorders>
                  <w:shd w:val="clear" w:color="auto" w:fill="auto"/>
                  <w:noWrap/>
                  <w:vAlign w:val="bottom"/>
                  <w:hideMark/>
                </w:tcPr>
                <w:p w14:paraId="3EC41E33"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+19,6</w:t>
                  </w:r>
                </w:p>
              </w:tc>
            </w:tr>
            <w:tr w:rsidR="00FB4423" w:rsidRPr="00F17A98" w14:paraId="5F008265" w14:textId="77777777" w:rsidTr="00775F26">
              <w:trPr>
                <w:trHeight w:val="255"/>
              </w:trPr>
              <w:tc>
                <w:tcPr>
                  <w:tcW w:w="3362" w:type="dxa"/>
                  <w:tcBorders>
                    <w:top w:val="nil"/>
                    <w:left w:val="nil"/>
                    <w:bottom w:val="nil"/>
                    <w:right w:val="nil"/>
                  </w:tcBorders>
                  <w:shd w:val="clear" w:color="auto" w:fill="auto"/>
                  <w:noWrap/>
                  <w:vAlign w:val="bottom"/>
                  <w:hideMark/>
                </w:tcPr>
                <w:p w14:paraId="6CF2A364"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Německo</w:t>
                  </w:r>
                </w:p>
              </w:tc>
              <w:tc>
                <w:tcPr>
                  <w:tcW w:w="700" w:type="dxa"/>
                  <w:tcBorders>
                    <w:top w:val="nil"/>
                    <w:left w:val="nil"/>
                    <w:bottom w:val="nil"/>
                    <w:right w:val="nil"/>
                  </w:tcBorders>
                  <w:shd w:val="clear" w:color="auto" w:fill="auto"/>
                  <w:noWrap/>
                  <w:vAlign w:val="bottom"/>
                  <w:hideMark/>
                </w:tcPr>
                <w:p w14:paraId="33732E23"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+9,0</w:t>
                  </w:r>
                </w:p>
              </w:tc>
              <w:tc>
                <w:tcPr>
                  <w:tcW w:w="700" w:type="dxa"/>
                  <w:tcBorders>
                    <w:top w:val="nil"/>
                    <w:left w:val="nil"/>
                    <w:bottom w:val="nil"/>
                    <w:right w:val="nil"/>
                  </w:tcBorders>
                  <w:shd w:val="clear" w:color="auto" w:fill="auto"/>
                  <w:noWrap/>
                  <w:vAlign w:val="bottom"/>
                  <w:hideMark/>
                </w:tcPr>
                <w:p w14:paraId="64BDC376"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+3,8</w:t>
                  </w:r>
                </w:p>
              </w:tc>
            </w:tr>
            <w:tr w:rsidR="00FB4423" w:rsidRPr="00F17A98" w14:paraId="1C29C851" w14:textId="77777777" w:rsidTr="00775F26">
              <w:trPr>
                <w:trHeight w:val="255"/>
              </w:trPr>
              <w:tc>
                <w:tcPr>
                  <w:tcW w:w="3362" w:type="dxa"/>
                  <w:tcBorders>
                    <w:top w:val="nil"/>
                    <w:left w:val="nil"/>
                    <w:bottom w:val="nil"/>
                    <w:right w:val="nil"/>
                  </w:tcBorders>
                  <w:shd w:val="clear" w:color="auto" w:fill="auto"/>
                  <w:noWrap/>
                  <w:vAlign w:val="bottom"/>
                  <w:hideMark/>
                </w:tcPr>
                <w:p w14:paraId="3197588D"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Slovensko</w:t>
                  </w:r>
                </w:p>
              </w:tc>
              <w:tc>
                <w:tcPr>
                  <w:tcW w:w="700" w:type="dxa"/>
                  <w:tcBorders>
                    <w:top w:val="nil"/>
                    <w:left w:val="nil"/>
                    <w:bottom w:val="nil"/>
                    <w:right w:val="nil"/>
                  </w:tcBorders>
                  <w:shd w:val="clear" w:color="auto" w:fill="auto"/>
                  <w:noWrap/>
                  <w:vAlign w:val="bottom"/>
                  <w:hideMark/>
                </w:tcPr>
                <w:p w14:paraId="162CD65E"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+4,9</w:t>
                  </w:r>
                </w:p>
              </w:tc>
              <w:tc>
                <w:tcPr>
                  <w:tcW w:w="700" w:type="dxa"/>
                  <w:tcBorders>
                    <w:top w:val="nil"/>
                    <w:left w:val="nil"/>
                    <w:bottom w:val="nil"/>
                    <w:right w:val="nil"/>
                  </w:tcBorders>
                  <w:shd w:val="clear" w:color="auto" w:fill="auto"/>
                  <w:noWrap/>
                  <w:vAlign w:val="bottom"/>
                  <w:hideMark/>
                </w:tcPr>
                <w:p w14:paraId="51289004"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+9,4</w:t>
                  </w:r>
                </w:p>
              </w:tc>
            </w:tr>
            <w:tr w:rsidR="00FB4423" w:rsidRPr="00F17A98" w14:paraId="3EF849A7" w14:textId="77777777" w:rsidTr="00775F26">
              <w:trPr>
                <w:trHeight w:val="255"/>
              </w:trPr>
              <w:tc>
                <w:tcPr>
                  <w:tcW w:w="3362" w:type="dxa"/>
                  <w:tcBorders>
                    <w:top w:val="nil"/>
                    <w:left w:val="nil"/>
                    <w:bottom w:val="nil"/>
                    <w:right w:val="nil"/>
                  </w:tcBorders>
                  <w:shd w:val="clear" w:color="auto" w:fill="auto"/>
                  <w:noWrap/>
                  <w:vAlign w:val="bottom"/>
                  <w:hideMark/>
                </w:tcPr>
                <w:p w14:paraId="09F67D42"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Ázerbájdžán</w:t>
                  </w:r>
                </w:p>
              </w:tc>
              <w:tc>
                <w:tcPr>
                  <w:tcW w:w="700" w:type="dxa"/>
                  <w:tcBorders>
                    <w:top w:val="nil"/>
                    <w:left w:val="nil"/>
                    <w:bottom w:val="nil"/>
                    <w:right w:val="nil"/>
                  </w:tcBorders>
                  <w:shd w:val="clear" w:color="auto" w:fill="auto"/>
                  <w:noWrap/>
                  <w:vAlign w:val="bottom"/>
                  <w:hideMark/>
                </w:tcPr>
                <w:p w14:paraId="502FF86F"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+3,4</w:t>
                  </w:r>
                </w:p>
              </w:tc>
              <w:tc>
                <w:tcPr>
                  <w:tcW w:w="700" w:type="dxa"/>
                  <w:tcBorders>
                    <w:top w:val="nil"/>
                    <w:left w:val="nil"/>
                    <w:bottom w:val="nil"/>
                    <w:right w:val="nil"/>
                  </w:tcBorders>
                  <w:shd w:val="clear" w:color="auto" w:fill="auto"/>
                  <w:noWrap/>
                  <w:vAlign w:val="bottom"/>
                  <w:hideMark/>
                </w:tcPr>
                <w:p w14:paraId="5B5AA1A6"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+49,3</w:t>
                  </w:r>
                </w:p>
              </w:tc>
            </w:tr>
            <w:tr w:rsidR="00FB4423" w:rsidRPr="00F17A98" w14:paraId="3B79030C" w14:textId="77777777" w:rsidTr="00775F26">
              <w:trPr>
                <w:trHeight w:val="255"/>
              </w:trPr>
              <w:tc>
                <w:tcPr>
                  <w:tcW w:w="3362" w:type="dxa"/>
                  <w:tcBorders>
                    <w:top w:val="nil"/>
                    <w:left w:val="nil"/>
                    <w:bottom w:val="nil"/>
                    <w:right w:val="nil"/>
                  </w:tcBorders>
                  <w:shd w:val="clear" w:color="auto" w:fill="auto"/>
                  <w:noWrap/>
                  <w:vAlign w:val="bottom"/>
                  <w:hideMark/>
                </w:tcPr>
                <w:p w14:paraId="562E582B"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Nizozemsko</w:t>
                  </w:r>
                </w:p>
              </w:tc>
              <w:tc>
                <w:tcPr>
                  <w:tcW w:w="700" w:type="dxa"/>
                  <w:tcBorders>
                    <w:top w:val="nil"/>
                    <w:left w:val="nil"/>
                    <w:bottom w:val="nil"/>
                    <w:right w:val="nil"/>
                  </w:tcBorders>
                  <w:shd w:val="clear" w:color="auto" w:fill="auto"/>
                  <w:noWrap/>
                  <w:vAlign w:val="bottom"/>
                  <w:hideMark/>
                </w:tcPr>
                <w:p w14:paraId="4AF954EB"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+2,8</w:t>
                  </w:r>
                </w:p>
              </w:tc>
              <w:tc>
                <w:tcPr>
                  <w:tcW w:w="700" w:type="dxa"/>
                  <w:tcBorders>
                    <w:top w:val="nil"/>
                    <w:left w:val="nil"/>
                    <w:bottom w:val="nil"/>
                    <w:right w:val="nil"/>
                  </w:tcBorders>
                  <w:shd w:val="clear" w:color="auto" w:fill="auto"/>
                  <w:noWrap/>
                  <w:vAlign w:val="bottom"/>
                  <w:hideMark/>
                </w:tcPr>
                <w:p w14:paraId="5A3B9968"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+11,2</w:t>
                  </w:r>
                </w:p>
              </w:tc>
            </w:tr>
            <w:tr w:rsidR="00FB4423" w:rsidRPr="00F17A98" w14:paraId="1F2B62C3" w14:textId="77777777" w:rsidTr="00775F26">
              <w:trPr>
                <w:trHeight w:val="255"/>
              </w:trPr>
              <w:tc>
                <w:tcPr>
                  <w:tcW w:w="3362" w:type="dxa"/>
                  <w:tcBorders>
                    <w:top w:val="nil"/>
                    <w:left w:val="nil"/>
                    <w:bottom w:val="nil"/>
                    <w:right w:val="nil"/>
                  </w:tcBorders>
                  <w:shd w:val="clear" w:color="auto" w:fill="auto"/>
                  <w:noWrap/>
                  <w:vAlign w:val="bottom"/>
                  <w:hideMark/>
                </w:tcPr>
                <w:p w14:paraId="2C76BC27"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Tchaj-wan</w:t>
                  </w:r>
                </w:p>
              </w:tc>
              <w:tc>
                <w:tcPr>
                  <w:tcW w:w="700" w:type="dxa"/>
                  <w:tcBorders>
                    <w:top w:val="nil"/>
                    <w:left w:val="nil"/>
                    <w:bottom w:val="nil"/>
                    <w:right w:val="nil"/>
                  </w:tcBorders>
                  <w:shd w:val="clear" w:color="auto" w:fill="auto"/>
                  <w:noWrap/>
                  <w:vAlign w:val="bottom"/>
                  <w:hideMark/>
                </w:tcPr>
                <w:p w14:paraId="621CE102"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+2,7</w:t>
                  </w:r>
                </w:p>
              </w:tc>
              <w:tc>
                <w:tcPr>
                  <w:tcW w:w="700" w:type="dxa"/>
                  <w:tcBorders>
                    <w:top w:val="nil"/>
                    <w:left w:val="nil"/>
                    <w:bottom w:val="nil"/>
                    <w:right w:val="nil"/>
                  </w:tcBorders>
                  <w:shd w:val="clear" w:color="auto" w:fill="auto"/>
                  <w:noWrap/>
                  <w:vAlign w:val="bottom"/>
                  <w:hideMark/>
                </w:tcPr>
                <w:p w14:paraId="08F0F674"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+40,1</w:t>
                  </w:r>
                </w:p>
              </w:tc>
            </w:tr>
            <w:tr w:rsidR="00FB4423" w:rsidRPr="00F17A98" w14:paraId="4DB4FAAA" w14:textId="77777777" w:rsidTr="00775F26">
              <w:trPr>
                <w:trHeight w:val="255"/>
              </w:trPr>
              <w:tc>
                <w:tcPr>
                  <w:tcW w:w="3362" w:type="dxa"/>
                  <w:tcBorders>
                    <w:top w:val="nil"/>
                    <w:left w:val="nil"/>
                    <w:bottom w:val="nil"/>
                    <w:right w:val="nil"/>
                  </w:tcBorders>
                  <w:shd w:val="clear" w:color="auto" w:fill="auto"/>
                  <w:noWrap/>
                  <w:vAlign w:val="bottom"/>
                  <w:hideMark/>
                </w:tcPr>
                <w:p w14:paraId="5E78832B"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Španělsko</w:t>
                  </w:r>
                </w:p>
              </w:tc>
              <w:tc>
                <w:tcPr>
                  <w:tcW w:w="700" w:type="dxa"/>
                  <w:tcBorders>
                    <w:top w:val="nil"/>
                    <w:left w:val="nil"/>
                    <w:bottom w:val="nil"/>
                    <w:right w:val="nil"/>
                  </w:tcBorders>
                  <w:shd w:val="clear" w:color="auto" w:fill="auto"/>
                  <w:noWrap/>
                  <w:vAlign w:val="bottom"/>
                  <w:hideMark/>
                </w:tcPr>
                <w:p w14:paraId="504CE887"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+2,7</w:t>
                  </w:r>
                </w:p>
              </w:tc>
              <w:tc>
                <w:tcPr>
                  <w:tcW w:w="700" w:type="dxa"/>
                  <w:tcBorders>
                    <w:top w:val="nil"/>
                    <w:left w:val="nil"/>
                    <w:bottom w:val="nil"/>
                    <w:right w:val="nil"/>
                  </w:tcBorders>
                  <w:shd w:val="clear" w:color="auto" w:fill="auto"/>
                  <w:noWrap/>
                  <w:vAlign w:val="bottom"/>
                  <w:hideMark/>
                </w:tcPr>
                <w:p w14:paraId="31817011"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+13,9</w:t>
                  </w:r>
                </w:p>
              </w:tc>
            </w:tr>
            <w:tr w:rsidR="00FB4423" w:rsidRPr="00F17A98" w14:paraId="1C33D248" w14:textId="77777777" w:rsidTr="00775F26">
              <w:trPr>
                <w:trHeight w:val="255"/>
              </w:trPr>
              <w:tc>
                <w:tcPr>
                  <w:tcW w:w="3362" w:type="dxa"/>
                  <w:tcBorders>
                    <w:top w:val="nil"/>
                    <w:left w:val="nil"/>
                    <w:bottom w:val="nil"/>
                    <w:right w:val="nil"/>
                  </w:tcBorders>
                  <w:shd w:val="clear" w:color="auto" w:fill="auto"/>
                  <w:noWrap/>
                  <w:vAlign w:val="bottom"/>
                  <w:hideMark/>
                </w:tcPr>
                <w:p w14:paraId="33013854"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Švýcarsko</w:t>
                  </w:r>
                </w:p>
              </w:tc>
              <w:tc>
                <w:tcPr>
                  <w:tcW w:w="700" w:type="dxa"/>
                  <w:tcBorders>
                    <w:top w:val="nil"/>
                    <w:left w:val="nil"/>
                    <w:bottom w:val="nil"/>
                    <w:right w:val="nil"/>
                  </w:tcBorders>
                  <w:shd w:val="clear" w:color="auto" w:fill="auto"/>
                  <w:noWrap/>
                  <w:vAlign w:val="bottom"/>
                  <w:hideMark/>
                </w:tcPr>
                <w:p w14:paraId="50DACFEC"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+2,0</w:t>
                  </w:r>
                </w:p>
              </w:tc>
              <w:tc>
                <w:tcPr>
                  <w:tcW w:w="700" w:type="dxa"/>
                  <w:tcBorders>
                    <w:top w:val="nil"/>
                    <w:left w:val="nil"/>
                    <w:bottom w:val="nil"/>
                    <w:right w:val="nil"/>
                  </w:tcBorders>
                  <w:shd w:val="clear" w:color="auto" w:fill="auto"/>
                  <w:noWrap/>
                  <w:vAlign w:val="bottom"/>
                  <w:hideMark/>
                </w:tcPr>
                <w:p w14:paraId="75676FAA"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+18,9</w:t>
                  </w:r>
                </w:p>
              </w:tc>
            </w:tr>
            <w:tr w:rsidR="00FB4423" w:rsidRPr="00F17A98" w14:paraId="0509F924" w14:textId="77777777" w:rsidTr="00775F26">
              <w:trPr>
                <w:trHeight w:val="255"/>
              </w:trPr>
              <w:tc>
                <w:tcPr>
                  <w:tcW w:w="3362" w:type="dxa"/>
                  <w:tcBorders>
                    <w:top w:val="nil"/>
                    <w:left w:val="nil"/>
                    <w:bottom w:val="nil"/>
                    <w:right w:val="nil"/>
                  </w:tcBorders>
                  <w:shd w:val="clear" w:color="auto" w:fill="auto"/>
                  <w:noWrap/>
                  <w:vAlign w:val="bottom"/>
                  <w:hideMark/>
                </w:tcPr>
                <w:p w14:paraId="0B16E203"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Francie</w:t>
                  </w:r>
                </w:p>
              </w:tc>
              <w:tc>
                <w:tcPr>
                  <w:tcW w:w="700" w:type="dxa"/>
                  <w:tcBorders>
                    <w:top w:val="nil"/>
                    <w:left w:val="nil"/>
                    <w:bottom w:val="nil"/>
                    <w:right w:val="nil"/>
                  </w:tcBorders>
                  <w:shd w:val="clear" w:color="auto" w:fill="auto"/>
                  <w:noWrap/>
                  <w:vAlign w:val="bottom"/>
                  <w:hideMark/>
                </w:tcPr>
                <w:p w14:paraId="07E93601"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+1,9</w:t>
                  </w:r>
                </w:p>
              </w:tc>
              <w:tc>
                <w:tcPr>
                  <w:tcW w:w="700" w:type="dxa"/>
                  <w:tcBorders>
                    <w:top w:val="nil"/>
                    <w:left w:val="nil"/>
                    <w:bottom w:val="nil"/>
                    <w:right w:val="nil"/>
                  </w:tcBorders>
                  <w:shd w:val="clear" w:color="auto" w:fill="auto"/>
                  <w:noWrap/>
                  <w:vAlign w:val="bottom"/>
                  <w:hideMark/>
                </w:tcPr>
                <w:p w14:paraId="18C97E96"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+6,1</w:t>
                  </w:r>
                </w:p>
              </w:tc>
            </w:tr>
            <w:tr w:rsidR="00FB4423" w:rsidRPr="00F17A98" w14:paraId="42F750A1" w14:textId="77777777" w:rsidTr="00775F26">
              <w:trPr>
                <w:trHeight w:val="255"/>
              </w:trPr>
              <w:tc>
                <w:tcPr>
                  <w:tcW w:w="3362" w:type="dxa"/>
                  <w:tcBorders>
                    <w:top w:val="nil"/>
                    <w:left w:val="nil"/>
                    <w:bottom w:val="nil"/>
                    <w:right w:val="nil"/>
                  </w:tcBorders>
                  <w:shd w:val="clear" w:color="auto" w:fill="auto"/>
                  <w:noWrap/>
                  <w:vAlign w:val="bottom"/>
                  <w:hideMark/>
                </w:tcPr>
                <w:p w14:paraId="6AA799D7"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Itálie</w:t>
                  </w:r>
                </w:p>
              </w:tc>
              <w:tc>
                <w:tcPr>
                  <w:tcW w:w="700" w:type="dxa"/>
                  <w:tcBorders>
                    <w:top w:val="nil"/>
                    <w:left w:val="nil"/>
                    <w:bottom w:val="nil"/>
                    <w:right w:val="nil"/>
                  </w:tcBorders>
                  <w:shd w:val="clear" w:color="auto" w:fill="auto"/>
                  <w:noWrap/>
                  <w:vAlign w:val="bottom"/>
                  <w:hideMark/>
                </w:tcPr>
                <w:p w14:paraId="3AC5BD0D"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+1,8</w:t>
                  </w:r>
                </w:p>
              </w:tc>
              <w:tc>
                <w:tcPr>
                  <w:tcW w:w="700" w:type="dxa"/>
                  <w:tcBorders>
                    <w:top w:val="nil"/>
                    <w:left w:val="nil"/>
                    <w:bottom w:val="nil"/>
                    <w:right w:val="nil"/>
                  </w:tcBorders>
                  <w:shd w:val="clear" w:color="auto" w:fill="auto"/>
                  <w:noWrap/>
                  <w:vAlign w:val="bottom"/>
                  <w:hideMark/>
                </w:tcPr>
                <w:p w14:paraId="4EF25D6F"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+4,1</w:t>
                  </w:r>
                </w:p>
              </w:tc>
            </w:tr>
            <w:tr w:rsidR="00FB4423" w:rsidRPr="00F17A98" w14:paraId="69686371" w14:textId="77777777" w:rsidTr="00775F26">
              <w:trPr>
                <w:trHeight w:val="255"/>
              </w:trPr>
              <w:tc>
                <w:tcPr>
                  <w:tcW w:w="3362" w:type="dxa"/>
                  <w:tcBorders>
                    <w:top w:val="nil"/>
                    <w:left w:val="nil"/>
                    <w:bottom w:val="nil"/>
                    <w:right w:val="nil"/>
                  </w:tcBorders>
                  <w:shd w:val="clear" w:color="auto" w:fill="auto"/>
                  <w:noWrap/>
                  <w:vAlign w:val="bottom"/>
                  <w:hideMark/>
                </w:tcPr>
                <w:p w14:paraId="24DCFA25"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Rumunsko</w:t>
                  </w:r>
                </w:p>
              </w:tc>
              <w:tc>
                <w:tcPr>
                  <w:tcW w:w="700" w:type="dxa"/>
                  <w:tcBorders>
                    <w:top w:val="nil"/>
                    <w:left w:val="nil"/>
                    <w:bottom w:val="nil"/>
                    <w:right w:val="nil"/>
                  </w:tcBorders>
                  <w:shd w:val="clear" w:color="auto" w:fill="auto"/>
                  <w:noWrap/>
                  <w:vAlign w:val="bottom"/>
                  <w:hideMark/>
                </w:tcPr>
                <w:p w14:paraId="4C75261F"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+1,5</w:t>
                  </w:r>
                </w:p>
              </w:tc>
              <w:tc>
                <w:tcPr>
                  <w:tcW w:w="700" w:type="dxa"/>
                  <w:tcBorders>
                    <w:top w:val="nil"/>
                    <w:left w:val="nil"/>
                    <w:bottom w:val="nil"/>
                    <w:right w:val="nil"/>
                  </w:tcBorders>
                  <w:shd w:val="clear" w:color="auto" w:fill="auto"/>
                  <w:noWrap/>
                  <w:vAlign w:val="bottom"/>
                  <w:hideMark/>
                </w:tcPr>
                <w:p w14:paraId="45445472" w14:textId="77777777" w:rsidR="00FB4423" w:rsidRPr="00F17A98" w:rsidRDefault="00FB4423" w:rsidP="00775F26">
                  <w:pPr>
                    <w:spacing w:after="0" w:line="240" w:lineRule="auto"/>
                    <w:jc w:val="right"/>
                    <w:rPr>
                      <w:rFonts w:cs="Arial"/>
                      <w:color w:val="000000"/>
                      <w:sz w:val="16"/>
                      <w:szCs w:val="16"/>
                    </w:rPr>
                  </w:pPr>
                  <w:r w:rsidRPr="00F17A98">
                    <w:rPr>
                      <w:rFonts w:cs="Arial"/>
                      <w:color w:val="000000"/>
                      <w:sz w:val="16"/>
                      <w:szCs w:val="16"/>
                    </w:rPr>
                    <w:t>+10,9</w:t>
                  </w:r>
                </w:p>
              </w:tc>
            </w:tr>
            <w:tr w:rsidR="00FB4423" w:rsidRPr="00F17A98" w14:paraId="5F080AE8" w14:textId="77777777" w:rsidTr="00775F26">
              <w:trPr>
                <w:trHeight w:val="255"/>
              </w:trPr>
              <w:tc>
                <w:tcPr>
                  <w:tcW w:w="3362" w:type="dxa"/>
                  <w:tcBorders>
                    <w:top w:val="nil"/>
                    <w:left w:val="nil"/>
                    <w:bottom w:val="nil"/>
                    <w:right w:val="nil"/>
                  </w:tcBorders>
                  <w:shd w:val="clear" w:color="auto" w:fill="auto"/>
                  <w:noWrap/>
                  <w:vAlign w:val="bottom"/>
                  <w:hideMark/>
                </w:tcPr>
                <w:p w14:paraId="64BBD192"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Spojené státy</w:t>
                  </w:r>
                  <w:r>
                    <w:rPr>
                      <w:rFonts w:cs="Arial"/>
                      <w:color w:val="000000"/>
                      <w:sz w:val="16"/>
                      <w:szCs w:val="16"/>
                    </w:rPr>
                    <w:t xml:space="preserve"> americké</w:t>
                  </w:r>
                </w:p>
              </w:tc>
              <w:tc>
                <w:tcPr>
                  <w:tcW w:w="700" w:type="dxa"/>
                  <w:tcBorders>
                    <w:top w:val="nil"/>
                    <w:left w:val="nil"/>
                    <w:bottom w:val="nil"/>
                    <w:right w:val="nil"/>
                  </w:tcBorders>
                  <w:shd w:val="clear" w:color="auto" w:fill="auto"/>
                  <w:noWrap/>
                  <w:vAlign w:val="bottom"/>
                  <w:hideMark/>
                </w:tcPr>
                <w:p w14:paraId="1463C0FB" w14:textId="77777777" w:rsidR="00FB4423" w:rsidRPr="00F17A98" w:rsidRDefault="00FB4423" w:rsidP="00775F26">
                  <w:pPr>
                    <w:spacing w:after="0" w:line="240" w:lineRule="auto"/>
                    <w:jc w:val="right"/>
                    <w:rPr>
                      <w:rFonts w:cs="Arial"/>
                      <w:color w:val="000000"/>
                      <w:sz w:val="16"/>
                      <w:szCs w:val="16"/>
                    </w:rPr>
                  </w:pPr>
                  <w:r>
                    <w:rPr>
                      <w:rFonts w:cs="Arial"/>
                      <w:color w:val="000000"/>
                      <w:sz w:val="16"/>
                      <w:szCs w:val="16"/>
                    </w:rPr>
                    <w:t>−</w:t>
                  </w:r>
                  <w:r w:rsidRPr="00F17A98">
                    <w:rPr>
                      <w:rFonts w:cs="Arial"/>
                      <w:color w:val="000000"/>
                      <w:sz w:val="16"/>
                      <w:szCs w:val="16"/>
                    </w:rPr>
                    <w:t>1,6</w:t>
                  </w:r>
                </w:p>
              </w:tc>
              <w:tc>
                <w:tcPr>
                  <w:tcW w:w="700" w:type="dxa"/>
                  <w:tcBorders>
                    <w:top w:val="nil"/>
                    <w:left w:val="nil"/>
                    <w:bottom w:val="nil"/>
                    <w:right w:val="nil"/>
                  </w:tcBorders>
                  <w:shd w:val="clear" w:color="auto" w:fill="auto"/>
                  <w:noWrap/>
                  <w:vAlign w:val="bottom"/>
                  <w:hideMark/>
                </w:tcPr>
                <w:p w14:paraId="51EF2916" w14:textId="77777777" w:rsidR="00FB4423" w:rsidRPr="00F17A98" w:rsidRDefault="00FB4423" w:rsidP="00775F26">
                  <w:pPr>
                    <w:spacing w:after="0" w:line="240" w:lineRule="auto"/>
                    <w:jc w:val="right"/>
                    <w:rPr>
                      <w:rFonts w:cs="Arial"/>
                      <w:color w:val="000000"/>
                      <w:sz w:val="16"/>
                      <w:szCs w:val="16"/>
                    </w:rPr>
                  </w:pPr>
                  <w:r>
                    <w:rPr>
                      <w:rFonts w:cs="Arial"/>
                      <w:color w:val="000000"/>
                      <w:sz w:val="16"/>
                      <w:szCs w:val="16"/>
                    </w:rPr>
                    <w:t>−</w:t>
                  </w:r>
                  <w:r w:rsidRPr="00F17A98">
                    <w:rPr>
                      <w:rFonts w:cs="Arial"/>
                      <w:color w:val="000000"/>
                      <w:sz w:val="16"/>
                      <w:szCs w:val="16"/>
                    </w:rPr>
                    <w:t>5,0</w:t>
                  </w:r>
                </w:p>
              </w:tc>
            </w:tr>
            <w:tr w:rsidR="00FB4423" w:rsidRPr="00F17A98" w14:paraId="3601B0F6" w14:textId="77777777" w:rsidTr="00775F26">
              <w:trPr>
                <w:trHeight w:val="255"/>
              </w:trPr>
              <w:tc>
                <w:tcPr>
                  <w:tcW w:w="3362" w:type="dxa"/>
                  <w:tcBorders>
                    <w:top w:val="nil"/>
                    <w:left w:val="nil"/>
                    <w:bottom w:val="nil"/>
                    <w:right w:val="nil"/>
                  </w:tcBorders>
                  <w:shd w:val="clear" w:color="auto" w:fill="auto"/>
                  <w:noWrap/>
                  <w:vAlign w:val="bottom"/>
                  <w:hideMark/>
                </w:tcPr>
                <w:p w14:paraId="52973EEC"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Velká Británie</w:t>
                  </w:r>
                </w:p>
              </w:tc>
              <w:tc>
                <w:tcPr>
                  <w:tcW w:w="700" w:type="dxa"/>
                  <w:tcBorders>
                    <w:top w:val="nil"/>
                    <w:left w:val="nil"/>
                    <w:bottom w:val="nil"/>
                    <w:right w:val="nil"/>
                  </w:tcBorders>
                  <w:shd w:val="clear" w:color="auto" w:fill="auto"/>
                  <w:noWrap/>
                  <w:vAlign w:val="bottom"/>
                  <w:hideMark/>
                </w:tcPr>
                <w:p w14:paraId="0F55B902" w14:textId="77777777" w:rsidR="00FB4423" w:rsidRPr="00F17A98" w:rsidRDefault="00FB4423" w:rsidP="00775F26">
                  <w:pPr>
                    <w:spacing w:after="0" w:line="240" w:lineRule="auto"/>
                    <w:jc w:val="right"/>
                    <w:rPr>
                      <w:rFonts w:cs="Arial"/>
                      <w:color w:val="000000"/>
                      <w:sz w:val="16"/>
                      <w:szCs w:val="16"/>
                    </w:rPr>
                  </w:pPr>
                  <w:r>
                    <w:rPr>
                      <w:rFonts w:cs="Arial"/>
                      <w:color w:val="000000"/>
                      <w:sz w:val="16"/>
                      <w:szCs w:val="16"/>
                    </w:rPr>
                    <w:t>−</w:t>
                  </w:r>
                  <w:r w:rsidRPr="00F17A98">
                    <w:rPr>
                      <w:rFonts w:cs="Arial"/>
                      <w:color w:val="000000"/>
                      <w:sz w:val="16"/>
                      <w:szCs w:val="16"/>
                    </w:rPr>
                    <w:t>2,2</w:t>
                  </w:r>
                </w:p>
              </w:tc>
              <w:tc>
                <w:tcPr>
                  <w:tcW w:w="700" w:type="dxa"/>
                  <w:tcBorders>
                    <w:top w:val="nil"/>
                    <w:left w:val="nil"/>
                    <w:bottom w:val="nil"/>
                    <w:right w:val="nil"/>
                  </w:tcBorders>
                  <w:shd w:val="clear" w:color="auto" w:fill="auto"/>
                  <w:noWrap/>
                  <w:vAlign w:val="bottom"/>
                  <w:hideMark/>
                </w:tcPr>
                <w:p w14:paraId="66A729F6" w14:textId="77777777" w:rsidR="00FB4423" w:rsidRPr="00F17A98" w:rsidRDefault="00FB4423" w:rsidP="00775F26">
                  <w:pPr>
                    <w:spacing w:after="0" w:line="240" w:lineRule="auto"/>
                    <w:jc w:val="right"/>
                    <w:rPr>
                      <w:rFonts w:cs="Arial"/>
                      <w:color w:val="000000"/>
                      <w:sz w:val="16"/>
                      <w:szCs w:val="16"/>
                    </w:rPr>
                  </w:pPr>
                  <w:r>
                    <w:rPr>
                      <w:rFonts w:cs="Arial"/>
                      <w:color w:val="000000"/>
                      <w:sz w:val="16"/>
                      <w:szCs w:val="16"/>
                    </w:rPr>
                    <w:t>−</w:t>
                  </w:r>
                  <w:r w:rsidRPr="00F17A98">
                    <w:rPr>
                      <w:rFonts w:cs="Arial"/>
                      <w:color w:val="000000"/>
                      <w:sz w:val="16"/>
                      <w:szCs w:val="16"/>
                    </w:rPr>
                    <w:t>11,9</w:t>
                  </w:r>
                </w:p>
              </w:tc>
            </w:tr>
            <w:tr w:rsidR="00FB4423" w:rsidRPr="00F17A98" w14:paraId="22ACF1EC" w14:textId="77777777" w:rsidTr="00775F26">
              <w:trPr>
                <w:trHeight w:val="255"/>
              </w:trPr>
              <w:tc>
                <w:tcPr>
                  <w:tcW w:w="3362" w:type="dxa"/>
                  <w:tcBorders>
                    <w:top w:val="nil"/>
                    <w:left w:val="nil"/>
                    <w:bottom w:val="nil"/>
                    <w:right w:val="nil"/>
                  </w:tcBorders>
                  <w:shd w:val="clear" w:color="auto" w:fill="auto"/>
                  <w:noWrap/>
                  <w:vAlign w:val="bottom"/>
                  <w:hideMark/>
                </w:tcPr>
                <w:p w14:paraId="79EEAB19" w14:textId="77777777" w:rsidR="00FB4423" w:rsidRPr="00F17A98" w:rsidRDefault="00FB4423" w:rsidP="00775F26">
                  <w:pPr>
                    <w:spacing w:after="0" w:line="240" w:lineRule="auto"/>
                    <w:jc w:val="left"/>
                    <w:rPr>
                      <w:rFonts w:cs="Arial"/>
                      <w:color w:val="000000"/>
                      <w:sz w:val="16"/>
                      <w:szCs w:val="16"/>
                    </w:rPr>
                  </w:pPr>
                  <w:r w:rsidRPr="00F17A98">
                    <w:rPr>
                      <w:rFonts w:cs="Arial"/>
                      <w:color w:val="000000"/>
                      <w:sz w:val="16"/>
                      <w:szCs w:val="16"/>
                    </w:rPr>
                    <w:t>Rusko</w:t>
                  </w:r>
                </w:p>
              </w:tc>
              <w:tc>
                <w:tcPr>
                  <w:tcW w:w="700" w:type="dxa"/>
                  <w:tcBorders>
                    <w:top w:val="nil"/>
                    <w:left w:val="nil"/>
                    <w:bottom w:val="nil"/>
                    <w:right w:val="nil"/>
                  </w:tcBorders>
                  <w:shd w:val="clear" w:color="auto" w:fill="auto"/>
                  <w:noWrap/>
                  <w:vAlign w:val="bottom"/>
                  <w:hideMark/>
                </w:tcPr>
                <w:p w14:paraId="5426E733" w14:textId="77777777" w:rsidR="00FB4423" w:rsidRPr="00F17A98" w:rsidRDefault="00FB4423" w:rsidP="00775F26">
                  <w:pPr>
                    <w:spacing w:after="0" w:line="240" w:lineRule="auto"/>
                    <w:jc w:val="right"/>
                    <w:rPr>
                      <w:rFonts w:cs="Arial"/>
                      <w:color w:val="000000"/>
                      <w:sz w:val="16"/>
                      <w:szCs w:val="16"/>
                    </w:rPr>
                  </w:pPr>
                  <w:r>
                    <w:rPr>
                      <w:rFonts w:cs="Arial"/>
                      <w:color w:val="000000"/>
                      <w:sz w:val="16"/>
                      <w:szCs w:val="16"/>
                    </w:rPr>
                    <w:t>−</w:t>
                  </w:r>
                  <w:r w:rsidRPr="00F17A98">
                    <w:rPr>
                      <w:rFonts w:cs="Arial"/>
                      <w:color w:val="000000"/>
                      <w:sz w:val="16"/>
                      <w:szCs w:val="16"/>
                    </w:rPr>
                    <w:t>5,1</w:t>
                  </w:r>
                </w:p>
              </w:tc>
              <w:tc>
                <w:tcPr>
                  <w:tcW w:w="700" w:type="dxa"/>
                  <w:tcBorders>
                    <w:top w:val="nil"/>
                    <w:left w:val="nil"/>
                    <w:bottom w:val="nil"/>
                    <w:right w:val="nil"/>
                  </w:tcBorders>
                  <w:shd w:val="clear" w:color="auto" w:fill="auto"/>
                  <w:noWrap/>
                  <w:vAlign w:val="bottom"/>
                  <w:hideMark/>
                </w:tcPr>
                <w:p w14:paraId="738078F3" w14:textId="77777777" w:rsidR="00FB4423" w:rsidRPr="00F17A98" w:rsidRDefault="00FB4423" w:rsidP="00775F26">
                  <w:pPr>
                    <w:spacing w:after="0" w:line="240" w:lineRule="auto"/>
                    <w:jc w:val="right"/>
                    <w:rPr>
                      <w:rFonts w:cs="Arial"/>
                      <w:color w:val="000000"/>
                      <w:sz w:val="16"/>
                      <w:szCs w:val="16"/>
                    </w:rPr>
                  </w:pPr>
                  <w:r>
                    <w:rPr>
                      <w:rFonts w:cs="Arial"/>
                      <w:color w:val="000000"/>
                      <w:sz w:val="16"/>
                      <w:szCs w:val="16"/>
                    </w:rPr>
                    <w:t>−</w:t>
                  </w:r>
                  <w:r w:rsidRPr="00F17A98">
                    <w:rPr>
                      <w:rFonts w:cs="Arial"/>
                      <w:color w:val="000000"/>
                      <w:sz w:val="16"/>
                      <w:szCs w:val="16"/>
                    </w:rPr>
                    <w:t>23,3</w:t>
                  </w:r>
                </w:p>
              </w:tc>
            </w:tr>
          </w:tbl>
          <w:p w14:paraId="5FC9B716" w14:textId="77777777" w:rsidR="00FB4423" w:rsidRPr="005A40B7" w:rsidRDefault="00FB4423" w:rsidP="00775F26">
            <w:pPr>
              <w:spacing w:after="0"/>
              <w:rPr>
                <w:spacing w:val="-4"/>
                <w:sz w:val="16"/>
                <w:szCs w:val="16"/>
                <w:lang w:eastAsia="en-US"/>
              </w:rPr>
            </w:pPr>
          </w:p>
        </w:tc>
      </w:tr>
      <w:tr w:rsidR="00FB4423" w14:paraId="3E85E58D" w14:textId="77777777" w:rsidTr="00775F26">
        <w:trPr>
          <w:trHeight w:val="170"/>
        </w:trPr>
        <w:tc>
          <w:tcPr>
            <w:tcW w:w="4811" w:type="dxa"/>
            <w:gridSpan w:val="3"/>
            <w:hideMark/>
          </w:tcPr>
          <w:p w14:paraId="008AF6FA" w14:textId="77777777" w:rsidR="00FB4423" w:rsidRDefault="00FB4423" w:rsidP="00775F26">
            <w:pPr>
              <w:jc w:val="right"/>
              <w:rPr>
                <w:spacing w:val="-4"/>
                <w:sz w:val="16"/>
                <w:szCs w:val="16"/>
                <w:lang w:eastAsia="en-US"/>
              </w:rPr>
            </w:pPr>
            <w:r>
              <w:rPr>
                <w:spacing w:val="-4"/>
                <w:sz w:val="16"/>
                <w:szCs w:val="16"/>
                <w:lang w:eastAsia="en-US"/>
              </w:rPr>
              <w:t>Zdroj: ČSÚ</w:t>
            </w:r>
          </w:p>
        </w:tc>
        <w:tc>
          <w:tcPr>
            <w:tcW w:w="57" w:type="dxa"/>
          </w:tcPr>
          <w:p w14:paraId="6E3185F9" w14:textId="77777777" w:rsidR="00FB4423" w:rsidRDefault="00FB4423" w:rsidP="00775F26">
            <w:pPr>
              <w:spacing w:after="0"/>
              <w:rPr>
                <w:spacing w:val="-4"/>
                <w:lang w:eastAsia="en-US"/>
              </w:rPr>
            </w:pPr>
          </w:p>
        </w:tc>
        <w:tc>
          <w:tcPr>
            <w:tcW w:w="4809" w:type="dxa"/>
            <w:hideMark/>
          </w:tcPr>
          <w:p w14:paraId="7CED814A" w14:textId="77777777" w:rsidR="00FB4423" w:rsidRDefault="00FB4423" w:rsidP="00775F26">
            <w:pPr>
              <w:spacing w:after="0"/>
              <w:jc w:val="right"/>
              <w:rPr>
                <w:spacing w:val="-4"/>
                <w:lang w:eastAsia="en-US"/>
              </w:rPr>
            </w:pPr>
            <w:r>
              <w:rPr>
                <w:spacing w:val="-4"/>
                <w:sz w:val="16"/>
                <w:szCs w:val="16"/>
                <w:lang w:eastAsia="en-US"/>
              </w:rPr>
              <w:t>Zdroj: ČSÚ</w:t>
            </w:r>
          </w:p>
        </w:tc>
      </w:tr>
      <w:tr w:rsidR="00FB4423" w14:paraId="2C0E8947" w14:textId="77777777" w:rsidTr="00775F26">
        <w:trPr>
          <w:trHeight w:val="145"/>
        </w:trPr>
        <w:tc>
          <w:tcPr>
            <w:tcW w:w="1748" w:type="dxa"/>
            <w:hideMark/>
          </w:tcPr>
          <w:p w14:paraId="31C41AD4" w14:textId="77777777" w:rsidR="00FB4423" w:rsidRDefault="00FB4423" w:rsidP="00775F26">
            <w:pPr>
              <w:pStyle w:val="Marginlie"/>
              <w:rPr>
                <w:lang w:eastAsia="en-US"/>
              </w:rPr>
            </w:pPr>
            <w:r>
              <w:rPr>
                <w:lang w:eastAsia="en-US"/>
              </w:rPr>
              <w:t>Bilance zahraničního obchodu se zbožím od začátku roku dosahuje výrazných přebytků.</w:t>
            </w:r>
          </w:p>
        </w:tc>
        <w:tc>
          <w:tcPr>
            <w:tcW w:w="252" w:type="dxa"/>
          </w:tcPr>
          <w:p w14:paraId="4B46113B" w14:textId="77777777" w:rsidR="00FB4423" w:rsidRDefault="00FB4423" w:rsidP="00775F26">
            <w:pPr>
              <w:pStyle w:val="Textpoznpodarou"/>
              <w:jc w:val="both"/>
              <w:rPr>
                <w:spacing w:val="-4"/>
                <w:lang w:eastAsia="en-US"/>
              </w:rPr>
            </w:pPr>
          </w:p>
        </w:tc>
        <w:tc>
          <w:tcPr>
            <w:tcW w:w="7677" w:type="dxa"/>
            <w:gridSpan w:val="3"/>
            <w:hideMark/>
          </w:tcPr>
          <w:p w14:paraId="5A0FD295" w14:textId="77777777" w:rsidR="00FB4423" w:rsidRDefault="00FB4423" w:rsidP="00775F26">
            <w:pPr>
              <w:spacing w:after="180"/>
              <w:rPr>
                <w:spacing w:val="-4"/>
                <w:lang w:eastAsia="en-US"/>
              </w:rPr>
            </w:pPr>
            <w:r>
              <w:rPr>
                <w:spacing w:val="-4"/>
                <w:lang w:eastAsia="en-US"/>
              </w:rPr>
              <w:t>Bilance zahraničního obchodu se zbožím v kumulaci od začátku roku dosáhla kladného salda 184,0 mld. korun, což je za toto období roku nejvyšší zaznamenaný přebytek. Saldo se meziročně zlepšilo o 108,1 mld. korun. Většiny z popsaného přebytku bylo dosaženo v první polovině roku. V samotném 3. čtvrtletí bilance dosáhla přebytku 29,4 mld. korun</w:t>
            </w:r>
            <w:r>
              <w:rPr>
                <w:rStyle w:val="Znakapoznpodarou"/>
                <w:spacing w:val="-4"/>
                <w:lang w:eastAsia="en-US"/>
              </w:rPr>
              <w:footnoteReference w:id="7"/>
            </w:r>
            <w:r>
              <w:rPr>
                <w:spacing w:val="-4"/>
                <w:lang w:eastAsia="en-US"/>
              </w:rPr>
              <w:t xml:space="preserve"> a meziročně se tak zlepšila o 30,6 mld. Podle sezónně očištěných dat došlo k mírnému mezičtvrtletnímu zhoršení bilance.      </w:t>
            </w:r>
          </w:p>
        </w:tc>
      </w:tr>
      <w:tr w:rsidR="00FB4423" w14:paraId="208B5E7B" w14:textId="77777777" w:rsidTr="00775F26">
        <w:trPr>
          <w:trHeight w:val="145"/>
        </w:trPr>
        <w:tc>
          <w:tcPr>
            <w:tcW w:w="1748" w:type="dxa"/>
          </w:tcPr>
          <w:p w14:paraId="44B538E4" w14:textId="77777777" w:rsidR="00FB4423" w:rsidRDefault="00FB4423" w:rsidP="00775F26">
            <w:pPr>
              <w:pStyle w:val="Marginlie"/>
              <w:rPr>
                <w:lang w:eastAsia="en-US"/>
              </w:rPr>
            </w:pPr>
            <w:r>
              <w:rPr>
                <w:lang w:eastAsia="en-US"/>
              </w:rPr>
              <w:t>Ve směru zlepšení bilance působil zejména obchod se zeměmi mimo EU.</w:t>
            </w:r>
          </w:p>
        </w:tc>
        <w:tc>
          <w:tcPr>
            <w:tcW w:w="252" w:type="dxa"/>
          </w:tcPr>
          <w:p w14:paraId="77546355" w14:textId="77777777" w:rsidR="00FB4423" w:rsidRDefault="00FB4423" w:rsidP="00775F26">
            <w:pPr>
              <w:pStyle w:val="Textpoznpodarou"/>
              <w:jc w:val="both"/>
              <w:rPr>
                <w:spacing w:val="-4"/>
                <w:lang w:eastAsia="en-US"/>
              </w:rPr>
            </w:pPr>
          </w:p>
        </w:tc>
        <w:tc>
          <w:tcPr>
            <w:tcW w:w="7677" w:type="dxa"/>
            <w:gridSpan w:val="3"/>
          </w:tcPr>
          <w:p w14:paraId="7B73B248" w14:textId="185595B9" w:rsidR="00FB4423" w:rsidRDefault="00FB4423" w:rsidP="003E62A5">
            <w:pPr>
              <w:spacing w:after="180"/>
              <w:rPr>
                <w:spacing w:val="-4"/>
                <w:lang w:eastAsia="en-US"/>
              </w:rPr>
            </w:pPr>
            <w:r>
              <w:rPr>
                <w:rFonts w:cs="Arial"/>
                <w:bCs/>
                <w:color w:val="000000"/>
                <w:szCs w:val="20"/>
                <w:lang w:eastAsia="en-US"/>
              </w:rPr>
              <w:t>Výrazné zlepšení bilance zahraničního obchodu se zbožím v</w:t>
            </w:r>
            <w:r w:rsidRPr="00E1582D">
              <w:rPr>
                <w:rFonts w:cs="Arial"/>
                <w:bCs/>
                <w:color w:val="000000"/>
                <w:szCs w:val="20"/>
                <w:lang w:eastAsia="en-US"/>
              </w:rPr>
              <w:t xml:space="preserve"> kumulaci od začátku roku</w:t>
            </w:r>
            <w:r>
              <w:rPr>
                <w:rFonts w:cs="Arial"/>
                <w:bCs/>
                <w:color w:val="000000"/>
                <w:szCs w:val="20"/>
                <w:lang w:eastAsia="en-US"/>
              </w:rPr>
              <w:t xml:space="preserve"> lze přičíst zejména obchodu se zeměmi mimo EU (+93,0 mld. korun). Zvýšení přebytku obchodu se zeměmi EU bylo naopak mírné (+15,6 mld. korun). Zlepšila se bilance zahraničního obchodu s Velkou Británií (+40,</w:t>
            </w:r>
            <w:r w:rsidR="003E62A5">
              <w:rPr>
                <w:rFonts w:cs="Arial"/>
                <w:bCs/>
                <w:color w:val="000000"/>
                <w:szCs w:val="20"/>
                <w:lang w:eastAsia="en-US"/>
              </w:rPr>
              <w:t>6</w:t>
            </w:r>
            <w:r>
              <w:rPr>
                <w:rFonts w:cs="Arial"/>
                <w:bCs/>
                <w:color w:val="000000"/>
                <w:szCs w:val="20"/>
                <w:lang w:eastAsia="en-US"/>
              </w:rPr>
              <w:t xml:space="preserve"> mld. korun), Norskem (+24,1 mld.), Čínou (+13,1 mld.) nebo Spojenými státy americkými (+10,3 mld.). K výraznému zhoršení došlo u bilance zahraničního obchodu s Tchaj-wanem (−13,0 mld. korun) nebo </w:t>
            </w:r>
            <w:r>
              <w:rPr>
                <w:rFonts w:cs="Arial"/>
                <w:bCs/>
                <w:color w:val="000000"/>
                <w:szCs w:val="20"/>
                <w:lang w:eastAsia="en-US"/>
              </w:rPr>
              <w:lastRenderedPageBreak/>
              <w:t xml:space="preserve">Ázerbájdžánem (−8,5 mld.). V samotném 3. čtvrtletí 2024 se bilance zahraničního obchodu se zbožím s EU meziročně zlepšila o 12,7 mld. korun a se zeměmi mimo EU o 17,7 mld. Nejvíce se zlepšila bilance obchodu s Velkou Británií a Německem </w:t>
            </w:r>
            <w:r>
              <w:rPr>
                <w:rFonts w:cs="Arial"/>
                <w:bCs/>
                <w:color w:val="000000"/>
                <w:szCs w:val="20"/>
                <w:lang w:eastAsia="en-US"/>
              </w:rPr>
              <w:br/>
              <w:t>a následovaly Spojené státy americké (viz Tabulka č. 6). Mezi zeměmi, které významně působily ve směru zlepšení bilance, bylo rovněž Rusko, Singapur, Francie nebo Itálie. Na druhé straně se výrazně meziročně zhoršovala bilance obchodu s Čínou a Polskem a v menší míře také se Španělskem, Ázerbájdžánem nebo Tchaj-wanem.</w:t>
            </w:r>
          </w:p>
        </w:tc>
      </w:tr>
      <w:tr w:rsidR="00FB4423" w14:paraId="4C6EC4DD" w14:textId="77777777" w:rsidTr="00775F26">
        <w:trPr>
          <w:trHeight w:val="170"/>
        </w:trPr>
        <w:tc>
          <w:tcPr>
            <w:tcW w:w="4811" w:type="dxa"/>
            <w:gridSpan w:val="3"/>
            <w:hideMark/>
          </w:tcPr>
          <w:p w14:paraId="1DB464EF" w14:textId="77777777" w:rsidR="00FB4423" w:rsidRDefault="00FB4423" w:rsidP="00775F26">
            <w:pPr>
              <w:spacing w:after="0"/>
              <w:rPr>
                <w:rFonts w:cs="Arial"/>
                <w:b/>
                <w:bCs/>
                <w:color w:val="000000"/>
                <w:sz w:val="18"/>
                <w:szCs w:val="18"/>
                <w:lang w:eastAsia="en-US"/>
              </w:rPr>
            </w:pPr>
            <w:r>
              <w:rPr>
                <w:rFonts w:cs="Arial"/>
                <w:b/>
                <w:bCs/>
                <w:color w:val="000000"/>
                <w:sz w:val="18"/>
                <w:szCs w:val="18"/>
                <w:lang w:eastAsia="en-US"/>
              </w:rPr>
              <w:lastRenderedPageBreak/>
              <w:t xml:space="preserve">Tabulka č. 5 Oddíly klasifikace CPA s největším </w:t>
            </w:r>
          </w:p>
          <w:p w14:paraId="2C90ECE8" w14:textId="77777777" w:rsidR="00FB4423" w:rsidRDefault="00FB4423" w:rsidP="00775F26">
            <w:pPr>
              <w:spacing w:after="0"/>
              <w:jc w:val="left"/>
              <w:rPr>
                <w:rFonts w:cs="Arial"/>
                <w:b/>
                <w:bCs/>
                <w:color w:val="000000"/>
                <w:sz w:val="18"/>
                <w:szCs w:val="18"/>
                <w:lang w:eastAsia="en-US"/>
              </w:rPr>
            </w:pPr>
            <w:r>
              <w:rPr>
                <w:rFonts w:cs="Arial"/>
                <w:b/>
                <w:bCs/>
                <w:color w:val="000000"/>
                <w:sz w:val="18"/>
                <w:szCs w:val="18"/>
                <w:lang w:eastAsia="en-US"/>
              </w:rPr>
              <w:t xml:space="preserve">vlivem na vývoj bilance zahraničního obchodu se zbožím ve 3. čtvrtletí 2024 </w:t>
            </w:r>
            <w:r>
              <w:rPr>
                <w:rFonts w:cs="Arial"/>
                <w:bCs/>
                <w:color w:val="000000"/>
                <w:sz w:val="18"/>
                <w:szCs w:val="18"/>
                <w:lang w:eastAsia="en-US"/>
              </w:rPr>
              <w:t>(meziročně)</w:t>
            </w:r>
          </w:p>
        </w:tc>
        <w:tc>
          <w:tcPr>
            <w:tcW w:w="57" w:type="dxa"/>
          </w:tcPr>
          <w:p w14:paraId="4EDD5014" w14:textId="77777777" w:rsidR="00FB4423" w:rsidRDefault="00FB4423" w:rsidP="00775F26">
            <w:pPr>
              <w:spacing w:after="0"/>
              <w:rPr>
                <w:spacing w:val="-4"/>
                <w:lang w:eastAsia="en-US"/>
              </w:rPr>
            </w:pPr>
          </w:p>
        </w:tc>
        <w:tc>
          <w:tcPr>
            <w:tcW w:w="4809" w:type="dxa"/>
            <w:hideMark/>
          </w:tcPr>
          <w:p w14:paraId="1B55FA44" w14:textId="77777777" w:rsidR="00FB4423" w:rsidRDefault="00FB4423" w:rsidP="00775F26">
            <w:pPr>
              <w:spacing w:after="0"/>
              <w:jc w:val="left"/>
              <w:rPr>
                <w:spacing w:val="-4"/>
                <w:sz w:val="18"/>
                <w:szCs w:val="18"/>
                <w:lang w:eastAsia="en-US"/>
              </w:rPr>
            </w:pPr>
            <w:r>
              <w:rPr>
                <w:rFonts w:cs="Arial"/>
                <w:b/>
                <w:bCs/>
                <w:color w:val="000000"/>
                <w:sz w:val="18"/>
                <w:szCs w:val="18"/>
                <w:lang w:eastAsia="en-US"/>
              </w:rPr>
              <w:t xml:space="preserve">Tabulka č. 6 Země s největším vlivem na vývoj bilance zahraničního obchodu se zbožím ve 3. čtvrtletí 2024 </w:t>
            </w:r>
            <w:r>
              <w:rPr>
                <w:rFonts w:cs="Arial"/>
                <w:bCs/>
                <w:color w:val="000000"/>
                <w:sz w:val="18"/>
                <w:szCs w:val="18"/>
                <w:lang w:eastAsia="en-US"/>
              </w:rPr>
              <w:t>(meziročně)</w:t>
            </w:r>
          </w:p>
        </w:tc>
      </w:tr>
      <w:tr w:rsidR="00FB4423" w14:paraId="52AD7296" w14:textId="77777777" w:rsidTr="00775F26">
        <w:trPr>
          <w:trHeight w:val="170"/>
        </w:trPr>
        <w:tc>
          <w:tcPr>
            <w:tcW w:w="4811" w:type="dxa"/>
            <w:gridSpan w:val="3"/>
            <w:hideMark/>
          </w:tcPr>
          <w:tbl>
            <w:tblPr>
              <w:tblW w:w="4826" w:type="dxa"/>
              <w:tblLayout w:type="fixed"/>
              <w:tblCellMar>
                <w:left w:w="70" w:type="dxa"/>
                <w:right w:w="70" w:type="dxa"/>
              </w:tblCellMar>
              <w:tblLook w:val="04A0" w:firstRow="1" w:lastRow="0" w:firstColumn="1" w:lastColumn="0" w:noHBand="0" w:noVBand="1"/>
            </w:tblPr>
            <w:tblGrid>
              <w:gridCol w:w="4126"/>
              <w:gridCol w:w="700"/>
            </w:tblGrid>
            <w:tr w:rsidR="00FB4423" w:rsidRPr="008E35DE" w14:paraId="2902223E" w14:textId="77777777" w:rsidTr="00775F26">
              <w:trPr>
                <w:trHeight w:val="255"/>
              </w:trPr>
              <w:tc>
                <w:tcPr>
                  <w:tcW w:w="4126" w:type="dxa"/>
                  <w:tcBorders>
                    <w:top w:val="nil"/>
                    <w:left w:val="nil"/>
                    <w:bottom w:val="single" w:sz="4" w:space="0" w:color="auto"/>
                    <w:right w:val="nil"/>
                  </w:tcBorders>
                  <w:shd w:val="clear" w:color="auto" w:fill="auto"/>
                  <w:noWrap/>
                  <w:vAlign w:val="bottom"/>
                  <w:hideMark/>
                </w:tcPr>
                <w:p w14:paraId="50833B09"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 </w:t>
                  </w:r>
                </w:p>
              </w:tc>
              <w:tc>
                <w:tcPr>
                  <w:tcW w:w="700" w:type="dxa"/>
                  <w:tcBorders>
                    <w:top w:val="nil"/>
                    <w:left w:val="nil"/>
                    <w:bottom w:val="single" w:sz="4" w:space="0" w:color="auto"/>
                    <w:right w:val="nil"/>
                  </w:tcBorders>
                  <w:shd w:val="clear" w:color="auto" w:fill="auto"/>
                  <w:noWrap/>
                  <w:vAlign w:val="bottom"/>
                  <w:hideMark/>
                </w:tcPr>
                <w:p w14:paraId="557C9F8F" w14:textId="77777777" w:rsidR="00FB4423" w:rsidRPr="008E35DE" w:rsidRDefault="00FB4423" w:rsidP="00775F26">
                  <w:pPr>
                    <w:spacing w:after="0" w:line="240" w:lineRule="auto"/>
                    <w:jc w:val="right"/>
                    <w:rPr>
                      <w:rFonts w:cs="Arial"/>
                      <w:color w:val="000000"/>
                      <w:sz w:val="16"/>
                      <w:szCs w:val="16"/>
                    </w:rPr>
                  </w:pPr>
                  <w:r w:rsidRPr="008E35DE">
                    <w:rPr>
                      <w:rFonts w:cs="Arial"/>
                      <w:color w:val="000000"/>
                      <w:sz w:val="16"/>
                      <w:szCs w:val="16"/>
                    </w:rPr>
                    <w:t>mld. Kč</w:t>
                  </w:r>
                </w:p>
              </w:tc>
            </w:tr>
            <w:tr w:rsidR="00FB4423" w:rsidRPr="008E35DE" w14:paraId="20715103" w14:textId="77777777" w:rsidTr="00775F26">
              <w:trPr>
                <w:trHeight w:val="255"/>
              </w:trPr>
              <w:tc>
                <w:tcPr>
                  <w:tcW w:w="4126" w:type="dxa"/>
                  <w:tcBorders>
                    <w:top w:val="nil"/>
                    <w:left w:val="nil"/>
                    <w:bottom w:val="nil"/>
                    <w:right w:val="nil"/>
                  </w:tcBorders>
                  <w:shd w:val="clear" w:color="auto" w:fill="auto"/>
                  <w:noWrap/>
                  <w:vAlign w:val="bottom"/>
                  <w:hideMark/>
                </w:tcPr>
                <w:p w14:paraId="51E87093"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Motorová vozidla (kromě motocyklů) a díly</w:t>
                  </w:r>
                </w:p>
              </w:tc>
              <w:tc>
                <w:tcPr>
                  <w:tcW w:w="700" w:type="dxa"/>
                  <w:tcBorders>
                    <w:top w:val="nil"/>
                    <w:left w:val="nil"/>
                    <w:bottom w:val="nil"/>
                    <w:right w:val="nil"/>
                  </w:tcBorders>
                  <w:shd w:val="clear" w:color="auto" w:fill="auto"/>
                  <w:noWrap/>
                  <w:vAlign w:val="bottom"/>
                  <w:hideMark/>
                </w:tcPr>
                <w:p w14:paraId="5D339F40" w14:textId="77777777" w:rsidR="00FB4423" w:rsidRPr="008E35DE" w:rsidRDefault="00FB4423" w:rsidP="00775F26">
                  <w:pPr>
                    <w:spacing w:after="0" w:line="240" w:lineRule="auto"/>
                    <w:jc w:val="right"/>
                    <w:rPr>
                      <w:rFonts w:cs="Arial"/>
                      <w:color w:val="000000"/>
                      <w:sz w:val="16"/>
                      <w:szCs w:val="16"/>
                    </w:rPr>
                  </w:pPr>
                  <w:r w:rsidRPr="008E35DE">
                    <w:rPr>
                      <w:rFonts w:cs="Arial"/>
                      <w:color w:val="000000"/>
                      <w:sz w:val="16"/>
                      <w:szCs w:val="16"/>
                    </w:rPr>
                    <w:t>+24,3</w:t>
                  </w:r>
                </w:p>
              </w:tc>
            </w:tr>
            <w:tr w:rsidR="00FB4423" w:rsidRPr="008E35DE" w14:paraId="651B2651" w14:textId="77777777" w:rsidTr="00775F26">
              <w:trPr>
                <w:trHeight w:val="255"/>
              </w:trPr>
              <w:tc>
                <w:tcPr>
                  <w:tcW w:w="4126" w:type="dxa"/>
                  <w:tcBorders>
                    <w:top w:val="nil"/>
                    <w:left w:val="nil"/>
                    <w:bottom w:val="nil"/>
                    <w:right w:val="nil"/>
                  </w:tcBorders>
                  <w:shd w:val="clear" w:color="auto" w:fill="auto"/>
                  <w:noWrap/>
                  <w:vAlign w:val="bottom"/>
                  <w:hideMark/>
                </w:tcPr>
                <w:p w14:paraId="363DB61C"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Počítače, elektronické a optické přístroje a zařízení</w:t>
                  </w:r>
                </w:p>
              </w:tc>
              <w:tc>
                <w:tcPr>
                  <w:tcW w:w="700" w:type="dxa"/>
                  <w:tcBorders>
                    <w:top w:val="nil"/>
                    <w:left w:val="nil"/>
                    <w:bottom w:val="nil"/>
                    <w:right w:val="nil"/>
                  </w:tcBorders>
                  <w:shd w:val="clear" w:color="auto" w:fill="auto"/>
                  <w:noWrap/>
                  <w:vAlign w:val="bottom"/>
                  <w:hideMark/>
                </w:tcPr>
                <w:p w14:paraId="788017BA" w14:textId="77777777" w:rsidR="00FB4423" w:rsidRPr="008E35DE" w:rsidRDefault="00FB4423" w:rsidP="00775F26">
                  <w:pPr>
                    <w:spacing w:after="0" w:line="240" w:lineRule="auto"/>
                    <w:jc w:val="right"/>
                    <w:rPr>
                      <w:rFonts w:cs="Arial"/>
                      <w:color w:val="000000"/>
                      <w:sz w:val="16"/>
                      <w:szCs w:val="16"/>
                    </w:rPr>
                  </w:pPr>
                  <w:r w:rsidRPr="008E35DE">
                    <w:rPr>
                      <w:rFonts w:cs="Arial"/>
                      <w:color w:val="000000"/>
                      <w:sz w:val="16"/>
                      <w:szCs w:val="16"/>
                    </w:rPr>
                    <w:t>+13,8</w:t>
                  </w:r>
                </w:p>
              </w:tc>
            </w:tr>
            <w:tr w:rsidR="00FB4423" w:rsidRPr="008E35DE" w14:paraId="26FD5DE5" w14:textId="77777777" w:rsidTr="00775F26">
              <w:trPr>
                <w:trHeight w:val="255"/>
              </w:trPr>
              <w:tc>
                <w:tcPr>
                  <w:tcW w:w="4126" w:type="dxa"/>
                  <w:tcBorders>
                    <w:top w:val="nil"/>
                    <w:left w:val="nil"/>
                    <w:bottom w:val="nil"/>
                    <w:right w:val="nil"/>
                  </w:tcBorders>
                  <w:shd w:val="clear" w:color="auto" w:fill="auto"/>
                  <w:noWrap/>
                  <w:vAlign w:val="bottom"/>
                  <w:hideMark/>
                </w:tcPr>
                <w:p w14:paraId="5D99D30E"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Ropa a zemní plyn</w:t>
                  </w:r>
                </w:p>
              </w:tc>
              <w:tc>
                <w:tcPr>
                  <w:tcW w:w="700" w:type="dxa"/>
                  <w:tcBorders>
                    <w:top w:val="nil"/>
                    <w:left w:val="nil"/>
                    <w:bottom w:val="nil"/>
                    <w:right w:val="nil"/>
                  </w:tcBorders>
                  <w:shd w:val="clear" w:color="auto" w:fill="auto"/>
                  <w:noWrap/>
                  <w:vAlign w:val="bottom"/>
                  <w:hideMark/>
                </w:tcPr>
                <w:p w14:paraId="7142B3EC" w14:textId="77777777" w:rsidR="00FB4423" w:rsidRPr="008E35DE" w:rsidRDefault="00FB4423" w:rsidP="00775F26">
                  <w:pPr>
                    <w:spacing w:after="0" w:line="240" w:lineRule="auto"/>
                    <w:jc w:val="right"/>
                    <w:rPr>
                      <w:rFonts w:cs="Arial"/>
                      <w:color w:val="000000"/>
                      <w:sz w:val="16"/>
                      <w:szCs w:val="16"/>
                    </w:rPr>
                  </w:pPr>
                  <w:r w:rsidRPr="008E35DE">
                    <w:rPr>
                      <w:rFonts w:cs="Arial"/>
                      <w:color w:val="000000"/>
                      <w:sz w:val="16"/>
                      <w:szCs w:val="16"/>
                    </w:rPr>
                    <w:t>+2,9</w:t>
                  </w:r>
                </w:p>
              </w:tc>
            </w:tr>
            <w:tr w:rsidR="00FB4423" w:rsidRPr="008E35DE" w14:paraId="3A0CAB1E" w14:textId="77777777" w:rsidTr="00775F26">
              <w:trPr>
                <w:trHeight w:val="255"/>
              </w:trPr>
              <w:tc>
                <w:tcPr>
                  <w:tcW w:w="4126" w:type="dxa"/>
                  <w:tcBorders>
                    <w:top w:val="nil"/>
                    <w:left w:val="nil"/>
                    <w:bottom w:val="nil"/>
                    <w:right w:val="nil"/>
                  </w:tcBorders>
                  <w:shd w:val="clear" w:color="auto" w:fill="auto"/>
                  <w:noWrap/>
                  <w:vAlign w:val="bottom"/>
                  <w:hideMark/>
                </w:tcPr>
                <w:p w14:paraId="6107E917"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Rudy</w:t>
                  </w:r>
                </w:p>
              </w:tc>
              <w:tc>
                <w:tcPr>
                  <w:tcW w:w="700" w:type="dxa"/>
                  <w:tcBorders>
                    <w:top w:val="nil"/>
                    <w:left w:val="nil"/>
                    <w:bottom w:val="nil"/>
                    <w:right w:val="nil"/>
                  </w:tcBorders>
                  <w:shd w:val="clear" w:color="auto" w:fill="auto"/>
                  <w:noWrap/>
                  <w:vAlign w:val="bottom"/>
                  <w:hideMark/>
                </w:tcPr>
                <w:p w14:paraId="0785FB77" w14:textId="77777777" w:rsidR="00FB4423" w:rsidRPr="008E35DE" w:rsidRDefault="00FB4423" w:rsidP="00775F26">
                  <w:pPr>
                    <w:spacing w:after="0" w:line="240" w:lineRule="auto"/>
                    <w:jc w:val="right"/>
                    <w:rPr>
                      <w:rFonts w:cs="Arial"/>
                      <w:color w:val="000000"/>
                      <w:sz w:val="16"/>
                      <w:szCs w:val="16"/>
                    </w:rPr>
                  </w:pPr>
                  <w:r w:rsidRPr="008E35DE">
                    <w:rPr>
                      <w:rFonts w:cs="Arial"/>
                      <w:color w:val="000000"/>
                      <w:sz w:val="16"/>
                      <w:szCs w:val="16"/>
                    </w:rPr>
                    <w:t>+2,2</w:t>
                  </w:r>
                </w:p>
              </w:tc>
            </w:tr>
            <w:tr w:rsidR="00FB4423" w:rsidRPr="008E35DE" w14:paraId="240C9813" w14:textId="77777777" w:rsidTr="00775F26">
              <w:trPr>
                <w:trHeight w:val="255"/>
              </w:trPr>
              <w:tc>
                <w:tcPr>
                  <w:tcW w:w="4126" w:type="dxa"/>
                  <w:tcBorders>
                    <w:top w:val="nil"/>
                    <w:left w:val="nil"/>
                    <w:bottom w:val="nil"/>
                    <w:right w:val="nil"/>
                  </w:tcBorders>
                  <w:shd w:val="clear" w:color="auto" w:fill="auto"/>
                  <w:noWrap/>
                  <w:vAlign w:val="bottom"/>
                  <w:hideMark/>
                </w:tcPr>
                <w:p w14:paraId="130D8228"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Pryžové a plastové výrobky</w:t>
                  </w:r>
                </w:p>
              </w:tc>
              <w:tc>
                <w:tcPr>
                  <w:tcW w:w="700" w:type="dxa"/>
                  <w:tcBorders>
                    <w:top w:val="nil"/>
                    <w:left w:val="nil"/>
                    <w:bottom w:val="nil"/>
                    <w:right w:val="nil"/>
                  </w:tcBorders>
                  <w:shd w:val="clear" w:color="auto" w:fill="auto"/>
                  <w:noWrap/>
                  <w:vAlign w:val="bottom"/>
                  <w:hideMark/>
                </w:tcPr>
                <w:p w14:paraId="0846ED5C" w14:textId="77777777" w:rsidR="00FB4423" w:rsidRPr="008E35DE" w:rsidRDefault="00FB4423" w:rsidP="00775F26">
                  <w:pPr>
                    <w:spacing w:after="0" w:line="240" w:lineRule="auto"/>
                    <w:jc w:val="right"/>
                    <w:rPr>
                      <w:rFonts w:cs="Arial"/>
                      <w:color w:val="000000"/>
                      <w:sz w:val="16"/>
                      <w:szCs w:val="16"/>
                    </w:rPr>
                  </w:pPr>
                  <w:r w:rsidRPr="008E35DE">
                    <w:rPr>
                      <w:rFonts w:cs="Arial"/>
                      <w:color w:val="000000"/>
                      <w:sz w:val="16"/>
                      <w:szCs w:val="16"/>
                    </w:rPr>
                    <w:t>+1,7</w:t>
                  </w:r>
                </w:p>
              </w:tc>
            </w:tr>
            <w:tr w:rsidR="00FB4423" w:rsidRPr="008E35DE" w14:paraId="13BEEEFA" w14:textId="77777777" w:rsidTr="00775F26">
              <w:trPr>
                <w:trHeight w:val="255"/>
              </w:trPr>
              <w:tc>
                <w:tcPr>
                  <w:tcW w:w="4126" w:type="dxa"/>
                  <w:tcBorders>
                    <w:top w:val="nil"/>
                    <w:left w:val="nil"/>
                    <w:bottom w:val="nil"/>
                    <w:right w:val="nil"/>
                  </w:tcBorders>
                  <w:shd w:val="clear" w:color="auto" w:fill="auto"/>
                  <w:noWrap/>
                  <w:vAlign w:val="bottom"/>
                  <w:hideMark/>
                </w:tcPr>
                <w:p w14:paraId="1232C67B"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Černé a hnědé uhlí a lignit</w:t>
                  </w:r>
                </w:p>
              </w:tc>
              <w:tc>
                <w:tcPr>
                  <w:tcW w:w="700" w:type="dxa"/>
                  <w:tcBorders>
                    <w:top w:val="nil"/>
                    <w:left w:val="nil"/>
                    <w:bottom w:val="nil"/>
                    <w:right w:val="nil"/>
                  </w:tcBorders>
                  <w:shd w:val="clear" w:color="auto" w:fill="auto"/>
                  <w:noWrap/>
                  <w:vAlign w:val="bottom"/>
                  <w:hideMark/>
                </w:tcPr>
                <w:p w14:paraId="40F50B4A" w14:textId="77777777" w:rsidR="00FB4423" w:rsidRPr="008E35DE" w:rsidRDefault="00FB4423" w:rsidP="00775F26">
                  <w:pPr>
                    <w:spacing w:after="0" w:line="240" w:lineRule="auto"/>
                    <w:jc w:val="right"/>
                    <w:rPr>
                      <w:rFonts w:cs="Arial"/>
                      <w:color w:val="000000"/>
                      <w:sz w:val="16"/>
                      <w:szCs w:val="16"/>
                    </w:rPr>
                  </w:pPr>
                  <w:r w:rsidRPr="008E35DE">
                    <w:rPr>
                      <w:rFonts w:cs="Arial"/>
                      <w:color w:val="000000"/>
                      <w:sz w:val="16"/>
                      <w:szCs w:val="16"/>
                    </w:rPr>
                    <w:t>+1,5</w:t>
                  </w:r>
                </w:p>
              </w:tc>
            </w:tr>
            <w:tr w:rsidR="00FB4423" w:rsidRPr="008E35DE" w14:paraId="04B05031" w14:textId="77777777" w:rsidTr="00775F26">
              <w:trPr>
                <w:trHeight w:val="255"/>
              </w:trPr>
              <w:tc>
                <w:tcPr>
                  <w:tcW w:w="4126" w:type="dxa"/>
                  <w:tcBorders>
                    <w:top w:val="nil"/>
                    <w:left w:val="nil"/>
                    <w:bottom w:val="nil"/>
                    <w:right w:val="nil"/>
                  </w:tcBorders>
                  <w:shd w:val="clear" w:color="auto" w:fill="auto"/>
                  <w:noWrap/>
                  <w:vAlign w:val="bottom"/>
                  <w:hideMark/>
                </w:tcPr>
                <w:p w14:paraId="1EE29F2D"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Sběr, příprava, likvidace a zpracování odpadu</w:t>
                  </w:r>
                </w:p>
              </w:tc>
              <w:tc>
                <w:tcPr>
                  <w:tcW w:w="700" w:type="dxa"/>
                  <w:tcBorders>
                    <w:top w:val="nil"/>
                    <w:left w:val="nil"/>
                    <w:bottom w:val="nil"/>
                    <w:right w:val="nil"/>
                  </w:tcBorders>
                  <w:shd w:val="clear" w:color="auto" w:fill="auto"/>
                  <w:noWrap/>
                  <w:vAlign w:val="bottom"/>
                  <w:hideMark/>
                </w:tcPr>
                <w:p w14:paraId="77013738" w14:textId="77777777" w:rsidR="00FB4423" w:rsidRPr="008E35DE" w:rsidRDefault="00FB4423" w:rsidP="00775F26">
                  <w:pPr>
                    <w:spacing w:after="0" w:line="240" w:lineRule="auto"/>
                    <w:jc w:val="right"/>
                    <w:rPr>
                      <w:rFonts w:cs="Arial"/>
                      <w:color w:val="000000"/>
                      <w:sz w:val="16"/>
                      <w:szCs w:val="16"/>
                    </w:rPr>
                  </w:pPr>
                  <w:r w:rsidRPr="008E35DE">
                    <w:rPr>
                      <w:rFonts w:cs="Arial"/>
                      <w:color w:val="000000"/>
                      <w:sz w:val="16"/>
                      <w:szCs w:val="16"/>
                    </w:rPr>
                    <w:t>+1,5</w:t>
                  </w:r>
                </w:p>
              </w:tc>
            </w:tr>
            <w:tr w:rsidR="00FB4423" w:rsidRPr="008E35DE" w14:paraId="411913B3" w14:textId="77777777" w:rsidTr="00775F26">
              <w:trPr>
                <w:trHeight w:val="255"/>
              </w:trPr>
              <w:tc>
                <w:tcPr>
                  <w:tcW w:w="4126" w:type="dxa"/>
                  <w:tcBorders>
                    <w:top w:val="nil"/>
                    <w:left w:val="nil"/>
                    <w:bottom w:val="nil"/>
                    <w:right w:val="nil"/>
                  </w:tcBorders>
                  <w:shd w:val="clear" w:color="auto" w:fill="auto"/>
                  <w:noWrap/>
                  <w:vAlign w:val="bottom"/>
                  <w:hideMark/>
                </w:tcPr>
                <w:p w14:paraId="7B010A31"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Elektřina, plyn, pára a klimatizovaný vzduch</w:t>
                  </w:r>
                </w:p>
              </w:tc>
              <w:tc>
                <w:tcPr>
                  <w:tcW w:w="700" w:type="dxa"/>
                  <w:tcBorders>
                    <w:top w:val="nil"/>
                    <w:left w:val="nil"/>
                    <w:bottom w:val="nil"/>
                    <w:right w:val="nil"/>
                  </w:tcBorders>
                  <w:shd w:val="clear" w:color="auto" w:fill="auto"/>
                  <w:noWrap/>
                  <w:vAlign w:val="bottom"/>
                  <w:hideMark/>
                </w:tcPr>
                <w:p w14:paraId="71F0E1F3" w14:textId="77777777" w:rsidR="00FB4423" w:rsidRPr="008E35DE" w:rsidRDefault="00FB4423" w:rsidP="00775F26">
                  <w:pPr>
                    <w:spacing w:after="0" w:line="240" w:lineRule="auto"/>
                    <w:jc w:val="right"/>
                    <w:rPr>
                      <w:rFonts w:cs="Arial"/>
                      <w:color w:val="000000"/>
                      <w:sz w:val="16"/>
                      <w:szCs w:val="16"/>
                    </w:rPr>
                  </w:pPr>
                  <w:r w:rsidRPr="008E35DE">
                    <w:rPr>
                      <w:rFonts w:cs="Arial"/>
                      <w:color w:val="000000"/>
                      <w:sz w:val="16"/>
                      <w:szCs w:val="16"/>
                    </w:rPr>
                    <w:t>+1,3</w:t>
                  </w:r>
                </w:p>
              </w:tc>
            </w:tr>
            <w:tr w:rsidR="00FB4423" w:rsidRPr="008E35DE" w14:paraId="1877CD84" w14:textId="77777777" w:rsidTr="00775F26">
              <w:trPr>
                <w:trHeight w:val="255"/>
              </w:trPr>
              <w:tc>
                <w:tcPr>
                  <w:tcW w:w="4126" w:type="dxa"/>
                  <w:tcBorders>
                    <w:top w:val="nil"/>
                    <w:left w:val="nil"/>
                    <w:bottom w:val="nil"/>
                    <w:right w:val="nil"/>
                  </w:tcBorders>
                  <w:shd w:val="clear" w:color="auto" w:fill="auto"/>
                  <w:noWrap/>
                  <w:vAlign w:val="bottom"/>
                  <w:hideMark/>
                </w:tcPr>
                <w:p w14:paraId="7A158D92"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Produkty lesnictví, těžby dřeva</w:t>
                  </w:r>
                </w:p>
              </w:tc>
              <w:tc>
                <w:tcPr>
                  <w:tcW w:w="700" w:type="dxa"/>
                  <w:tcBorders>
                    <w:top w:val="nil"/>
                    <w:left w:val="nil"/>
                    <w:bottom w:val="nil"/>
                    <w:right w:val="nil"/>
                  </w:tcBorders>
                  <w:shd w:val="clear" w:color="auto" w:fill="auto"/>
                  <w:noWrap/>
                  <w:vAlign w:val="bottom"/>
                  <w:hideMark/>
                </w:tcPr>
                <w:p w14:paraId="27E5082F" w14:textId="77777777" w:rsidR="00FB4423" w:rsidRPr="008E35DE" w:rsidRDefault="00FB4423" w:rsidP="00775F26">
                  <w:pPr>
                    <w:spacing w:after="0" w:line="240" w:lineRule="auto"/>
                    <w:jc w:val="right"/>
                    <w:rPr>
                      <w:rFonts w:cs="Arial"/>
                      <w:color w:val="000000"/>
                      <w:sz w:val="16"/>
                      <w:szCs w:val="16"/>
                    </w:rPr>
                  </w:pPr>
                  <w:r>
                    <w:rPr>
                      <w:rFonts w:cs="Arial"/>
                      <w:color w:val="000000"/>
                      <w:sz w:val="16"/>
                      <w:szCs w:val="16"/>
                    </w:rPr>
                    <w:t>−</w:t>
                  </w:r>
                  <w:r w:rsidRPr="008E35DE">
                    <w:rPr>
                      <w:rFonts w:cs="Arial"/>
                      <w:color w:val="000000"/>
                      <w:sz w:val="16"/>
                      <w:szCs w:val="16"/>
                    </w:rPr>
                    <w:t>1,0</w:t>
                  </w:r>
                </w:p>
              </w:tc>
            </w:tr>
            <w:tr w:rsidR="00FB4423" w:rsidRPr="008E35DE" w14:paraId="5FDB8DCA" w14:textId="77777777" w:rsidTr="00775F26">
              <w:trPr>
                <w:trHeight w:val="255"/>
              </w:trPr>
              <w:tc>
                <w:tcPr>
                  <w:tcW w:w="4126" w:type="dxa"/>
                  <w:tcBorders>
                    <w:top w:val="nil"/>
                    <w:left w:val="nil"/>
                    <w:bottom w:val="nil"/>
                    <w:right w:val="nil"/>
                  </w:tcBorders>
                  <w:shd w:val="clear" w:color="auto" w:fill="auto"/>
                  <w:noWrap/>
                  <w:vAlign w:val="bottom"/>
                  <w:hideMark/>
                </w:tcPr>
                <w:p w14:paraId="4713FDA5"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Potravinářské výrobky</w:t>
                  </w:r>
                </w:p>
              </w:tc>
              <w:tc>
                <w:tcPr>
                  <w:tcW w:w="700" w:type="dxa"/>
                  <w:tcBorders>
                    <w:top w:val="nil"/>
                    <w:left w:val="nil"/>
                    <w:bottom w:val="nil"/>
                    <w:right w:val="nil"/>
                  </w:tcBorders>
                  <w:shd w:val="clear" w:color="auto" w:fill="auto"/>
                  <w:noWrap/>
                  <w:vAlign w:val="bottom"/>
                  <w:hideMark/>
                </w:tcPr>
                <w:p w14:paraId="64F681B9" w14:textId="77777777" w:rsidR="00FB4423" w:rsidRPr="008E35DE" w:rsidRDefault="00FB4423" w:rsidP="00775F26">
                  <w:pPr>
                    <w:spacing w:after="0" w:line="240" w:lineRule="auto"/>
                    <w:jc w:val="right"/>
                    <w:rPr>
                      <w:rFonts w:cs="Arial"/>
                      <w:color w:val="000000"/>
                      <w:sz w:val="16"/>
                      <w:szCs w:val="16"/>
                    </w:rPr>
                  </w:pPr>
                  <w:r>
                    <w:rPr>
                      <w:rFonts w:cs="Arial"/>
                      <w:color w:val="000000"/>
                      <w:sz w:val="16"/>
                      <w:szCs w:val="16"/>
                    </w:rPr>
                    <w:t>−</w:t>
                  </w:r>
                  <w:r w:rsidRPr="008E35DE">
                    <w:rPr>
                      <w:rFonts w:cs="Arial"/>
                      <w:color w:val="000000"/>
                      <w:sz w:val="16"/>
                      <w:szCs w:val="16"/>
                    </w:rPr>
                    <w:t>1,1</w:t>
                  </w:r>
                </w:p>
              </w:tc>
            </w:tr>
            <w:tr w:rsidR="00FB4423" w:rsidRPr="008E35DE" w14:paraId="2C3C2C56" w14:textId="77777777" w:rsidTr="00775F26">
              <w:trPr>
                <w:trHeight w:val="255"/>
              </w:trPr>
              <w:tc>
                <w:tcPr>
                  <w:tcW w:w="4126" w:type="dxa"/>
                  <w:tcBorders>
                    <w:top w:val="nil"/>
                    <w:left w:val="nil"/>
                    <w:bottom w:val="nil"/>
                    <w:right w:val="nil"/>
                  </w:tcBorders>
                  <w:shd w:val="clear" w:color="auto" w:fill="auto"/>
                  <w:noWrap/>
                  <w:vAlign w:val="bottom"/>
                  <w:hideMark/>
                </w:tcPr>
                <w:p w14:paraId="04DB7AB1"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Ostatní dopravní prostředky a zařízení</w:t>
                  </w:r>
                </w:p>
              </w:tc>
              <w:tc>
                <w:tcPr>
                  <w:tcW w:w="700" w:type="dxa"/>
                  <w:tcBorders>
                    <w:top w:val="nil"/>
                    <w:left w:val="nil"/>
                    <w:bottom w:val="nil"/>
                    <w:right w:val="nil"/>
                  </w:tcBorders>
                  <w:shd w:val="clear" w:color="auto" w:fill="auto"/>
                  <w:noWrap/>
                  <w:vAlign w:val="bottom"/>
                  <w:hideMark/>
                </w:tcPr>
                <w:p w14:paraId="72FE98E3" w14:textId="77777777" w:rsidR="00FB4423" w:rsidRPr="008E35DE" w:rsidRDefault="00FB4423" w:rsidP="00775F26">
                  <w:pPr>
                    <w:spacing w:after="0" w:line="240" w:lineRule="auto"/>
                    <w:jc w:val="right"/>
                    <w:rPr>
                      <w:rFonts w:cs="Arial"/>
                      <w:color w:val="000000"/>
                      <w:sz w:val="16"/>
                      <w:szCs w:val="16"/>
                    </w:rPr>
                  </w:pPr>
                  <w:r>
                    <w:rPr>
                      <w:rFonts w:cs="Arial"/>
                      <w:color w:val="000000"/>
                      <w:sz w:val="16"/>
                      <w:szCs w:val="16"/>
                    </w:rPr>
                    <w:t>−</w:t>
                  </w:r>
                  <w:r w:rsidRPr="008E35DE">
                    <w:rPr>
                      <w:rFonts w:cs="Arial"/>
                      <w:color w:val="000000"/>
                      <w:sz w:val="16"/>
                      <w:szCs w:val="16"/>
                    </w:rPr>
                    <w:t>1,8</w:t>
                  </w:r>
                </w:p>
              </w:tc>
            </w:tr>
            <w:tr w:rsidR="00FB4423" w:rsidRPr="008E35DE" w14:paraId="66FB20A0" w14:textId="77777777" w:rsidTr="00775F26">
              <w:trPr>
                <w:trHeight w:val="255"/>
              </w:trPr>
              <w:tc>
                <w:tcPr>
                  <w:tcW w:w="4126" w:type="dxa"/>
                  <w:tcBorders>
                    <w:top w:val="nil"/>
                    <w:left w:val="nil"/>
                    <w:bottom w:val="nil"/>
                    <w:right w:val="nil"/>
                  </w:tcBorders>
                  <w:shd w:val="clear" w:color="auto" w:fill="auto"/>
                  <w:noWrap/>
                  <w:vAlign w:val="bottom"/>
                  <w:hideMark/>
                </w:tcPr>
                <w:p w14:paraId="1B7D9A10"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Základní farmaceutické výrobky a přípravky</w:t>
                  </w:r>
                </w:p>
              </w:tc>
              <w:tc>
                <w:tcPr>
                  <w:tcW w:w="700" w:type="dxa"/>
                  <w:tcBorders>
                    <w:top w:val="nil"/>
                    <w:left w:val="nil"/>
                    <w:bottom w:val="nil"/>
                    <w:right w:val="nil"/>
                  </w:tcBorders>
                  <w:shd w:val="clear" w:color="auto" w:fill="auto"/>
                  <w:noWrap/>
                  <w:vAlign w:val="bottom"/>
                  <w:hideMark/>
                </w:tcPr>
                <w:p w14:paraId="3C8C21D8" w14:textId="77777777" w:rsidR="00FB4423" w:rsidRPr="008E35DE" w:rsidRDefault="00FB4423" w:rsidP="00775F26">
                  <w:pPr>
                    <w:spacing w:after="0" w:line="240" w:lineRule="auto"/>
                    <w:jc w:val="right"/>
                    <w:rPr>
                      <w:rFonts w:cs="Arial"/>
                      <w:color w:val="000000"/>
                      <w:sz w:val="16"/>
                      <w:szCs w:val="16"/>
                    </w:rPr>
                  </w:pPr>
                  <w:r>
                    <w:rPr>
                      <w:rFonts w:cs="Arial"/>
                      <w:color w:val="000000"/>
                      <w:sz w:val="16"/>
                      <w:szCs w:val="16"/>
                    </w:rPr>
                    <w:t>−</w:t>
                  </w:r>
                  <w:r w:rsidRPr="008E35DE">
                    <w:rPr>
                      <w:rFonts w:cs="Arial"/>
                      <w:color w:val="000000"/>
                      <w:sz w:val="16"/>
                      <w:szCs w:val="16"/>
                    </w:rPr>
                    <w:t>2,4</w:t>
                  </w:r>
                </w:p>
              </w:tc>
            </w:tr>
            <w:tr w:rsidR="00FB4423" w:rsidRPr="008E35DE" w14:paraId="3091862E" w14:textId="77777777" w:rsidTr="00775F26">
              <w:trPr>
                <w:trHeight w:val="255"/>
              </w:trPr>
              <w:tc>
                <w:tcPr>
                  <w:tcW w:w="4126" w:type="dxa"/>
                  <w:tcBorders>
                    <w:top w:val="nil"/>
                    <w:left w:val="nil"/>
                    <w:bottom w:val="nil"/>
                    <w:right w:val="nil"/>
                  </w:tcBorders>
                  <w:shd w:val="clear" w:color="auto" w:fill="auto"/>
                  <w:noWrap/>
                  <w:vAlign w:val="bottom"/>
                  <w:hideMark/>
                </w:tcPr>
                <w:p w14:paraId="4B1F8D11"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Chemické látky a přípravky</w:t>
                  </w:r>
                </w:p>
              </w:tc>
              <w:tc>
                <w:tcPr>
                  <w:tcW w:w="700" w:type="dxa"/>
                  <w:tcBorders>
                    <w:top w:val="nil"/>
                    <w:left w:val="nil"/>
                    <w:bottom w:val="nil"/>
                    <w:right w:val="nil"/>
                  </w:tcBorders>
                  <w:shd w:val="clear" w:color="auto" w:fill="auto"/>
                  <w:noWrap/>
                  <w:vAlign w:val="bottom"/>
                  <w:hideMark/>
                </w:tcPr>
                <w:p w14:paraId="14739115" w14:textId="77777777" w:rsidR="00FB4423" w:rsidRPr="008E35DE" w:rsidRDefault="00FB4423" w:rsidP="00775F26">
                  <w:pPr>
                    <w:spacing w:after="0" w:line="240" w:lineRule="auto"/>
                    <w:jc w:val="right"/>
                    <w:rPr>
                      <w:rFonts w:cs="Arial"/>
                      <w:color w:val="000000"/>
                      <w:sz w:val="16"/>
                      <w:szCs w:val="16"/>
                    </w:rPr>
                  </w:pPr>
                  <w:r>
                    <w:rPr>
                      <w:rFonts w:cs="Arial"/>
                      <w:color w:val="000000"/>
                      <w:sz w:val="16"/>
                      <w:szCs w:val="16"/>
                    </w:rPr>
                    <w:t>−</w:t>
                  </w:r>
                  <w:r w:rsidRPr="008E35DE">
                    <w:rPr>
                      <w:rFonts w:cs="Arial"/>
                      <w:color w:val="000000"/>
                      <w:sz w:val="16"/>
                      <w:szCs w:val="16"/>
                    </w:rPr>
                    <w:t>2,6</w:t>
                  </w:r>
                </w:p>
              </w:tc>
            </w:tr>
            <w:tr w:rsidR="00FB4423" w:rsidRPr="008E35DE" w14:paraId="49574254" w14:textId="77777777" w:rsidTr="00775F26">
              <w:trPr>
                <w:trHeight w:val="255"/>
              </w:trPr>
              <w:tc>
                <w:tcPr>
                  <w:tcW w:w="4126" w:type="dxa"/>
                  <w:tcBorders>
                    <w:top w:val="nil"/>
                    <w:left w:val="nil"/>
                    <w:bottom w:val="nil"/>
                    <w:right w:val="nil"/>
                  </w:tcBorders>
                  <w:shd w:val="clear" w:color="auto" w:fill="auto"/>
                  <w:noWrap/>
                  <w:vAlign w:val="bottom"/>
                  <w:hideMark/>
                </w:tcPr>
                <w:p w14:paraId="59D56B5A"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Koks a rafinované ropné produkty</w:t>
                  </w:r>
                </w:p>
              </w:tc>
              <w:tc>
                <w:tcPr>
                  <w:tcW w:w="700" w:type="dxa"/>
                  <w:tcBorders>
                    <w:top w:val="nil"/>
                    <w:left w:val="nil"/>
                    <w:bottom w:val="nil"/>
                    <w:right w:val="nil"/>
                  </w:tcBorders>
                  <w:shd w:val="clear" w:color="auto" w:fill="auto"/>
                  <w:noWrap/>
                  <w:vAlign w:val="bottom"/>
                  <w:hideMark/>
                </w:tcPr>
                <w:p w14:paraId="6B8430F6" w14:textId="77777777" w:rsidR="00FB4423" w:rsidRPr="008E35DE" w:rsidRDefault="00FB4423" w:rsidP="00775F26">
                  <w:pPr>
                    <w:spacing w:after="0" w:line="240" w:lineRule="auto"/>
                    <w:jc w:val="right"/>
                    <w:rPr>
                      <w:rFonts w:cs="Arial"/>
                      <w:color w:val="000000"/>
                      <w:sz w:val="16"/>
                      <w:szCs w:val="16"/>
                    </w:rPr>
                  </w:pPr>
                  <w:r>
                    <w:rPr>
                      <w:rFonts w:cs="Arial"/>
                      <w:color w:val="000000"/>
                      <w:sz w:val="16"/>
                      <w:szCs w:val="16"/>
                    </w:rPr>
                    <w:t>−</w:t>
                  </w:r>
                  <w:r w:rsidRPr="008E35DE">
                    <w:rPr>
                      <w:rFonts w:cs="Arial"/>
                      <w:color w:val="000000"/>
                      <w:sz w:val="16"/>
                      <w:szCs w:val="16"/>
                    </w:rPr>
                    <w:t>2,7</w:t>
                  </w:r>
                </w:p>
              </w:tc>
            </w:tr>
            <w:tr w:rsidR="00FB4423" w:rsidRPr="008E35DE" w14:paraId="40613AED" w14:textId="77777777" w:rsidTr="00775F26">
              <w:trPr>
                <w:trHeight w:val="255"/>
              </w:trPr>
              <w:tc>
                <w:tcPr>
                  <w:tcW w:w="4126" w:type="dxa"/>
                  <w:tcBorders>
                    <w:top w:val="nil"/>
                    <w:left w:val="nil"/>
                    <w:bottom w:val="nil"/>
                    <w:right w:val="nil"/>
                  </w:tcBorders>
                  <w:shd w:val="clear" w:color="auto" w:fill="auto"/>
                  <w:noWrap/>
                  <w:vAlign w:val="bottom"/>
                  <w:hideMark/>
                </w:tcPr>
                <w:p w14:paraId="33987F30"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Základní kovy</w:t>
                  </w:r>
                </w:p>
              </w:tc>
              <w:tc>
                <w:tcPr>
                  <w:tcW w:w="700" w:type="dxa"/>
                  <w:tcBorders>
                    <w:top w:val="nil"/>
                    <w:left w:val="nil"/>
                    <w:bottom w:val="nil"/>
                    <w:right w:val="nil"/>
                  </w:tcBorders>
                  <w:shd w:val="clear" w:color="auto" w:fill="auto"/>
                  <w:noWrap/>
                  <w:vAlign w:val="bottom"/>
                  <w:hideMark/>
                </w:tcPr>
                <w:p w14:paraId="7C5412C6" w14:textId="77777777" w:rsidR="00FB4423" w:rsidRPr="008E35DE" w:rsidRDefault="00FB4423" w:rsidP="00775F26">
                  <w:pPr>
                    <w:spacing w:after="0" w:line="240" w:lineRule="auto"/>
                    <w:jc w:val="right"/>
                    <w:rPr>
                      <w:rFonts w:cs="Arial"/>
                      <w:color w:val="000000"/>
                      <w:sz w:val="16"/>
                      <w:szCs w:val="16"/>
                    </w:rPr>
                  </w:pPr>
                  <w:r>
                    <w:rPr>
                      <w:rFonts w:cs="Arial"/>
                      <w:color w:val="000000"/>
                      <w:sz w:val="16"/>
                      <w:szCs w:val="16"/>
                    </w:rPr>
                    <w:t>−</w:t>
                  </w:r>
                  <w:r w:rsidRPr="008E35DE">
                    <w:rPr>
                      <w:rFonts w:cs="Arial"/>
                      <w:color w:val="000000"/>
                      <w:sz w:val="16"/>
                      <w:szCs w:val="16"/>
                    </w:rPr>
                    <w:t>5,9</w:t>
                  </w:r>
                </w:p>
              </w:tc>
            </w:tr>
          </w:tbl>
          <w:p w14:paraId="6D1E7FD2" w14:textId="77777777" w:rsidR="00FB4423" w:rsidRDefault="00FB4423" w:rsidP="00775F26">
            <w:pPr>
              <w:spacing w:after="0"/>
              <w:rPr>
                <w:spacing w:val="-4"/>
                <w:lang w:eastAsia="en-US"/>
              </w:rPr>
            </w:pPr>
          </w:p>
        </w:tc>
        <w:tc>
          <w:tcPr>
            <w:tcW w:w="57" w:type="dxa"/>
          </w:tcPr>
          <w:p w14:paraId="461A8071" w14:textId="77777777" w:rsidR="00FB4423" w:rsidRDefault="00FB4423" w:rsidP="00775F26">
            <w:pPr>
              <w:spacing w:after="0"/>
              <w:rPr>
                <w:spacing w:val="-4"/>
                <w:lang w:eastAsia="en-US"/>
              </w:rPr>
            </w:pPr>
          </w:p>
        </w:tc>
        <w:tc>
          <w:tcPr>
            <w:tcW w:w="4809" w:type="dxa"/>
            <w:hideMark/>
          </w:tcPr>
          <w:tbl>
            <w:tblPr>
              <w:tblW w:w="4771" w:type="dxa"/>
              <w:tblLayout w:type="fixed"/>
              <w:tblCellMar>
                <w:left w:w="70" w:type="dxa"/>
                <w:right w:w="70" w:type="dxa"/>
              </w:tblCellMar>
              <w:tblLook w:val="04A0" w:firstRow="1" w:lastRow="0" w:firstColumn="1" w:lastColumn="0" w:noHBand="0" w:noVBand="1"/>
            </w:tblPr>
            <w:tblGrid>
              <w:gridCol w:w="4071"/>
              <w:gridCol w:w="700"/>
            </w:tblGrid>
            <w:tr w:rsidR="00FB4423" w:rsidRPr="008E35DE" w14:paraId="44F66FA5" w14:textId="77777777" w:rsidTr="00775F26">
              <w:trPr>
                <w:trHeight w:val="255"/>
              </w:trPr>
              <w:tc>
                <w:tcPr>
                  <w:tcW w:w="4071" w:type="dxa"/>
                  <w:tcBorders>
                    <w:top w:val="nil"/>
                    <w:left w:val="nil"/>
                    <w:bottom w:val="single" w:sz="4" w:space="0" w:color="auto"/>
                    <w:right w:val="nil"/>
                  </w:tcBorders>
                  <w:shd w:val="clear" w:color="auto" w:fill="auto"/>
                  <w:noWrap/>
                  <w:vAlign w:val="bottom"/>
                  <w:hideMark/>
                </w:tcPr>
                <w:p w14:paraId="01BE5149" w14:textId="77777777" w:rsidR="00FB4423" w:rsidRPr="008E35DE" w:rsidRDefault="00FB4423" w:rsidP="00775F26">
                  <w:pPr>
                    <w:spacing w:after="0" w:line="240" w:lineRule="auto"/>
                    <w:jc w:val="left"/>
                    <w:rPr>
                      <w:rFonts w:ascii="Calibri" w:hAnsi="Calibri" w:cs="Calibri"/>
                      <w:color w:val="000000"/>
                      <w:sz w:val="16"/>
                      <w:szCs w:val="16"/>
                    </w:rPr>
                  </w:pPr>
                </w:p>
              </w:tc>
              <w:tc>
                <w:tcPr>
                  <w:tcW w:w="700" w:type="dxa"/>
                  <w:tcBorders>
                    <w:top w:val="nil"/>
                    <w:left w:val="nil"/>
                    <w:bottom w:val="single" w:sz="4" w:space="0" w:color="auto"/>
                    <w:right w:val="nil"/>
                  </w:tcBorders>
                  <w:shd w:val="clear" w:color="auto" w:fill="auto"/>
                  <w:noWrap/>
                  <w:vAlign w:val="bottom"/>
                  <w:hideMark/>
                </w:tcPr>
                <w:p w14:paraId="7D411603" w14:textId="77777777" w:rsidR="00FB4423" w:rsidRPr="008E35DE" w:rsidRDefault="00FB4423" w:rsidP="00775F26">
                  <w:pPr>
                    <w:spacing w:after="0" w:line="240" w:lineRule="auto"/>
                    <w:jc w:val="right"/>
                    <w:rPr>
                      <w:rFonts w:cs="Arial"/>
                      <w:color w:val="000000"/>
                      <w:sz w:val="16"/>
                      <w:szCs w:val="16"/>
                    </w:rPr>
                  </w:pPr>
                  <w:r w:rsidRPr="008E35DE">
                    <w:rPr>
                      <w:rFonts w:cs="Arial"/>
                      <w:color w:val="000000"/>
                      <w:sz w:val="16"/>
                      <w:szCs w:val="16"/>
                    </w:rPr>
                    <w:t>mld. Kč</w:t>
                  </w:r>
                </w:p>
              </w:tc>
            </w:tr>
            <w:tr w:rsidR="00FB4423" w:rsidRPr="008E35DE" w14:paraId="1233220A" w14:textId="77777777" w:rsidTr="00775F26">
              <w:trPr>
                <w:trHeight w:val="255"/>
              </w:trPr>
              <w:tc>
                <w:tcPr>
                  <w:tcW w:w="4071" w:type="dxa"/>
                  <w:tcBorders>
                    <w:top w:val="nil"/>
                    <w:left w:val="nil"/>
                    <w:bottom w:val="nil"/>
                    <w:right w:val="nil"/>
                  </w:tcBorders>
                  <w:shd w:val="clear" w:color="auto" w:fill="auto"/>
                  <w:noWrap/>
                  <w:vAlign w:val="bottom"/>
                  <w:hideMark/>
                </w:tcPr>
                <w:p w14:paraId="3D25F5C4" w14:textId="77777777" w:rsidR="00FB4423" w:rsidRPr="008E35DE" w:rsidRDefault="00FB4423" w:rsidP="00775F26">
                  <w:pPr>
                    <w:spacing w:after="0" w:line="240" w:lineRule="auto"/>
                    <w:jc w:val="left"/>
                    <w:rPr>
                      <w:rFonts w:cs="Arial"/>
                      <w:color w:val="000000"/>
                      <w:sz w:val="16"/>
                      <w:szCs w:val="16"/>
                    </w:rPr>
                  </w:pPr>
                  <w:r>
                    <w:rPr>
                      <w:rFonts w:cs="Arial"/>
                      <w:color w:val="000000"/>
                      <w:sz w:val="16"/>
                      <w:szCs w:val="16"/>
                    </w:rPr>
                    <w:t>Velká Británie</w:t>
                  </w:r>
                </w:p>
              </w:tc>
              <w:tc>
                <w:tcPr>
                  <w:tcW w:w="700" w:type="dxa"/>
                  <w:tcBorders>
                    <w:top w:val="nil"/>
                    <w:left w:val="nil"/>
                    <w:bottom w:val="nil"/>
                    <w:right w:val="nil"/>
                  </w:tcBorders>
                  <w:shd w:val="clear" w:color="auto" w:fill="auto"/>
                  <w:noWrap/>
                  <w:vAlign w:val="bottom"/>
                  <w:hideMark/>
                </w:tcPr>
                <w:p w14:paraId="74523E76" w14:textId="77777777" w:rsidR="00FB4423" w:rsidRPr="008E35DE" w:rsidRDefault="00FB4423" w:rsidP="00775F26">
                  <w:pPr>
                    <w:spacing w:after="0" w:line="240" w:lineRule="auto"/>
                    <w:jc w:val="right"/>
                    <w:rPr>
                      <w:rFonts w:cs="Arial"/>
                      <w:color w:val="000000"/>
                      <w:sz w:val="16"/>
                      <w:szCs w:val="16"/>
                    </w:rPr>
                  </w:pPr>
                  <w:r w:rsidRPr="008E35DE">
                    <w:rPr>
                      <w:rFonts w:cs="Arial"/>
                      <w:color w:val="000000"/>
                      <w:sz w:val="16"/>
                      <w:szCs w:val="16"/>
                    </w:rPr>
                    <w:t>+16,0</w:t>
                  </w:r>
                </w:p>
              </w:tc>
            </w:tr>
            <w:tr w:rsidR="00FB4423" w:rsidRPr="008E35DE" w14:paraId="71082B56" w14:textId="77777777" w:rsidTr="00775F26">
              <w:trPr>
                <w:trHeight w:val="255"/>
              </w:trPr>
              <w:tc>
                <w:tcPr>
                  <w:tcW w:w="4071" w:type="dxa"/>
                  <w:tcBorders>
                    <w:top w:val="nil"/>
                    <w:left w:val="nil"/>
                    <w:bottom w:val="nil"/>
                    <w:right w:val="nil"/>
                  </w:tcBorders>
                  <w:shd w:val="clear" w:color="auto" w:fill="auto"/>
                  <w:noWrap/>
                  <w:vAlign w:val="bottom"/>
                  <w:hideMark/>
                </w:tcPr>
                <w:p w14:paraId="4EADA622"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Německo</w:t>
                  </w:r>
                </w:p>
              </w:tc>
              <w:tc>
                <w:tcPr>
                  <w:tcW w:w="700" w:type="dxa"/>
                  <w:tcBorders>
                    <w:top w:val="nil"/>
                    <w:left w:val="nil"/>
                    <w:bottom w:val="nil"/>
                    <w:right w:val="nil"/>
                  </w:tcBorders>
                  <w:shd w:val="clear" w:color="auto" w:fill="auto"/>
                  <w:noWrap/>
                  <w:vAlign w:val="bottom"/>
                  <w:hideMark/>
                </w:tcPr>
                <w:p w14:paraId="76CB51A5" w14:textId="77777777" w:rsidR="00FB4423" w:rsidRPr="008E35DE" w:rsidRDefault="00FB4423" w:rsidP="00775F26">
                  <w:pPr>
                    <w:spacing w:after="0" w:line="240" w:lineRule="auto"/>
                    <w:jc w:val="right"/>
                    <w:rPr>
                      <w:rFonts w:cs="Arial"/>
                      <w:color w:val="000000"/>
                      <w:sz w:val="16"/>
                      <w:szCs w:val="16"/>
                    </w:rPr>
                  </w:pPr>
                  <w:r w:rsidRPr="008E35DE">
                    <w:rPr>
                      <w:rFonts w:cs="Arial"/>
                      <w:color w:val="000000"/>
                      <w:sz w:val="16"/>
                      <w:szCs w:val="16"/>
                    </w:rPr>
                    <w:t>+13,3</w:t>
                  </w:r>
                </w:p>
              </w:tc>
            </w:tr>
            <w:tr w:rsidR="00FB4423" w:rsidRPr="008E35DE" w14:paraId="1064BC71" w14:textId="77777777" w:rsidTr="00775F26">
              <w:trPr>
                <w:trHeight w:val="255"/>
              </w:trPr>
              <w:tc>
                <w:tcPr>
                  <w:tcW w:w="4071" w:type="dxa"/>
                  <w:tcBorders>
                    <w:top w:val="nil"/>
                    <w:left w:val="nil"/>
                    <w:bottom w:val="nil"/>
                    <w:right w:val="nil"/>
                  </w:tcBorders>
                  <w:shd w:val="clear" w:color="auto" w:fill="auto"/>
                  <w:noWrap/>
                  <w:vAlign w:val="bottom"/>
                  <w:hideMark/>
                </w:tcPr>
                <w:p w14:paraId="617380F2"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Spojené státy</w:t>
                  </w:r>
                  <w:r>
                    <w:rPr>
                      <w:rFonts w:cs="Arial"/>
                      <w:color w:val="000000"/>
                      <w:sz w:val="16"/>
                      <w:szCs w:val="16"/>
                    </w:rPr>
                    <w:t xml:space="preserve"> americké</w:t>
                  </w:r>
                </w:p>
              </w:tc>
              <w:tc>
                <w:tcPr>
                  <w:tcW w:w="700" w:type="dxa"/>
                  <w:tcBorders>
                    <w:top w:val="nil"/>
                    <w:left w:val="nil"/>
                    <w:bottom w:val="nil"/>
                    <w:right w:val="nil"/>
                  </w:tcBorders>
                  <w:shd w:val="clear" w:color="auto" w:fill="auto"/>
                  <w:noWrap/>
                  <w:vAlign w:val="bottom"/>
                  <w:hideMark/>
                </w:tcPr>
                <w:p w14:paraId="2726A3C0" w14:textId="77777777" w:rsidR="00FB4423" w:rsidRPr="008E35DE" w:rsidRDefault="00FB4423" w:rsidP="00775F26">
                  <w:pPr>
                    <w:spacing w:after="0" w:line="240" w:lineRule="auto"/>
                    <w:jc w:val="right"/>
                    <w:rPr>
                      <w:rFonts w:cs="Arial"/>
                      <w:color w:val="000000"/>
                      <w:sz w:val="16"/>
                      <w:szCs w:val="16"/>
                    </w:rPr>
                  </w:pPr>
                  <w:r w:rsidRPr="008E35DE">
                    <w:rPr>
                      <w:rFonts w:cs="Arial"/>
                      <w:color w:val="000000"/>
                      <w:sz w:val="16"/>
                      <w:szCs w:val="16"/>
                    </w:rPr>
                    <w:t>+9,6</w:t>
                  </w:r>
                </w:p>
              </w:tc>
            </w:tr>
            <w:tr w:rsidR="00FB4423" w:rsidRPr="008E35DE" w14:paraId="63370DC8" w14:textId="77777777" w:rsidTr="00775F26">
              <w:trPr>
                <w:trHeight w:val="255"/>
              </w:trPr>
              <w:tc>
                <w:tcPr>
                  <w:tcW w:w="4071" w:type="dxa"/>
                  <w:tcBorders>
                    <w:top w:val="nil"/>
                    <w:left w:val="nil"/>
                    <w:bottom w:val="nil"/>
                    <w:right w:val="nil"/>
                  </w:tcBorders>
                  <w:shd w:val="clear" w:color="auto" w:fill="auto"/>
                  <w:noWrap/>
                  <w:vAlign w:val="bottom"/>
                  <w:hideMark/>
                </w:tcPr>
                <w:p w14:paraId="039DFDAB"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Rusko</w:t>
                  </w:r>
                </w:p>
              </w:tc>
              <w:tc>
                <w:tcPr>
                  <w:tcW w:w="700" w:type="dxa"/>
                  <w:tcBorders>
                    <w:top w:val="nil"/>
                    <w:left w:val="nil"/>
                    <w:bottom w:val="nil"/>
                    <w:right w:val="nil"/>
                  </w:tcBorders>
                  <w:shd w:val="clear" w:color="auto" w:fill="auto"/>
                  <w:noWrap/>
                  <w:vAlign w:val="bottom"/>
                  <w:hideMark/>
                </w:tcPr>
                <w:p w14:paraId="5F192897" w14:textId="77777777" w:rsidR="00FB4423" w:rsidRPr="008E35DE" w:rsidRDefault="00FB4423" w:rsidP="00775F26">
                  <w:pPr>
                    <w:spacing w:after="0" w:line="240" w:lineRule="auto"/>
                    <w:jc w:val="right"/>
                    <w:rPr>
                      <w:rFonts w:cs="Arial"/>
                      <w:color w:val="000000"/>
                      <w:sz w:val="16"/>
                      <w:szCs w:val="16"/>
                    </w:rPr>
                  </w:pPr>
                  <w:r w:rsidRPr="008E35DE">
                    <w:rPr>
                      <w:rFonts w:cs="Arial"/>
                      <w:color w:val="000000"/>
                      <w:sz w:val="16"/>
                      <w:szCs w:val="16"/>
                    </w:rPr>
                    <w:t>+5,4</w:t>
                  </w:r>
                </w:p>
              </w:tc>
            </w:tr>
            <w:tr w:rsidR="00FB4423" w:rsidRPr="008E35DE" w14:paraId="392FB716" w14:textId="77777777" w:rsidTr="00775F26">
              <w:trPr>
                <w:trHeight w:val="255"/>
              </w:trPr>
              <w:tc>
                <w:tcPr>
                  <w:tcW w:w="4071" w:type="dxa"/>
                  <w:tcBorders>
                    <w:top w:val="nil"/>
                    <w:left w:val="nil"/>
                    <w:bottom w:val="nil"/>
                    <w:right w:val="nil"/>
                  </w:tcBorders>
                  <w:shd w:val="clear" w:color="auto" w:fill="auto"/>
                  <w:noWrap/>
                  <w:vAlign w:val="bottom"/>
                  <w:hideMark/>
                </w:tcPr>
                <w:p w14:paraId="5218A532"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Singapur</w:t>
                  </w:r>
                </w:p>
              </w:tc>
              <w:tc>
                <w:tcPr>
                  <w:tcW w:w="700" w:type="dxa"/>
                  <w:tcBorders>
                    <w:top w:val="nil"/>
                    <w:left w:val="nil"/>
                    <w:bottom w:val="nil"/>
                    <w:right w:val="nil"/>
                  </w:tcBorders>
                  <w:shd w:val="clear" w:color="auto" w:fill="auto"/>
                  <w:noWrap/>
                  <w:vAlign w:val="bottom"/>
                  <w:hideMark/>
                </w:tcPr>
                <w:p w14:paraId="16864C74" w14:textId="77777777" w:rsidR="00FB4423" w:rsidRPr="008E35DE" w:rsidRDefault="00FB4423" w:rsidP="00775F26">
                  <w:pPr>
                    <w:spacing w:after="0" w:line="240" w:lineRule="auto"/>
                    <w:jc w:val="right"/>
                    <w:rPr>
                      <w:rFonts w:cs="Arial"/>
                      <w:color w:val="000000"/>
                      <w:sz w:val="16"/>
                      <w:szCs w:val="16"/>
                    </w:rPr>
                  </w:pPr>
                  <w:r w:rsidRPr="008E35DE">
                    <w:rPr>
                      <w:rFonts w:cs="Arial"/>
                      <w:color w:val="000000"/>
                      <w:sz w:val="16"/>
                      <w:szCs w:val="16"/>
                    </w:rPr>
                    <w:t>+5,0</w:t>
                  </w:r>
                </w:p>
              </w:tc>
            </w:tr>
            <w:tr w:rsidR="00FB4423" w:rsidRPr="008E35DE" w14:paraId="74DC02A3" w14:textId="77777777" w:rsidTr="00775F26">
              <w:trPr>
                <w:trHeight w:val="255"/>
              </w:trPr>
              <w:tc>
                <w:tcPr>
                  <w:tcW w:w="4071" w:type="dxa"/>
                  <w:tcBorders>
                    <w:top w:val="nil"/>
                    <w:left w:val="nil"/>
                    <w:bottom w:val="nil"/>
                    <w:right w:val="nil"/>
                  </w:tcBorders>
                  <w:shd w:val="clear" w:color="auto" w:fill="auto"/>
                  <w:noWrap/>
                  <w:vAlign w:val="bottom"/>
                  <w:hideMark/>
                </w:tcPr>
                <w:p w14:paraId="768FA2A0"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Francie</w:t>
                  </w:r>
                </w:p>
              </w:tc>
              <w:tc>
                <w:tcPr>
                  <w:tcW w:w="700" w:type="dxa"/>
                  <w:tcBorders>
                    <w:top w:val="nil"/>
                    <w:left w:val="nil"/>
                    <w:bottom w:val="nil"/>
                    <w:right w:val="nil"/>
                  </w:tcBorders>
                  <w:shd w:val="clear" w:color="auto" w:fill="auto"/>
                  <w:noWrap/>
                  <w:vAlign w:val="bottom"/>
                  <w:hideMark/>
                </w:tcPr>
                <w:p w14:paraId="7F5ED9F2" w14:textId="77777777" w:rsidR="00FB4423" w:rsidRPr="008E35DE" w:rsidRDefault="00FB4423" w:rsidP="00775F26">
                  <w:pPr>
                    <w:spacing w:after="0" w:line="240" w:lineRule="auto"/>
                    <w:jc w:val="right"/>
                    <w:rPr>
                      <w:rFonts w:cs="Arial"/>
                      <w:color w:val="000000"/>
                      <w:sz w:val="16"/>
                      <w:szCs w:val="16"/>
                    </w:rPr>
                  </w:pPr>
                  <w:r w:rsidRPr="008E35DE">
                    <w:rPr>
                      <w:rFonts w:cs="Arial"/>
                      <w:color w:val="000000"/>
                      <w:sz w:val="16"/>
                      <w:szCs w:val="16"/>
                    </w:rPr>
                    <w:t>+4,7</w:t>
                  </w:r>
                </w:p>
              </w:tc>
            </w:tr>
            <w:tr w:rsidR="00FB4423" w:rsidRPr="008E35DE" w14:paraId="3EAE761E" w14:textId="77777777" w:rsidTr="00775F26">
              <w:trPr>
                <w:trHeight w:val="255"/>
              </w:trPr>
              <w:tc>
                <w:tcPr>
                  <w:tcW w:w="4071" w:type="dxa"/>
                  <w:tcBorders>
                    <w:top w:val="nil"/>
                    <w:left w:val="nil"/>
                    <w:bottom w:val="nil"/>
                    <w:right w:val="nil"/>
                  </w:tcBorders>
                  <w:shd w:val="clear" w:color="auto" w:fill="auto"/>
                  <w:noWrap/>
                  <w:vAlign w:val="bottom"/>
                  <w:hideMark/>
                </w:tcPr>
                <w:p w14:paraId="375E0C72"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Itálie</w:t>
                  </w:r>
                </w:p>
              </w:tc>
              <w:tc>
                <w:tcPr>
                  <w:tcW w:w="700" w:type="dxa"/>
                  <w:tcBorders>
                    <w:top w:val="nil"/>
                    <w:left w:val="nil"/>
                    <w:bottom w:val="nil"/>
                    <w:right w:val="nil"/>
                  </w:tcBorders>
                  <w:shd w:val="clear" w:color="auto" w:fill="auto"/>
                  <w:noWrap/>
                  <w:vAlign w:val="bottom"/>
                  <w:hideMark/>
                </w:tcPr>
                <w:p w14:paraId="2E10342D" w14:textId="77777777" w:rsidR="00FB4423" w:rsidRPr="008E35DE" w:rsidRDefault="00FB4423" w:rsidP="00775F26">
                  <w:pPr>
                    <w:spacing w:after="0" w:line="240" w:lineRule="auto"/>
                    <w:jc w:val="right"/>
                    <w:rPr>
                      <w:rFonts w:cs="Arial"/>
                      <w:color w:val="000000"/>
                      <w:sz w:val="16"/>
                      <w:szCs w:val="16"/>
                    </w:rPr>
                  </w:pPr>
                  <w:r w:rsidRPr="008E35DE">
                    <w:rPr>
                      <w:rFonts w:cs="Arial"/>
                      <w:color w:val="000000"/>
                      <w:sz w:val="16"/>
                      <w:szCs w:val="16"/>
                    </w:rPr>
                    <w:t>+3,3</w:t>
                  </w:r>
                </w:p>
              </w:tc>
            </w:tr>
            <w:tr w:rsidR="00FB4423" w:rsidRPr="008E35DE" w14:paraId="7105C81C" w14:textId="77777777" w:rsidTr="00775F26">
              <w:trPr>
                <w:trHeight w:val="255"/>
              </w:trPr>
              <w:tc>
                <w:tcPr>
                  <w:tcW w:w="4071" w:type="dxa"/>
                  <w:tcBorders>
                    <w:top w:val="nil"/>
                    <w:left w:val="nil"/>
                    <w:bottom w:val="nil"/>
                    <w:right w:val="nil"/>
                  </w:tcBorders>
                  <w:shd w:val="clear" w:color="auto" w:fill="auto"/>
                  <w:noWrap/>
                  <w:vAlign w:val="bottom"/>
                  <w:hideMark/>
                </w:tcPr>
                <w:p w14:paraId="45F63996"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Turecko</w:t>
                  </w:r>
                </w:p>
              </w:tc>
              <w:tc>
                <w:tcPr>
                  <w:tcW w:w="700" w:type="dxa"/>
                  <w:tcBorders>
                    <w:top w:val="nil"/>
                    <w:left w:val="nil"/>
                    <w:bottom w:val="nil"/>
                    <w:right w:val="nil"/>
                  </w:tcBorders>
                  <w:shd w:val="clear" w:color="auto" w:fill="auto"/>
                  <w:noWrap/>
                  <w:vAlign w:val="bottom"/>
                  <w:hideMark/>
                </w:tcPr>
                <w:p w14:paraId="120BFD6C" w14:textId="77777777" w:rsidR="00FB4423" w:rsidRPr="008E35DE" w:rsidRDefault="00FB4423" w:rsidP="00775F26">
                  <w:pPr>
                    <w:spacing w:after="0" w:line="240" w:lineRule="auto"/>
                    <w:jc w:val="right"/>
                    <w:rPr>
                      <w:rFonts w:cs="Arial"/>
                      <w:color w:val="000000"/>
                      <w:sz w:val="16"/>
                      <w:szCs w:val="16"/>
                    </w:rPr>
                  </w:pPr>
                  <w:r w:rsidRPr="008E35DE">
                    <w:rPr>
                      <w:rFonts w:cs="Arial"/>
                      <w:color w:val="000000"/>
                      <w:sz w:val="16"/>
                      <w:szCs w:val="16"/>
                    </w:rPr>
                    <w:t>+2,4</w:t>
                  </w:r>
                </w:p>
              </w:tc>
            </w:tr>
            <w:tr w:rsidR="00FB4423" w:rsidRPr="008E35DE" w14:paraId="63291C29" w14:textId="77777777" w:rsidTr="00775F26">
              <w:trPr>
                <w:trHeight w:val="255"/>
              </w:trPr>
              <w:tc>
                <w:tcPr>
                  <w:tcW w:w="4071" w:type="dxa"/>
                  <w:tcBorders>
                    <w:top w:val="nil"/>
                    <w:left w:val="nil"/>
                    <w:bottom w:val="nil"/>
                    <w:right w:val="nil"/>
                  </w:tcBorders>
                  <w:shd w:val="clear" w:color="auto" w:fill="auto"/>
                  <w:noWrap/>
                  <w:vAlign w:val="bottom"/>
                  <w:hideMark/>
                </w:tcPr>
                <w:p w14:paraId="05DADD00"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Dánsko</w:t>
                  </w:r>
                </w:p>
              </w:tc>
              <w:tc>
                <w:tcPr>
                  <w:tcW w:w="700" w:type="dxa"/>
                  <w:tcBorders>
                    <w:top w:val="nil"/>
                    <w:left w:val="nil"/>
                    <w:bottom w:val="nil"/>
                    <w:right w:val="nil"/>
                  </w:tcBorders>
                  <w:shd w:val="clear" w:color="auto" w:fill="auto"/>
                  <w:noWrap/>
                  <w:vAlign w:val="bottom"/>
                  <w:hideMark/>
                </w:tcPr>
                <w:p w14:paraId="385D022C" w14:textId="77777777" w:rsidR="00FB4423" w:rsidRPr="008E35DE" w:rsidRDefault="00FB4423" w:rsidP="00775F26">
                  <w:pPr>
                    <w:spacing w:after="0" w:line="240" w:lineRule="auto"/>
                    <w:jc w:val="right"/>
                    <w:rPr>
                      <w:rFonts w:cs="Arial"/>
                      <w:color w:val="000000"/>
                      <w:sz w:val="16"/>
                      <w:szCs w:val="16"/>
                    </w:rPr>
                  </w:pPr>
                  <w:r w:rsidRPr="008E35DE">
                    <w:rPr>
                      <w:rFonts w:cs="Arial"/>
                      <w:color w:val="000000"/>
                      <w:sz w:val="16"/>
                      <w:szCs w:val="16"/>
                    </w:rPr>
                    <w:t>+1,9</w:t>
                  </w:r>
                </w:p>
              </w:tc>
            </w:tr>
            <w:tr w:rsidR="00FB4423" w:rsidRPr="008E35DE" w14:paraId="41D37458" w14:textId="77777777" w:rsidTr="00775F26">
              <w:trPr>
                <w:trHeight w:val="255"/>
              </w:trPr>
              <w:tc>
                <w:tcPr>
                  <w:tcW w:w="4071" w:type="dxa"/>
                  <w:tcBorders>
                    <w:top w:val="nil"/>
                    <w:left w:val="nil"/>
                    <w:bottom w:val="nil"/>
                    <w:right w:val="nil"/>
                  </w:tcBorders>
                  <w:shd w:val="clear" w:color="auto" w:fill="auto"/>
                  <w:noWrap/>
                  <w:vAlign w:val="bottom"/>
                  <w:hideMark/>
                </w:tcPr>
                <w:p w14:paraId="3B2A4A5B"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Švýcarsko</w:t>
                  </w:r>
                </w:p>
              </w:tc>
              <w:tc>
                <w:tcPr>
                  <w:tcW w:w="700" w:type="dxa"/>
                  <w:tcBorders>
                    <w:top w:val="nil"/>
                    <w:left w:val="nil"/>
                    <w:bottom w:val="nil"/>
                    <w:right w:val="nil"/>
                  </w:tcBorders>
                  <w:shd w:val="clear" w:color="auto" w:fill="auto"/>
                  <w:noWrap/>
                  <w:vAlign w:val="bottom"/>
                  <w:hideMark/>
                </w:tcPr>
                <w:p w14:paraId="60734964" w14:textId="77777777" w:rsidR="00FB4423" w:rsidRPr="008E35DE" w:rsidRDefault="00FB4423" w:rsidP="00775F26">
                  <w:pPr>
                    <w:spacing w:after="0" w:line="240" w:lineRule="auto"/>
                    <w:jc w:val="right"/>
                    <w:rPr>
                      <w:rFonts w:cs="Arial"/>
                      <w:color w:val="000000"/>
                      <w:sz w:val="16"/>
                      <w:szCs w:val="16"/>
                    </w:rPr>
                  </w:pPr>
                  <w:r>
                    <w:rPr>
                      <w:rFonts w:cs="Arial"/>
                      <w:color w:val="000000"/>
                      <w:sz w:val="16"/>
                      <w:szCs w:val="16"/>
                    </w:rPr>
                    <w:t>−</w:t>
                  </w:r>
                  <w:r w:rsidRPr="008E35DE">
                    <w:rPr>
                      <w:rFonts w:cs="Arial"/>
                      <w:color w:val="000000"/>
                      <w:sz w:val="16"/>
                      <w:szCs w:val="16"/>
                    </w:rPr>
                    <w:t>2,0</w:t>
                  </w:r>
                </w:p>
              </w:tc>
            </w:tr>
            <w:tr w:rsidR="00FB4423" w:rsidRPr="008E35DE" w14:paraId="3B21DF92" w14:textId="77777777" w:rsidTr="00775F26">
              <w:trPr>
                <w:trHeight w:val="255"/>
              </w:trPr>
              <w:tc>
                <w:tcPr>
                  <w:tcW w:w="4071" w:type="dxa"/>
                  <w:tcBorders>
                    <w:top w:val="nil"/>
                    <w:left w:val="nil"/>
                    <w:bottom w:val="nil"/>
                    <w:right w:val="nil"/>
                  </w:tcBorders>
                  <w:shd w:val="clear" w:color="auto" w:fill="auto"/>
                  <w:noWrap/>
                  <w:vAlign w:val="bottom"/>
                  <w:hideMark/>
                </w:tcPr>
                <w:p w14:paraId="682326D6"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Tchaj-wan</w:t>
                  </w:r>
                </w:p>
              </w:tc>
              <w:tc>
                <w:tcPr>
                  <w:tcW w:w="700" w:type="dxa"/>
                  <w:tcBorders>
                    <w:top w:val="nil"/>
                    <w:left w:val="nil"/>
                    <w:bottom w:val="nil"/>
                    <w:right w:val="nil"/>
                  </w:tcBorders>
                  <w:shd w:val="clear" w:color="auto" w:fill="auto"/>
                  <w:noWrap/>
                  <w:vAlign w:val="bottom"/>
                  <w:hideMark/>
                </w:tcPr>
                <w:p w14:paraId="2795DBE6" w14:textId="77777777" w:rsidR="00FB4423" w:rsidRPr="008E35DE" w:rsidRDefault="00FB4423" w:rsidP="00775F26">
                  <w:pPr>
                    <w:spacing w:after="0" w:line="240" w:lineRule="auto"/>
                    <w:jc w:val="right"/>
                    <w:rPr>
                      <w:rFonts w:cs="Arial"/>
                      <w:color w:val="000000"/>
                      <w:sz w:val="16"/>
                      <w:szCs w:val="16"/>
                    </w:rPr>
                  </w:pPr>
                  <w:r>
                    <w:rPr>
                      <w:rFonts w:cs="Arial"/>
                      <w:color w:val="000000"/>
                      <w:sz w:val="16"/>
                      <w:szCs w:val="16"/>
                    </w:rPr>
                    <w:t>−</w:t>
                  </w:r>
                  <w:r w:rsidRPr="008E35DE">
                    <w:rPr>
                      <w:rFonts w:cs="Arial"/>
                      <w:color w:val="000000"/>
                      <w:sz w:val="16"/>
                      <w:szCs w:val="16"/>
                    </w:rPr>
                    <w:t>2,3</w:t>
                  </w:r>
                </w:p>
              </w:tc>
            </w:tr>
            <w:tr w:rsidR="00FB4423" w:rsidRPr="008E35DE" w14:paraId="001D1359" w14:textId="77777777" w:rsidTr="00775F26">
              <w:trPr>
                <w:trHeight w:val="255"/>
              </w:trPr>
              <w:tc>
                <w:tcPr>
                  <w:tcW w:w="4071" w:type="dxa"/>
                  <w:tcBorders>
                    <w:top w:val="nil"/>
                    <w:left w:val="nil"/>
                    <w:bottom w:val="nil"/>
                    <w:right w:val="nil"/>
                  </w:tcBorders>
                  <w:shd w:val="clear" w:color="auto" w:fill="auto"/>
                  <w:noWrap/>
                  <w:vAlign w:val="bottom"/>
                  <w:hideMark/>
                </w:tcPr>
                <w:p w14:paraId="1D8AB5CA"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Ázerbájdžán</w:t>
                  </w:r>
                </w:p>
              </w:tc>
              <w:tc>
                <w:tcPr>
                  <w:tcW w:w="700" w:type="dxa"/>
                  <w:tcBorders>
                    <w:top w:val="nil"/>
                    <w:left w:val="nil"/>
                    <w:bottom w:val="nil"/>
                    <w:right w:val="nil"/>
                  </w:tcBorders>
                  <w:shd w:val="clear" w:color="auto" w:fill="auto"/>
                  <w:noWrap/>
                  <w:vAlign w:val="bottom"/>
                  <w:hideMark/>
                </w:tcPr>
                <w:p w14:paraId="6D6CC060" w14:textId="77777777" w:rsidR="00FB4423" w:rsidRPr="008E35DE" w:rsidRDefault="00FB4423" w:rsidP="00775F26">
                  <w:pPr>
                    <w:spacing w:after="0" w:line="240" w:lineRule="auto"/>
                    <w:jc w:val="right"/>
                    <w:rPr>
                      <w:rFonts w:cs="Arial"/>
                      <w:color w:val="000000"/>
                      <w:sz w:val="16"/>
                      <w:szCs w:val="16"/>
                    </w:rPr>
                  </w:pPr>
                  <w:r>
                    <w:rPr>
                      <w:rFonts w:cs="Arial"/>
                      <w:color w:val="000000"/>
                      <w:sz w:val="16"/>
                      <w:szCs w:val="16"/>
                    </w:rPr>
                    <w:t>−</w:t>
                  </w:r>
                  <w:r w:rsidRPr="008E35DE">
                    <w:rPr>
                      <w:rFonts w:cs="Arial"/>
                      <w:color w:val="000000"/>
                      <w:sz w:val="16"/>
                      <w:szCs w:val="16"/>
                    </w:rPr>
                    <w:t>2,8</w:t>
                  </w:r>
                </w:p>
              </w:tc>
            </w:tr>
            <w:tr w:rsidR="00FB4423" w:rsidRPr="008E35DE" w14:paraId="2D4F38B0" w14:textId="77777777" w:rsidTr="00775F26">
              <w:trPr>
                <w:trHeight w:val="255"/>
              </w:trPr>
              <w:tc>
                <w:tcPr>
                  <w:tcW w:w="4071" w:type="dxa"/>
                  <w:tcBorders>
                    <w:top w:val="nil"/>
                    <w:left w:val="nil"/>
                    <w:bottom w:val="nil"/>
                    <w:right w:val="nil"/>
                  </w:tcBorders>
                  <w:shd w:val="clear" w:color="auto" w:fill="auto"/>
                  <w:noWrap/>
                  <w:vAlign w:val="bottom"/>
                  <w:hideMark/>
                </w:tcPr>
                <w:p w14:paraId="767BE32B"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Španělsko</w:t>
                  </w:r>
                </w:p>
              </w:tc>
              <w:tc>
                <w:tcPr>
                  <w:tcW w:w="700" w:type="dxa"/>
                  <w:tcBorders>
                    <w:top w:val="nil"/>
                    <w:left w:val="nil"/>
                    <w:bottom w:val="nil"/>
                    <w:right w:val="nil"/>
                  </w:tcBorders>
                  <w:shd w:val="clear" w:color="auto" w:fill="auto"/>
                  <w:noWrap/>
                  <w:vAlign w:val="bottom"/>
                  <w:hideMark/>
                </w:tcPr>
                <w:p w14:paraId="09C6DE6A" w14:textId="77777777" w:rsidR="00FB4423" w:rsidRPr="008E35DE" w:rsidRDefault="00FB4423" w:rsidP="00775F26">
                  <w:pPr>
                    <w:spacing w:after="0" w:line="240" w:lineRule="auto"/>
                    <w:jc w:val="right"/>
                    <w:rPr>
                      <w:rFonts w:cs="Arial"/>
                      <w:color w:val="000000"/>
                      <w:sz w:val="16"/>
                      <w:szCs w:val="16"/>
                    </w:rPr>
                  </w:pPr>
                  <w:r>
                    <w:rPr>
                      <w:rFonts w:cs="Arial"/>
                      <w:color w:val="000000"/>
                      <w:sz w:val="16"/>
                      <w:szCs w:val="16"/>
                    </w:rPr>
                    <w:t>−</w:t>
                  </w:r>
                  <w:r w:rsidRPr="008E35DE">
                    <w:rPr>
                      <w:rFonts w:cs="Arial"/>
                      <w:color w:val="000000"/>
                      <w:sz w:val="16"/>
                      <w:szCs w:val="16"/>
                    </w:rPr>
                    <w:t>3,9</w:t>
                  </w:r>
                </w:p>
              </w:tc>
            </w:tr>
            <w:tr w:rsidR="00FB4423" w:rsidRPr="008E35DE" w14:paraId="4F2C7E9A" w14:textId="77777777" w:rsidTr="00775F26">
              <w:trPr>
                <w:trHeight w:val="255"/>
              </w:trPr>
              <w:tc>
                <w:tcPr>
                  <w:tcW w:w="4071" w:type="dxa"/>
                  <w:tcBorders>
                    <w:top w:val="nil"/>
                    <w:left w:val="nil"/>
                    <w:bottom w:val="nil"/>
                    <w:right w:val="nil"/>
                  </w:tcBorders>
                  <w:shd w:val="clear" w:color="auto" w:fill="auto"/>
                  <w:noWrap/>
                  <w:vAlign w:val="bottom"/>
                  <w:hideMark/>
                </w:tcPr>
                <w:p w14:paraId="533E89E9"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Polsko</w:t>
                  </w:r>
                </w:p>
              </w:tc>
              <w:tc>
                <w:tcPr>
                  <w:tcW w:w="700" w:type="dxa"/>
                  <w:tcBorders>
                    <w:top w:val="nil"/>
                    <w:left w:val="nil"/>
                    <w:bottom w:val="nil"/>
                    <w:right w:val="nil"/>
                  </w:tcBorders>
                  <w:shd w:val="clear" w:color="auto" w:fill="auto"/>
                  <w:noWrap/>
                  <w:vAlign w:val="bottom"/>
                  <w:hideMark/>
                </w:tcPr>
                <w:p w14:paraId="213D7E8C" w14:textId="77777777" w:rsidR="00FB4423" w:rsidRPr="008E35DE" w:rsidRDefault="00FB4423" w:rsidP="00775F26">
                  <w:pPr>
                    <w:spacing w:after="0" w:line="240" w:lineRule="auto"/>
                    <w:jc w:val="right"/>
                    <w:rPr>
                      <w:rFonts w:cs="Arial"/>
                      <w:color w:val="000000"/>
                      <w:sz w:val="16"/>
                      <w:szCs w:val="16"/>
                    </w:rPr>
                  </w:pPr>
                  <w:r>
                    <w:rPr>
                      <w:rFonts w:cs="Arial"/>
                      <w:color w:val="000000"/>
                      <w:sz w:val="16"/>
                      <w:szCs w:val="16"/>
                    </w:rPr>
                    <w:t>−</w:t>
                  </w:r>
                  <w:r w:rsidRPr="008E35DE">
                    <w:rPr>
                      <w:rFonts w:cs="Arial"/>
                      <w:color w:val="000000"/>
                      <w:sz w:val="16"/>
                      <w:szCs w:val="16"/>
                    </w:rPr>
                    <w:t>11,7</w:t>
                  </w:r>
                </w:p>
              </w:tc>
            </w:tr>
            <w:tr w:rsidR="00FB4423" w:rsidRPr="008E35DE" w14:paraId="4BA79D35" w14:textId="77777777" w:rsidTr="00775F26">
              <w:trPr>
                <w:trHeight w:val="255"/>
              </w:trPr>
              <w:tc>
                <w:tcPr>
                  <w:tcW w:w="4071" w:type="dxa"/>
                  <w:tcBorders>
                    <w:top w:val="nil"/>
                    <w:left w:val="nil"/>
                    <w:bottom w:val="nil"/>
                    <w:right w:val="nil"/>
                  </w:tcBorders>
                  <w:shd w:val="clear" w:color="auto" w:fill="auto"/>
                  <w:noWrap/>
                  <w:vAlign w:val="bottom"/>
                  <w:hideMark/>
                </w:tcPr>
                <w:p w14:paraId="7901A731" w14:textId="77777777" w:rsidR="00FB4423" w:rsidRPr="008E35DE" w:rsidRDefault="00FB4423" w:rsidP="00775F26">
                  <w:pPr>
                    <w:spacing w:after="0" w:line="240" w:lineRule="auto"/>
                    <w:jc w:val="left"/>
                    <w:rPr>
                      <w:rFonts w:cs="Arial"/>
                      <w:color w:val="000000"/>
                      <w:sz w:val="16"/>
                      <w:szCs w:val="16"/>
                    </w:rPr>
                  </w:pPr>
                  <w:r w:rsidRPr="008E35DE">
                    <w:rPr>
                      <w:rFonts w:cs="Arial"/>
                      <w:color w:val="000000"/>
                      <w:sz w:val="16"/>
                      <w:szCs w:val="16"/>
                    </w:rPr>
                    <w:t>Čína</w:t>
                  </w:r>
                </w:p>
              </w:tc>
              <w:tc>
                <w:tcPr>
                  <w:tcW w:w="700" w:type="dxa"/>
                  <w:tcBorders>
                    <w:top w:val="nil"/>
                    <w:left w:val="nil"/>
                    <w:bottom w:val="nil"/>
                    <w:right w:val="nil"/>
                  </w:tcBorders>
                  <w:shd w:val="clear" w:color="auto" w:fill="auto"/>
                  <w:noWrap/>
                  <w:vAlign w:val="bottom"/>
                  <w:hideMark/>
                </w:tcPr>
                <w:p w14:paraId="4F780D6B" w14:textId="77777777" w:rsidR="00FB4423" w:rsidRPr="008E35DE" w:rsidRDefault="00FB4423" w:rsidP="00775F26">
                  <w:pPr>
                    <w:spacing w:after="0" w:line="240" w:lineRule="auto"/>
                    <w:jc w:val="right"/>
                    <w:rPr>
                      <w:rFonts w:cs="Arial"/>
                      <w:color w:val="000000"/>
                      <w:sz w:val="16"/>
                      <w:szCs w:val="16"/>
                    </w:rPr>
                  </w:pPr>
                  <w:r>
                    <w:rPr>
                      <w:rFonts w:cs="Arial"/>
                      <w:color w:val="000000"/>
                      <w:sz w:val="16"/>
                      <w:szCs w:val="16"/>
                    </w:rPr>
                    <w:t>−</w:t>
                  </w:r>
                  <w:r w:rsidRPr="008E35DE">
                    <w:rPr>
                      <w:rFonts w:cs="Arial"/>
                      <w:color w:val="000000"/>
                      <w:sz w:val="16"/>
                      <w:szCs w:val="16"/>
                    </w:rPr>
                    <w:t>16,3</w:t>
                  </w:r>
                </w:p>
              </w:tc>
            </w:tr>
          </w:tbl>
          <w:p w14:paraId="7846E433" w14:textId="77777777" w:rsidR="00FB4423" w:rsidRDefault="00FB4423" w:rsidP="00775F26">
            <w:pPr>
              <w:spacing w:after="0"/>
              <w:rPr>
                <w:spacing w:val="-4"/>
                <w:lang w:eastAsia="en-US"/>
              </w:rPr>
            </w:pPr>
          </w:p>
        </w:tc>
      </w:tr>
      <w:tr w:rsidR="00FB4423" w14:paraId="4C2E704F" w14:textId="77777777" w:rsidTr="00775F26">
        <w:trPr>
          <w:trHeight w:val="170"/>
        </w:trPr>
        <w:tc>
          <w:tcPr>
            <w:tcW w:w="4811" w:type="dxa"/>
            <w:gridSpan w:val="3"/>
            <w:hideMark/>
          </w:tcPr>
          <w:p w14:paraId="6311BA49" w14:textId="77777777" w:rsidR="00FB4423" w:rsidRDefault="00FB4423" w:rsidP="00775F26">
            <w:pPr>
              <w:jc w:val="right"/>
              <w:rPr>
                <w:spacing w:val="-4"/>
                <w:sz w:val="16"/>
                <w:szCs w:val="16"/>
                <w:lang w:eastAsia="en-US"/>
              </w:rPr>
            </w:pPr>
            <w:r>
              <w:rPr>
                <w:spacing w:val="-4"/>
                <w:sz w:val="16"/>
                <w:szCs w:val="16"/>
                <w:lang w:eastAsia="en-US"/>
              </w:rPr>
              <w:t>Zdroj: ČSÚ</w:t>
            </w:r>
          </w:p>
        </w:tc>
        <w:tc>
          <w:tcPr>
            <w:tcW w:w="57" w:type="dxa"/>
          </w:tcPr>
          <w:p w14:paraId="3A245B89" w14:textId="77777777" w:rsidR="00FB4423" w:rsidRDefault="00FB4423" w:rsidP="00775F26">
            <w:pPr>
              <w:spacing w:after="0"/>
              <w:rPr>
                <w:spacing w:val="-4"/>
                <w:lang w:eastAsia="en-US"/>
              </w:rPr>
            </w:pPr>
          </w:p>
        </w:tc>
        <w:tc>
          <w:tcPr>
            <w:tcW w:w="4809" w:type="dxa"/>
            <w:hideMark/>
          </w:tcPr>
          <w:p w14:paraId="1FD86885" w14:textId="77777777" w:rsidR="00FB4423" w:rsidRDefault="00FB4423" w:rsidP="00775F26">
            <w:pPr>
              <w:spacing w:after="0"/>
              <w:jc w:val="right"/>
              <w:rPr>
                <w:spacing w:val="-4"/>
                <w:lang w:eastAsia="en-US"/>
              </w:rPr>
            </w:pPr>
            <w:r>
              <w:rPr>
                <w:spacing w:val="-4"/>
                <w:sz w:val="16"/>
                <w:szCs w:val="16"/>
                <w:lang w:eastAsia="en-US"/>
              </w:rPr>
              <w:t>Zdroj: ČSÚ</w:t>
            </w:r>
          </w:p>
        </w:tc>
      </w:tr>
      <w:tr w:rsidR="00FB4423" w14:paraId="66528B87" w14:textId="77777777" w:rsidTr="00775F26">
        <w:trPr>
          <w:trHeight w:val="150"/>
        </w:trPr>
        <w:tc>
          <w:tcPr>
            <w:tcW w:w="1748" w:type="dxa"/>
          </w:tcPr>
          <w:p w14:paraId="2C97772B" w14:textId="77777777" w:rsidR="00FB4423" w:rsidRDefault="00FB4423" w:rsidP="00775F26">
            <w:pPr>
              <w:pStyle w:val="Marginlie"/>
              <w:rPr>
                <w:lang w:eastAsia="en-US"/>
              </w:rPr>
            </w:pPr>
            <w:r>
              <w:rPr>
                <w:lang w:eastAsia="en-US"/>
              </w:rPr>
              <w:t>Ke zlepšení bilance nejvíce přispíval obchod s motorovými vozidly.</w:t>
            </w:r>
          </w:p>
        </w:tc>
        <w:tc>
          <w:tcPr>
            <w:tcW w:w="252" w:type="dxa"/>
          </w:tcPr>
          <w:p w14:paraId="49C378BF" w14:textId="77777777" w:rsidR="00FB4423" w:rsidRDefault="00FB4423" w:rsidP="00775F26">
            <w:pPr>
              <w:pStyle w:val="Textpoznpodarou"/>
              <w:jc w:val="both"/>
              <w:rPr>
                <w:spacing w:val="-4"/>
                <w:lang w:eastAsia="en-US"/>
              </w:rPr>
            </w:pPr>
          </w:p>
        </w:tc>
        <w:tc>
          <w:tcPr>
            <w:tcW w:w="7677" w:type="dxa"/>
            <w:gridSpan w:val="3"/>
          </w:tcPr>
          <w:p w14:paraId="6AFC2634" w14:textId="77777777" w:rsidR="00FB4423" w:rsidRDefault="00FB4423" w:rsidP="00775F26">
            <w:pPr>
              <w:rPr>
                <w:spacing w:val="-4"/>
                <w:lang w:eastAsia="en-US"/>
              </w:rPr>
            </w:pPr>
            <w:r>
              <w:rPr>
                <w:spacing w:val="-4"/>
                <w:lang w:eastAsia="en-US"/>
              </w:rPr>
              <w:t>V kumulaci od začátku roku se nejvíce zlepšila bilance zahraničního obchodu s motorovými vozidly (+57,0 mld. korun), elektrickými zařízeními (+31,8 mld.) a ropou a zemním plynem (+14,6 mld.). Naopak ve směru zhoršení bilance v tomto období nejvýrazněji působil obchod s koksem a rafinovanými ropnými produkty (−17,1 mld. korun). Ve 3. čtvrtletí mírně přibylo druhů zboží, u kterých bylo zaznamenáno meziroční zhoršení bilance, převážilo ale výrazné zlepšení přebytku obchodu s motorovými vozidly a také počítači, elektronickými a optickými přístroji a zařízeními (viz Tabulka č. 5). U dalších výrobků bylo meziroční zlepšení bilance mírnější – to platí pro ropu a zemní plyn, rudy nebo pryžové a plastové výrobky. Ve směru meziročního zhoršení bilance působil nejvíce obchod se základními kovy a dále koks a rafinované ropné produkty, chemické látky a přípravky nebo základní farmaceutické výrobky a přípravky.</w:t>
            </w:r>
          </w:p>
        </w:tc>
      </w:tr>
    </w:tbl>
    <w:p w14:paraId="07BFB6F4" w14:textId="77777777" w:rsidR="00FB4423" w:rsidRDefault="00FB4423" w:rsidP="00102562">
      <w:pPr>
        <w:spacing w:after="0" w:line="240" w:lineRule="auto"/>
        <w:jc w:val="left"/>
        <w:rPr>
          <w:rFonts w:eastAsia="MS Gothic"/>
          <w:bCs/>
          <w:color w:val="71818C"/>
          <w:sz w:val="2"/>
          <w:szCs w:val="2"/>
        </w:rPr>
      </w:pPr>
      <w:bookmarkStart w:id="8" w:name="_GoBack"/>
      <w:bookmarkEnd w:id="5"/>
      <w:bookmarkEnd w:id="6"/>
      <w:bookmarkEnd w:id="7"/>
      <w:bookmarkEnd w:id="8"/>
    </w:p>
    <w:bookmarkEnd w:id="1"/>
    <w:bookmarkEnd w:id="0"/>
    <w:bookmarkEnd w:id="2"/>
    <w:sectPr w:rsidR="00FB4423" w:rsidSect="00102562">
      <w:headerReference w:type="even" r:id="rId12"/>
      <w:headerReference w:type="default" r:id="rId13"/>
      <w:footerReference w:type="even" r:id="rId14"/>
      <w:footerReference w:type="default" r:id="rId15"/>
      <w:pgSz w:w="11906" w:h="16838" w:code="9"/>
      <w:pgMar w:top="1134" w:right="1134" w:bottom="1418" w:left="1134" w:header="680" w:footer="680" w:gutter="0"/>
      <w:pgNumType w:start="2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2EF3C" w14:textId="77777777" w:rsidR="00DC48F1" w:rsidRDefault="00DC48F1" w:rsidP="00E71A58">
      <w:r>
        <w:separator/>
      </w:r>
    </w:p>
  </w:endnote>
  <w:endnote w:type="continuationSeparator" w:id="0">
    <w:p w14:paraId="70B7E2B6" w14:textId="77777777" w:rsidR="00DC48F1" w:rsidRDefault="00DC48F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8" w14:textId="7BB03912" w:rsidR="009855E1" w:rsidRPr="00932443" w:rsidRDefault="009855E1" w:rsidP="00A418BC">
    <w:pPr>
      <w:pStyle w:val="Zpat"/>
      <w:rPr>
        <w:szCs w:val="16"/>
      </w:rPr>
    </w:pPr>
    <w:r>
      <w:rPr>
        <w:szCs w:val="16"/>
        <w:lang w:eastAsia="cs-CZ"/>
      </w:rPr>
      <w:drawing>
        <wp:anchor distT="0" distB="0" distL="114300" distR="114300" simplePos="0" relativeHeight="251658240"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102562">
      <w:rPr>
        <w:szCs w:val="16"/>
      </w:rPr>
      <w:t>24</w:t>
    </w:r>
    <w:r w:rsidRPr="00932443">
      <w:rPr>
        <w:szCs w:val="16"/>
      </w:rPr>
      <w:fldChar w:fldCharType="end"/>
    </w:r>
    <w:r w:rsidRPr="00932443">
      <w:rPr>
        <w:szCs w:val="16"/>
      </w:rPr>
      <w:tab/>
    </w:r>
    <w:r>
      <w:rPr>
        <w:szCs w:val="16"/>
      </w:rPr>
      <w:t>1. až 3. čtvrtletí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9" w14:textId="0A169D82" w:rsidR="009855E1" w:rsidRPr="00932443" w:rsidRDefault="009855E1" w:rsidP="00A418BC">
    <w:pPr>
      <w:pStyle w:val="Zpat"/>
      <w:rPr>
        <w:szCs w:val="16"/>
      </w:rPr>
    </w:pPr>
    <w:r>
      <w:rPr>
        <w:szCs w:val="16"/>
        <w:lang w:eastAsia="cs-CZ"/>
      </w:rPr>
      <w:drawing>
        <wp:anchor distT="0" distB="0" distL="114300" distR="114300" simplePos="0" relativeHeight="251657216" behindDoc="0" locked="0" layoutInCell="1" allowOverlap="1" wp14:anchorId="2143298C" wp14:editId="2143298D">
          <wp:simplePos x="0" y="0"/>
          <wp:positionH relativeFrom="column">
            <wp:align>left</wp:align>
          </wp:positionH>
          <wp:positionV relativeFrom="paragraph">
            <wp:posOffset>-122555</wp:posOffset>
          </wp:positionV>
          <wp:extent cx="510540" cy="272415"/>
          <wp:effectExtent l="0" t="0" r="0" b="6985"/>
          <wp:wrapNone/>
          <wp:docPr id="22"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1. až 3.čtvrtletí 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102562">
      <w:rPr>
        <w:rStyle w:val="ZpatChar"/>
        <w:szCs w:val="16"/>
      </w:rPr>
      <w:t>23</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0D8F6" w14:textId="77777777" w:rsidR="00DC48F1" w:rsidRDefault="00DC48F1" w:rsidP="00EA4302">
      <w:pPr>
        <w:spacing w:after="0"/>
      </w:pPr>
      <w:r>
        <w:separator/>
      </w:r>
    </w:p>
  </w:footnote>
  <w:footnote w:type="continuationSeparator" w:id="0">
    <w:p w14:paraId="70CDBF0C" w14:textId="77777777" w:rsidR="00DC48F1" w:rsidRDefault="00DC48F1" w:rsidP="00E71A58">
      <w:r>
        <w:continuationSeparator/>
      </w:r>
    </w:p>
  </w:footnote>
  <w:footnote w:id="1">
    <w:p w14:paraId="2B3C4DE9" w14:textId="77777777" w:rsidR="00FB4423" w:rsidRPr="001F1881" w:rsidRDefault="00FB4423" w:rsidP="00FB4423">
      <w:pPr>
        <w:pStyle w:val="Textpoznpodarou"/>
        <w:rPr>
          <w:rFonts w:cs="Arial"/>
          <w:iCs/>
          <w:sz w:val="16"/>
          <w:szCs w:val="16"/>
        </w:rPr>
      </w:pPr>
      <w:r w:rsidRPr="00B6522D">
        <w:rPr>
          <w:rStyle w:val="Znakapoznpodarou"/>
          <w:rFonts w:cs="Arial"/>
          <w:i/>
          <w:sz w:val="16"/>
          <w:szCs w:val="16"/>
        </w:rPr>
        <w:footnoteRef/>
      </w:r>
      <w:r w:rsidRPr="00B6522D">
        <w:rPr>
          <w:rFonts w:cs="Arial"/>
          <w:i/>
          <w:iCs/>
          <w:sz w:val="16"/>
          <w:szCs w:val="16"/>
        </w:rPr>
        <w:t xml:space="preserve"> </w:t>
      </w:r>
      <w:r w:rsidRPr="00B6522D">
        <w:rPr>
          <w:rStyle w:val="Zdraznn"/>
          <w:rFonts w:cs="Arial"/>
          <w:i w:val="0"/>
          <w:sz w:val="16"/>
          <w:szCs w:val="16"/>
          <w:bdr w:val="none" w:sz="0" w:space="0" w:color="auto" w:frame="1"/>
          <w:shd w:val="clear" w:color="auto" w:fill="FFFFFF"/>
        </w:rPr>
        <w:t>Údaje za zahraniční obchod se zbožím jsou od roku 2020 přepočítávány aktualizovanou metodou založenou na vyšší míře detailu, viz </w:t>
      </w:r>
      <w:hyperlink r:id="rId1" w:history="1">
        <w:r w:rsidRPr="00B6522D">
          <w:rPr>
            <w:rStyle w:val="Hypertextovodkaz"/>
            <w:rFonts w:cs="Arial"/>
            <w:i/>
            <w:sz w:val="16"/>
            <w:szCs w:val="16"/>
            <w:bdr w:val="none" w:sz="0" w:space="0" w:color="auto" w:frame="1"/>
            <w:shd w:val="clear" w:color="auto" w:fill="FFFFFF"/>
          </w:rPr>
          <w:t>https://www.czso.cz/csu/czso/aktualizace-metody-propoctu-zahranicni-obchod-se-zbozim</w:t>
        </w:r>
      </w:hyperlink>
      <w:r w:rsidRPr="00B6522D">
        <w:rPr>
          <w:rStyle w:val="Hypertextovodkaz"/>
          <w:rFonts w:cs="Arial"/>
          <w:i/>
          <w:sz w:val="16"/>
          <w:szCs w:val="16"/>
          <w:bdr w:val="none" w:sz="0" w:space="0" w:color="auto" w:frame="1"/>
          <w:shd w:val="clear" w:color="auto" w:fill="FFFFFF"/>
        </w:rPr>
        <w:t xml:space="preserve">. </w:t>
      </w:r>
      <w:r w:rsidRPr="00B6522D">
        <w:rPr>
          <w:sz w:val="16"/>
          <w:szCs w:val="16"/>
        </w:rPr>
        <w:t>Není-li uvedeno jinak, jsou všechny údaje</w:t>
      </w:r>
      <w:r w:rsidRPr="001F1881">
        <w:rPr>
          <w:sz w:val="16"/>
          <w:szCs w:val="16"/>
        </w:rPr>
        <w:t xml:space="preserve"> sezónně neočištěné a v běžných cenách.</w:t>
      </w:r>
    </w:p>
  </w:footnote>
  <w:footnote w:id="2">
    <w:p w14:paraId="4385B0E5" w14:textId="77777777" w:rsidR="00FB4423" w:rsidRPr="001F1881" w:rsidRDefault="00FB4423" w:rsidP="00FB4423">
      <w:pPr>
        <w:pStyle w:val="Textpoznpodarou"/>
        <w:rPr>
          <w:sz w:val="16"/>
          <w:szCs w:val="16"/>
        </w:rPr>
      </w:pPr>
      <w:r w:rsidRPr="000A5229">
        <w:rPr>
          <w:rStyle w:val="Znakapoznpodarou"/>
          <w:sz w:val="16"/>
          <w:szCs w:val="16"/>
        </w:rPr>
        <w:footnoteRef/>
      </w:r>
      <w:r w:rsidRPr="000A5229">
        <w:rPr>
          <w:sz w:val="16"/>
          <w:szCs w:val="16"/>
        </w:rPr>
        <w:t xml:space="preserve"> Ceny vývozu zboží ve </w:t>
      </w:r>
      <w:r>
        <w:rPr>
          <w:sz w:val="16"/>
          <w:szCs w:val="16"/>
        </w:rPr>
        <w:t>3</w:t>
      </w:r>
      <w:r w:rsidRPr="000A5229">
        <w:rPr>
          <w:sz w:val="16"/>
          <w:szCs w:val="16"/>
        </w:rPr>
        <w:t xml:space="preserve">. čtvrtletí byly meziročně vyšší o </w:t>
      </w:r>
      <w:r>
        <w:rPr>
          <w:sz w:val="16"/>
          <w:szCs w:val="16"/>
        </w:rPr>
        <w:t>3,8 %. Mezičtvrtletně vzrostly o 0,8 %</w:t>
      </w:r>
      <w:r w:rsidRPr="000A5229">
        <w:rPr>
          <w:sz w:val="16"/>
          <w:szCs w:val="16"/>
        </w:rPr>
        <w:t>.</w:t>
      </w:r>
      <w:r w:rsidRPr="001F1881">
        <w:rPr>
          <w:sz w:val="16"/>
          <w:szCs w:val="16"/>
        </w:rPr>
        <w:t xml:space="preserve"> </w:t>
      </w:r>
      <w:r w:rsidRPr="001F1881">
        <w:rPr>
          <w:sz w:val="16"/>
          <w:szCs w:val="16"/>
        </w:rPr>
        <w:br/>
        <w:t>Ceny ostatních surovin se loni propadly o 18,6</w:t>
      </w:r>
      <w:r>
        <w:rPr>
          <w:sz w:val="16"/>
          <w:szCs w:val="16"/>
        </w:rPr>
        <w:t> %</w:t>
      </w:r>
      <w:r w:rsidRPr="001F1881">
        <w:rPr>
          <w:sz w:val="16"/>
          <w:szCs w:val="16"/>
        </w:rPr>
        <w:t xml:space="preserve"> a minerálních paliv o 0,9</w:t>
      </w:r>
      <w:r>
        <w:rPr>
          <w:sz w:val="16"/>
          <w:szCs w:val="16"/>
        </w:rPr>
        <w:t> %</w:t>
      </w:r>
      <w:r w:rsidRPr="001F1881">
        <w:rPr>
          <w:sz w:val="16"/>
          <w:szCs w:val="16"/>
        </w:rPr>
        <w:t>. Ve 4. čtvrtletí ale ceny minerálních paliv meziročně klesly o 13,7</w:t>
      </w:r>
      <w:r>
        <w:rPr>
          <w:sz w:val="16"/>
          <w:szCs w:val="16"/>
        </w:rPr>
        <w:t> %</w:t>
      </w:r>
      <w:r w:rsidRPr="001F1881">
        <w:rPr>
          <w:sz w:val="16"/>
          <w:szCs w:val="16"/>
        </w:rPr>
        <w:t>.</w:t>
      </w:r>
    </w:p>
  </w:footnote>
  <w:footnote w:id="3">
    <w:p w14:paraId="7AE02571" w14:textId="77777777" w:rsidR="00FB4423" w:rsidRPr="00B20923" w:rsidRDefault="00FB4423" w:rsidP="00FB4423">
      <w:pPr>
        <w:pStyle w:val="Textpoznpodarou"/>
        <w:rPr>
          <w:sz w:val="16"/>
          <w:szCs w:val="16"/>
        </w:rPr>
      </w:pPr>
      <w:r w:rsidRPr="00B20923">
        <w:rPr>
          <w:rStyle w:val="Znakapoznpodarou"/>
          <w:sz w:val="16"/>
          <w:szCs w:val="16"/>
        </w:rPr>
        <w:footnoteRef/>
      </w:r>
      <w:r w:rsidRPr="00B20923">
        <w:rPr>
          <w:sz w:val="16"/>
          <w:szCs w:val="16"/>
        </w:rPr>
        <w:t xml:space="preserve"> Prudce se zvýšil zejména export motorových vozidel.</w:t>
      </w:r>
    </w:p>
  </w:footnote>
  <w:footnote w:id="4">
    <w:p w14:paraId="0409619B" w14:textId="77777777" w:rsidR="00FB4423" w:rsidRPr="000A5229" w:rsidRDefault="00FB4423" w:rsidP="00FB4423">
      <w:pPr>
        <w:pStyle w:val="Textpoznpodarou"/>
        <w:rPr>
          <w:sz w:val="16"/>
          <w:szCs w:val="16"/>
        </w:rPr>
      </w:pPr>
      <w:r w:rsidRPr="000A5229">
        <w:rPr>
          <w:rStyle w:val="Znakapoznpodarou"/>
          <w:sz w:val="16"/>
          <w:szCs w:val="16"/>
        </w:rPr>
        <w:footnoteRef/>
      </w:r>
      <w:r w:rsidRPr="000A5229">
        <w:rPr>
          <w:sz w:val="16"/>
          <w:szCs w:val="16"/>
        </w:rPr>
        <w:t xml:space="preserve"> Ceny dovozu zboží byly ve</w:t>
      </w:r>
      <w:r>
        <w:rPr>
          <w:sz w:val="16"/>
          <w:szCs w:val="16"/>
        </w:rPr>
        <w:t xml:space="preserve"> 3</w:t>
      </w:r>
      <w:r w:rsidRPr="000A5229">
        <w:rPr>
          <w:sz w:val="16"/>
          <w:szCs w:val="16"/>
        </w:rPr>
        <w:t xml:space="preserve">. čtvrtletí meziročně vyšší o </w:t>
      </w:r>
      <w:r>
        <w:rPr>
          <w:sz w:val="16"/>
          <w:szCs w:val="16"/>
        </w:rPr>
        <w:t>2,7 %</w:t>
      </w:r>
      <w:r w:rsidRPr="000A5229">
        <w:rPr>
          <w:sz w:val="16"/>
          <w:szCs w:val="16"/>
        </w:rPr>
        <w:t xml:space="preserve"> a mezičtvrtletně vzrostly o </w:t>
      </w:r>
      <w:r>
        <w:rPr>
          <w:sz w:val="16"/>
          <w:szCs w:val="16"/>
        </w:rPr>
        <w:t>1,0 %</w:t>
      </w:r>
      <w:r w:rsidRPr="000A5229">
        <w:rPr>
          <w:sz w:val="16"/>
          <w:szCs w:val="16"/>
        </w:rPr>
        <w:t>.</w:t>
      </w:r>
    </w:p>
  </w:footnote>
  <w:footnote w:id="5">
    <w:p w14:paraId="76F22D07" w14:textId="77777777" w:rsidR="00FB4423" w:rsidRPr="001F1881" w:rsidRDefault="00FB4423" w:rsidP="00FB4423">
      <w:pPr>
        <w:pStyle w:val="Textpoznpodarou"/>
        <w:rPr>
          <w:sz w:val="16"/>
          <w:szCs w:val="16"/>
        </w:rPr>
      </w:pPr>
      <w:r w:rsidRPr="000A5229">
        <w:rPr>
          <w:rStyle w:val="Znakapoznpodarou"/>
          <w:sz w:val="16"/>
          <w:szCs w:val="16"/>
        </w:rPr>
        <w:footnoteRef/>
      </w:r>
      <w:r w:rsidRPr="000A5229">
        <w:rPr>
          <w:sz w:val="16"/>
          <w:szCs w:val="16"/>
        </w:rPr>
        <w:t xml:space="preserve"> N</w:t>
      </w:r>
      <w:r w:rsidRPr="000A5229">
        <w:rPr>
          <w:spacing w:val="-4"/>
          <w:sz w:val="16"/>
          <w:szCs w:val="16"/>
          <w:lang w:eastAsia="en-US"/>
        </w:rPr>
        <w:t>árůst u Tchaj-wanu souvisel s nárůstem dovozu počítačů a elektronických a optických přístrojů.</w:t>
      </w:r>
    </w:p>
  </w:footnote>
  <w:footnote w:id="6">
    <w:p w14:paraId="43B66ED0" w14:textId="77777777" w:rsidR="00FB4423" w:rsidRPr="00370717" w:rsidRDefault="00FB4423" w:rsidP="00FB4423">
      <w:pPr>
        <w:pStyle w:val="Textpoznpodarou"/>
        <w:rPr>
          <w:sz w:val="16"/>
          <w:szCs w:val="16"/>
        </w:rPr>
      </w:pPr>
      <w:r w:rsidRPr="00370717">
        <w:rPr>
          <w:rStyle w:val="Znakapoznpodarou"/>
          <w:sz w:val="16"/>
          <w:szCs w:val="16"/>
        </w:rPr>
        <w:footnoteRef/>
      </w:r>
      <w:r w:rsidRPr="00370717">
        <w:rPr>
          <w:sz w:val="16"/>
          <w:szCs w:val="16"/>
        </w:rPr>
        <w:t xml:space="preserve"> Letošní pokles souvisí s</w:t>
      </w:r>
      <w:r>
        <w:rPr>
          <w:sz w:val="16"/>
          <w:szCs w:val="16"/>
        </w:rPr>
        <w:t xml:space="preserve"> loňskou </w:t>
      </w:r>
      <w:r w:rsidRPr="00370717">
        <w:rPr>
          <w:sz w:val="16"/>
          <w:szCs w:val="16"/>
        </w:rPr>
        <w:t>vysokou srovnávací základnou u</w:t>
      </w:r>
      <w:r>
        <w:rPr>
          <w:sz w:val="16"/>
          <w:szCs w:val="16"/>
        </w:rPr>
        <w:t xml:space="preserve"> výrobků potřebných k instalaci fotovoltaických elektráren (zejména baterie). Dovoz vrcholil v první polovině roku 2023 a následně začal klesat.</w:t>
      </w:r>
      <w:r w:rsidRPr="00370717">
        <w:rPr>
          <w:sz w:val="16"/>
          <w:szCs w:val="16"/>
        </w:rPr>
        <w:t xml:space="preserve"> </w:t>
      </w:r>
    </w:p>
  </w:footnote>
  <w:footnote w:id="7">
    <w:p w14:paraId="48C5F269" w14:textId="77777777" w:rsidR="00FB4423" w:rsidRPr="008C2D39" w:rsidRDefault="00FB4423" w:rsidP="00FB4423">
      <w:pPr>
        <w:pStyle w:val="Textpoznpodarou"/>
        <w:rPr>
          <w:sz w:val="16"/>
          <w:szCs w:val="16"/>
        </w:rPr>
      </w:pPr>
      <w:r w:rsidRPr="008C2D39">
        <w:rPr>
          <w:rStyle w:val="Znakapoznpodarou"/>
          <w:sz w:val="16"/>
          <w:szCs w:val="16"/>
        </w:rPr>
        <w:footnoteRef/>
      </w:r>
      <w:r w:rsidRPr="008C2D39">
        <w:rPr>
          <w:sz w:val="16"/>
          <w:szCs w:val="16"/>
        </w:rPr>
        <w:t xml:space="preserve"> </w:t>
      </w:r>
      <w:r>
        <w:rPr>
          <w:sz w:val="16"/>
          <w:szCs w:val="16"/>
        </w:rPr>
        <w:t xml:space="preserve">Zpětný pohled na období před rokem 2020 ukazuje, že jde o </w:t>
      </w:r>
      <w:r w:rsidRPr="008C2D39">
        <w:rPr>
          <w:sz w:val="16"/>
          <w:szCs w:val="16"/>
        </w:rPr>
        <w:t xml:space="preserve">standardní výsledek </w:t>
      </w:r>
      <w:r>
        <w:rPr>
          <w:sz w:val="16"/>
          <w:szCs w:val="16"/>
        </w:rPr>
        <w:t xml:space="preserve">pro 3. čtvrtletí </w:t>
      </w:r>
      <w:r w:rsidRPr="008C2D39">
        <w:rPr>
          <w:sz w:val="16"/>
          <w:szCs w:val="16"/>
        </w:rPr>
        <w:t>odpovídající obvyklému vývoji v průběhu roku.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6" w14:textId="3C11EE3B" w:rsidR="009855E1" w:rsidRPr="00C27E4F" w:rsidRDefault="009855E1" w:rsidP="00C27E4F">
    <w:pPr>
      <w:pStyle w:val="Zhlav"/>
    </w:pPr>
    <w:r>
      <w:t>Vývoj ekonomiky České republiky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7" w14:textId="4F78F164" w:rsidR="009855E1" w:rsidRPr="006F5416" w:rsidRDefault="009855E1" w:rsidP="00937AE2">
    <w:pPr>
      <w:pStyle w:val="Zhlav"/>
    </w:pPr>
    <w:r>
      <w:t>Vývoj ekonomiky České republiky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0"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B651B2D"/>
    <w:multiLevelType w:val="hybridMultilevel"/>
    <w:tmpl w:val="054EEC40"/>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20"/>
  </w:num>
  <w:num w:numId="14">
    <w:abstractNumId w:val="10"/>
  </w:num>
  <w:num w:numId="15">
    <w:abstractNumId w:val="16"/>
  </w:num>
  <w:num w:numId="16">
    <w:abstractNumId w:val="12"/>
  </w:num>
  <w:num w:numId="17">
    <w:abstractNumId w:val="21"/>
  </w:num>
  <w:num w:numId="18">
    <w:abstractNumId w:val="17"/>
  </w:num>
  <w:num w:numId="19">
    <w:abstractNumId w:val="22"/>
  </w:num>
  <w:num w:numId="20">
    <w:abstractNumId w:val="25"/>
  </w:num>
  <w:num w:numId="21">
    <w:abstractNumId w:val="19"/>
  </w:num>
  <w:num w:numId="22">
    <w:abstractNumId w:val="15"/>
  </w:num>
  <w:num w:numId="23">
    <w:abstractNumId w:val="13"/>
  </w:num>
  <w:num w:numId="24">
    <w:abstractNumId w:val="14"/>
  </w:num>
  <w:num w:numId="25">
    <w:abstractNumId w:val="23"/>
  </w:num>
  <w:num w:numId="26">
    <w:abstractNumId w:val="24"/>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4097">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62"/>
    <w:rsid w:val="0000209D"/>
    <w:rsid w:val="00004D5A"/>
    <w:rsid w:val="000056D5"/>
    <w:rsid w:val="00006ABD"/>
    <w:rsid w:val="0000767A"/>
    <w:rsid w:val="00010256"/>
    <w:rsid w:val="00010702"/>
    <w:rsid w:val="00011912"/>
    <w:rsid w:val="0002195D"/>
    <w:rsid w:val="000234D6"/>
    <w:rsid w:val="00023D29"/>
    <w:rsid w:val="00026389"/>
    <w:rsid w:val="00031AE0"/>
    <w:rsid w:val="000322EF"/>
    <w:rsid w:val="00033FCD"/>
    <w:rsid w:val="00040D10"/>
    <w:rsid w:val="00041CEC"/>
    <w:rsid w:val="0004694F"/>
    <w:rsid w:val="000522E4"/>
    <w:rsid w:val="000610E1"/>
    <w:rsid w:val="00062EC5"/>
    <w:rsid w:val="00062F22"/>
    <w:rsid w:val="000712B3"/>
    <w:rsid w:val="0008263E"/>
    <w:rsid w:val="00082C19"/>
    <w:rsid w:val="00085395"/>
    <w:rsid w:val="00087634"/>
    <w:rsid w:val="00087F2B"/>
    <w:rsid w:val="00095135"/>
    <w:rsid w:val="000974D1"/>
    <w:rsid w:val="0009799E"/>
    <w:rsid w:val="000A1183"/>
    <w:rsid w:val="000A256D"/>
    <w:rsid w:val="000A3A2C"/>
    <w:rsid w:val="000A5265"/>
    <w:rsid w:val="000A57D4"/>
    <w:rsid w:val="000B7C8D"/>
    <w:rsid w:val="000C3408"/>
    <w:rsid w:val="000C6AFD"/>
    <w:rsid w:val="000D5637"/>
    <w:rsid w:val="000E6FBD"/>
    <w:rsid w:val="00100F5C"/>
    <w:rsid w:val="00101CDA"/>
    <w:rsid w:val="00102562"/>
    <w:rsid w:val="00102C41"/>
    <w:rsid w:val="00104C4C"/>
    <w:rsid w:val="00117623"/>
    <w:rsid w:val="0012192F"/>
    <w:rsid w:val="00125D69"/>
    <w:rsid w:val="001405FA"/>
    <w:rsid w:val="001425C3"/>
    <w:rsid w:val="001476BD"/>
    <w:rsid w:val="001612F4"/>
    <w:rsid w:val="0016256B"/>
    <w:rsid w:val="00163793"/>
    <w:rsid w:val="001706D6"/>
    <w:rsid w:val="001714F2"/>
    <w:rsid w:val="00175B9F"/>
    <w:rsid w:val="00181BBC"/>
    <w:rsid w:val="00184B08"/>
    <w:rsid w:val="00185010"/>
    <w:rsid w:val="0019143B"/>
    <w:rsid w:val="001A0487"/>
    <w:rsid w:val="001A552F"/>
    <w:rsid w:val="001B2CA9"/>
    <w:rsid w:val="001B3110"/>
    <w:rsid w:val="001B4729"/>
    <w:rsid w:val="001B6310"/>
    <w:rsid w:val="001B6C09"/>
    <w:rsid w:val="001C05CD"/>
    <w:rsid w:val="001D40D7"/>
    <w:rsid w:val="001D48D4"/>
    <w:rsid w:val="001D68B2"/>
    <w:rsid w:val="001E1C2E"/>
    <w:rsid w:val="001E504C"/>
    <w:rsid w:val="001E6062"/>
    <w:rsid w:val="001F4597"/>
    <w:rsid w:val="00203DA4"/>
    <w:rsid w:val="002118B9"/>
    <w:rsid w:val="00214CF7"/>
    <w:rsid w:val="00217C5B"/>
    <w:rsid w:val="0022139E"/>
    <w:rsid w:val="00222729"/>
    <w:rsid w:val="002252E0"/>
    <w:rsid w:val="002255F6"/>
    <w:rsid w:val="00227850"/>
    <w:rsid w:val="00227A53"/>
    <w:rsid w:val="00230C6E"/>
    <w:rsid w:val="00236443"/>
    <w:rsid w:val="00241B06"/>
    <w:rsid w:val="00242C10"/>
    <w:rsid w:val="002436BA"/>
    <w:rsid w:val="00244A15"/>
    <w:rsid w:val="00247319"/>
    <w:rsid w:val="0024799E"/>
    <w:rsid w:val="00253C0F"/>
    <w:rsid w:val="002558C1"/>
    <w:rsid w:val="00271465"/>
    <w:rsid w:val="0028207A"/>
    <w:rsid w:val="00285412"/>
    <w:rsid w:val="00291640"/>
    <w:rsid w:val="002A16D4"/>
    <w:rsid w:val="002A230C"/>
    <w:rsid w:val="002A66B0"/>
    <w:rsid w:val="002B2299"/>
    <w:rsid w:val="002B4845"/>
    <w:rsid w:val="002C43BD"/>
    <w:rsid w:val="002D0E59"/>
    <w:rsid w:val="002E02A1"/>
    <w:rsid w:val="002E42AC"/>
    <w:rsid w:val="002E4E4C"/>
    <w:rsid w:val="00302ADD"/>
    <w:rsid w:val="00304771"/>
    <w:rsid w:val="0030495D"/>
    <w:rsid w:val="003052D4"/>
    <w:rsid w:val="00306C5B"/>
    <w:rsid w:val="003103E0"/>
    <w:rsid w:val="00314F9F"/>
    <w:rsid w:val="003209D6"/>
    <w:rsid w:val="00321924"/>
    <w:rsid w:val="0032656E"/>
    <w:rsid w:val="00332190"/>
    <w:rsid w:val="0034335E"/>
    <w:rsid w:val="00344668"/>
    <w:rsid w:val="003462D9"/>
    <w:rsid w:val="00360C86"/>
    <w:rsid w:val="00360FBC"/>
    <w:rsid w:val="00362E90"/>
    <w:rsid w:val="00364FA0"/>
    <w:rsid w:val="003657F3"/>
    <w:rsid w:val="0038123E"/>
    <w:rsid w:val="003818DC"/>
    <w:rsid w:val="00384327"/>
    <w:rsid w:val="00385D98"/>
    <w:rsid w:val="003A2B4D"/>
    <w:rsid w:val="003A2D12"/>
    <w:rsid w:val="003A478C"/>
    <w:rsid w:val="003A5525"/>
    <w:rsid w:val="003A6B38"/>
    <w:rsid w:val="003B461F"/>
    <w:rsid w:val="003B5A32"/>
    <w:rsid w:val="003C3490"/>
    <w:rsid w:val="003C6550"/>
    <w:rsid w:val="003C7E62"/>
    <w:rsid w:val="003D6920"/>
    <w:rsid w:val="003E48F2"/>
    <w:rsid w:val="003E4C91"/>
    <w:rsid w:val="003E62A5"/>
    <w:rsid w:val="003F313C"/>
    <w:rsid w:val="003F37FC"/>
    <w:rsid w:val="003F4B2C"/>
    <w:rsid w:val="003F551C"/>
    <w:rsid w:val="003F62B0"/>
    <w:rsid w:val="003F72ED"/>
    <w:rsid w:val="003F7D23"/>
    <w:rsid w:val="00400DF4"/>
    <w:rsid w:val="00407C13"/>
    <w:rsid w:val="0041041D"/>
    <w:rsid w:val="00410638"/>
    <w:rsid w:val="0041501E"/>
    <w:rsid w:val="004159C3"/>
    <w:rsid w:val="00416EB7"/>
    <w:rsid w:val="00432A58"/>
    <w:rsid w:val="00434617"/>
    <w:rsid w:val="00440900"/>
    <w:rsid w:val="00441BF6"/>
    <w:rsid w:val="00443556"/>
    <w:rsid w:val="004441A0"/>
    <w:rsid w:val="004455BA"/>
    <w:rsid w:val="0045078A"/>
    <w:rsid w:val="0045086D"/>
    <w:rsid w:val="00451504"/>
    <w:rsid w:val="00460FB3"/>
    <w:rsid w:val="0046627E"/>
    <w:rsid w:val="00476240"/>
    <w:rsid w:val="00476439"/>
    <w:rsid w:val="0047735C"/>
    <w:rsid w:val="004776BC"/>
    <w:rsid w:val="0048139F"/>
    <w:rsid w:val="00481E40"/>
    <w:rsid w:val="00484ECE"/>
    <w:rsid w:val="00485567"/>
    <w:rsid w:val="004915CB"/>
    <w:rsid w:val="004924DC"/>
    <w:rsid w:val="004A14E4"/>
    <w:rsid w:val="004A3212"/>
    <w:rsid w:val="004A5494"/>
    <w:rsid w:val="004A61C5"/>
    <w:rsid w:val="004A77DF"/>
    <w:rsid w:val="004B1417"/>
    <w:rsid w:val="004B55B7"/>
    <w:rsid w:val="004B5A60"/>
    <w:rsid w:val="004B6468"/>
    <w:rsid w:val="004B7125"/>
    <w:rsid w:val="004C384C"/>
    <w:rsid w:val="004C3867"/>
    <w:rsid w:val="004C4CD0"/>
    <w:rsid w:val="004C70DC"/>
    <w:rsid w:val="004D0211"/>
    <w:rsid w:val="004D0794"/>
    <w:rsid w:val="004D5C93"/>
    <w:rsid w:val="004E7C6B"/>
    <w:rsid w:val="004F06F5"/>
    <w:rsid w:val="004F33A0"/>
    <w:rsid w:val="0050689D"/>
    <w:rsid w:val="005108C0"/>
    <w:rsid w:val="00511873"/>
    <w:rsid w:val="00512A2F"/>
    <w:rsid w:val="00513B7E"/>
    <w:rsid w:val="00515C74"/>
    <w:rsid w:val="0052007E"/>
    <w:rsid w:val="0052337A"/>
    <w:rsid w:val="00525137"/>
    <w:rsid w:val="005251DD"/>
    <w:rsid w:val="00532CE7"/>
    <w:rsid w:val="0053324C"/>
    <w:rsid w:val="00534A28"/>
    <w:rsid w:val="00541508"/>
    <w:rsid w:val="00543498"/>
    <w:rsid w:val="0055599F"/>
    <w:rsid w:val="00556D68"/>
    <w:rsid w:val="00563EB8"/>
    <w:rsid w:val="005647BF"/>
    <w:rsid w:val="00564AF1"/>
    <w:rsid w:val="0057364B"/>
    <w:rsid w:val="00574773"/>
    <w:rsid w:val="0058308D"/>
    <w:rsid w:val="00583FFD"/>
    <w:rsid w:val="005911BE"/>
    <w:rsid w:val="00593152"/>
    <w:rsid w:val="005A10F2"/>
    <w:rsid w:val="005A21E0"/>
    <w:rsid w:val="005A28FF"/>
    <w:rsid w:val="005A3DF8"/>
    <w:rsid w:val="005A5113"/>
    <w:rsid w:val="005A5549"/>
    <w:rsid w:val="005A7038"/>
    <w:rsid w:val="005B121D"/>
    <w:rsid w:val="005C06ED"/>
    <w:rsid w:val="005C2609"/>
    <w:rsid w:val="005D5802"/>
    <w:rsid w:val="005D7119"/>
    <w:rsid w:val="005D7890"/>
    <w:rsid w:val="005E7C78"/>
    <w:rsid w:val="005F18C5"/>
    <w:rsid w:val="005F3EB1"/>
    <w:rsid w:val="005F46D8"/>
    <w:rsid w:val="005F5469"/>
    <w:rsid w:val="00603FF5"/>
    <w:rsid w:val="00604307"/>
    <w:rsid w:val="0060487F"/>
    <w:rsid w:val="00604EAD"/>
    <w:rsid w:val="006104FB"/>
    <w:rsid w:val="00612A2F"/>
    <w:rsid w:val="00616E05"/>
    <w:rsid w:val="00622275"/>
    <w:rsid w:val="00624093"/>
    <w:rsid w:val="00625F8F"/>
    <w:rsid w:val="006350D5"/>
    <w:rsid w:val="006404A7"/>
    <w:rsid w:val="006451E4"/>
    <w:rsid w:val="00645B33"/>
    <w:rsid w:val="006516CB"/>
    <w:rsid w:val="00656FC8"/>
    <w:rsid w:val="00657E87"/>
    <w:rsid w:val="00664803"/>
    <w:rsid w:val="0066504F"/>
    <w:rsid w:val="00665BA4"/>
    <w:rsid w:val="00667AF2"/>
    <w:rsid w:val="006710C9"/>
    <w:rsid w:val="006741AC"/>
    <w:rsid w:val="00674D89"/>
    <w:rsid w:val="00675E37"/>
    <w:rsid w:val="0068174E"/>
    <w:rsid w:val="00681DCE"/>
    <w:rsid w:val="0068260E"/>
    <w:rsid w:val="00695BEF"/>
    <w:rsid w:val="006977F6"/>
    <w:rsid w:val="00697A13"/>
    <w:rsid w:val="006A109C"/>
    <w:rsid w:val="006B0F92"/>
    <w:rsid w:val="006B344A"/>
    <w:rsid w:val="006B78D8"/>
    <w:rsid w:val="006C113F"/>
    <w:rsid w:val="006C123E"/>
    <w:rsid w:val="006C1752"/>
    <w:rsid w:val="006C56D4"/>
    <w:rsid w:val="006C6924"/>
    <w:rsid w:val="006C7CA6"/>
    <w:rsid w:val="006D3E8A"/>
    <w:rsid w:val="006D61F6"/>
    <w:rsid w:val="006E279A"/>
    <w:rsid w:val="006E313B"/>
    <w:rsid w:val="006E7227"/>
    <w:rsid w:val="006F438E"/>
    <w:rsid w:val="006F5416"/>
    <w:rsid w:val="006F7076"/>
    <w:rsid w:val="00705242"/>
    <w:rsid w:val="00706AD4"/>
    <w:rsid w:val="00707150"/>
    <w:rsid w:val="007140BE"/>
    <w:rsid w:val="007211F5"/>
    <w:rsid w:val="00723946"/>
    <w:rsid w:val="007240E2"/>
    <w:rsid w:val="00725BB5"/>
    <w:rsid w:val="00730AE8"/>
    <w:rsid w:val="00730F1B"/>
    <w:rsid w:val="00741493"/>
    <w:rsid w:val="00752180"/>
    <w:rsid w:val="00753CAB"/>
    <w:rsid w:val="00755202"/>
    <w:rsid w:val="00755D3A"/>
    <w:rsid w:val="007578D3"/>
    <w:rsid w:val="007609C6"/>
    <w:rsid w:val="00760EA4"/>
    <w:rsid w:val="0076175D"/>
    <w:rsid w:val="00763B85"/>
    <w:rsid w:val="00764744"/>
    <w:rsid w:val="0076521E"/>
    <w:rsid w:val="007661E9"/>
    <w:rsid w:val="00776169"/>
    <w:rsid w:val="00776527"/>
    <w:rsid w:val="00780EF1"/>
    <w:rsid w:val="00790711"/>
    <w:rsid w:val="00790764"/>
    <w:rsid w:val="0079124F"/>
    <w:rsid w:val="0079453C"/>
    <w:rsid w:val="00794677"/>
    <w:rsid w:val="00797445"/>
    <w:rsid w:val="007A516D"/>
    <w:rsid w:val="007B6689"/>
    <w:rsid w:val="007C6BBD"/>
    <w:rsid w:val="007D40DF"/>
    <w:rsid w:val="007E29B4"/>
    <w:rsid w:val="007E435A"/>
    <w:rsid w:val="007E7E61"/>
    <w:rsid w:val="007E7FCE"/>
    <w:rsid w:val="007F0845"/>
    <w:rsid w:val="007F708D"/>
    <w:rsid w:val="00800216"/>
    <w:rsid w:val="00801E13"/>
    <w:rsid w:val="00807C82"/>
    <w:rsid w:val="00814B15"/>
    <w:rsid w:val="00816905"/>
    <w:rsid w:val="00821777"/>
    <w:rsid w:val="00821FF6"/>
    <w:rsid w:val="00822574"/>
    <w:rsid w:val="00825C4D"/>
    <w:rsid w:val="0083143E"/>
    <w:rsid w:val="00831CDE"/>
    <w:rsid w:val="00834304"/>
    <w:rsid w:val="00834FAA"/>
    <w:rsid w:val="00836086"/>
    <w:rsid w:val="00846121"/>
    <w:rsid w:val="008462A8"/>
    <w:rsid w:val="0084708F"/>
    <w:rsid w:val="008477C8"/>
    <w:rsid w:val="0085114D"/>
    <w:rsid w:val="00852217"/>
    <w:rsid w:val="00855408"/>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5CF6"/>
    <w:rsid w:val="008B7C02"/>
    <w:rsid w:val="008B7D2B"/>
    <w:rsid w:val="008C0049"/>
    <w:rsid w:val="008C0E88"/>
    <w:rsid w:val="008C53CB"/>
    <w:rsid w:val="008D1E6A"/>
    <w:rsid w:val="008D2A16"/>
    <w:rsid w:val="008E2C57"/>
    <w:rsid w:val="008E31FF"/>
    <w:rsid w:val="008E6F06"/>
    <w:rsid w:val="008E7FC9"/>
    <w:rsid w:val="008F029B"/>
    <w:rsid w:val="008F3FC9"/>
    <w:rsid w:val="008F585B"/>
    <w:rsid w:val="009003A8"/>
    <w:rsid w:val="00902500"/>
    <w:rsid w:val="00902EFF"/>
    <w:rsid w:val="00906401"/>
    <w:rsid w:val="0091155E"/>
    <w:rsid w:val="00912A92"/>
    <w:rsid w:val="0091728D"/>
    <w:rsid w:val="0092180B"/>
    <w:rsid w:val="00921F14"/>
    <w:rsid w:val="009231A3"/>
    <w:rsid w:val="00924AC8"/>
    <w:rsid w:val="0092597A"/>
    <w:rsid w:val="00925E75"/>
    <w:rsid w:val="00930FB1"/>
    <w:rsid w:val="0093139F"/>
    <w:rsid w:val="00932443"/>
    <w:rsid w:val="00937AE2"/>
    <w:rsid w:val="0094427A"/>
    <w:rsid w:val="00945245"/>
    <w:rsid w:val="0095759C"/>
    <w:rsid w:val="009721DB"/>
    <w:rsid w:val="0097239B"/>
    <w:rsid w:val="00974923"/>
    <w:rsid w:val="009808F7"/>
    <w:rsid w:val="00980D3D"/>
    <w:rsid w:val="009855E1"/>
    <w:rsid w:val="00987A30"/>
    <w:rsid w:val="00992CF3"/>
    <w:rsid w:val="00994868"/>
    <w:rsid w:val="009968D6"/>
    <w:rsid w:val="009A1CAB"/>
    <w:rsid w:val="009A60D1"/>
    <w:rsid w:val="009B6FD3"/>
    <w:rsid w:val="009C1750"/>
    <w:rsid w:val="009C2E29"/>
    <w:rsid w:val="009C554B"/>
    <w:rsid w:val="009C719E"/>
    <w:rsid w:val="009C7A10"/>
    <w:rsid w:val="009D3ACD"/>
    <w:rsid w:val="009E5273"/>
    <w:rsid w:val="009E5DDB"/>
    <w:rsid w:val="009F4CA7"/>
    <w:rsid w:val="00A10D66"/>
    <w:rsid w:val="00A14114"/>
    <w:rsid w:val="00A1537C"/>
    <w:rsid w:val="00A16413"/>
    <w:rsid w:val="00A16E1D"/>
    <w:rsid w:val="00A17D5B"/>
    <w:rsid w:val="00A23E43"/>
    <w:rsid w:val="00A25216"/>
    <w:rsid w:val="00A30F65"/>
    <w:rsid w:val="00A33A89"/>
    <w:rsid w:val="00A40EAC"/>
    <w:rsid w:val="00A418BC"/>
    <w:rsid w:val="00A46DE0"/>
    <w:rsid w:val="00A47FCA"/>
    <w:rsid w:val="00A50D73"/>
    <w:rsid w:val="00A52CAD"/>
    <w:rsid w:val="00A53FC7"/>
    <w:rsid w:val="00A62CE1"/>
    <w:rsid w:val="00A668A3"/>
    <w:rsid w:val="00A6741E"/>
    <w:rsid w:val="00A75E40"/>
    <w:rsid w:val="00A77D1D"/>
    <w:rsid w:val="00A84A6A"/>
    <w:rsid w:val="00A857C0"/>
    <w:rsid w:val="00A90FED"/>
    <w:rsid w:val="00AA2996"/>
    <w:rsid w:val="00AA52BF"/>
    <w:rsid w:val="00AA559A"/>
    <w:rsid w:val="00AB2AF1"/>
    <w:rsid w:val="00AB535B"/>
    <w:rsid w:val="00AC45BD"/>
    <w:rsid w:val="00AD168E"/>
    <w:rsid w:val="00AD306C"/>
    <w:rsid w:val="00AD4F16"/>
    <w:rsid w:val="00AD68C4"/>
    <w:rsid w:val="00AE09B3"/>
    <w:rsid w:val="00AE0ED3"/>
    <w:rsid w:val="00AE1A83"/>
    <w:rsid w:val="00AE31A7"/>
    <w:rsid w:val="00AF6128"/>
    <w:rsid w:val="00B00913"/>
    <w:rsid w:val="00B01593"/>
    <w:rsid w:val="00B023F2"/>
    <w:rsid w:val="00B04705"/>
    <w:rsid w:val="00B07BBB"/>
    <w:rsid w:val="00B10A4D"/>
    <w:rsid w:val="00B14BC1"/>
    <w:rsid w:val="00B17E71"/>
    <w:rsid w:val="00B17FDE"/>
    <w:rsid w:val="00B2379C"/>
    <w:rsid w:val="00B25189"/>
    <w:rsid w:val="00B2687D"/>
    <w:rsid w:val="00B32DDB"/>
    <w:rsid w:val="00B34528"/>
    <w:rsid w:val="00B34CC9"/>
    <w:rsid w:val="00B402FC"/>
    <w:rsid w:val="00B439DA"/>
    <w:rsid w:val="00B46604"/>
    <w:rsid w:val="00B530CD"/>
    <w:rsid w:val="00B55F5E"/>
    <w:rsid w:val="00B5752E"/>
    <w:rsid w:val="00B63A11"/>
    <w:rsid w:val="00B63B6A"/>
    <w:rsid w:val="00B64C24"/>
    <w:rsid w:val="00B6608F"/>
    <w:rsid w:val="00B679FB"/>
    <w:rsid w:val="00B71EF7"/>
    <w:rsid w:val="00B76D1E"/>
    <w:rsid w:val="00B8028A"/>
    <w:rsid w:val="00B80EC6"/>
    <w:rsid w:val="00B84CF6"/>
    <w:rsid w:val="00B92D1D"/>
    <w:rsid w:val="00B938C5"/>
    <w:rsid w:val="00B95940"/>
    <w:rsid w:val="00BA6C2B"/>
    <w:rsid w:val="00BB46F3"/>
    <w:rsid w:val="00BB4CB1"/>
    <w:rsid w:val="00BB4F98"/>
    <w:rsid w:val="00BC5C12"/>
    <w:rsid w:val="00BC7154"/>
    <w:rsid w:val="00BC731E"/>
    <w:rsid w:val="00BD366B"/>
    <w:rsid w:val="00BD6D50"/>
    <w:rsid w:val="00BE18B9"/>
    <w:rsid w:val="00BE2495"/>
    <w:rsid w:val="00BF1578"/>
    <w:rsid w:val="00BF723F"/>
    <w:rsid w:val="00C21F94"/>
    <w:rsid w:val="00C27913"/>
    <w:rsid w:val="00C27E4F"/>
    <w:rsid w:val="00C32964"/>
    <w:rsid w:val="00C33B68"/>
    <w:rsid w:val="00C36A79"/>
    <w:rsid w:val="00C401D2"/>
    <w:rsid w:val="00C405D4"/>
    <w:rsid w:val="00C4431F"/>
    <w:rsid w:val="00C4513B"/>
    <w:rsid w:val="00C5390B"/>
    <w:rsid w:val="00C54697"/>
    <w:rsid w:val="00C65535"/>
    <w:rsid w:val="00C71E85"/>
    <w:rsid w:val="00C72884"/>
    <w:rsid w:val="00C73885"/>
    <w:rsid w:val="00C747B1"/>
    <w:rsid w:val="00C82191"/>
    <w:rsid w:val="00C83134"/>
    <w:rsid w:val="00C85545"/>
    <w:rsid w:val="00C90CF4"/>
    <w:rsid w:val="00C92EB6"/>
    <w:rsid w:val="00C93389"/>
    <w:rsid w:val="00CA0914"/>
    <w:rsid w:val="00CA6AB4"/>
    <w:rsid w:val="00CB4930"/>
    <w:rsid w:val="00CC2E7D"/>
    <w:rsid w:val="00CD10A5"/>
    <w:rsid w:val="00CD2076"/>
    <w:rsid w:val="00CD29B5"/>
    <w:rsid w:val="00CD6331"/>
    <w:rsid w:val="00CE670B"/>
    <w:rsid w:val="00CF4908"/>
    <w:rsid w:val="00CF51EC"/>
    <w:rsid w:val="00CF73AE"/>
    <w:rsid w:val="00D040DD"/>
    <w:rsid w:val="00D075BE"/>
    <w:rsid w:val="00D13986"/>
    <w:rsid w:val="00D21D83"/>
    <w:rsid w:val="00D235B7"/>
    <w:rsid w:val="00D23C02"/>
    <w:rsid w:val="00D25F28"/>
    <w:rsid w:val="00D26071"/>
    <w:rsid w:val="00D27973"/>
    <w:rsid w:val="00D35E1A"/>
    <w:rsid w:val="00D42211"/>
    <w:rsid w:val="00D50F46"/>
    <w:rsid w:val="00D57677"/>
    <w:rsid w:val="00D66223"/>
    <w:rsid w:val="00D71625"/>
    <w:rsid w:val="00D751DA"/>
    <w:rsid w:val="00D8084C"/>
    <w:rsid w:val="00D915EA"/>
    <w:rsid w:val="00DA7C0C"/>
    <w:rsid w:val="00DB08A9"/>
    <w:rsid w:val="00DB2EC8"/>
    <w:rsid w:val="00DB6566"/>
    <w:rsid w:val="00DC48F1"/>
    <w:rsid w:val="00DC5B3B"/>
    <w:rsid w:val="00DD129F"/>
    <w:rsid w:val="00DD4EFE"/>
    <w:rsid w:val="00DE02BD"/>
    <w:rsid w:val="00DF42FF"/>
    <w:rsid w:val="00E01C0E"/>
    <w:rsid w:val="00E03F9A"/>
    <w:rsid w:val="00E04694"/>
    <w:rsid w:val="00E063CE"/>
    <w:rsid w:val="00E12B1E"/>
    <w:rsid w:val="00E17262"/>
    <w:rsid w:val="00E253A2"/>
    <w:rsid w:val="00E3309D"/>
    <w:rsid w:val="00E43C1C"/>
    <w:rsid w:val="00E47EBA"/>
    <w:rsid w:val="00E50156"/>
    <w:rsid w:val="00E51643"/>
    <w:rsid w:val="00E53470"/>
    <w:rsid w:val="00E53874"/>
    <w:rsid w:val="00E539F6"/>
    <w:rsid w:val="00E6519D"/>
    <w:rsid w:val="00E67696"/>
    <w:rsid w:val="00E71A58"/>
    <w:rsid w:val="00E72A7A"/>
    <w:rsid w:val="00E75C94"/>
    <w:rsid w:val="00E93820"/>
    <w:rsid w:val="00E94A86"/>
    <w:rsid w:val="00E96143"/>
    <w:rsid w:val="00EA0987"/>
    <w:rsid w:val="00EA0C68"/>
    <w:rsid w:val="00EA32BC"/>
    <w:rsid w:val="00EA4302"/>
    <w:rsid w:val="00EB39C7"/>
    <w:rsid w:val="00EB3D8F"/>
    <w:rsid w:val="00EB4511"/>
    <w:rsid w:val="00EC03D7"/>
    <w:rsid w:val="00ED62C6"/>
    <w:rsid w:val="00ED64C1"/>
    <w:rsid w:val="00EE3446"/>
    <w:rsid w:val="00EE3E78"/>
    <w:rsid w:val="00EE4B1B"/>
    <w:rsid w:val="00EE7F19"/>
    <w:rsid w:val="00EF150D"/>
    <w:rsid w:val="00EF1F5A"/>
    <w:rsid w:val="00EF47BF"/>
    <w:rsid w:val="00EF6DB3"/>
    <w:rsid w:val="00F04811"/>
    <w:rsid w:val="00F0488C"/>
    <w:rsid w:val="00F10F11"/>
    <w:rsid w:val="00F15AAA"/>
    <w:rsid w:val="00F15BEF"/>
    <w:rsid w:val="00F24407"/>
    <w:rsid w:val="00F24931"/>
    <w:rsid w:val="00F24FAA"/>
    <w:rsid w:val="00F3364D"/>
    <w:rsid w:val="00F437CC"/>
    <w:rsid w:val="00F44537"/>
    <w:rsid w:val="00F44B6A"/>
    <w:rsid w:val="00F47067"/>
    <w:rsid w:val="00F50FC3"/>
    <w:rsid w:val="00F525EB"/>
    <w:rsid w:val="00F63DDE"/>
    <w:rsid w:val="00F63FB7"/>
    <w:rsid w:val="00F6421B"/>
    <w:rsid w:val="00F649D2"/>
    <w:rsid w:val="00F6602B"/>
    <w:rsid w:val="00F67C4E"/>
    <w:rsid w:val="00F73A0C"/>
    <w:rsid w:val="00F756DB"/>
    <w:rsid w:val="00F84E7D"/>
    <w:rsid w:val="00F85066"/>
    <w:rsid w:val="00F87A4D"/>
    <w:rsid w:val="00F9785E"/>
    <w:rsid w:val="00FA5D4D"/>
    <w:rsid w:val="00FA7115"/>
    <w:rsid w:val="00FB0EE2"/>
    <w:rsid w:val="00FB4423"/>
    <w:rsid w:val="00FB542E"/>
    <w:rsid w:val="00FC0E5F"/>
    <w:rsid w:val="00FC1A95"/>
    <w:rsid w:val="00FC56DE"/>
    <w:rsid w:val="00FC684B"/>
    <w:rsid w:val="00FD3265"/>
    <w:rsid w:val="00FD5F92"/>
    <w:rsid w:val="00FD66F9"/>
    <w:rsid w:val="00FE2F78"/>
    <w:rsid w:val="00FF7B96"/>
    <w:rsid w:val="11D0C0D9"/>
    <w:rsid w:val="30D0B3BE"/>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ecf4dd,#eaecee,#fcec0a,#fcecdb,#f1daf5"/>
    </o:shapedefaults>
    <o:shapelayout v:ext="edit">
      <o:idmap v:ext="edit" data="2"/>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7"/>
      </w:numPr>
      <w:spacing w:after="240" w:line="276" w:lineRule="auto"/>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6344914">
      <w:bodyDiv w:val="1"/>
      <w:marLeft w:val="0"/>
      <w:marRight w:val="0"/>
      <w:marTop w:val="0"/>
      <w:marBottom w:val="0"/>
      <w:divBdr>
        <w:top w:val="none" w:sz="0" w:space="0" w:color="auto"/>
        <w:left w:val="none" w:sz="0" w:space="0" w:color="auto"/>
        <w:bottom w:val="none" w:sz="0" w:space="0" w:color="auto"/>
        <w:right w:val="none" w:sz="0" w:space="0" w:color="auto"/>
      </w:divBdr>
    </w:div>
    <w:div w:id="11051791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716924412">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06206753">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czso.cz/csu/czso/aktualizace-metody-propoctu-zahranicni-obchod-se-zbozi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https://czsocz-my.sharepoint.com/personal/karolina_zabojnikova_czso_cz/Documents/Dokumenty/Anal&#253;za/Q/2024Q3/Makroanal&#253;za%20grafy.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2"/>
          <c:order val="2"/>
          <c:tx>
            <c:strRef>
              <c:f>'Vnější vztahy'!$E$6</c:f>
              <c:strCache>
                <c:ptCount val="1"/>
                <c:pt idx="0">
                  <c:v>Bilance</c:v>
                </c:pt>
              </c:strCache>
            </c:strRef>
          </c:tx>
          <c:spPr>
            <a:solidFill>
              <a:srgbClr val="A6A6A6"/>
            </a:solidFill>
            <a:ln>
              <a:noFill/>
            </a:ln>
            <a:effectLst/>
          </c:spPr>
          <c:invertIfNegative val="0"/>
          <c:cat>
            <c:multiLvlStrRef>
              <c:f>'Vnější vztahy'!$A$7:$B$29</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'Vnější vztahy'!$E$7:$E$29</c:f>
              <c:numCache>
                <c:formatCode>0.0</c:formatCode>
                <c:ptCount val="23"/>
                <c:pt idx="0">
                  <c:v>48.244762452000003</c:v>
                </c:pt>
                <c:pt idx="1">
                  <c:v>56.993667721000001</c:v>
                </c:pt>
                <c:pt idx="2">
                  <c:v>27.532477373999999</c:v>
                </c:pt>
                <c:pt idx="3">
                  <c:v>12.923809864000001</c:v>
                </c:pt>
                <c:pt idx="4">
                  <c:v>36.182428658999996</c:v>
                </c:pt>
                <c:pt idx="5">
                  <c:v>9.2911503559999993</c:v>
                </c:pt>
                <c:pt idx="6">
                  <c:v>55.286836668000007</c:v>
                </c:pt>
                <c:pt idx="7">
                  <c:v>78.879761297999991</c:v>
                </c:pt>
                <c:pt idx="8">
                  <c:v>60.916821217999995</c:v>
                </c:pt>
                <c:pt idx="9">
                  <c:v>13.848192235000001</c:v>
                </c:pt>
                <c:pt idx="10">
                  <c:v>-54.700282055000002</c:v>
                </c:pt>
                <c:pt idx="11">
                  <c:v>-29.269374235000001</c:v>
                </c:pt>
                <c:pt idx="12">
                  <c:v>-12.635912592</c:v>
                </c:pt>
                <c:pt idx="13">
                  <c:v>-73.225200095999995</c:v>
                </c:pt>
                <c:pt idx="14">
                  <c:v>-64.314002961</c:v>
                </c:pt>
                <c:pt idx="15">
                  <c:v>-54.639469009000003</c:v>
                </c:pt>
                <c:pt idx="16">
                  <c:v>40.885161205999999</c:v>
                </c:pt>
                <c:pt idx="17">
                  <c:v>36.180839551999995</c:v>
                </c:pt>
                <c:pt idx="18">
                  <c:v>-1.2235418870000001</c:v>
                </c:pt>
                <c:pt idx="19">
                  <c:v>46.660049057999998</c:v>
                </c:pt>
                <c:pt idx="20">
                  <c:v>83.060090013999996</c:v>
                </c:pt>
                <c:pt idx="21">
                  <c:v>71.53971091599999</c:v>
                </c:pt>
                <c:pt idx="22">
                  <c:v>29.390521852999999</c:v>
                </c:pt>
              </c:numCache>
            </c:numRef>
          </c:val>
          <c:extLst>
            <c:ext xmlns:c16="http://schemas.microsoft.com/office/drawing/2014/chart" uri="{C3380CC4-5D6E-409C-BE32-E72D297353CC}">
              <c16:uniqueId val="{00000000-217D-4D78-9DA6-8FB41173A5C4}"/>
            </c:ext>
          </c:extLst>
        </c:ser>
        <c:dLbls>
          <c:showLegendKey val="0"/>
          <c:showVal val="0"/>
          <c:showCatName val="0"/>
          <c:showSerName val="0"/>
          <c:showPercent val="0"/>
          <c:showBubbleSize val="0"/>
        </c:dLbls>
        <c:gapWidth val="90"/>
        <c:axId val="1842150016"/>
        <c:axId val="1842137120"/>
      </c:barChart>
      <c:lineChart>
        <c:grouping val="standard"/>
        <c:varyColors val="0"/>
        <c:ser>
          <c:idx val="0"/>
          <c:order val="0"/>
          <c:tx>
            <c:strRef>
              <c:f>'Vnější vztahy'!$C$6</c:f>
              <c:strCache>
                <c:ptCount val="1"/>
                <c:pt idx="0">
                  <c:v>Vývoz</c:v>
                </c:pt>
              </c:strCache>
            </c:strRef>
          </c:tx>
          <c:spPr>
            <a:ln w="28575" cap="rnd">
              <a:noFill/>
              <a:round/>
            </a:ln>
            <a:effectLst/>
          </c:spPr>
          <c:marker>
            <c:symbol val="dash"/>
            <c:size val="9"/>
            <c:spPr>
              <a:solidFill>
                <a:srgbClr val="0071BC"/>
              </a:solidFill>
              <a:ln w="9525">
                <a:noFill/>
              </a:ln>
              <a:effectLst/>
            </c:spPr>
          </c:marker>
          <c:cat>
            <c:multiLvlStrRef>
              <c:f>'Vnější vztahy'!$A$7:$B$29</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'Vnější vztahy'!$C$7:$C$29</c:f>
              <c:numCache>
                <c:formatCode>0.0</c:formatCode>
                <c:ptCount val="23"/>
                <c:pt idx="0">
                  <c:v>3.7143750821000054</c:v>
                </c:pt>
                <c:pt idx="1">
                  <c:v>3.3683840658000008</c:v>
                </c:pt>
                <c:pt idx="2">
                  <c:v>4.8286280231999967</c:v>
                </c:pt>
                <c:pt idx="3">
                  <c:v>-3.1636168855000051</c:v>
                </c:pt>
                <c:pt idx="4">
                  <c:v>-6.4135636115999972</c:v>
                </c:pt>
                <c:pt idx="5">
                  <c:v>-25.037497579399997</c:v>
                </c:pt>
                <c:pt idx="6">
                  <c:v>-3.5785611728999953</c:v>
                </c:pt>
                <c:pt idx="7">
                  <c:v>7.411852265899995</c:v>
                </c:pt>
                <c:pt idx="8">
                  <c:v>10.962313304399999</c:v>
                </c:pt>
                <c:pt idx="9">
                  <c:v>41.981094956100009</c:v>
                </c:pt>
                <c:pt idx="10">
                  <c:v>3.4515742189000065</c:v>
                </c:pt>
                <c:pt idx="11">
                  <c:v>2.749198525500006</c:v>
                </c:pt>
                <c:pt idx="12">
                  <c:v>8.0064988441999958</c:v>
                </c:pt>
                <c:pt idx="13">
                  <c:v>11.287163968300007</c:v>
                </c:pt>
                <c:pt idx="14">
                  <c:v>22.470879917399998</c:v>
                </c:pt>
                <c:pt idx="15">
                  <c:v>13.234980039600003</c:v>
                </c:pt>
                <c:pt idx="16">
                  <c:v>10.691327997000002</c:v>
                </c:pt>
                <c:pt idx="17">
                  <c:v>0.90534101039999371</c:v>
                </c:pt>
                <c:pt idx="18">
                  <c:v>-6.7264620790000009</c:v>
                </c:pt>
                <c:pt idx="19">
                  <c:v>-1.1504207308999952</c:v>
                </c:pt>
                <c:pt idx="20">
                  <c:v>7.0512274699993327E-2</c:v>
                </c:pt>
                <c:pt idx="21" formatCode="General">
                  <c:v>4.6991054141000035</c:v>
                </c:pt>
                <c:pt idx="22" formatCode="General">
                  <c:v>10.6100771869</c:v>
                </c:pt>
              </c:numCache>
            </c:numRef>
          </c:val>
          <c:smooth val="0"/>
          <c:extLst>
            <c:ext xmlns:c16="http://schemas.microsoft.com/office/drawing/2014/chart" uri="{C3380CC4-5D6E-409C-BE32-E72D297353CC}">
              <c16:uniqueId val="{00000001-217D-4D78-9DA6-8FB41173A5C4}"/>
            </c:ext>
          </c:extLst>
        </c:ser>
        <c:ser>
          <c:idx val="1"/>
          <c:order val="1"/>
          <c:tx>
            <c:strRef>
              <c:f>'Vnější vztahy'!$D$6</c:f>
              <c:strCache>
                <c:ptCount val="1"/>
                <c:pt idx="0">
                  <c:v>Dovoz</c:v>
                </c:pt>
              </c:strCache>
            </c:strRef>
          </c:tx>
          <c:spPr>
            <a:ln w="28575" cap="rnd">
              <a:noFill/>
              <a:round/>
            </a:ln>
            <a:effectLst/>
          </c:spPr>
          <c:marker>
            <c:symbol val="dash"/>
            <c:size val="9"/>
            <c:spPr>
              <a:solidFill>
                <a:srgbClr val="BD1B21"/>
              </a:solidFill>
              <a:ln w="9525">
                <a:noFill/>
              </a:ln>
              <a:effectLst/>
            </c:spPr>
          </c:marker>
          <c:cat>
            <c:multiLvlStrRef>
              <c:f>'Vnější vztahy'!$A$7:$B$29</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'Vnější vztahy'!$D$7:$D$29</c:f>
              <c:numCache>
                <c:formatCode>0.0</c:formatCode>
                <c:ptCount val="23"/>
                <c:pt idx="0">
                  <c:v>4.8123766788999944</c:v>
                </c:pt>
                <c:pt idx="1">
                  <c:v>1.0619237693999963</c:v>
                </c:pt>
                <c:pt idx="2">
                  <c:v>1.0984183013000006</c:v>
                </c:pt>
                <c:pt idx="3">
                  <c:v>-3.3198043863000066</c:v>
                </c:pt>
                <c:pt idx="4">
                  <c:v>-5.3981676209999989</c:v>
                </c:pt>
                <c:pt idx="5">
                  <c:v>-21.285728278400001</c:v>
                </c:pt>
                <c:pt idx="6">
                  <c:v>-6.8912364523999941</c:v>
                </c:pt>
                <c:pt idx="7">
                  <c:v>0.22314936540000474</c:v>
                </c:pt>
                <c:pt idx="8">
                  <c:v>8.4767312925000056</c:v>
                </c:pt>
                <c:pt idx="9">
                  <c:v>41.887499316600014</c:v>
                </c:pt>
                <c:pt idx="10">
                  <c:v>17.303793961099998</c:v>
                </c:pt>
                <c:pt idx="11">
                  <c:v>14.923030300799994</c:v>
                </c:pt>
                <c:pt idx="12">
                  <c:v>16.659765110899997</c:v>
                </c:pt>
                <c:pt idx="13">
                  <c:v>20.193090002000005</c:v>
                </c:pt>
                <c:pt idx="14">
                  <c:v>22.188267180799997</c:v>
                </c:pt>
                <c:pt idx="15">
                  <c:v>15.2991180633</c:v>
                </c:pt>
                <c:pt idx="16">
                  <c:v>5.5018043466999984</c:v>
                </c:pt>
                <c:pt idx="17">
                  <c:v>-8.2960208406999953</c:v>
                </c:pt>
                <c:pt idx="18">
                  <c:v>-11.801975368499996</c:v>
                </c:pt>
                <c:pt idx="19">
                  <c:v>-9.5344571271999996</c:v>
                </c:pt>
                <c:pt idx="20">
                  <c:v>-3.7075929174999942</c:v>
                </c:pt>
                <c:pt idx="21" formatCode="General">
                  <c:v>1.630816303900005</c:v>
                </c:pt>
                <c:pt idx="22" formatCode="General">
                  <c:v>7.5993910276999941</c:v>
                </c:pt>
              </c:numCache>
            </c:numRef>
          </c:val>
          <c:smooth val="0"/>
          <c:extLst>
            <c:ext xmlns:c16="http://schemas.microsoft.com/office/drawing/2014/chart" uri="{C3380CC4-5D6E-409C-BE32-E72D297353CC}">
              <c16:uniqueId val="{00000002-217D-4D78-9DA6-8FB41173A5C4}"/>
            </c:ext>
          </c:extLst>
        </c:ser>
        <c:dLbls>
          <c:showLegendKey val="0"/>
          <c:showVal val="0"/>
          <c:showCatName val="0"/>
          <c:showSerName val="0"/>
          <c:showPercent val="0"/>
          <c:showBubbleSize val="0"/>
        </c:dLbls>
        <c:marker val="1"/>
        <c:smooth val="0"/>
        <c:axId val="1621653648"/>
        <c:axId val="1621653232"/>
      </c:lineChart>
      <c:catAx>
        <c:axId val="1621653648"/>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621653232"/>
        <c:crosses val="autoZero"/>
        <c:auto val="1"/>
        <c:lblAlgn val="ctr"/>
        <c:lblOffset val="100"/>
        <c:noMultiLvlLbl val="0"/>
      </c:catAx>
      <c:valAx>
        <c:axId val="1621653232"/>
        <c:scaling>
          <c:orientation val="minMax"/>
          <c:min val="-4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621653648"/>
        <c:crosses val="autoZero"/>
        <c:crossBetween val="between"/>
      </c:valAx>
      <c:valAx>
        <c:axId val="1842137120"/>
        <c:scaling>
          <c:orientation val="minMax"/>
          <c:min val="-80"/>
        </c:scaling>
        <c:delete val="0"/>
        <c:axPos val="r"/>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842150016"/>
        <c:crosses val="max"/>
        <c:crossBetween val="between"/>
      </c:valAx>
      <c:catAx>
        <c:axId val="1842150016"/>
        <c:scaling>
          <c:orientation val="minMax"/>
        </c:scaling>
        <c:delete val="1"/>
        <c:axPos val="b"/>
        <c:numFmt formatCode="General" sourceLinked="1"/>
        <c:majorTickMark val="out"/>
        <c:minorTickMark val="none"/>
        <c:tickLblPos val="nextTo"/>
        <c:crossAx val="1842137120"/>
        <c:crosses val="autoZero"/>
        <c:auto val="1"/>
        <c:lblAlgn val="ctr"/>
        <c:lblOffset val="100"/>
        <c:noMultiLvlLbl val="0"/>
      </c:catAx>
      <c:spPr>
        <a:noFill/>
        <a:ln>
          <a:noFill/>
        </a:ln>
        <a:effectLst/>
      </c:spPr>
    </c:plotArea>
    <c:legend>
      <c:legendPos val="b"/>
      <c:layout>
        <c:manualLayout>
          <c:xMode val="edge"/>
          <c:yMode val="edge"/>
          <c:x val="6.7334595959595941E-2"/>
          <c:y val="0.9241869988545246"/>
          <c:w val="0.85464057239057234"/>
          <c:h val="5.3991695303550975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latin typeface="Arial" panose="020B0604020202020204" pitchFamily="34" charset="0"/>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1E7681AD-41B0-431A-9D34-CF6700A12FAC}">
  <ds:schemaRefs>
    <ds:schemaRef ds:uri="http://purl.org/dc/dcmitype/"/>
    <ds:schemaRef ds:uri="http://schemas.microsoft.com/office/2006/metadata/properties"/>
    <ds:schemaRef ds:uri="http://schemas.microsoft.com/office/2006/documentManagement/types"/>
    <ds:schemaRef ds:uri="b8c0c86d-151e-4fca-b0d5-747e6692fa1d"/>
    <ds:schemaRef ds:uri="http://schemas.openxmlformats.org/package/2006/metadata/core-properties"/>
    <ds:schemaRef ds:uri="http://purl.org/dc/terms/"/>
    <ds:schemaRef ds:uri="http://purl.org/dc/elements/1.1/"/>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C217542A-452A-49A6-BD70-25B5200F35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16EF21-1552-46F4-AA20-4149B90A2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1763</Words>
  <Characters>10408</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3</cp:revision>
  <cp:lastPrinted>2014-07-17T14:07:00Z</cp:lastPrinted>
  <dcterms:created xsi:type="dcterms:W3CDTF">2024-12-16T10:31:00Z</dcterms:created>
  <dcterms:modified xsi:type="dcterms:W3CDTF">2024-12-16T10:41:00Z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