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35EB8E" w14:textId="71E8942D" w:rsidR="00FD66F9" w:rsidRDefault="00FD66F9" w:rsidP="00FD66F9">
      <w:pPr>
        <w:pStyle w:val="Nadpis1"/>
      </w:pPr>
      <w:bookmarkStart w:id="0" w:name="_Toc137233031"/>
      <w:bookmarkStart w:id="1" w:name="_Toc176767107"/>
      <w:bookmarkStart w:id="2" w:name="_Toc161914427"/>
      <w:bookmarkStart w:id="3" w:name="_Toc185241005"/>
      <w:r>
        <w:t>5. Ceny</w:t>
      </w:r>
      <w:bookmarkEnd w:id="1"/>
      <w:bookmarkEnd w:id="3"/>
      <w:r>
        <w:t xml:space="preserve"> </w:t>
      </w:r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91"/>
        <w:gridCol w:w="223"/>
        <w:gridCol w:w="7625"/>
      </w:tblGrid>
      <w:tr w:rsidR="00FD66F9" w14:paraId="60D6BA9B" w14:textId="77777777" w:rsidTr="00102C41">
        <w:trPr>
          <w:trHeight w:val="145"/>
        </w:trPr>
        <w:tc>
          <w:tcPr>
            <w:tcW w:w="1791" w:type="dxa"/>
            <w:hideMark/>
          </w:tcPr>
          <w:p w14:paraId="249A9050" w14:textId="77777777" w:rsidR="00FD66F9" w:rsidRDefault="00FD66F9" w:rsidP="00102C41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Růst celkové cenové hladiny ve 3. čtvrtletí zpomalil.</w:t>
            </w:r>
          </w:p>
        </w:tc>
        <w:tc>
          <w:tcPr>
            <w:tcW w:w="223" w:type="dxa"/>
          </w:tcPr>
          <w:p w14:paraId="589F0BED" w14:textId="77777777" w:rsidR="00FD66F9" w:rsidRDefault="00FD66F9" w:rsidP="00102C41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68996C25" w14:textId="77777777" w:rsidR="00FD66F9" w:rsidRDefault="00FD66F9" w:rsidP="00102C41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Celkový meziroční růst cenové hladiny (podle deflátoru HDP) ve 3. čtvrtletí zpomalil na 3,9 %. Mírně zrychlil meziroční přírůstek cen spotřeby (3,3 %), za čímž stály zejména ceny vládní spotřeby (4,1 %), zatímco cenová hladina spotřeby domácností rostla mírněji než v předchozím kvartálu (2,9 %). Mírnější byl meziroční přírůstek cen kapitálových statků (2,6 %), ačkoli dynamika samotných cen investic posílila na 1,9 %. Meziroční směnné relace zahraničního obchodu se zbožím a službami oslabily ve 3. čtvrtletí na 101,1 %. Směnné relace obchodu se zbožím dosáhly 100,9 %, zatímco u obchodu se službami to bylo 102,2 %. Mezičtvrtletně se celková cenová hladina zvýšila o 0,4 %. Cenová hladina u spotřeby byla vyšší o 1,0 %, u kapitálových výdajů o 0,5 % a mezičtvrtletní směnné relace dosáhly 99,4 %.</w:t>
            </w:r>
          </w:p>
        </w:tc>
      </w:tr>
      <w:tr w:rsidR="00FD66F9" w14:paraId="57CE4D33" w14:textId="77777777" w:rsidTr="00102C41">
        <w:trPr>
          <w:trHeight w:val="145"/>
        </w:trPr>
        <w:tc>
          <w:tcPr>
            <w:tcW w:w="1791" w:type="dxa"/>
            <w:hideMark/>
          </w:tcPr>
          <w:p w14:paraId="28C1AD1E" w14:textId="77777777" w:rsidR="00FD66F9" w:rsidRDefault="00FD66F9" w:rsidP="00102C41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Meziroční růst spotřebitelských cen mírně zpomalil.</w:t>
            </w:r>
          </w:p>
        </w:tc>
        <w:tc>
          <w:tcPr>
            <w:tcW w:w="223" w:type="dxa"/>
          </w:tcPr>
          <w:p w14:paraId="291B2573" w14:textId="77777777" w:rsidR="00FD66F9" w:rsidRDefault="00FD66F9" w:rsidP="00102C41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1178868B" w14:textId="77777777" w:rsidR="00FD66F9" w:rsidRDefault="00FD66F9" w:rsidP="00102C41">
            <w:pPr>
              <w:rPr>
                <w:lang w:eastAsia="en-US"/>
              </w:rPr>
            </w:pPr>
            <w:r>
              <w:rPr>
                <w:lang w:eastAsia="en-US"/>
              </w:rPr>
              <w:t>Meziroční přírůstek spotřebitelských cen ve 3. čtvrtletí 2024 mírně zpomalil oproti 2. kvartálu (2,5 %) a dosáhl 2,3 %. Nejvíce se na celkovém zmírnění přírůstku projevil nižší růst cen dopravy. Mírnější meziroční dynamiku ve srovnání se 2. čtvrtletím měly i ceny alkoholických nápojů a tabáku a odívání a obuvi. Naopak u cen potravin a nealkoholických nápojů se meziroční pokles výrazně zmírnil, což následně působilo proti zpomalení celkového růstu spotřebitelských cen. Celkově nejvíce k růstu cen přispíval vývoj v oddíle bydlení, voda, energie a paliva, kde zůstává dynamika stabilní, a dále ceny stravování a ubytování a alkoholických nápojů a tabáku. Jediný oddíl spotřebního koše, kde ceny meziročně klesaly, byly potraviny a nealkoholické nápoje. Mezičtvrtletně se index spotřebitelských cen ve 3. čtvrtletí zvýšil o 0,5 %, což je mírnější přírůstek než v předchozím kvartálu.</w:t>
            </w:r>
          </w:p>
        </w:tc>
      </w:tr>
      <w:tr w:rsidR="00FD66F9" w14:paraId="61CA5A5F" w14:textId="77777777" w:rsidTr="00102C41">
        <w:trPr>
          <w:trHeight w:val="145"/>
        </w:trPr>
        <w:tc>
          <w:tcPr>
            <w:tcW w:w="1791" w:type="dxa"/>
          </w:tcPr>
          <w:p w14:paraId="20747B0A" w14:textId="77777777" w:rsidR="00FD66F9" w:rsidRDefault="00FD66F9" w:rsidP="00102C41">
            <w:pPr>
              <w:pStyle w:val="Marginlie"/>
              <w:rPr>
                <w:spacing w:val="0"/>
                <w:lang w:eastAsia="en-US"/>
              </w:rPr>
            </w:pPr>
          </w:p>
        </w:tc>
        <w:tc>
          <w:tcPr>
            <w:tcW w:w="223" w:type="dxa"/>
          </w:tcPr>
          <w:p w14:paraId="2FA0FC7C" w14:textId="77777777" w:rsidR="00FD66F9" w:rsidRDefault="00FD66F9" w:rsidP="00102C41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4E02F052" w14:textId="77777777" w:rsidR="00FD66F9" w:rsidRDefault="00FD66F9" w:rsidP="00102C41">
            <w:pPr>
              <w:spacing w:after="0"/>
              <w:rPr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>Graf č. 10 Ceny ve vybraných oddílech indexu spotřebitelských cen</w:t>
            </w:r>
            <w:r>
              <w:rPr>
                <w:rFonts w:cs="Arial"/>
                <w:b/>
                <w:color w:val="000000"/>
                <w:sz w:val="18"/>
                <w:szCs w:val="18"/>
                <w:lang w:eastAsia="en-US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>(meziročně v %)</w:t>
            </w:r>
          </w:p>
        </w:tc>
      </w:tr>
      <w:tr w:rsidR="00FD66F9" w14:paraId="0F54135A" w14:textId="77777777" w:rsidTr="00102C41">
        <w:tblPrEx>
          <w:tblCellMar>
            <w:left w:w="70" w:type="dxa"/>
            <w:right w:w="70" w:type="dxa"/>
          </w:tblCellMar>
        </w:tblPrEx>
        <w:trPr>
          <w:trHeight w:val="145"/>
        </w:trPr>
        <w:tc>
          <w:tcPr>
            <w:tcW w:w="1791" w:type="dxa"/>
          </w:tcPr>
          <w:p w14:paraId="2AF9CD86" w14:textId="77777777" w:rsidR="00FD66F9" w:rsidRDefault="00FD66F9" w:rsidP="00102C41">
            <w:pPr>
              <w:pStyle w:val="Marginlie"/>
              <w:rPr>
                <w:spacing w:val="0"/>
                <w:lang w:eastAsia="en-US"/>
              </w:rPr>
            </w:pPr>
          </w:p>
        </w:tc>
        <w:tc>
          <w:tcPr>
            <w:tcW w:w="223" w:type="dxa"/>
          </w:tcPr>
          <w:p w14:paraId="4C4E4D71" w14:textId="77777777" w:rsidR="00FD66F9" w:rsidRDefault="00FD66F9" w:rsidP="00102C41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72FDD7FE" w14:textId="77777777" w:rsidR="00FD66F9" w:rsidRDefault="00FD66F9" w:rsidP="00102C41">
            <w:pPr>
              <w:spacing w:after="0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769E15E8" wp14:editId="29BB6662">
                  <wp:extent cx="4752000" cy="3553200"/>
                  <wp:effectExtent l="0" t="0" r="0" b="0"/>
                  <wp:docPr id="32" name="Graf 3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FD66F9" w14:paraId="4AC74EAF" w14:textId="77777777" w:rsidTr="00102C41">
        <w:trPr>
          <w:trHeight w:val="145"/>
        </w:trPr>
        <w:tc>
          <w:tcPr>
            <w:tcW w:w="1791" w:type="dxa"/>
          </w:tcPr>
          <w:p w14:paraId="277722B6" w14:textId="77777777" w:rsidR="00FD66F9" w:rsidRDefault="00FD66F9" w:rsidP="00102C41">
            <w:pPr>
              <w:pStyle w:val="Marginlie"/>
              <w:rPr>
                <w:spacing w:val="0"/>
                <w:lang w:eastAsia="en-US"/>
              </w:rPr>
            </w:pPr>
          </w:p>
        </w:tc>
        <w:tc>
          <w:tcPr>
            <w:tcW w:w="223" w:type="dxa"/>
          </w:tcPr>
          <w:p w14:paraId="207B70BE" w14:textId="77777777" w:rsidR="00FD66F9" w:rsidRDefault="00FD66F9" w:rsidP="00102C41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3AA0ED95" w14:textId="77777777" w:rsidR="00FD66F9" w:rsidRDefault="00FD66F9" w:rsidP="00102C41">
            <w:pPr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Zdroj: ČSÚ</w:t>
            </w:r>
          </w:p>
        </w:tc>
      </w:tr>
      <w:tr w:rsidR="00FD66F9" w14:paraId="2049AE2D" w14:textId="77777777" w:rsidTr="00102C41">
        <w:trPr>
          <w:trHeight w:val="145"/>
        </w:trPr>
        <w:tc>
          <w:tcPr>
            <w:tcW w:w="1791" w:type="dxa"/>
            <w:hideMark/>
          </w:tcPr>
          <w:p w14:paraId="5B227C72" w14:textId="77777777" w:rsidR="00FD66F9" w:rsidRDefault="00FD66F9" w:rsidP="00102C41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K meziročnímu růstu nejvíce přispívaly ceny bydlení a energií.</w:t>
            </w:r>
          </w:p>
        </w:tc>
        <w:tc>
          <w:tcPr>
            <w:tcW w:w="223" w:type="dxa"/>
          </w:tcPr>
          <w:p w14:paraId="550CF854" w14:textId="77777777" w:rsidR="00FD66F9" w:rsidRDefault="00FD66F9" w:rsidP="00102C41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6D9FA354" w14:textId="77777777" w:rsidR="00FD66F9" w:rsidRDefault="00FD66F9" w:rsidP="00102C4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Vývoj cen bydlení a energií zůstává letos stabilní stejně jako jejich příspěvek k celkovému meziročnímu růstu spotřebitelských cen. Ve 3. čtvrtletí zde ceny meziročně vzrostly o 3,2 % a mezičtvrtletně se zvýšily o 0,5 %. V rámci oddílu zůstal největší meziroční přírůstek cen ostatních služeb souvisejících s bydlením (8,8 %), zatímco růst cen nájemného z bytu (6,6 %), běžné údržby a drobných oprav (4,4 %) </w:t>
            </w:r>
            <w:r>
              <w:rPr>
                <w:lang w:eastAsia="en-US"/>
              </w:rPr>
              <w:lastRenderedPageBreak/>
              <w:t>i elektrické a tepelné energie (3,5 %) mírně oslaboval. Imputované nájemné</w:t>
            </w:r>
            <w:r>
              <w:rPr>
                <w:rStyle w:val="Znakapoznpodarou"/>
                <w:lang w:eastAsia="en-US"/>
              </w:rPr>
              <w:footnoteReference w:id="1"/>
            </w:r>
            <w:r>
              <w:rPr>
                <w:lang w:eastAsia="en-US"/>
              </w:rPr>
              <w:t xml:space="preserve"> se ve 3. čtvrtletí meziročně zvýšilo o 1,2 % a růst tak mírně posílil.</w:t>
            </w:r>
          </w:p>
        </w:tc>
      </w:tr>
      <w:tr w:rsidR="00FD66F9" w14:paraId="2170BBFA" w14:textId="77777777" w:rsidTr="00102C41">
        <w:trPr>
          <w:trHeight w:val="145"/>
        </w:trPr>
        <w:tc>
          <w:tcPr>
            <w:tcW w:w="1791" w:type="dxa"/>
          </w:tcPr>
          <w:p w14:paraId="45ABB41D" w14:textId="77777777" w:rsidR="00FD66F9" w:rsidRDefault="00FD66F9" w:rsidP="00102C41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lastRenderedPageBreak/>
              <w:t>Ceny dopravy nejvíce ovlivňovaly celkové zpomalení meziročního přírůstku spotřebitelských cen.</w:t>
            </w:r>
          </w:p>
        </w:tc>
        <w:tc>
          <w:tcPr>
            <w:tcW w:w="223" w:type="dxa"/>
          </w:tcPr>
          <w:p w14:paraId="6729861D" w14:textId="77777777" w:rsidR="00FD66F9" w:rsidRDefault="00FD66F9" w:rsidP="00102C41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3F0AEE9C" w14:textId="77777777" w:rsidR="00FD66F9" w:rsidRDefault="00FD66F9" w:rsidP="00102C4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Meziroční růst cen dopravy ve 3. čtvrtletí oslabil na 0,9 % (ze 4,6 % ve 2. kvartálu), což nejvíce ovlivnilo zpomalení celkového meziročního růstu spotřebitelských cen. Ceny dopravy mezičtvrtletně klesly o 1,6 %. Oslabení meziročního růstu cen dopravy souviselo především s vývojem cen pohonných hmot a olejů, které se propadly o 3,5 %. Výrazně méně tak rostly celkové náklady na provoz dopravních prostředků (2,2 %). Ceny dopravních služeb meziročně vzrostly o 4,3 %, zatímco ceny nákupů automobilů, motocyklů a jízdních kol meziročně klesly o 1,5 %.  </w:t>
            </w:r>
          </w:p>
        </w:tc>
      </w:tr>
      <w:tr w:rsidR="00FD66F9" w14:paraId="545F95EB" w14:textId="77777777" w:rsidTr="00102C41">
        <w:trPr>
          <w:trHeight w:val="145"/>
        </w:trPr>
        <w:tc>
          <w:tcPr>
            <w:tcW w:w="1791" w:type="dxa"/>
          </w:tcPr>
          <w:p w14:paraId="7CE82F79" w14:textId="77777777" w:rsidR="00FD66F9" w:rsidRDefault="00FD66F9" w:rsidP="00102C41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Meziroční pokles cen potravin se zmírnil.</w:t>
            </w:r>
          </w:p>
        </w:tc>
        <w:tc>
          <w:tcPr>
            <w:tcW w:w="223" w:type="dxa"/>
          </w:tcPr>
          <w:p w14:paraId="727223FF" w14:textId="77777777" w:rsidR="00FD66F9" w:rsidRDefault="00FD66F9" w:rsidP="00102C41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1FDBF556" w14:textId="77777777" w:rsidR="00FD66F9" w:rsidRDefault="00FD66F9" w:rsidP="00102C4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U potravin a nealkoholických nápojů došlo ve 3. čtvrtletí k výraznému zmírnění meziročního poklesu cen na 1,4 %. Šlo zčásti o srovnání se slabší základnou loňského roku. Mezičtvrtletně se ceny potravin a nealkoholických nápojů zvýšily o 0,5 %, což je slabší přírůstek než ve 2. kvartálu. Zmírnil se pokles cen u mléka, sýrů a vajec (−3,4 %), pekárenských výrobků a obilovin (−3,3 %), masa (−2,8 %) nebo ovoce (−1,3 %) a výrazněji rostly ceny olejů a tuků (7,3 %, zdražovalo máslo) i cukru a příbuzných výrobků (1,9 %). Z meziročního růstu do poklesu se ve 3. čtvrtletí dostaly ceny zeleniny (−1,4 %). </w:t>
            </w:r>
          </w:p>
        </w:tc>
      </w:tr>
      <w:tr w:rsidR="00FD66F9" w14:paraId="6C58E2EE" w14:textId="77777777" w:rsidTr="00102C41">
        <w:trPr>
          <w:trHeight w:val="145"/>
        </w:trPr>
        <w:tc>
          <w:tcPr>
            <w:tcW w:w="1791" w:type="dxa"/>
          </w:tcPr>
          <w:p w14:paraId="7207429E" w14:textId="77777777" w:rsidR="00FD66F9" w:rsidRDefault="00FD66F9" w:rsidP="00102C41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Ve směru posílení růstu cen působily ceny vzdělávání.</w:t>
            </w:r>
          </w:p>
        </w:tc>
        <w:tc>
          <w:tcPr>
            <w:tcW w:w="223" w:type="dxa"/>
          </w:tcPr>
          <w:p w14:paraId="1B9396F8" w14:textId="77777777" w:rsidR="00FD66F9" w:rsidRDefault="00FD66F9" w:rsidP="00102C41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08136D68" w14:textId="77777777" w:rsidR="00FD66F9" w:rsidRDefault="00FD66F9" w:rsidP="00102C41">
            <w:pPr>
              <w:rPr>
                <w:lang w:eastAsia="en-US"/>
              </w:rPr>
            </w:pPr>
            <w:r>
              <w:rPr>
                <w:lang w:eastAsia="en-US"/>
              </w:rPr>
              <w:t>Spolu s nástupem nového školního roku došlo k úpravě ceníků školného, což se projevilo na posílení meziročního nárůstu cen vzdělávání na 8,2 %. Mezičtvrtletně se zde ceny navýšily o 3,5 %. Za tímto posílením stojí téměř výhradně zářijový skokový nárůst cen (meziměsíčně o 10,5 %). Mírně posílila také meziroční dynamika cen ostatního zboží a služeb</w:t>
            </w:r>
            <w:r>
              <w:rPr>
                <w:rStyle w:val="Znakapoznpodarou"/>
                <w:lang w:eastAsia="en-US"/>
              </w:rPr>
              <w:footnoteReference w:id="2"/>
            </w:r>
            <w:r>
              <w:rPr>
                <w:lang w:eastAsia="en-US"/>
              </w:rPr>
              <w:t xml:space="preserve"> (3,6 %, mezičtvrtletně narostly ceny o 0,5 %) a z poklesu do mírného meziročního nárůstu se dostaly ceny bytového vybavení, zařízení domácnosti a oprav (0,6 %, mezičtvrtletně se zde ceny snížily o 0,2 %).  </w:t>
            </w:r>
          </w:p>
        </w:tc>
      </w:tr>
      <w:tr w:rsidR="00FD66F9" w14:paraId="1B1B90CC" w14:textId="77777777" w:rsidTr="00102C41">
        <w:trPr>
          <w:trHeight w:val="145"/>
        </w:trPr>
        <w:tc>
          <w:tcPr>
            <w:tcW w:w="1791" w:type="dxa"/>
          </w:tcPr>
          <w:p w14:paraId="2906AE7C" w14:textId="77777777" w:rsidR="00FD66F9" w:rsidRDefault="00FD66F9" w:rsidP="00102C41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Dál výrazně rostly ceny některých služeb.</w:t>
            </w:r>
          </w:p>
        </w:tc>
        <w:tc>
          <w:tcPr>
            <w:tcW w:w="223" w:type="dxa"/>
          </w:tcPr>
          <w:p w14:paraId="0060A5CA" w14:textId="77777777" w:rsidR="00FD66F9" w:rsidRDefault="00FD66F9" w:rsidP="00102C41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16C4E896" w14:textId="77777777" w:rsidR="00FD66F9" w:rsidRDefault="00FD66F9" w:rsidP="00102C41">
            <w:pPr>
              <w:rPr>
                <w:lang w:eastAsia="en-US"/>
              </w:rPr>
            </w:pPr>
            <w:r>
              <w:rPr>
                <w:lang w:eastAsia="en-US"/>
              </w:rPr>
              <w:t>Výrazný meziroční růst panoval ve 3. čtvrtletí stále u cen stravování a ubytování (mírné oslabení na 7,2 %), kde došlo také k mezičtvrtletnímu navýšení o 1,2 %. Na celkový meziroční růst spotřebitelských cen měly přes oslabení dynamiky nadále výrazný vliv také ceny alkoholických nápojů a tabáku (4,6 %, mezičtvrtletně ceny rostly mírně – o 0,3 %). Ceny rekreací a kultury meziročně rostly o 3,4 %, přičemž za zvolněním tempa stály ceny dovolených s komplexními službami. Mezičtvrtletně se ale právě pod vlivem cen dovolených ceny rekreací a kultury zvýšily o 4,7 %. Meziroční růst cen odívání a obuvi dál zpomalil na 1,7 % a mezičtvrtletně zde došlo k poklesu o 1,2 %. Oproti službám (stravování a ubytování nebo dovolené s komplexními službami) je zde více patrný vliv zpomalené domácí poptávky po zboží. I v rámci oddílu rekreace a kultura je růst cen fyzického vybavení oproti službám utlumen. Ceny zdraví meziročně rostly o 3,9 % a mezičtvrtletně o 0,9 %. Ceny pošt a telekomunikací byly ve 3. čtvrtletí meziročně vyšší o 0,8 % (mezičtvrtletně stagnovaly).</w:t>
            </w:r>
          </w:p>
        </w:tc>
      </w:tr>
      <w:tr w:rsidR="00FD66F9" w14:paraId="021E41B3" w14:textId="77777777" w:rsidTr="00102C41">
        <w:trPr>
          <w:trHeight w:val="145"/>
        </w:trPr>
        <w:tc>
          <w:tcPr>
            <w:tcW w:w="1791" w:type="dxa"/>
            <w:hideMark/>
          </w:tcPr>
          <w:p w14:paraId="0B8E9CD7" w14:textId="77777777" w:rsidR="00FD66F9" w:rsidRDefault="00FD66F9" w:rsidP="00102C41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 xml:space="preserve">Meziroční růst spotřebitelských cen v EU zpomalil. </w:t>
            </w:r>
          </w:p>
        </w:tc>
        <w:tc>
          <w:tcPr>
            <w:tcW w:w="223" w:type="dxa"/>
          </w:tcPr>
          <w:p w14:paraId="792388AB" w14:textId="77777777" w:rsidR="00FD66F9" w:rsidRDefault="00FD66F9" w:rsidP="00102C41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633EFA89" w14:textId="6B5D5356" w:rsidR="00FD66F9" w:rsidRDefault="00FD66F9" w:rsidP="00EB3D8F">
            <w:pPr>
              <w:rPr>
                <w:lang w:eastAsia="en-US"/>
              </w:rPr>
            </w:pPr>
            <w:r>
              <w:rPr>
                <w:lang w:eastAsia="en-US"/>
              </w:rPr>
              <w:t>Harmonizovaný index spotřebitelských cen (HICP)</w:t>
            </w:r>
            <w:r>
              <w:rPr>
                <w:rStyle w:val="Znakapoznpodarou"/>
                <w:lang w:eastAsia="en-US"/>
              </w:rPr>
              <w:footnoteReference w:id="3"/>
            </w:r>
            <w:r>
              <w:rPr>
                <w:lang w:eastAsia="en-US"/>
              </w:rPr>
              <w:t xml:space="preserve"> v Evropské unii ve 3. čtvrtletí meziročně vzrostl o 2,4 %. Přírůstek zpomalil oproti předchozím čtvrtletím. Vliv na zpomalení přírůstku měly zejména ceny dopravy, které na předchozí přírůstky navázaly ve 3. čtvrtletí poklesem o 0,1 %. Prohloubil se pokles cen telekomunikací (−1,8 %), které ale mají ve spotřebním koši malou váhu. Ceny v ostatních oddílech HICP rostly, nejvíce ceny alkoholických nápojů a tabáku (5,3 %) a ubytování a stravování (5,1 %). Výrazný přírůstek měly i ceny ostatního zboží a služeb (4,3 %). Posílil také meziroční </w:t>
            </w:r>
            <w:r>
              <w:rPr>
                <w:lang w:eastAsia="en-US"/>
              </w:rPr>
              <w:lastRenderedPageBreak/>
              <w:t>přírůstek cen bydlení a energií (2,7 % ze 1,4 % ve 2. čtvrtletí). Celkově k růstu HICP v EU nejvíce přispívají ceny služeb, jejichž dynamika na rozdíl od celkového indexu nezpomaluje.  Nejvíce rostly ve 3. čtvrtletí spotřebitelské ceny v Rumunsku (5,3 %), Belgii (4,7 %) a Polsku (4,1 %). O méně než 1 % naopak vrostl HICP v Litvě (0,8 %), Finsku (0,9 %) a Irsku (0,9 %). Mezičtvrtletně se spotřebitelské ceny v EU zvýšily o 0,4 %. Výrazně se propadly ceny oděvů a obuvi (−7,3 %) a klesly ceny telekomunikací (−1,2 %). Výraznější meziroční přírůstky byly zaznamenány v oblasti rekreací a kultury (2,6 %) a ubytování a stravování (2,4 %). Nejsilněji ve 3. čtvrt</w:t>
            </w:r>
            <w:r w:rsidR="00EB3D8F">
              <w:rPr>
                <w:lang w:eastAsia="en-US"/>
              </w:rPr>
              <w:t>letí mezičtvrtletně rostl HICP na Kypru a Maltě (shodně o 1,9 %) a dále v Chorvatsku (1,5 %).</w:t>
            </w:r>
            <w:r>
              <w:rPr>
                <w:lang w:eastAsia="en-US"/>
              </w:rPr>
              <w:t xml:space="preserve"> Mezičtvrtletní pokles byl zaznamenán v osmi zemích, nejvýrazněji v Itálii (−0,4 %), Španělsku (−0,4 %) a Rakousku (−0,3 %).</w:t>
            </w:r>
          </w:p>
        </w:tc>
      </w:tr>
      <w:tr w:rsidR="00FD66F9" w14:paraId="44D0D6BA" w14:textId="77777777" w:rsidTr="00102C41">
        <w:trPr>
          <w:trHeight w:val="145"/>
        </w:trPr>
        <w:tc>
          <w:tcPr>
            <w:tcW w:w="1791" w:type="dxa"/>
          </w:tcPr>
          <w:p w14:paraId="5DCB2107" w14:textId="77777777" w:rsidR="00FD66F9" w:rsidRDefault="00FD66F9" w:rsidP="00102C41">
            <w:pPr>
              <w:pStyle w:val="Marginlie"/>
              <w:rPr>
                <w:spacing w:val="0"/>
                <w:lang w:eastAsia="en-US"/>
              </w:rPr>
            </w:pPr>
          </w:p>
        </w:tc>
        <w:tc>
          <w:tcPr>
            <w:tcW w:w="223" w:type="dxa"/>
          </w:tcPr>
          <w:p w14:paraId="54BF01CE" w14:textId="77777777" w:rsidR="00FD66F9" w:rsidRDefault="00FD66F9" w:rsidP="00102C41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3EB51AC5" w14:textId="77777777" w:rsidR="00FD66F9" w:rsidRDefault="00FD66F9" w:rsidP="00102C41">
            <w:pPr>
              <w:spacing w:after="0"/>
              <w:rPr>
                <w:rStyle w:val="Znakapoznpodarou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Graf č. 11 Ceny nemovitostí </w:t>
            </w:r>
            <w:r>
              <w:rPr>
                <w:sz w:val="18"/>
                <w:szCs w:val="18"/>
                <w:lang w:eastAsia="en-US"/>
              </w:rPr>
              <w:t>(meziroční změna, v %)</w:t>
            </w:r>
          </w:p>
        </w:tc>
      </w:tr>
      <w:tr w:rsidR="00FD66F9" w14:paraId="4AABD7CD" w14:textId="77777777" w:rsidTr="00102C41">
        <w:tblPrEx>
          <w:tblCellMar>
            <w:left w:w="70" w:type="dxa"/>
            <w:right w:w="70" w:type="dxa"/>
          </w:tblCellMar>
        </w:tblPrEx>
        <w:trPr>
          <w:trHeight w:val="145"/>
        </w:trPr>
        <w:tc>
          <w:tcPr>
            <w:tcW w:w="1791" w:type="dxa"/>
          </w:tcPr>
          <w:p w14:paraId="1ACA6B46" w14:textId="77777777" w:rsidR="00FD66F9" w:rsidRDefault="00FD66F9" w:rsidP="00102C41">
            <w:pPr>
              <w:pStyle w:val="Marginlie"/>
              <w:rPr>
                <w:spacing w:val="0"/>
              </w:rPr>
            </w:pPr>
          </w:p>
        </w:tc>
        <w:tc>
          <w:tcPr>
            <w:tcW w:w="223" w:type="dxa"/>
          </w:tcPr>
          <w:p w14:paraId="62821DC4" w14:textId="77777777" w:rsidR="00FD66F9" w:rsidRDefault="00FD66F9" w:rsidP="00102C41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34BCD107" w14:textId="77777777" w:rsidR="00FD66F9" w:rsidRDefault="00FD66F9" w:rsidP="00102C41">
            <w:pPr>
              <w:spacing w:after="0"/>
              <w:rPr>
                <w:rStyle w:val="Znakapoznpodarou"/>
              </w:rPr>
            </w:pPr>
            <w:r>
              <w:rPr>
                <w:noProof/>
              </w:rPr>
              <w:drawing>
                <wp:inline distT="0" distB="0" distL="0" distR="0" wp14:anchorId="1553963F" wp14:editId="42B79DCB">
                  <wp:extent cx="4737600" cy="3553200"/>
                  <wp:effectExtent l="0" t="0" r="6350" b="0"/>
                  <wp:docPr id="41" name="Graf 4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5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FD66F9" w14:paraId="0CF9F27B" w14:textId="77777777" w:rsidTr="00102C41">
        <w:trPr>
          <w:trHeight w:val="145"/>
        </w:trPr>
        <w:tc>
          <w:tcPr>
            <w:tcW w:w="1791" w:type="dxa"/>
          </w:tcPr>
          <w:p w14:paraId="3D82C0A5" w14:textId="77777777" w:rsidR="00FD66F9" w:rsidRDefault="00FD66F9" w:rsidP="00102C41">
            <w:pPr>
              <w:pStyle w:val="Marginlie"/>
              <w:rPr>
                <w:spacing w:val="0"/>
              </w:rPr>
            </w:pPr>
          </w:p>
        </w:tc>
        <w:tc>
          <w:tcPr>
            <w:tcW w:w="223" w:type="dxa"/>
          </w:tcPr>
          <w:p w14:paraId="5C25465E" w14:textId="77777777" w:rsidR="00FD66F9" w:rsidRDefault="00FD66F9" w:rsidP="00102C41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1D09687B" w14:textId="77777777" w:rsidR="00FD66F9" w:rsidRDefault="00FD66F9" w:rsidP="00102C41">
            <w:pPr>
              <w:jc w:val="right"/>
              <w:rPr>
                <w:rStyle w:val="Znakapoznpodarou"/>
                <w:sz w:val="16"/>
                <w:szCs w:val="16"/>
              </w:rPr>
            </w:pPr>
            <w:r>
              <w:rPr>
                <w:sz w:val="16"/>
                <w:szCs w:val="16"/>
                <w:lang w:eastAsia="en-US"/>
              </w:rPr>
              <w:t>Zdroj: ČSÚ</w:t>
            </w:r>
          </w:p>
        </w:tc>
      </w:tr>
      <w:tr w:rsidR="00FD66F9" w14:paraId="56F05B21" w14:textId="77777777" w:rsidTr="00102C41">
        <w:trPr>
          <w:trHeight w:val="145"/>
        </w:trPr>
        <w:tc>
          <w:tcPr>
            <w:tcW w:w="1791" w:type="dxa"/>
            <w:hideMark/>
          </w:tcPr>
          <w:p w14:paraId="6BD80A35" w14:textId="77777777" w:rsidR="00FD66F9" w:rsidRDefault="00FD66F9" w:rsidP="00102C41">
            <w:pPr>
              <w:pStyle w:val="Marginlie"/>
              <w:rPr>
                <w:spacing w:val="0"/>
              </w:rPr>
            </w:pPr>
            <w:r>
              <w:rPr>
                <w:spacing w:val="0"/>
                <w:lang w:eastAsia="en-US"/>
              </w:rPr>
              <w:t>Růst cen bytů výrazně zrychlil.</w:t>
            </w:r>
          </w:p>
        </w:tc>
        <w:tc>
          <w:tcPr>
            <w:tcW w:w="223" w:type="dxa"/>
          </w:tcPr>
          <w:p w14:paraId="5A0C95ED" w14:textId="77777777" w:rsidR="00FD66F9" w:rsidRDefault="00FD66F9" w:rsidP="00102C41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2FE09CE9" w14:textId="48513B7E" w:rsidR="00FD66F9" w:rsidRDefault="00FD66F9" w:rsidP="00485567">
            <w:pPr>
              <w:rPr>
                <w:lang w:eastAsia="en-US"/>
              </w:rPr>
            </w:pPr>
            <w:r>
              <w:rPr>
                <w:lang w:eastAsia="en-US"/>
              </w:rPr>
              <w:t>Nabídkové ceny bytů v Česku ve 3. čtvrtletí meziročně vzrostly o 6,9 %. Přírůstek zrychlil oproti předchozímu kvartálu a oživení na nemovitostním trhu dokládá i výrazné mezičtvrtletní tempo (3,2 %). Výrazněji posilovala dynamika nabídkových cen bytů mimo Prahu (meziroční přírůstek o 7,1 % a mezičtvrtletní o 3,7 %). Nabídkové ceny bytů v Praze meziročně vzrostly o 6,8 % a mezičtvrtletně o 2,6 %. Realizované ceny starších bytů měly od začátku roku ještě dynamičtější vývoj. V celém Česku se realizované ceny ve 3. čtvrtletí meziročně zvýšily o 10,7 % a mezičtvrtletně vzrostly o 4,0 %. Realizované ceny starších bytů v Praze přitom byly meziročně vyšší o 11,8 % a mezičtvrtletně o 3,7 %. Převis dynamiky realizovaných cen nad nabídkovými cenami se v posledních letech stal obvyklým jevem, který dokládá silnější pozici prodávajících při cenovém vyjednávání na nemovitostním trhu.</w:t>
            </w:r>
            <w:r w:rsidR="00485567">
              <w:rPr>
                <w:lang w:eastAsia="en-US"/>
              </w:rPr>
              <w:t xml:space="preserve"> Index realizovaných cen nových bytů v Praze ukazuje ve 3. čtvrtletí na mezirošní růst o 1,7 % a mezičtvrtletní růst o 0,9 %.</w:t>
            </w:r>
          </w:p>
        </w:tc>
      </w:tr>
      <w:tr w:rsidR="00FD66F9" w14:paraId="645243C4" w14:textId="77777777" w:rsidTr="00102C41">
        <w:trPr>
          <w:trHeight w:val="145"/>
        </w:trPr>
        <w:tc>
          <w:tcPr>
            <w:tcW w:w="1791" w:type="dxa"/>
          </w:tcPr>
          <w:p w14:paraId="5DE4DB93" w14:textId="77777777" w:rsidR="00FD66F9" w:rsidRDefault="00FD66F9" w:rsidP="00102C41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Ceny průmyslových výrobců mezičtvrtletně klesly.</w:t>
            </w:r>
          </w:p>
        </w:tc>
        <w:tc>
          <w:tcPr>
            <w:tcW w:w="223" w:type="dxa"/>
          </w:tcPr>
          <w:p w14:paraId="2FC88765" w14:textId="77777777" w:rsidR="00FD66F9" w:rsidRDefault="00FD66F9" w:rsidP="00102C41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3AFF043C" w14:textId="77777777" w:rsidR="00FD66F9" w:rsidRDefault="00FD66F9" w:rsidP="00102C4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Ceny průmyslových výrobců ve 3. čtvrtletí 2024 meziročně vzrostly o 1,2 % a přírůstek se tak téměř nezměnil oproti předchozímu kvartálu. Mezičtvrtletně došlo k poklesu o 0,4 %. Nejvíce meziročně rostly ceny zásobování vodou a souvisejících služeb (9,2 %), které ale mezičtvrtletně stagnovaly. Ceny elektřiny, plynu, páry a klimatizovaného vzduchu byly meziročně vyšší o 4,2 % a mezičtvrtletně se snížily </w:t>
            </w:r>
            <w:r>
              <w:rPr>
                <w:lang w:eastAsia="en-US"/>
              </w:rPr>
              <w:lastRenderedPageBreak/>
              <w:t xml:space="preserve">o 0,8 %. Meziročně klesaly jen ceny těžby a dobývání (−0,5 %), především pod vlivem cen zemního plynu (−26,2 %) a černého a hnědého uhlí a lignitu (−2,7 %). </w:t>
            </w:r>
          </w:p>
        </w:tc>
      </w:tr>
      <w:tr w:rsidR="00FD66F9" w14:paraId="79DA4E06" w14:textId="77777777" w:rsidTr="00102C41">
        <w:trPr>
          <w:trHeight w:val="145"/>
        </w:trPr>
        <w:tc>
          <w:tcPr>
            <w:tcW w:w="1791" w:type="dxa"/>
          </w:tcPr>
          <w:p w14:paraId="42FEAB77" w14:textId="77777777" w:rsidR="00FD66F9" w:rsidRDefault="00FD66F9" w:rsidP="00102C41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lastRenderedPageBreak/>
              <w:t>Ceny ve zpracovatelském průmyslu mírně mezičtvrtletně klesaly.</w:t>
            </w:r>
          </w:p>
        </w:tc>
        <w:tc>
          <w:tcPr>
            <w:tcW w:w="223" w:type="dxa"/>
          </w:tcPr>
          <w:p w14:paraId="3F04D856" w14:textId="77777777" w:rsidR="00FD66F9" w:rsidRDefault="00FD66F9" w:rsidP="00102C41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37EC287E" w14:textId="77777777" w:rsidR="00FD66F9" w:rsidRDefault="00FD66F9" w:rsidP="00102C41">
            <w:pPr>
              <w:rPr>
                <w:lang w:eastAsia="en-US"/>
              </w:rPr>
            </w:pPr>
            <w:r>
              <w:rPr>
                <w:lang w:eastAsia="en-US"/>
              </w:rPr>
              <w:t>Ceny výrobků a služeb zpracovatelského průmyslu meziročně téměř stagnovaly (0,2 %) a mezičtvrtletně se snížily o 0,3 %. Meziročně stále klesaly ceny u řady výrobků, které jsou závislé na základních surovinách, jako jsou například základní kovy (−2,6 %) nebo dřevo a dřevěné výrobky (−1,5 %) a výrobky z papíru (−0,5 %). Bylo u nich ale patrné zmírnění poklesu, protože vyprchával vliv srovnávací základny. Meziročně nižší byly i ceny potravinářských výrobků (−1,7 %) nebo kovodělných výrobků (−1,2 %) a rovněž strukturálně významných elektrických zařízení (−0,6 %). Naopak výrazně rostly ceny oprav, údržby a instalace strojů a zařízení (4,8 %), počítačů, elektronických a optických přístrojů a zařízení (3,9 %), chemických látek a přípravků (3,8 %), motorových vozidel kromě motocyklů, přívěsů a návěsů (3,8 %), nápojů (3,4 %), oděvů (3,0 %) a usní (2,7 %) nebo strojů a zařízení (2,6 %).</w:t>
            </w:r>
          </w:p>
        </w:tc>
      </w:tr>
      <w:tr w:rsidR="00FD66F9" w14:paraId="6E75070D" w14:textId="77777777" w:rsidTr="00102C41">
        <w:trPr>
          <w:trHeight w:val="145"/>
        </w:trPr>
        <w:tc>
          <w:tcPr>
            <w:tcW w:w="1791" w:type="dxa"/>
          </w:tcPr>
          <w:p w14:paraId="46F03DBB" w14:textId="77777777" w:rsidR="00FD66F9" w:rsidRDefault="00FD66F9" w:rsidP="00102C41">
            <w:pPr>
              <w:pStyle w:val="Marginlie"/>
              <w:rPr>
                <w:spacing w:val="0"/>
                <w:lang w:eastAsia="en-US"/>
              </w:rPr>
            </w:pPr>
          </w:p>
        </w:tc>
        <w:tc>
          <w:tcPr>
            <w:tcW w:w="223" w:type="dxa"/>
          </w:tcPr>
          <w:p w14:paraId="097D0B06" w14:textId="77777777" w:rsidR="00FD66F9" w:rsidRDefault="00FD66F9" w:rsidP="00102C41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1D1CA1B9" w14:textId="77777777" w:rsidR="00FD66F9" w:rsidRDefault="00FD66F9" w:rsidP="00102C41">
            <w:pPr>
              <w:spacing w:after="0"/>
              <w:rPr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Graf č. 12 Ceny hlavních skupin průmyslových výrobců </w:t>
            </w:r>
            <w:r>
              <w:rPr>
                <w:sz w:val="18"/>
                <w:szCs w:val="18"/>
                <w:lang w:eastAsia="en-US"/>
              </w:rPr>
              <w:t>(meziroční změna, v %, podle klasifikace CPA)</w:t>
            </w:r>
          </w:p>
        </w:tc>
      </w:tr>
      <w:tr w:rsidR="00FD66F9" w14:paraId="50031BFF" w14:textId="77777777" w:rsidTr="00102C41">
        <w:tblPrEx>
          <w:tblCellMar>
            <w:left w:w="70" w:type="dxa"/>
            <w:right w:w="70" w:type="dxa"/>
          </w:tblCellMar>
        </w:tblPrEx>
        <w:trPr>
          <w:trHeight w:val="145"/>
        </w:trPr>
        <w:tc>
          <w:tcPr>
            <w:tcW w:w="1791" w:type="dxa"/>
          </w:tcPr>
          <w:p w14:paraId="1A9C7D8E" w14:textId="77777777" w:rsidR="00FD66F9" w:rsidRDefault="00FD66F9" w:rsidP="00102C41">
            <w:pPr>
              <w:pStyle w:val="Marginlie"/>
              <w:rPr>
                <w:spacing w:val="0"/>
                <w:lang w:eastAsia="en-US"/>
              </w:rPr>
            </w:pPr>
          </w:p>
        </w:tc>
        <w:tc>
          <w:tcPr>
            <w:tcW w:w="223" w:type="dxa"/>
          </w:tcPr>
          <w:p w14:paraId="00895F92" w14:textId="77777777" w:rsidR="00FD66F9" w:rsidRDefault="00FD66F9" w:rsidP="00102C41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3124133F" w14:textId="77777777" w:rsidR="00FD66F9" w:rsidRDefault="00FD66F9" w:rsidP="00102C41">
            <w:pPr>
              <w:spacing w:after="0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192D4359" wp14:editId="787D758F">
                  <wp:extent cx="4752000" cy="3553200"/>
                  <wp:effectExtent l="0" t="0" r="0" b="0"/>
                  <wp:docPr id="42" name="Graf 4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8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FD66F9" w14:paraId="411CA6B8" w14:textId="77777777" w:rsidTr="00102C41">
        <w:trPr>
          <w:trHeight w:val="145"/>
        </w:trPr>
        <w:tc>
          <w:tcPr>
            <w:tcW w:w="1791" w:type="dxa"/>
          </w:tcPr>
          <w:p w14:paraId="2255EF40" w14:textId="77777777" w:rsidR="00FD66F9" w:rsidRDefault="00FD66F9" w:rsidP="00102C41">
            <w:pPr>
              <w:pStyle w:val="Marginlie"/>
              <w:rPr>
                <w:spacing w:val="0"/>
                <w:lang w:eastAsia="en-US"/>
              </w:rPr>
            </w:pPr>
          </w:p>
        </w:tc>
        <w:tc>
          <w:tcPr>
            <w:tcW w:w="223" w:type="dxa"/>
          </w:tcPr>
          <w:p w14:paraId="55C831BB" w14:textId="77777777" w:rsidR="00FD66F9" w:rsidRDefault="00FD66F9" w:rsidP="00102C41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7C28B7B5" w14:textId="77777777" w:rsidR="00FD66F9" w:rsidRDefault="00FD66F9" w:rsidP="00102C41">
            <w:pPr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Zdroj: ČSÚ</w:t>
            </w:r>
          </w:p>
        </w:tc>
      </w:tr>
      <w:tr w:rsidR="00FD66F9" w14:paraId="2CCB8FA7" w14:textId="77777777" w:rsidTr="00102C41">
        <w:trPr>
          <w:trHeight w:val="145"/>
        </w:trPr>
        <w:tc>
          <w:tcPr>
            <w:tcW w:w="1791" w:type="dxa"/>
            <w:hideMark/>
          </w:tcPr>
          <w:p w14:paraId="0334C660" w14:textId="77777777" w:rsidR="00FD66F9" w:rsidRDefault="00FD66F9" w:rsidP="00102C41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Ceny průmyslových výrobců v EU mezičtvrtletně vzrostly.</w:t>
            </w:r>
          </w:p>
        </w:tc>
        <w:tc>
          <w:tcPr>
            <w:tcW w:w="223" w:type="dxa"/>
          </w:tcPr>
          <w:p w14:paraId="1AAB0913" w14:textId="77777777" w:rsidR="00FD66F9" w:rsidRDefault="00FD66F9" w:rsidP="00102C41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2E87DA39" w14:textId="77777777" w:rsidR="00FD66F9" w:rsidRDefault="00FD66F9" w:rsidP="00102C41">
            <w:pPr>
              <w:rPr>
                <w:lang w:eastAsia="en-US"/>
              </w:rPr>
            </w:pPr>
            <w:r>
              <w:rPr>
                <w:lang w:eastAsia="en-US"/>
              </w:rPr>
              <w:t>Meziroční pokles cen průmyslových výrobců v EU</w:t>
            </w:r>
            <w:r>
              <w:rPr>
                <w:rStyle w:val="Znakapoznpodarou"/>
                <w:lang w:eastAsia="en-US"/>
              </w:rPr>
              <w:footnoteReference w:id="4"/>
            </w:r>
            <w:r>
              <w:rPr>
                <w:lang w:eastAsia="en-US"/>
              </w:rPr>
              <w:t xml:space="preserve"> se ve 3. čtvrtletí zmírnil na −2,5 %. V meziročním poklesu stále setrvávaly ceny elektřiny, plynu, páry a klimatizovaného vzduchu (−7,4 %) a také ceny ve zpracovatelském průmyslu (−0,7 %). Meziročně rostly ceny těžby a dobývání (1,1 %). U většiny zemí EU ceny průmyslových výrobců meziročně stále klesaly, rozpětí dynamiky bylo ale veliké. Největší pokles mělo Slovensko (−18,6 %), Lucembursko (−10,2 %) a Lotyšsko (−6,4 %). Meziročně vyšší byly ceny v osmi zemích, nejvíce v Irsku (1,9 %), Portugalsku (1,6 %) a v Česku (1,2 %). Mezičtvrtletně se ceny průmyslových výrobců v EU zvýšily o 1,0 %. Výrazný mezikvartální přírůstek měly ceny elektřiny, plynu, páry a klimatizovaného vzduchu (5,9 %) a rostly také ceny těžby a dobývání (0,4 %). Naproti tomu pokles byl zaznamenán u cen ve zpracovatelském průmyslu (−0,4 %). Nejvíce mezičtvrtletně rostly ceny průmyslových výrobců v Bulharsku (4,8 %), Řecku (4,5 %) a Španělsku a na </w:t>
            </w:r>
            <w:r>
              <w:rPr>
                <w:lang w:eastAsia="en-US"/>
              </w:rPr>
              <w:lastRenderedPageBreak/>
              <w:t>Slovensku (obě země shodně 3,5 %). Pokles byl zaznamenán v osmi zemích, největší ve Švédsku (−2,1 %), Finsku (−1,4 %) a Litvě (−0,6 %).</w:t>
            </w:r>
          </w:p>
        </w:tc>
      </w:tr>
      <w:tr w:rsidR="00FD66F9" w14:paraId="71CF250B" w14:textId="77777777" w:rsidTr="00102C41">
        <w:trPr>
          <w:trHeight w:val="145"/>
        </w:trPr>
        <w:tc>
          <w:tcPr>
            <w:tcW w:w="1791" w:type="dxa"/>
            <w:hideMark/>
          </w:tcPr>
          <w:p w14:paraId="1852D66F" w14:textId="77777777" w:rsidR="00FD66F9" w:rsidRDefault="00FD66F9" w:rsidP="00102C41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lastRenderedPageBreak/>
              <w:t>Ceny stavebních prací rostly meziročně stálým tempem.</w:t>
            </w:r>
          </w:p>
        </w:tc>
        <w:tc>
          <w:tcPr>
            <w:tcW w:w="223" w:type="dxa"/>
          </w:tcPr>
          <w:p w14:paraId="3CF90EDB" w14:textId="77777777" w:rsidR="00FD66F9" w:rsidRDefault="00FD66F9" w:rsidP="00102C41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39BBB9AE" w14:textId="77777777" w:rsidR="00FD66F9" w:rsidRDefault="00FD66F9" w:rsidP="00102C41">
            <w:pPr>
              <w:rPr>
                <w:lang w:eastAsia="en-US"/>
              </w:rPr>
            </w:pPr>
            <w:r>
              <w:rPr>
                <w:lang w:eastAsia="en-US"/>
              </w:rPr>
              <w:t>Ceny stavebních prací si od začátku roku drží stálou meziroční dynamiku a dle odhadů byly ve 3. čtvrtletí meziročně vyšší o 1,7 %. Jejich mezičtvrtletní přírůstek dosáhl 0,3 %. Ceny materiálů a výrobků spotřebovávaných ve stavebnictví se ve 3. čtvrtletí meziročně nezměnily a mezičtvrtletně klesly o 0,2 %.</w:t>
            </w:r>
          </w:p>
        </w:tc>
      </w:tr>
      <w:tr w:rsidR="00FD66F9" w14:paraId="46F0D0DA" w14:textId="77777777" w:rsidTr="00102C41">
        <w:trPr>
          <w:trHeight w:val="145"/>
        </w:trPr>
        <w:tc>
          <w:tcPr>
            <w:tcW w:w="1791" w:type="dxa"/>
            <w:hideMark/>
          </w:tcPr>
          <w:p w14:paraId="32CD1939" w14:textId="77777777" w:rsidR="00FD66F9" w:rsidRDefault="00FD66F9" w:rsidP="00102C41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Ceny tržních služeb se mezičtvrtletně snížily.</w:t>
            </w:r>
          </w:p>
        </w:tc>
        <w:tc>
          <w:tcPr>
            <w:tcW w:w="223" w:type="dxa"/>
          </w:tcPr>
          <w:p w14:paraId="014D6DDD" w14:textId="77777777" w:rsidR="00FD66F9" w:rsidRDefault="00FD66F9" w:rsidP="00102C41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127C55B6" w14:textId="77777777" w:rsidR="00FD66F9" w:rsidRDefault="00FD66F9" w:rsidP="00102C4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Po zpomalení meziroční dynamiky, ke kterému došlo ve 2. čtvrtletí, se dál přírůstek cen tržních služeb nezměnil a dosáhl ve 3. čtvrtletí 3,4 %. Mezičtvrtletně se ceny tržních služeb snížily o 0,5 %. K meziročnímu přírůstku nadále nejvíce přispívaly ceny služeb v oblasti nemovitostí (růst o 7,7 %), dále posílil vliv cen reklamních služeb a průzkumu trhu (10,0 %). Významný byl také příspěvek cen služeb v oblasti programování a souvisejícího poradenství (meziroční růst o 2,9 %) a právních a účetnických služeb (5,4 %) a dále také architektonických a inženýrských služeb (2,4 %), služeb v oblasti zaměstnání (9,3 %), poštovních a kurýrních služeb (3,1 %), pojištění, zajištění a penzijního financování (2,2 %), bezpečnostních a pátracích služeb (8,9 %) a úklidových služeb (5,9 %). Meziročně klesaly jen ceny skladování a podpůrných služeb v dopravě (−0,6 %). </w:t>
            </w:r>
          </w:p>
        </w:tc>
      </w:tr>
      <w:tr w:rsidR="00FD66F9" w14:paraId="775B7113" w14:textId="77777777" w:rsidTr="00102C41">
        <w:trPr>
          <w:trHeight w:val="145"/>
        </w:trPr>
        <w:tc>
          <w:tcPr>
            <w:tcW w:w="1791" w:type="dxa"/>
            <w:hideMark/>
          </w:tcPr>
          <w:p w14:paraId="1F892735" w14:textId="77777777" w:rsidR="00FD66F9" w:rsidRDefault="00FD66F9" w:rsidP="00102C41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Zmírnil se propad cen zemědělské výroby. Ceny živočišné výroby meziročně rostly.</w:t>
            </w:r>
          </w:p>
        </w:tc>
        <w:tc>
          <w:tcPr>
            <w:tcW w:w="223" w:type="dxa"/>
          </w:tcPr>
          <w:p w14:paraId="6BB1DC8A" w14:textId="77777777" w:rsidR="00FD66F9" w:rsidRDefault="00FD66F9" w:rsidP="00102C41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2166947E" w14:textId="198FA704" w:rsidR="00FD66F9" w:rsidRDefault="00FD66F9" w:rsidP="00B71EF7">
            <w:pPr>
              <w:rPr>
                <w:lang w:eastAsia="en-US"/>
              </w:rPr>
            </w:pPr>
            <w:r>
              <w:rPr>
                <w:lang w:eastAsia="en-US"/>
              </w:rPr>
              <w:t>Ceny zemědělsk</w:t>
            </w:r>
            <w:r w:rsidR="00B71EF7">
              <w:rPr>
                <w:lang w:eastAsia="en-US"/>
              </w:rPr>
              <w:t>ých výrobců</w:t>
            </w:r>
            <w:r>
              <w:rPr>
                <w:lang w:eastAsia="en-US"/>
              </w:rPr>
              <w:t xml:space="preserve"> (včetně ryb) ve 3. čtvrtletí meziročně klesly o 1,4 % a propad se tak opět výrazně zmírnil (ceny klesaly o 17,2 % a 10,4 % v 1. a 2. čtvrtletí). Ceny rostlinné výroby ve 3. čtvrtletí byly meziročně nižší o 4,5 %, což je výrazně mírnější pokles než v předchozím kvartálu, a ceny živočišné výroby začaly meziročně růst (2,6 %). Méně hluboký byl pokles cen obilovin (−8,9 %, z toho pšenice −8,5 %, žito −15,2 %, ječmen −7,9 %, oves −0,4 % a kukuřice −12,5 %). Ceny průmyslových plodin meziročně vzrostly o 4,2 %, především pod vlivem cen olejnin (5,2 %, z toho semeno řepky +5,3 %, slunečnice −11,4 %, mák 8,7 %). Krmné plodiny meziročně zdražily o 11,0 %, ovoce o 32,4 % a vína o 10,7 %, ceny zeleniny a zahradnických produktů naopak klesly o 5,8 % a brambor o 21,3 %. V rámci živočišné výroby meziročně rostly ceny skotu (8,3 %), ale klesly ceny prasat a selat (−8,8 %) i drůbeže (−7,2 %). Ceny mléka byly meziročně vyšší o 10,5 % a u vajec pokračoval pokles (−14,1 %).   </w:t>
            </w:r>
          </w:p>
        </w:tc>
      </w:tr>
      <w:tr w:rsidR="00FD66F9" w14:paraId="569C734A" w14:textId="77777777" w:rsidTr="00102C41">
        <w:trPr>
          <w:trHeight w:val="145"/>
        </w:trPr>
        <w:tc>
          <w:tcPr>
            <w:tcW w:w="1791" w:type="dxa"/>
            <w:hideMark/>
          </w:tcPr>
          <w:p w14:paraId="0A0DD4CD" w14:textId="77777777" w:rsidR="00FD66F9" w:rsidRDefault="00FD66F9" w:rsidP="00102C41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Ceny vývozu zboží rostly.</w:t>
            </w:r>
          </w:p>
        </w:tc>
        <w:tc>
          <w:tcPr>
            <w:tcW w:w="223" w:type="dxa"/>
          </w:tcPr>
          <w:p w14:paraId="4FA9695B" w14:textId="77777777" w:rsidR="00FD66F9" w:rsidRDefault="00FD66F9" w:rsidP="00102C41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313B9A55" w14:textId="726F59AD" w:rsidR="00FD66F9" w:rsidRDefault="00FD66F9" w:rsidP="00102C41">
            <w:pPr>
              <w:rPr>
                <w:lang w:eastAsia="en-US"/>
              </w:rPr>
            </w:pPr>
            <w:r>
              <w:rPr>
                <w:lang w:eastAsia="en-US"/>
              </w:rPr>
              <w:t>Ceny vývozu se ve 3. čtvrtletí meziročně zvýšily o 3,8 % a mezičtvrtletně vzrostly o 0,8 %. Vývoj kurzu koruny</w:t>
            </w:r>
            <w:r>
              <w:rPr>
                <w:rStyle w:val="Znakapoznpodarou"/>
                <w:lang w:eastAsia="en-US"/>
              </w:rPr>
              <w:footnoteReference w:id="5"/>
            </w:r>
            <w:r>
              <w:rPr>
                <w:lang w:eastAsia="en-US"/>
              </w:rPr>
              <w:t xml:space="preserve"> ve 3. čtvrtletí působil výrazně proinflačně na meziroční dynamiku cen. Meziročně nejvíce rostly ceny exportu v oblasti zásobování vodou a činností souvisejících s odpady a odpadními vodami (přírůstek zrychlil na 16,7 %). Mírně zpomalil, ale solidní tempo si udržel růst cen vývozu výrobků zpracovatelského průmyslu (4,1 %). V rámci této sekce nejvíce rostly ceny exportu nábytku (12,9 %), ostatních dopravních prostředků a zařízení (12,5 %), dřeva a výrobků z něj (8,0 %), chemických látek a přípravků (6,6 %), základních farmaceutických výrobků a přípravků (6,1 %) a motorových vozidel</w:t>
            </w:r>
            <w:r w:rsidR="00EB39C7">
              <w:rPr>
                <w:lang w:eastAsia="en-US"/>
              </w:rPr>
              <w:t>, kromě motocyklů</w:t>
            </w:r>
            <w:r>
              <w:rPr>
                <w:lang w:eastAsia="en-US"/>
              </w:rPr>
              <w:t xml:space="preserve"> (6,0 %). Klesly jen ceny koksu a rafinovaných ropných výrobků (−11,9 %) a usní a souvisejících výrobků (−7,3 %). Meziročně se začaly zvyšovat ceny vývozu produktů zemědělství, lesnictví a rybářství (1,8 %), výrazně zmírnil pokles cen vývozu elektřiny, plynu, páry a klimatizovaného vzduchu (−3,0 %) a také cen těžby a dobývání (−9,1 %). </w:t>
            </w:r>
          </w:p>
        </w:tc>
      </w:tr>
      <w:tr w:rsidR="00FD66F9" w14:paraId="1C715963" w14:textId="77777777" w:rsidTr="00102C41">
        <w:trPr>
          <w:trHeight w:val="145"/>
        </w:trPr>
        <w:tc>
          <w:tcPr>
            <w:tcW w:w="1791" w:type="dxa"/>
          </w:tcPr>
          <w:p w14:paraId="4AFFB181" w14:textId="77777777" w:rsidR="00FD66F9" w:rsidRDefault="00FD66F9" w:rsidP="00102C41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Meziroční směnné relace byly ve 3. čtvrtletí kladné.</w:t>
            </w:r>
          </w:p>
        </w:tc>
        <w:tc>
          <w:tcPr>
            <w:tcW w:w="223" w:type="dxa"/>
          </w:tcPr>
          <w:p w14:paraId="4E49709D" w14:textId="77777777" w:rsidR="00FD66F9" w:rsidRDefault="00FD66F9" w:rsidP="00102C41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72720D33" w14:textId="5DAC399C" w:rsidR="00FD66F9" w:rsidRDefault="00FD66F9" w:rsidP="00EB39C7">
            <w:pPr>
              <w:rPr>
                <w:lang w:eastAsia="en-US"/>
              </w:rPr>
            </w:pPr>
            <w:r>
              <w:rPr>
                <w:lang w:eastAsia="en-US"/>
              </w:rPr>
              <w:t>Ceny importu byly ve 3. čtvrtletí meziročně vyšší o 2,7 % a mezičtvrtletně vzrostly o 1,0 %. Meziročně se zvyšovaly ceny výrobků zpracovatelského průmyslu</w:t>
            </w:r>
            <w:r w:rsidR="00EB39C7">
              <w:rPr>
                <w:lang w:eastAsia="en-US"/>
              </w:rPr>
              <w:t xml:space="preserve"> (3,2 %)</w:t>
            </w:r>
            <w:r>
              <w:rPr>
                <w:lang w:eastAsia="en-US"/>
              </w:rPr>
              <w:t xml:space="preserve">. Nejvíc zdražovaly ostatní dopravní prostředky a zařízení (10,7 %) a nápoje (10,1 %), naopak hluboký pokles cen byl zaznamenán u dovozu koksu a rafinovaných ropných </w:t>
            </w:r>
            <w:r>
              <w:rPr>
                <w:lang w:eastAsia="en-US"/>
              </w:rPr>
              <w:lastRenderedPageBreak/>
              <w:t>výrobků</w:t>
            </w:r>
            <w:r w:rsidR="00EB39C7">
              <w:rPr>
                <w:lang w:eastAsia="en-US"/>
              </w:rPr>
              <w:t xml:space="preserve"> (−13,0 %)</w:t>
            </w:r>
            <w:r>
              <w:rPr>
                <w:lang w:eastAsia="en-US"/>
              </w:rPr>
              <w:t xml:space="preserve">. Meziročně vzrostly také ceny těžby a dobývání (3,0 %). Výrazný meziroční pokles cen přetrvával u dovozu produktů zemědělství, lesnictví a rybářství (−12,4 %) a u elektřiny, plynu, páry a klimatizovaného vzduchu (−9,8 %, pokles se od začátku roku razantně zmírnil). Meziroční směnné relace zahraničního obchodu se zbožím dosáhly ve 3. čtvrtletí 101,0 %. Výrazně kladné byly směnné relace obchodu s produkty zemědělství, lesnictví a rybářství (116,2 %) a s elektřinou, plynem, párou a klimatizovaným vzduchem (107,5 %). Směnné relace obchodu s výrobky zpracovatelského průmyslu dosáhly 100,9 %. U těžby a dobývání byly naopak směnné relace výrazně záporné (88,3 %). Mezičtvrtletní směnné relace zahraničního obchodu dosáhly hodnoty 99,8 %. </w:t>
            </w:r>
          </w:p>
        </w:tc>
      </w:tr>
    </w:tbl>
    <w:p w14:paraId="437EE82E" w14:textId="77777777" w:rsidR="00FD66F9" w:rsidRDefault="00FD66F9" w:rsidP="00DF549B">
      <w:pPr>
        <w:pStyle w:val="Nadpis1"/>
      </w:pPr>
      <w:bookmarkStart w:id="4" w:name="_GoBack"/>
      <w:bookmarkEnd w:id="4"/>
    </w:p>
    <w:bookmarkEnd w:id="0"/>
    <w:bookmarkEnd w:id="2"/>
    <w:sectPr w:rsidR="00FD66F9" w:rsidSect="00DF549B">
      <w:headerReference w:type="even" r:id="rId14"/>
      <w:headerReference w:type="default" r:id="rId15"/>
      <w:footerReference w:type="even" r:id="rId16"/>
      <w:footerReference w:type="default" r:id="rId17"/>
      <w:pgSz w:w="11906" w:h="16838" w:code="9"/>
      <w:pgMar w:top="1134" w:right="1134" w:bottom="1418" w:left="1134" w:header="680" w:footer="680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2EF3C" w14:textId="77777777" w:rsidR="00DC48F1" w:rsidRDefault="00DC48F1" w:rsidP="00E71A58">
      <w:r>
        <w:separator/>
      </w:r>
    </w:p>
  </w:endnote>
  <w:endnote w:type="continuationSeparator" w:id="0">
    <w:p w14:paraId="70B7E2B6" w14:textId="77777777" w:rsidR="00DC48F1" w:rsidRDefault="00DC48F1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8" w14:textId="7864D4FF" w:rsidR="009855E1" w:rsidRPr="00932443" w:rsidRDefault="009855E1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2143298A" wp14:editId="2143298B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1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DF549B">
      <w:rPr>
        <w:szCs w:val="16"/>
      </w:rPr>
      <w:t>30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až 3. čtvrtletí 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9" w14:textId="426FB957" w:rsidR="009855E1" w:rsidRPr="00932443" w:rsidRDefault="009855E1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2143298C" wp14:editId="2143298D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2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szCs w:val="16"/>
      </w:rPr>
      <w:t>1. až 3.čtvrtletí 2024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DF549B">
      <w:rPr>
        <w:rStyle w:val="ZpatChar"/>
        <w:szCs w:val="16"/>
      </w:rPr>
      <w:t>29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70D8F6" w14:textId="77777777" w:rsidR="00DC48F1" w:rsidRDefault="00DC48F1" w:rsidP="00EA4302">
      <w:pPr>
        <w:spacing w:after="0"/>
      </w:pPr>
      <w:r>
        <w:separator/>
      </w:r>
    </w:p>
  </w:footnote>
  <w:footnote w:type="continuationSeparator" w:id="0">
    <w:p w14:paraId="70CDBF0C" w14:textId="77777777" w:rsidR="00DC48F1" w:rsidRDefault="00DC48F1" w:rsidP="00E71A58">
      <w:r>
        <w:continuationSeparator/>
      </w:r>
    </w:p>
  </w:footnote>
  <w:footnote w:id="1">
    <w:p w14:paraId="0013F30D" w14:textId="77777777" w:rsidR="009855E1" w:rsidRDefault="009855E1" w:rsidP="00FD66F9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Imputované nájemné vyjadřuje náklady vlastnického bydlení. Kromě samotných cen bydlení zahrnuje i náklady na výstavbu a renovace a další poplatky. Více na: </w:t>
      </w:r>
      <w:hyperlink r:id="rId1" w:history="1">
        <w:r>
          <w:rPr>
            <w:rStyle w:val="Hypertextovodkaz"/>
            <w:sz w:val="16"/>
            <w:szCs w:val="16"/>
          </w:rPr>
          <w:t>https://www.czso.cz/csu/czso/metodicka-poznamka-k-indexu-spotrebitelskych-cen-imputovane-najemne</w:t>
        </w:r>
      </w:hyperlink>
      <w:r>
        <w:rPr>
          <w:rStyle w:val="Hypertextovodkaz"/>
          <w:sz w:val="16"/>
          <w:szCs w:val="16"/>
        </w:rPr>
        <w:t>.</w:t>
      </w:r>
    </w:p>
  </w:footnote>
  <w:footnote w:id="2">
    <w:p w14:paraId="185FF631" w14:textId="77777777" w:rsidR="009855E1" w:rsidRDefault="009855E1" w:rsidP="00FD66F9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Zahrnuje služby osobní péče a osobní potřeby a doplňky, sociální péči, pojištění a další finanční služby apod.</w:t>
      </w:r>
    </w:p>
  </w:footnote>
  <w:footnote w:id="3">
    <w:p w14:paraId="34747FAF" w14:textId="77777777" w:rsidR="009855E1" w:rsidRDefault="009855E1" w:rsidP="00FD66F9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Oproti indexu spotřebitelských cen, který ČSÚ pro českou ekonomiku sestavuje, HICP neobsahuje imputované nájemné, což bývá zdrojem rozdílů mezi HICP a Indexem spotřebitelských cen.</w:t>
      </w:r>
    </w:p>
  </w:footnote>
  <w:footnote w:id="4">
    <w:p w14:paraId="74532173" w14:textId="77777777" w:rsidR="009855E1" w:rsidRDefault="009855E1" w:rsidP="00FD66F9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Bez cen zásobování vodou a služeb souvisejících s odpadními vodami.</w:t>
      </w:r>
    </w:p>
  </w:footnote>
  <w:footnote w:id="5">
    <w:p w14:paraId="34372E57" w14:textId="77777777" w:rsidR="009855E1" w:rsidRDefault="009855E1" w:rsidP="00FD66F9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Podle údajů ČNB byl ve 3. čtvrtletí 2024 průměrný kurz koruny vůči euru 25,196 CZK/EUR. Ve 3. čtvrtletí 2023 to bylo </w:t>
      </w:r>
      <w:r>
        <w:rPr>
          <w:sz w:val="16"/>
          <w:szCs w:val="16"/>
        </w:rPr>
        <w:br/>
        <w:t>24,136 CZK/EUR. Kurz vůči dolaru též oslaboval. Ve 3. čtvrtletí 2024 činil průměr 22,939 CZK/USD. Ve stejném období roku 2023 to bylo 22,173 CZK/USD.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6" w14:textId="3C11EE3B" w:rsidR="009855E1" w:rsidRPr="00C27E4F" w:rsidRDefault="009855E1" w:rsidP="00C27E4F">
    <w:pPr>
      <w:pStyle w:val="Zhlav"/>
    </w:pPr>
    <w:r>
      <w:t>Vývoj ekonomiky České republiky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7" w14:textId="4F78F164" w:rsidR="009855E1" w:rsidRPr="006F5416" w:rsidRDefault="009855E1" w:rsidP="00937AE2">
    <w:pPr>
      <w:pStyle w:val="Zhlav"/>
    </w:pPr>
    <w:r>
      <w:t>Vývoj ekonomiky České republiky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B048D2"/>
    <w:multiLevelType w:val="hybridMultilevel"/>
    <w:tmpl w:val="D2A0FC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7747AF"/>
    <w:multiLevelType w:val="hybridMultilevel"/>
    <w:tmpl w:val="76204D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651B2D"/>
    <w:multiLevelType w:val="hybridMultilevel"/>
    <w:tmpl w:val="054EEC40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20"/>
  </w:num>
  <w:num w:numId="14">
    <w:abstractNumId w:val="10"/>
  </w:num>
  <w:num w:numId="15">
    <w:abstractNumId w:val="16"/>
  </w:num>
  <w:num w:numId="16">
    <w:abstractNumId w:val="12"/>
  </w:num>
  <w:num w:numId="17">
    <w:abstractNumId w:val="21"/>
  </w:num>
  <w:num w:numId="18">
    <w:abstractNumId w:val="17"/>
  </w:num>
  <w:num w:numId="19">
    <w:abstractNumId w:val="22"/>
  </w:num>
  <w:num w:numId="20">
    <w:abstractNumId w:val="25"/>
  </w:num>
  <w:num w:numId="21">
    <w:abstractNumId w:val="19"/>
  </w:num>
  <w:num w:numId="22">
    <w:abstractNumId w:val="15"/>
  </w:num>
  <w:num w:numId="23">
    <w:abstractNumId w:val="13"/>
  </w:num>
  <w:num w:numId="24">
    <w:abstractNumId w:val="14"/>
  </w:num>
  <w:num w:numId="25">
    <w:abstractNumId w:val="23"/>
  </w:num>
  <w:num w:numId="26">
    <w:abstractNumId w:val="24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4097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062"/>
    <w:rsid w:val="0000209D"/>
    <w:rsid w:val="00004D5A"/>
    <w:rsid w:val="000056D5"/>
    <w:rsid w:val="00006ABD"/>
    <w:rsid w:val="0000767A"/>
    <w:rsid w:val="00010256"/>
    <w:rsid w:val="00010702"/>
    <w:rsid w:val="00011912"/>
    <w:rsid w:val="0002195D"/>
    <w:rsid w:val="000234D6"/>
    <w:rsid w:val="00023D29"/>
    <w:rsid w:val="00026389"/>
    <w:rsid w:val="00031AE0"/>
    <w:rsid w:val="000322EF"/>
    <w:rsid w:val="00033FCD"/>
    <w:rsid w:val="00040D10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5135"/>
    <w:rsid w:val="000974D1"/>
    <w:rsid w:val="0009799E"/>
    <w:rsid w:val="000A1183"/>
    <w:rsid w:val="000A256D"/>
    <w:rsid w:val="000A3A2C"/>
    <w:rsid w:val="000A5265"/>
    <w:rsid w:val="000A57D4"/>
    <w:rsid w:val="000B7C8D"/>
    <w:rsid w:val="000C3408"/>
    <w:rsid w:val="000C6AFD"/>
    <w:rsid w:val="000D5637"/>
    <w:rsid w:val="000E6FBD"/>
    <w:rsid w:val="00100F5C"/>
    <w:rsid w:val="00101CDA"/>
    <w:rsid w:val="00102C41"/>
    <w:rsid w:val="00104C4C"/>
    <w:rsid w:val="00117623"/>
    <w:rsid w:val="0012192F"/>
    <w:rsid w:val="00125D69"/>
    <w:rsid w:val="001405FA"/>
    <w:rsid w:val="001425C3"/>
    <w:rsid w:val="001476BD"/>
    <w:rsid w:val="001612F4"/>
    <w:rsid w:val="0016256B"/>
    <w:rsid w:val="00163793"/>
    <w:rsid w:val="001706D6"/>
    <w:rsid w:val="001714F2"/>
    <w:rsid w:val="00175B9F"/>
    <w:rsid w:val="00181BBC"/>
    <w:rsid w:val="00184B08"/>
    <w:rsid w:val="00185010"/>
    <w:rsid w:val="0019143B"/>
    <w:rsid w:val="001A0487"/>
    <w:rsid w:val="001A552F"/>
    <w:rsid w:val="001B2CA9"/>
    <w:rsid w:val="001B3110"/>
    <w:rsid w:val="001B4729"/>
    <w:rsid w:val="001B6310"/>
    <w:rsid w:val="001B6C09"/>
    <w:rsid w:val="001C05CD"/>
    <w:rsid w:val="001D40D7"/>
    <w:rsid w:val="001D48D4"/>
    <w:rsid w:val="001D68B2"/>
    <w:rsid w:val="001E1C2E"/>
    <w:rsid w:val="001E504C"/>
    <w:rsid w:val="001E6062"/>
    <w:rsid w:val="001F4597"/>
    <w:rsid w:val="00203DA4"/>
    <w:rsid w:val="002118B9"/>
    <w:rsid w:val="00214CF7"/>
    <w:rsid w:val="00217C5B"/>
    <w:rsid w:val="0022139E"/>
    <w:rsid w:val="00222729"/>
    <w:rsid w:val="002252E0"/>
    <w:rsid w:val="002255F6"/>
    <w:rsid w:val="00227850"/>
    <w:rsid w:val="00227A53"/>
    <w:rsid w:val="00230C6E"/>
    <w:rsid w:val="00236443"/>
    <w:rsid w:val="00241B06"/>
    <w:rsid w:val="00242C10"/>
    <w:rsid w:val="002436BA"/>
    <w:rsid w:val="00244A15"/>
    <w:rsid w:val="00247319"/>
    <w:rsid w:val="0024799E"/>
    <w:rsid w:val="00253C0F"/>
    <w:rsid w:val="002558C1"/>
    <w:rsid w:val="00271465"/>
    <w:rsid w:val="0028207A"/>
    <w:rsid w:val="00285412"/>
    <w:rsid w:val="00291640"/>
    <w:rsid w:val="002A16D4"/>
    <w:rsid w:val="002A230C"/>
    <w:rsid w:val="002A66B0"/>
    <w:rsid w:val="002B2299"/>
    <w:rsid w:val="002B4845"/>
    <w:rsid w:val="002C43BD"/>
    <w:rsid w:val="002D0E59"/>
    <w:rsid w:val="002E02A1"/>
    <w:rsid w:val="002E42AC"/>
    <w:rsid w:val="002E4E4C"/>
    <w:rsid w:val="00302ADD"/>
    <w:rsid w:val="00304771"/>
    <w:rsid w:val="0030495D"/>
    <w:rsid w:val="003052D4"/>
    <w:rsid w:val="00306C5B"/>
    <w:rsid w:val="003103E0"/>
    <w:rsid w:val="00314F9F"/>
    <w:rsid w:val="003209D6"/>
    <w:rsid w:val="00321924"/>
    <w:rsid w:val="0032656E"/>
    <w:rsid w:val="00332190"/>
    <w:rsid w:val="0034335E"/>
    <w:rsid w:val="00344668"/>
    <w:rsid w:val="003462D9"/>
    <w:rsid w:val="00360C86"/>
    <w:rsid w:val="00360FBC"/>
    <w:rsid w:val="00362E90"/>
    <w:rsid w:val="00364FA0"/>
    <w:rsid w:val="003657F3"/>
    <w:rsid w:val="0038123E"/>
    <w:rsid w:val="003818DC"/>
    <w:rsid w:val="00384327"/>
    <w:rsid w:val="00385D98"/>
    <w:rsid w:val="003A2B4D"/>
    <w:rsid w:val="003A2D12"/>
    <w:rsid w:val="003A478C"/>
    <w:rsid w:val="003A5525"/>
    <w:rsid w:val="003A6B38"/>
    <w:rsid w:val="003B461F"/>
    <w:rsid w:val="003B5A32"/>
    <w:rsid w:val="003C3490"/>
    <w:rsid w:val="003C6550"/>
    <w:rsid w:val="003C7E62"/>
    <w:rsid w:val="003D6920"/>
    <w:rsid w:val="003E48F2"/>
    <w:rsid w:val="003E4C91"/>
    <w:rsid w:val="003E62A5"/>
    <w:rsid w:val="003F313C"/>
    <w:rsid w:val="003F37FC"/>
    <w:rsid w:val="003F4B2C"/>
    <w:rsid w:val="003F551C"/>
    <w:rsid w:val="003F62B0"/>
    <w:rsid w:val="003F72ED"/>
    <w:rsid w:val="003F7D23"/>
    <w:rsid w:val="00400DF4"/>
    <w:rsid w:val="00407C13"/>
    <w:rsid w:val="0041041D"/>
    <w:rsid w:val="00410638"/>
    <w:rsid w:val="0041501E"/>
    <w:rsid w:val="004159C3"/>
    <w:rsid w:val="00416EB7"/>
    <w:rsid w:val="00432A58"/>
    <w:rsid w:val="00434617"/>
    <w:rsid w:val="00440900"/>
    <w:rsid w:val="00441BF6"/>
    <w:rsid w:val="00443556"/>
    <w:rsid w:val="004441A0"/>
    <w:rsid w:val="004455BA"/>
    <w:rsid w:val="0045078A"/>
    <w:rsid w:val="0045086D"/>
    <w:rsid w:val="00451504"/>
    <w:rsid w:val="00460FB3"/>
    <w:rsid w:val="0046627E"/>
    <w:rsid w:val="00476240"/>
    <w:rsid w:val="00476439"/>
    <w:rsid w:val="0047735C"/>
    <w:rsid w:val="004776BC"/>
    <w:rsid w:val="0048139F"/>
    <w:rsid w:val="00481E40"/>
    <w:rsid w:val="00484ECE"/>
    <w:rsid w:val="00485567"/>
    <w:rsid w:val="004915CB"/>
    <w:rsid w:val="004924DC"/>
    <w:rsid w:val="004A14E4"/>
    <w:rsid w:val="004A3212"/>
    <w:rsid w:val="004A5494"/>
    <w:rsid w:val="004A61C5"/>
    <w:rsid w:val="004A77DF"/>
    <w:rsid w:val="004B1417"/>
    <w:rsid w:val="004B55B7"/>
    <w:rsid w:val="004B5A60"/>
    <w:rsid w:val="004B6468"/>
    <w:rsid w:val="004B7125"/>
    <w:rsid w:val="004C384C"/>
    <w:rsid w:val="004C3867"/>
    <w:rsid w:val="004C4CD0"/>
    <w:rsid w:val="004C70DC"/>
    <w:rsid w:val="004D0211"/>
    <w:rsid w:val="004D0794"/>
    <w:rsid w:val="004D5C93"/>
    <w:rsid w:val="004E7C6B"/>
    <w:rsid w:val="004F06F5"/>
    <w:rsid w:val="004F33A0"/>
    <w:rsid w:val="0050689D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43498"/>
    <w:rsid w:val="0055599F"/>
    <w:rsid w:val="00556D68"/>
    <w:rsid w:val="00563EB8"/>
    <w:rsid w:val="005647BF"/>
    <w:rsid w:val="00564AF1"/>
    <w:rsid w:val="0057364B"/>
    <w:rsid w:val="00574773"/>
    <w:rsid w:val="0058308D"/>
    <w:rsid w:val="00583FFD"/>
    <w:rsid w:val="005911BE"/>
    <w:rsid w:val="00593152"/>
    <w:rsid w:val="005A10F2"/>
    <w:rsid w:val="005A21E0"/>
    <w:rsid w:val="005A28FF"/>
    <w:rsid w:val="005A3DF8"/>
    <w:rsid w:val="005A5113"/>
    <w:rsid w:val="005A5549"/>
    <w:rsid w:val="005A7038"/>
    <w:rsid w:val="005B121D"/>
    <w:rsid w:val="005C06ED"/>
    <w:rsid w:val="005C2609"/>
    <w:rsid w:val="005D5802"/>
    <w:rsid w:val="005D7119"/>
    <w:rsid w:val="005D7890"/>
    <w:rsid w:val="005E7C78"/>
    <w:rsid w:val="005F18C5"/>
    <w:rsid w:val="005F3EB1"/>
    <w:rsid w:val="005F46D8"/>
    <w:rsid w:val="005F5469"/>
    <w:rsid w:val="00603FF5"/>
    <w:rsid w:val="00604307"/>
    <w:rsid w:val="0060487F"/>
    <w:rsid w:val="00604EAD"/>
    <w:rsid w:val="006104FB"/>
    <w:rsid w:val="00612A2F"/>
    <w:rsid w:val="00616E05"/>
    <w:rsid w:val="00622275"/>
    <w:rsid w:val="00624093"/>
    <w:rsid w:val="00625F8F"/>
    <w:rsid w:val="006350D5"/>
    <w:rsid w:val="006404A7"/>
    <w:rsid w:val="006451E4"/>
    <w:rsid w:val="00645B33"/>
    <w:rsid w:val="006516CB"/>
    <w:rsid w:val="00656FC8"/>
    <w:rsid w:val="00657E87"/>
    <w:rsid w:val="00664803"/>
    <w:rsid w:val="0066504F"/>
    <w:rsid w:val="00665BA4"/>
    <w:rsid w:val="00667AF2"/>
    <w:rsid w:val="006710C9"/>
    <w:rsid w:val="006741AC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0F92"/>
    <w:rsid w:val="006B344A"/>
    <w:rsid w:val="006B78D8"/>
    <w:rsid w:val="006C113F"/>
    <w:rsid w:val="006C123E"/>
    <w:rsid w:val="006C1752"/>
    <w:rsid w:val="006C56D4"/>
    <w:rsid w:val="006C6924"/>
    <w:rsid w:val="006C7CA6"/>
    <w:rsid w:val="006D3E8A"/>
    <w:rsid w:val="006D61F6"/>
    <w:rsid w:val="006E279A"/>
    <w:rsid w:val="006E313B"/>
    <w:rsid w:val="006E7227"/>
    <w:rsid w:val="006F438E"/>
    <w:rsid w:val="006F5416"/>
    <w:rsid w:val="006F7076"/>
    <w:rsid w:val="00705242"/>
    <w:rsid w:val="00706AD4"/>
    <w:rsid w:val="00707150"/>
    <w:rsid w:val="007140BE"/>
    <w:rsid w:val="007211F5"/>
    <w:rsid w:val="00723946"/>
    <w:rsid w:val="007240E2"/>
    <w:rsid w:val="00725BB5"/>
    <w:rsid w:val="00730AE8"/>
    <w:rsid w:val="00730F1B"/>
    <w:rsid w:val="00741493"/>
    <w:rsid w:val="00752180"/>
    <w:rsid w:val="00753CAB"/>
    <w:rsid w:val="00755202"/>
    <w:rsid w:val="00755D3A"/>
    <w:rsid w:val="007578D3"/>
    <w:rsid w:val="007609C6"/>
    <w:rsid w:val="00760EA4"/>
    <w:rsid w:val="0076175D"/>
    <w:rsid w:val="00763B85"/>
    <w:rsid w:val="00764744"/>
    <w:rsid w:val="0076521E"/>
    <w:rsid w:val="007661E9"/>
    <w:rsid w:val="00776169"/>
    <w:rsid w:val="00776527"/>
    <w:rsid w:val="00780EF1"/>
    <w:rsid w:val="00790711"/>
    <w:rsid w:val="00790764"/>
    <w:rsid w:val="0079124F"/>
    <w:rsid w:val="0079453C"/>
    <w:rsid w:val="00794677"/>
    <w:rsid w:val="00797445"/>
    <w:rsid w:val="007A516D"/>
    <w:rsid w:val="007B6689"/>
    <w:rsid w:val="007C6BBD"/>
    <w:rsid w:val="007D40DF"/>
    <w:rsid w:val="007E29B4"/>
    <w:rsid w:val="007E435A"/>
    <w:rsid w:val="007E7E61"/>
    <w:rsid w:val="007E7FCE"/>
    <w:rsid w:val="007F0845"/>
    <w:rsid w:val="007F708D"/>
    <w:rsid w:val="00800216"/>
    <w:rsid w:val="00801E13"/>
    <w:rsid w:val="00807C82"/>
    <w:rsid w:val="00814B15"/>
    <w:rsid w:val="00816905"/>
    <w:rsid w:val="00821777"/>
    <w:rsid w:val="00821FF6"/>
    <w:rsid w:val="00822574"/>
    <w:rsid w:val="00825C4D"/>
    <w:rsid w:val="0083143E"/>
    <w:rsid w:val="00831CDE"/>
    <w:rsid w:val="00834304"/>
    <w:rsid w:val="00834FAA"/>
    <w:rsid w:val="00836086"/>
    <w:rsid w:val="00846121"/>
    <w:rsid w:val="008462A8"/>
    <w:rsid w:val="0084708F"/>
    <w:rsid w:val="008477C8"/>
    <w:rsid w:val="0085114D"/>
    <w:rsid w:val="00852217"/>
    <w:rsid w:val="00855408"/>
    <w:rsid w:val="00856D65"/>
    <w:rsid w:val="00861B41"/>
    <w:rsid w:val="00861BE3"/>
    <w:rsid w:val="00863434"/>
    <w:rsid w:val="00865E4C"/>
    <w:rsid w:val="008701E4"/>
    <w:rsid w:val="00871069"/>
    <w:rsid w:val="00875A32"/>
    <w:rsid w:val="00876086"/>
    <w:rsid w:val="008825B0"/>
    <w:rsid w:val="00884AD6"/>
    <w:rsid w:val="008873D4"/>
    <w:rsid w:val="0089126C"/>
    <w:rsid w:val="0089296D"/>
    <w:rsid w:val="00893E85"/>
    <w:rsid w:val="00894031"/>
    <w:rsid w:val="00895508"/>
    <w:rsid w:val="008A6CB4"/>
    <w:rsid w:val="008B5CF6"/>
    <w:rsid w:val="008B7C02"/>
    <w:rsid w:val="008B7D2B"/>
    <w:rsid w:val="008C0049"/>
    <w:rsid w:val="008C0E88"/>
    <w:rsid w:val="008C53CB"/>
    <w:rsid w:val="008D1E6A"/>
    <w:rsid w:val="008D2A16"/>
    <w:rsid w:val="008E2C57"/>
    <w:rsid w:val="008E31FF"/>
    <w:rsid w:val="008E6F06"/>
    <w:rsid w:val="008E7FC9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31A3"/>
    <w:rsid w:val="00924AC8"/>
    <w:rsid w:val="0092597A"/>
    <w:rsid w:val="00925E75"/>
    <w:rsid w:val="00930FB1"/>
    <w:rsid w:val="0093139F"/>
    <w:rsid w:val="00932443"/>
    <w:rsid w:val="00937AE2"/>
    <w:rsid w:val="0094427A"/>
    <w:rsid w:val="00945245"/>
    <w:rsid w:val="0095759C"/>
    <w:rsid w:val="009721DB"/>
    <w:rsid w:val="0097239B"/>
    <w:rsid w:val="00974923"/>
    <w:rsid w:val="009808F7"/>
    <w:rsid w:val="00980D3D"/>
    <w:rsid w:val="009855E1"/>
    <w:rsid w:val="00987A30"/>
    <w:rsid w:val="00992CF3"/>
    <w:rsid w:val="00994868"/>
    <w:rsid w:val="009968D6"/>
    <w:rsid w:val="009A1CAB"/>
    <w:rsid w:val="009A60D1"/>
    <w:rsid w:val="009B6FD3"/>
    <w:rsid w:val="009C1750"/>
    <w:rsid w:val="009C2E29"/>
    <w:rsid w:val="009C554B"/>
    <w:rsid w:val="009C719E"/>
    <w:rsid w:val="009C7A10"/>
    <w:rsid w:val="009D3ACD"/>
    <w:rsid w:val="009E5273"/>
    <w:rsid w:val="009E5DDB"/>
    <w:rsid w:val="009F4CA7"/>
    <w:rsid w:val="00A10D66"/>
    <w:rsid w:val="00A14114"/>
    <w:rsid w:val="00A1537C"/>
    <w:rsid w:val="00A16413"/>
    <w:rsid w:val="00A16E1D"/>
    <w:rsid w:val="00A17D5B"/>
    <w:rsid w:val="00A23E43"/>
    <w:rsid w:val="00A25216"/>
    <w:rsid w:val="00A30F65"/>
    <w:rsid w:val="00A33A89"/>
    <w:rsid w:val="00A40EAC"/>
    <w:rsid w:val="00A418BC"/>
    <w:rsid w:val="00A46DE0"/>
    <w:rsid w:val="00A47FCA"/>
    <w:rsid w:val="00A50D73"/>
    <w:rsid w:val="00A52CAD"/>
    <w:rsid w:val="00A53FC7"/>
    <w:rsid w:val="00A62CE1"/>
    <w:rsid w:val="00A668A3"/>
    <w:rsid w:val="00A6741E"/>
    <w:rsid w:val="00A75E40"/>
    <w:rsid w:val="00A77D1D"/>
    <w:rsid w:val="00A84A6A"/>
    <w:rsid w:val="00A857C0"/>
    <w:rsid w:val="00A90FED"/>
    <w:rsid w:val="00AA2996"/>
    <w:rsid w:val="00AA52BF"/>
    <w:rsid w:val="00AA559A"/>
    <w:rsid w:val="00AB2AF1"/>
    <w:rsid w:val="00AB535B"/>
    <w:rsid w:val="00AC45BD"/>
    <w:rsid w:val="00AD168E"/>
    <w:rsid w:val="00AD306C"/>
    <w:rsid w:val="00AD4F16"/>
    <w:rsid w:val="00AD68C4"/>
    <w:rsid w:val="00AE09B3"/>
    <w:rsid w:val="00AE0ED3"/>
    <w:rsid w:val="00AE1A83"/>
    <w:rsid w:val="00AE31A7"/>
    <w:rsid w:val="00AF6128"/>
    <w:rsid w:val="00B00913"/>
    <w:rsid w:val="00B01593"/>
    <w:rsid w:val="00B023F2"/>
    <w:rsid w:val="00B04705"/>
    <w:rsid w:val="00B07BBB"/>
    <w:rsid w:val="00B10A4D"/>
    <w:rsid w:val="00B14BC1"/>
    <w:rsid w:val="00B17E71"/>
    <w:rsid w:val="00B17FDE"/>
    <w:rsid w:val="00B2379C"/>
    <w:rsid w:val="00B25189"/>
    <w:rsid w:val="00B2687D"/>
    <w:rsid w:val="00B32DDB"/>
    <w:rsid w:val="00B34528"/>
    <w:rsid w:val="00B34CC9"/>
    <w:rsid w:val="00B402FC"/>
    <w:rsid w:val="00B439DA"/>
    <w:rsid w:val="00B46604"/>
    <w:rsid w:val="00B530CD"/>
    <w:rsid w:val="00B55F5E"/>
    <w:rsid w:val="00B5752E"/>
    <w:rsid w:val="00B63A11"/>
    <w:rsid w:val="00B63B6A"/>
    <w:rsid w:val="00B64C24"/>
    <w:rsid w:val="00B6608F"/>
    <w:rsid w:val="00B679FB"/>
    <w:rsid w:val="00B71EF7"/>
    <w:rsid w:val="00B76D1E"/>
    <w:rsid w:val="00B8028A"/>
    <w:rsid w:val="00B80EC6"/>
    <w:rsid w:val="00B84CF6"/>
    <w:rsid w:val="00B92D1D"/>
    <w:rsid w:val="00B938C5"/>
    <w:rsid w:val="00B95940"/>
    <w:rsid w:val="00BA6C2B"/>
    <w:rsid w:val="00BB46F3"/>
    <w:rsid w:val="00BB4CB1"/>
    <w:rsid w:val="00BB4F98"/>
    <w:rsid w:val="00BC5C12"/>
    <w:rsid w:val="00BC7154"/>
    <w:rsid w:val="00BC731E"/>
    <w:rsid w:val="00BD366B"/>
    <w:rsid w:val="00BD6D50"/>
    <w:rsid w:val="00BE18B9"/>
    <w:rsid w:val="00BE2495"/>
    <w:rsid w:val="00BF1578"/>
    <w:rsid w:val="00BF723F"/>
    <w:rsid w:val="00C21F94"/>
    <w:rsid w:val="00C27913"/>
    <w:rsid w:val="00C27E4F"/>
    <w:rsid w:val="00C32964"/>
    <w:rsid w:val="00C33B68"/>
    <w:rsid w:val="00C36A79"/>
    <w:rsid w:val="00C401D2"/>
    <w:rsid w:val="00C405D4"/>
    <w:rsid w:val="00C4431F"/>
    <w:rsid w:val="00C4513B"/>
    <w:rsid w:val="00C5390B"/>
    <w:rsid w:val="00C54697"/>
    <w:rsid w:val="00C65535"/>
    <w:rsid w:val="00C71E85"/>
    <w:rsid w:val="00C72884"/>
    <w:rsid w:val="00C73885"/>
    <w:rsid w:val="00C747B1"/>
    <w:rsid w:val="00C82191"/>
    <w:rsid w:val="00C83134"/>
    <w:rsid w:val="00C85545"/>
    <w:rsid w:val="00C90CF4"/>
    <w:rsid w:val="00C92EB6"/>
    <w:rsid w:val="00C93389"/>
    <w:rsid w:val="00CA0914"/>
    <w:rsid w:val="00CA6AB4"/>
    <w:rsid w:val="00CB4930"/>
    <w:rsid w:val="00CC2E7D"/>
    <w:rsid w:val="00CD10A5"/>
    <w:rsid w:val="00CD2076"/>
    <w:rsid w:val="00CD29B5"/>
    <w:rsid w:val="00CD6331"/>
    <w:rsid w:val="00CE670B"/>
    <w:rsid w:val="00CF4908"/>
    <w:rsid w:val="00CF51EC"/>
    <w:rsid w:val="00CF73AE"/>
    <w:rsid w:val="00D040DD"/>
    <w:rsid w:val="00D075BE"/>
    <w:rsid w:val="00D13986"/>
    <w:rsid w:val="00D21D83"/>
    <w:rsid w:val="00D235B7"/>
    <w:rsid w:val="00D23C02"/>
    <w:rsid w:val="00D25F28"/>
    <w:rsid w:val="00D26071"/>
    <w:rsid w:val="00D27973"/>
    <w:rsid w:val="00D35E1A"/>
    <w:rsid w:val="00D42211"/>
    <w:rsid w:val="00D50F46"/>
    <w:rsid w:val="00D57677"/>
    <w:rsid w:val="00D66223"/>
    <w:rsid w:val="00D71625"/>
    <w:rsid w:val="00D751DA"/>
    <w:rsid w:val="00D8084C"/>
    <w:rsid w:val="00D915EA"/>
    <w:rsid w:val="00DA7C0C"/>
    <w:rsid w:val="00DB08A9"/>
    <w:rsid w:val="00DB2EC8"/>
    <w:rsid w:val="00DB6566"/>
    <w:rsid w:val="00DC48F1"/>
    <w:rsid w:val="00DC5B3B"/>
    <w:rsid w:val="00DD129F"/>
    <w:rsid w:val="00DD4EFE"/>
    <w:rsid w:val="00DE02BD"/>
    <w:rsid w:val="00DF42FF"/>
    <w:rsid w:val="00DF549B"/>
    <w:rsid w:val="00E01C0E"/>
    <w:rsid w:val="00E03F9A"/>
    <w:rsid w:val="00E04694"/>
    <w:rsid w:val="00E063CE"/>
    <w:rsid w:val="00E12B1E"/>
    <w:rsid w:val="00E17262"/>
    <w:rsid w:val="00E253A2"/>
    <w:rsid w:val="00E3309D"/>
    <w:rsid w:val="00E43C1C"/>
    <w:rsid w:val="00E47EBA"/>
    <w:rsid w:val="00E50156"/>
    <w:rsid w:val="00E51643"/>
    <w:rsid w:val="00E53470"/>
    <w:rsid w:val="00E53874"/>
    <w:rsid w:val="00E539F6"/>
    <w:rsid w:val="00E6519D"/>
    <w:rsid w:val="00E67696"/>
    <w:rsid w:val="00E71A58"/>
    <w:rsid w:val="00E72A7A"/>
    <w:rsid w:val="00E75C94"/>
    <w:rsid w:val="00E93820"/>
    <w:rsid w:val="00E94A86"/>
    <w:rsid w:val="00E96143"/>
    <w:rsid w:val="00EA0987"/>
    <w:rsid w:val="00EA0C68"/>
    <w:rsid w:val="00EA32BC"/>
    <w:rsid w:val="00EA4302"/>
    <w:rsid w:val="00EB39C7"/>
    <w:rsid w:val="00EB3D8F"/>
    <w:rsid w:val="00EB4511"/>
    <w:rsid w:val="00EC03D7"/>
    <w:rsid w:val="00ED62C6"/>
    <w:rsid w:val="00ED64C1"/>
    <w:rsid w:val="00EE3446"/>
    <w:rsid w:val="00EE3E78"/>
    <w:rsid w:val="00EE4B1B"/>
    <w:rsid w:val="00EE7F19"/>
    <w:rsid w:val="00EF150D"/>
    <w:rsid w:val="00EF1F5A"/>
    <w:rsid w:val="00EF47BF"/>
    <w:rsid w:val="00EF6DB3"/>
    <w:rsid w:val="00F04811"/>
    <w:rsid w:val="00F0488C"/>
    <w:rsid w:val="00F10F11"/>
    <w:rsid w:val="00F15AAA"/>
    <w:rsid w:val="00F15BEF"/>
    <w:rsid w:val="00F24407"/>
    <w:rsid w:val="00F24931"/>
    <w:rsid w:val="00F24FAA"/>
    <w:rsid w:val="00F3364D"/>
    <w:rsid w:val="00F437CC"/>
    <w:rsid w:val="00F44537"/>
    <w:rsid w:val="00F44B6A"/>
    <w:rsid w:val="00F47067"/>
    <w:rsid w:val="00F50FC3"/>
    <w:rsid w:val="00F525EB"/>
    <w:rsid w:val="00F63DDE"/>
    <w:rsid w:val="00F63FB7"/>
    <w:rsid w:val="00F6421B"/>
    <w:rsid w:val="00F649D2"/>
    <w:rsid w:val="00F6602B"/>
    <w:rsid w:val="00F67C4E"/>
    <w:rsid w:val="00F73A0C"/>
    <w:rsid w:val="00F756DB"/>
    <w:rsid w:val="00F84E7D"/>
    <w:rsid w:val="00F85066"/>
    <w:rsid w:val="00F87A4D"/>
    <w:rsid w:val="00F9785E"/>
    <w:rsid w:val="00FA5D4D"/>
    <w:rsid w:val="00FA7115"/>
    <w:rsid w:val="00FB0EE2"/>
    <w:rsid w:val="00FB4423"/>
    <w:rsid w:val="00FB542E"/>
    <w:rsid w:val="00FC0E5F"/>
    <w:rsid w:val="00FC1A95"/>
    <w:rsid w:val="00FC56DE"/>
    <w:rsid w:val="00FC684B"/>
    <w:rsid w:val="00FD3265"/>
    <w:rsid w:val="00FD5F92"/>
    <w:rsid w:val="00FD66F9"/>
    <w:rsid w:val="00FE2F78"/>
    <w:rsid w:val="00FF7B96"/>
    <w:rsid w:val="11D0C0D9"/>
    <w:rsid w:val="30D0B3BE"/>
    <w:rsid w:val="7BDB8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21432897"/>
  <w15:docId w15:val="{3A7C6927-7F52-4209-ABA9-A0ACA8657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EA0987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86BF5E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EA0987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86BF5E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EA0987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86BF5E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1041D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86BF5E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A0987"/>
    <w:rPr>
      <w:rFonts w:ascii="Arial" w:eastAsia="MS Gothic" w:hAnsi="Arial"/>
      <w:b/>
      <w:bCs/>
      <w:color w:val="86BF5E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EA0987"/>
    <w:rPr>
      <w:rFonts w:ascii="Arial" w:eastAsia="MS Gothic" w:hAnsi="Arial"/>
      <w:b/>
      <w:bCs/>
      <w:color w:val="86BF5E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EA0987"/>
    <w:rPr>
      <w:rFonts w:ascii="Arial" w:eastAsia="MS Gothic" w:hAnsi="Arial"/>
      <w:b/>
      <w:bCs/>
      <w:color w:val="86BF5E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41041D"/>
    <w:rPr>
      <w:rFonts w:ascii="Arial" w:eastAsia="MS Gothic" w:hAnsi="Arial"/>
      <w:b/>
      <w:bCs/>
      <w:iCs/>
      <w:color w:val="86BF5E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0A57D4"/>
    <w:pPr>
      <w:spacing w:after="80" w:line="288" w:lineRule="auto"/>
    </w:pPr>
    <w:rPr>
      <w:rFonts w:ascii="Arial" w:eastAsia="Times New Roman" w:hAnsi="Arial"/>
      <w:b/>
      <w:color w:val="86BF5E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EA0987"/>
    <w:pPr>
      <w:shd w:val="clear" w:color="auto" w:fill="F0F6E9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EA0987"/>
    <w:pPr>
      <w:spacing w:before="240" w:after="240" w:line="276" w:lineRule="auto"/>
      <w:contextualSpacing/>
      <w:jc w:val="both"/>
    </w:pPr>
    <w:rPr>
      <w:rFonts w:ascii="Arial" w:hAnsi="Arial" w:cs="Arial"/>
      <w:color w:val="86BF5E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0A57D4"/>
    <w:pPr>
      <w:spacing w:after="40"/>
      <w:contextualSpacing/>
    </w:pPr>
    <w:rPr>
      <w:b/>
      <w:caps/>
      <w:sz w:val="24"/>
    </w:rPr>
  </w:style>
  <w:style w:type="paragraph" w:customStyle="1" w:styleId="TLKontakty">
    <w:name w:val="TL Kontakty"/>
    <w:qFormat/>
    <w:rsid w:val="000A57D4"/>
    <w:pPr>
      <w:spacing w:after="160" w:line="259" w:lineRule="auto"/>
      <w:contextualSpacing/>
    </w:pPr>
    <w:rPr>
      <w:rFonts w:ascii="Arial" w:eastAsia="Times New Roman" w:hAnsi="Arial"/>
      <w:b/>
      <w:color w:val="86BF5E"/>
      <w:lang w:eastAsia="cs-CZ"/>
    </w:rPr>
  </w:style>
  <w:style w:type="paragraph" w:styleId="Nzev">
    <w:name w:val="Title"/>
    <w:link w:val="NzevChar"/>
    <w:uiPriority w:val="10"/>
    <w:qFormat/>
    <w:rsid w:val="001E6062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1E6062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1E6062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E6062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7"/>
      </w:num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EA0987"/>
    <w:pPr>
      <w:shd w:val="clear" w:color="auto" w:fill="F0F6E9"/>
      <w:spacing w:before="240" w:after="240" w:line="276" w:lineRule="auto"/>
      <w:ind w:left="709"/>
      <w:contextualSpacing/>
      <w:jc w:val="both"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EA0987"/>
    <w:pPr>
      <w:spacing w:before="240" w:after="240" w:line="276" w:lineRule="auto"/>
      <w:ind w:left="709"/>
      <w:contextualSpacing/>
      <w:jc w:val="both"/>
    </w:pPr>
    <w:rPr>
      <w:rFonts w:ascii="Arial" w:hAnsi="Arial" w:cs="Arial"/>
      <w:b/>
      <w:color w:val="86BF5E"/>
      <w:lang w:eastAsia="cs-CZ"/>
    </w:rPr>
  </w:style>
  <w:style w:type="character" w:styleId="Zdraznnintenzivn">
    <w:name w:val="Intense Emphasis"/>
    <w:basedOn w:val="Standardnpsmoodstavce"/>
    <w:uiPriority w:val="21"/>
    <w:qFormat/>
    <w:rsid w:val="001E6062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32"/>
    <w:qFormat/>
    <w:rsid w:val="001E6062"/>
    <w:rPr>
      <w:b/>
      <w:bCs/>
      <w:smallCaps/>
      <w:color w:val="000000" w:themeColor="text1"/>
      <w:spacing w:val="5"/>
    </w:rPr>
  </w:style>
  <w:style w:type="character" w:styleId="Znakapoznpodarou">
    <w:name w:val="footnote reference"/>
    <w:basedOn w:val="Standardnpsmoodstavce"/>
    <w:rsid w:val="00E063CE"/>
    <w:rPr>
      <w:rFonts w:cs="Times New Roman"/>
      <w:vertAlign w:val="superscript"/>
    </w:rPr>
  </w:style>
  <w:style w:type="paragraph" w:customStyle="1" w:styleId="Nadpis11">
    <w:name w:val="Nadpis 11"/>
    <w:basedOn w:val="Normln"/>
    <w:uiPriority w:val="9"/>
    <w:qFormat/>
    <w:rsid w:val="008A6CB4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8A6CB4"/>
    <w:pPr>
      <w:spacing w:after="0" w:line="240" w:lineRule="auto"/>
      <w:jc w:val="left"/>
    </w:pPr>
    <w:rPr>
      <w:rFonts w:eastAsia="Calibri"/>
      <w:szCs w:val="20"/>
    </w:rPr>
  </w:style>
  <w:style w:type="character" w:styleId="Zdraznn">
    <w:name w:val="Emphasis"/>
    <w:basedOn w:val="Standardnpsmoodstavce"/>
    <w:uiPriority w:val="20"/>
    <w:qFormat/>
    <w:rsid w:val="00C4431F"/>
    <w:rPr>
      <w:i/>
      <w:iCs/>
    </w:rPr>
  </w:style>
  <w:style w:type="character" w:customStyle="1" w:styleId="normaltextrun">
    <w:name w:val="normaltextrun"/>
    <w:basedOn w:val="Standardnpsmoodstavce"/>
    <w:rsid w:val="00C4431F"/>
  </w:style>
  <w:style w:type="paragraph" w:customStyle="1" w:styleId="paragraph">
    <w:name w:val="paragraph"/>
    <w:basedOn w:val="Normln"/>
    <w:rsid w:val="00C4431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C4431F"/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603FF5"/>
    <w:p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hart" Target="charts/chart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hart" Target="charts/chart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zso.cz/csu/czso/metodicka-poznamka-k-indexu-spotrebitelskych-cen-imputovane-najemne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https://czsocz-my.sharepoint.com/personal/karolina_zabojnikova_czso_cz/Documents/Dokumenty/Anal&#253;za/Q/2024Q3/Makroanal&#253;za%20graf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https://czsocz-my.sharepoint.com/personal/karolina_zabojnikova_czso_cz/Documents/Dokumenty/Anal&#253;za/Q/2024Q3/Makroanal&#253;za%20grafy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https://czsocz-my.sharepoint.com/personal/karolina_zabojnikova_czso_cz/Documents/Dokumenty/Anal&#253;za/Q/2024Q3/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568840579710145E-2"/>
          <c:y val="2.1811315924220299E-2"/>
          <c:w val="0.92237743255066085"/>
          <c:h val="0.7147157521300415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'Ceny 2'!$C$5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invertIfNegative val="0"/>
          <c:cat>
            <c:multiLvlStrRef>
              <c:f>'Ceny 2'!$A$10:$B$32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  <c:pt idx="8">
                    <c:v>2021</c:v>
                  </c:pt>
                  <c:pt idx="12">
                    <c:v>2022</c:v>
                  </c:pt>
                  <c:pt idx="16">
                    <c:v>2023</c:v>
                  </c:pt>
                  <c:pt idx="20">
                    <c:v>2024</c:v>
                  </c:pt>
                </c:lvl>
              </c:multiLvlStrCache>
            </c:multiLvlStrRef>
          </c:cat>
          <c:val>
            <c:numRef>
              <c:f>'Ceny 2'!$C$10:$C$32</c:f>
              <c:numCache>
                <c:formatCode>0.0</c:formatCode>
                <c:ptCount val="23"/>
                <c:pt idx="0">
                  <c:v>2.7</c:v>
                </c:pt>
                <c:pt idx="1">
                  <c:v>2.8</c:v>
                </c:pt>
                <c:pt idx="2">
                  <c:v>2.8</c:v>
                </c:pt>
                <c:pt idx="3">
                  <c:v>3</c:v>
                </c:pt>
                <c:pt idx="4">
                  <c:v>3.6</c:v>
                </c:pt>
                <c:pt idx="5">
                  <c:v>3.1</c:v>
                </c:pt>
                <c:pt idx="6">
                  <c:v>3.3</c:v>
                </c:pt>
                <c:pt idx="7">
                  <c:v>2.6</c:v>
                </c:pt>
                <c:pt idx="8">
                  <c:v>2.2000000000000002</c:v>
                </c:pt>
                <c:pt idx="9">
                  <c:v>2.9</c:v>
                </c:pt>
                <c:pt idx="10">
                  <c:v>4.0999999999999996</c:v>
                </c:pt>
                <c:pt idx="11">
                  <c:v>6.1</c:v>
                </c:pt>
                <c:pt idx="12">
                  <c:v>11.2</c:v>
                </c:pt>
                <c:pt idx="13">
                  <c:v>15.8</c:v>
                </c:pt>
                <c:pt idx="14">
                  <c:v>17.600000000000001</c:v>
                </c:pt>
                <c:pt idx="15">
                  <c:v>15.7</c:v>
                </c:pt>
                <c:pt idx="16">
                  <c:v>16.399999999999999</c:v>
                </c:pt>
                <c:pt idx="17">
                  <c:v>11.1</c:v>
                </c:pt>
                <c:pt idx="18">
                  <c:v>8</c:v>
                </c:pt>
                <c:pt idx="19">
                  <c:v>7.6</c:v>
                </c:pt>
                <c:pt idx="20">
                  <c:v>2.1</c:v>
                </c:pt>
                <c:pt idx="21">
                  <c:v>2.5</c:v>
                </c:pt>
                <c:pt idx="22">
                  <c:v>2.2999999999999998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BFD-4195-BC1C-40C681C127A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axId val="270120064"/>
        <c:axId val="270121600"/>
      </c:barChart>
      <c:lineChart>
        <c:grouping val="standard"/>
        <c:varyColors val="0"/>
        <c:ser>
          <c:idx val="1"/>
          <c:order val="1"/>
          <c:tx>
            <c:strRef>
              <c:f>'Ceny 2'!$D$5</c:f>
              <c:strCache>
                <c:ptCount val="1"/>
                <c:pt idx="0">
                  <c:v>Potraviny a nealkoholické nápoje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'Ceny 2'!$A$10:$B$32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  <c:pt idx="8">
                    <c:v>2021</c:v>
                  </c:pt>
                  <c:pt idx="12">
                    <c:v>2022</c:v>
                  </c:pt>
                  <c:pt idx="16">
                    <c:v>2023</c:v>
                  </c:pt>
                  <c:pt idx="20">
                    <c:v>2024</c:v>
                  </c:pt>
                </c:lvl>
              </c:multiLvlStrCache>
            </c:multiLvlStrRef>
          </c:cat>
          <c:val>
            <c:numRef>
              <c:f>'Ceny 2'!$D$10:$D$32</c:f>
              <c:numCache>
                <c:formatCode>0.0</c:formatCode>
                <c:ptCount val="23"/>
                <c:pt idx="0">
                  <c:v>1</c:v>
                </c:pt>
                <c:pt idx="1">
                  <c:v>2.5</c:v>
                </c:pt>
                <c:pt idx="2">
                  <c:v>3.5</c:v>
                </c:pt>
                <c:pt idx="3">
                  <c:v>4.3</c:v>
                </c:pt>
                <c:pt idx="4">
                  <c:v>6.1</c:v>
                </c:pt>
                <c:pt idx="5">
                  <c:v>6.5</c:v>
                </c:pt>
                <c:pt idx="6">
                  <c:v>4</c:v>
                </c:pt>
                <c:pt idx="7">
                  <c:v>1.7</c:v>
                </c:pt>
                <c:pt idx="8">
                  <c:v>0.3</c:v>
                </c:pt>
                <c:pt idx="9">
                  <c:v>-0.8</c:v>
                </c:pt>
                <c:pt idx="10">
                  <c:v>1.4</c:v>
                </c:pt>
                <c:pt idx="11">
                  <c:v>2.2999999999999998</c:v>
                </c:pt>
                <c:pt idx="12">
                  <c:v>6.7</c:v>
                </c:pt>
                <c:pt idx="13">
                  <c:v>14.6</c:v>
                </c:pt>
                <c:pt idx="14">
                  <c:v>20</c:v>
                </c:pt>
                <c:pt idx="15">
                  <c:v>25.5</c:v>
                </c:pt>
                <c:pt idx="16">
                  <c:v>24.1</c:v>
                </c:pt>
                <c:pt idx="17">
                  <c:v>14.6</c:v>
                </c:pt>
                <c:pt idx="18">
                  <c:v>7.8</c:v>
                </c:pt>
                <c:pt idx="19">
                  <c:v>1.6</c:v>
                </c:pt>
                <c:pt idx="20">
                  <c:v>-4.9000000000000004</c:v>
                </c:pt>
                <c:pt idx="21">
                  <c:v>-3.6</c:v>
                </c:pt>
                <c:pt idx="22">
                  <c:v>-1.4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BBFD-4195-BC1C-40C681C127A6}"/>
            </c:ext>
          </c:extLst>
        </c:ser>
        <c:ser>
          <c:idx val="3"/>
          <c:order val="2"/>
          <c:tx>
            <c:strRef>
              <c:f>'Ceny 2'!$F$5</c:f>
              <c:strCache>
                <c:ptCount val="1"/>
                <c:pt idx="0">
                  <c:v>Bydlení a energie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'Ceny 2'!$A$10:$B$32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  <c:pt idx="8">
                    <c:v>2021</c:v>
                  </c:pt>
                  <c:pt idx="12">
                    <c:v>2022</c:v>
                  </c:pt>
                  <c:pt idx="16">
                    <c:v>2023</c:v>
                  </c:pt>
                  <c:pt idx="20">
                    <c:v>2024</c:v>
                  </c:pt>
                </c:lvl>
              </c:multiLvlStrCache>
            </c:multiLvlStrRef>
          </c:cat>
          <c:val>
            <c:numRef>
              <c:f>'Ceny 2'!$F$10:$F$32</c:f>
              <c:numCache>
                <c:formatCode>0.0</c:formatCode>
                <c:ptCount val="23"/>
                <c:pt idx="0">
                  <c:v>5.4</c:v>
                </c:pt>
                <c:pt idx="1">
                  <c:v>5.7</c:v>
                </c:pt>
                <c:pt idx="2">
                  <c:v>5.2</c:v>
                </c:pt>
                <c:pt idx="3">
                  <c:v>5</c:v>
                </c:pt>
                <c:pt idx="4">
                  <c:v>4.2</c:v>
                </c:pt>
                <c:pt idx="5">
                  <c:v>3.2</c:v>
                </c:pt>
                <c:pt idx="6">
                  <c:v>2.7</c:v>
                </c:pt>
                <c:pt idx="7">
                  <c:v>1.4</c:v>
                </c:pt>
                <c:pt idx="8">
                  <c:v>0.6</c:v>
                </c:pt>
                <c:pt idx="9">
                  <c:v>1.3</c:v>
                </c:pt>
                <c:pt idx="10">
                  <c:v>3.6</c:v>
                </c:pt>
                <c:pt idx="11">
                  <c:v>5.6</c:v>
                </c:pt>
                <c:pt idx="12">
                  <c:v>16</c:v>
                </c:pt>
                <c:pt idx="13">
                  <c:v>21.4</c:v>
                </c:pt>
                <c:pt idx="14">
                  <c:v>23.6</c:v>
                </c:pt>
                <c:pt idx="15">
                  <c:v>14.9</c:v>
                </c:pt>
                <c:pt idx="16">
                  <c:v>22.2</c:v>
                </c:pt>
                <c:pt idx="17">
                  <c:v>16</c:v>
                </c:pt>
                <c:pt idx="18">
                  <c:v>11.6</c:v>
                </c:pt>
                <c:pt idx="19">
                  <c:v>17.8</c:v>
                </c:pt>
                <c:pt idx="20">
                  <c:v>3.4</c:v>
                </c:pt>
                <c:pt idx="21">
                  <c:v>3.1</c:v>
                </c:pt>
                <c:pt idx="22">
                  <c:v>3.2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BBFD-4195-BC1C-40C681C127A6}"/>
            </c:ext>
          </c:extLst>
        </c:ser>
        <c:ser>
          <c:idx val="4"/>
          <c:order val="3"/>
          <c:tx>
            <c:strRef>
              <c:f>'Ceny 2'!$G$5</c:f>
              <c:strCache>
                <c:ptCount val="1"/>
                <c:pt idx="0">
                  <c:v>Doprava</c:v>
                </c:pt>
              </c:strCache>
            </c:strRef>
          </c:tx>
          <c:spPr>
            <a:ln w="19050">
              <a:solidFill>
                <a:srgbClr val="FFC000"/>
              </a:solidFill>
            </a:ln>
          </c:spPr>
          <c:marker>
            <c:symbol val="none"/>
          </c:marker>
          <c:cat>
            <c:multiLvlStrRef>
              <c:f>'Ceny 2'!$A$10:$B$32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  <c:pt idx="8">
                    <c:v>2021</c:v>
                  </c:pt>
                  <c:pt idx="12">
                    <c:v>2022</c:v>
                  </c:pt>
                  <c:pt idx="16">
                    <c:v>2023</c:v>
                  </c:pt>
                  <c:pt idx="20">
                    <c:v>2024</c:v>
                  </c:pt>
                </c:lvl>
              </c:multiLvlStrCache>
            </c:multiLvlStrRef>
          </c:cat>
          <c:val>
            <c:numRef>
              <c:f>'Ceny 2'!$G$10:$G$32</c:f>
              <c:numCache>
                <c:formatCode>0.0</c:formatCode>
                <c:ptCount val="23"/>
                <c:pt idx="0">
                  <c:v>0.6</c:v>
                </c:pt>
                <c:pt idx="1">
                  <c:v>0.8</c:v>
                </c:pt>
                <c:pt idx="2">
                  <c:v>-0.2</c:v>
                </c:pt>
                <c:pt idx="3">
                  <c:v>0.5</c:v>
                </c:pt>
                <c:pt idx="4" formatCode="General">
                  <c:v>1.7</c:v>
                </c:pt>
                <c:pt idx="5">
                  <c:v>-3.4</c:v>
                </c:pt>
                <c:pt idx="6">
                  <c:v>-0.2</c:v>
                </c:pt>
                <c:pt idx="7">
                  <c:v>0.6</c:v>
                </c:pt>
                <c:pt idx="8">
                  <c:v>2.4</c:v>
                </c:pt>
                <c:pt idx="9">
                  <c:v>9.1</c:v>
                </c:pt>
                <c:pt idx="10">
                  <c:v>8.8000000000000007</c:v>
                </c:pt>
                <c:pt idx="11">
                  <c:v>13.1</c:v>
                </c:pt>
                <c:pt idx="12">
                  <c:v>17.2</c:v>
                </c:pt>
                <c:pt idx="13">
                  <c:v>22.7</c:v>
                </c:pt>
                <c:pt idx="14">
                  <c:v>19.7</c:v>
                </c:pt>
                <c:pt idx="15">
                  <c:v>13.1</c:v>
                </c:pt>
                <c:pt idx="16">
                  <c:v>4.5</c:v>
                </c:pt>
                <c:pt idx="17">
                  <c:v>-4</c:v>
                </c:pt>
                <c:pt idx="18">
                  <c:v>-2.4</c:v>
                </c:pt>
                <c:pt idx="19">
                  <c:v>-1.6</c:v>
                </c:pt>
                <c:pt idx="20">
                  <c:v>1.7</c:v>
                </c:pt>
                <c:pt idx="21">
                  <c:v>4.5999999999999996</c:v>
                </c:pt>
                <c:pt idx="22">
                  <c:v>0.9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BBFD-4195-BC1C-40C681C127A6}"/>
            </c:ext>
          </c:extLst>
        </c:ser>
        <c:ser>
          <c:idx val="2"/>
          <c:order val="4"/>
          <c:tx>
            <c:strRef>
              <c:f>'Ceny 2'!$E$5</c:f>
              <c:strCache>
                <c:ptCount val="1"/>
                <c:pt idx="0">
                  <c:v>Alkoholické nápoje a tabák</c:v>
                </c:pt>
              </c:strCache>
              <c:extLst xmlns:c15="http://schemas.microsoft.com/office/drawing/2012/chart"/>
            </c:strRef>
          </c:tx>
          <c:spPr>
            <a:ln w="19050">
              <a:solidFill>
                <a:srgbClr val="FF0000"/>
              </a:solidFill>
            </a:ln>
          </c:spPr>
          <c:marker>
            <c:symbol val="none"/>
          </c:marker>
          <c:cat>
            <c:multiLvlStrRef>
              <c:f>'Ceny 2'!$A$10:$B$32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  <c:pt idx="8">
                    <c:v>2021</c:v>
                  </c:pt>
                  <c:pt idx="12">
                    <c:v>2022</c:v>
                  </c:pt>
                  <c:pt idx="16">
                    <c:v>2023</c:v>
                  </c:pt>
                  <c:pt idx="20">
                    <c:v>2024</c:v>
                  </c:pt>
                </c:lvl>
              </c:multiLvlStrCache>
            </c:multiLvlStrRef>
          </c:cat>
          <c:val>
            <c:numRef>
              <c:f>'Ceny 2'!$E$10:$E$32</c:f>
              <c:numCache>
                <c:formatCode>0.0</c:formatCode>
                <c:ptCount val="23"/>
                <c:pt idx="0">
                  <c:v>3.3</c:v>
                </c:pt>
                <c:pt idx="1">
                  <c:v>1.7</c:v>
                </c:pt>
                <c:pt idx="2">
                  <c:v>1.9</c:v>
                </c:pt>
                <c:pt idx="3">
                  <c:v>1.8</c:v>
                </c:pt>
                <c:pt idx="4" formatCode="General">
                  <c:v>3.5</c:v>
                </c:pt>
                <c:pt idx="5">
                  <c:v>6.6</c:v>
                </c:pt>
                <c:pt idx="6">
                  <c:v>10.3</c:v>
                </c:pt>
                <c:pt idx="7">
                  <c:v>9.9</c:v>
                </c:pt>
                <c:pt idx="8">
                  <c:v>9.9</c:v>
                </c:pt>
                <c:pt idx="9">
                  <c:v>9.8000000000000007</c:v>
                </c:pt>
                <c:pt idx="10">
                  <c:v>6.5</c:v>
                </c:pt>
                <c:pt idx="11">
                  <c:v>7.7</c:v>
                </c:pt>
                <c:pt idx="12">
                  <c:v>7.1</c:v>
                </c:pt>
                <c:pt idx="13">
                  <c:v>5.6</c:v>
                </c:pt>
                <c:pt idx="14">
                  <c:v>6.3</c:v>
                </c:pt>
                <c:pt idx="15">
                  <c:v>6</c:v>
                </c:pt>
                <c:pt idx="16">
                  <c:v>6.8</c:v>
                </c:pt>
                <c:pt idx="17">
                  <c:v>6.5</c:v>
                </c:pt>
                <c:pt idx="18">
                  <c:v>7.2</c:v>
                </c:pt>
                <c:pt idx="19">
                  <c:v>5.9</c:v>
                </c:pt>
                <c:pt idx="20">
                  <c:v>4.7</c:v>
                </c:pt>
                <c:pt idx="21">
                  <c:v>6.2</c:v>
                </c:pt>
                <c:pt idx="22">
                  <c:v>4.5999999999999996</c:v>
                </c:pt>
              </c:numCache>
            </c:numRef>
          </c:val>
          <c:smooth val="0"/>
          <c:extLst xmlns:c15="http://schemas.microsoft.com/office/drawing/2012/chart">
            <c:ext xmlns:c16="http://schemas.microsoft.com/office/drawing/2014/chart" uri="{C3380CC4-5D6E-409C-BE32-E72D297353CC}">
              <c16:uniqueId val="{00000004-BBFD-4195-BC1C-40C681C127A6}"/>
            </c:ext>
          </c:extLst>
        </c:ser>
        <c:ser>
          <c:idx val="5"/>
          <c:order val="5"/>
          <c:tx>
            <c:strRef>
              <c:f>'Ceny 2'!$H$5</c:f>
              <c:strCache>
                <c:ptCount val="1"/>
                <c:pt idx="0">
                  <c:v>Stravování a ubytování</c:v>
                </c:pt>
              </c:strCache>
            </c:strRef>
          </c:tx>
          <c:spPr>
            <a:ln w="19050">
              <a:solidFill>
                <a:srgbClr val="7030A0"/>
              </a:solidFill>
            </a:ln>
          </c:spPr>
          <c:marker>
            <c:symbol val="none"/>
          </c:marker>
          <c:cat>
            <c:multiLvlStrRef>
              <c:f>'Ceny 2'!$A$10:$B$32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  <c:pt idx="8">
                    <c:v>2021</c:v>
                  </c:pt>
                  <c:pt idx="12">
                    <c:v>2022</c:v>
                  </c:pt>
                  <c:pt idx="16">
                    <c:v>2023</c:v>
                  </c:pt>
                  <c:pt idx="20">
                    <c:v>2024</c:v>
                  </c:pt>
                </c:lvl>
              </c:multiLvlStrCache>
            </c:multiLvlStrRef>
          </c:cat>
          <c:val>
            <c:numRef>
              <c:f>'Ceny 2'!$H$10:$H$32</c:f>
              <c:numCache>
                <c:formatCode>0.0</c:formatCode>
                <c:ptCount val="23"/>
                <c:pt idx="0">
                  <c:v>3.8</c:v>
                </c:pt>
                <c:pt idx="1">
                  <c:v>4</c:v>
                </c:pt>
                <c:pt idx="2">
                  <c:v>4.5</c:v>
                </c:pt>
                <c:pt idx="3">
                  <c:v>4.5999999999999996</c:v>
                </c:pt>
                <c:pt idx="4">
                  <c:v>5.5</c:v>
                </c:pt>
                <c:pt idx="5">
                  <c:v>5.0999999999999996</c:v>
                </c:pt>
                <c:pt idx="6">
                  <c:v>4.9000000000000004</c:v>
                </c:pt>
                <c:pt idx="7">
                  <c:v>4.3</c:v>
                </c:pt>
                <c:pt idx="8">
                  <c:v>3</c:v>
                </c:pt>
                <c:pt idx="9">
                  <c:v>2.9</c:v>
                </c:pt>
                <c:pt idx="10">
                  <c:v>4.5999999999999996</c:v>
                </c:pt>
                <c:pt idx="11">
                  <c:v>6.8</c:v>
                </c:pt>
                <c:pt idx="12">
                  <c:v>12.3</c:v>
                </c:pt>
                <c:pt idx="13">
                  <c:v>21.4</c:v>
                </c:pt>
                <c:pt idx="14">
                  <c:v>24.3</c:v>
                </c:pt>
                <c:pt idx="15">
                  <c:v>25.6</c:v>
                </c:pt>
                <c:pt idx="16">
                  <c:v>22.4</c:v>
                </c:pt>
                <c:pt idx="17">
                  <c:v>15.4</c:v>
                </c:pt>
                <c:pt idx="18">
                  <c:v>11.6</c:v>
                </c:pt>
                <c:pt idx="19">
                  <c:v>8.8000000000000007</c:v>
                </c:pt>
                <c:pt idx="20">
                  <c:v>8.6</c:v>
                </c:pt>
                <c:pt idx="21">
                  <c:v>7.8</c:v>
                </c:pt>
                <c:pt idx="22">
                  <c:v>7.2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BBFD-4195-BC1C-40C681C127A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0120064"/>
        <c:axId val="270121600"/>
        <c:extLst>
          <c:ext xmlns:c15="http://schemas.microsoft.com/office/drawing/2012/chart" uri="{02D57815-91ED-43cb-92C2-25804820EDAC}">
            <c15:filteredLineSeries>
              <c15:ser>
                <c:idx val="6"/>
                <c:order val="6"/>
                <c:tx>
                  <c:strRef>
                    <c:extLst>
                      <c:ext uri="{02D57815-91ED-43cb-92C2-25804820EDAC}">
                        <c15:formulaRef>
                          <c15:sqref>'Ceny 2'!$I$5</c15:sqref>
                        </c15:formulaRef>
                      </c:ext>
                    </c:extLst>
                    <c:strCache>
                      <c:ptCount val="1"/>
                      <c:pt idx="0">
                        <c:v>Rekreace a kultura</c:v>
                      </c:pt>
                    </c:strCache>
                  </c:strRef>
                </c:tx>
                <c:spPr>
                  <a:ln w="19050">
                    <a:solidFill>
                      <a:srgbClr val="FF0000"/>
                    </a:solidFill>
                  </a:ln>
                </c:spPr>
                <c:marker>
                  <c:symbol val="none"/>
                </c:marker>
                <c:cat>
                  <c:multiLvlStrRef>
                    <c:extLst>
                      <c:ext uri="{02D57815-91ED-43cb-92C2-25804820EDAC}">
                        <c15:formulaRef>
                          <c15:sqref>'Ceny 2'!$A$10:$B$32</c15:sqref>
                        </c15:formulaRef>
                      </c:ext>
                    </c:extLst>
                    <c:multiLvlStrCache>
                      <c:ptCount val="23"/>
                      <c:lvl>
                        <c:pt idx="0">
                          <c:v>1</c:v>
                        </c:pt>
                        <c:pt idx="1">
                          <c:v>2</c:v>
                        </c:pt>
                        <c:pt idx="2">
                          <c:v>3</c:v>
                        </c:pt>
                        <c:pt idx="3">
                          <c:v>4</c:v>
                        </c:pt>
                        <c:pt idx="4">
                          <c:v>1</c:v>
                        </c:pt>
                        <c:pt idx="5">
                          <c:v>2</c:v>
                        </c:pt>
                        <c:pt idx="6">
                          <c:v>3</c:v>
                        </c:pt>
                        <c:pt idx="7">
                          <c:v>4</c:v>
                        </c:pt>
                        <c:pt idx="8">
                          <c:v>1</c:v>
                        </c:pt>
                        <c:pt idx="9">
                          <c:v>2</c:v>
                        </c:pt>
                        <c:pt idx="10">
                          <c:v>3</c:v>
                        </c:pt>
                        <c:pt idx="11">
                          <c:v>4</c:v>
                        </c:pt>
                        <c:pt idx="12">
                          <c:v>1</c:v>
                        </c:pt>
                        <c:pt idx="13">
                          <c:v>2</c:v>
                        </c:pt>
                        <c:pt idx="14">
                          <c:v>3</c:v>
                        </c:pt>
                        <c:pt idx="15">
                          <c:v>4</c:v>
                        </c:pt>
                        <c:pt idx="16">
                          <c:v>1</c:v>
                        </c:pt>
                        <c:pt idx="17">
                          <c:v>2</c:v>
                        </c:pt>
                        <c:pt idx="18">
                          <c:v>3</c:v>
                        </c:pt>
                        <c:pt idx="19">
                          <c:v>4</c:v>
                        </c:pt>
                        <c:pt idx="20">
                          <c:v>1</c:v>
                        </c:pt>
                        <c:pt idx="21">
                          <c:v>2</c:v>
                        </c:pt>
                        <c:pt idx="22">
                          <c:v>3</c:v>
                        </c:pt>
                      </c:lvl>
                      <c:lvl>
                        <c:pt idx="0">
                          <c:v>2019</c:v>
                        </c:pt>
                        <c:pt idx="4">
                          <c:v>2020</c:v>
                        </c:pt>
                        <c:pt idx="8">
                          <c:v>2021</c:v>
                        </c:pt>
                        <c:pt idx="12">
                          <c:v>2022</c:v>
                        </c:pt>
                        <c:pt idx="16">
                          <c:v>2023</c:v>
                        </c:pt>
                        <c:pt idx="20">
                          <c:v>2024</c:v>
                        </c:pt>
                      </c:lvl>
                    </c:multiLvlStrCache>
                  </c:multiLvlStrRef>
                </c:cat>
                <c:val>
                  <c:numRef>
                    <c:extLst>
                      <c:ext uri="{02D57815-91ED-43cb-92C2-25804820EDAC}">
                        <c15:formulaRef>
                          <c15:sqref>'Ceny 2'!$I$10:$I$30</c15:sqref>
                        </c15:formulaRef>
                      </c:ext>
                    </c:extLst>
                    <c:numCache>
                      <c:formatCode>General</c:formatCode>
                      <c:ptCount val="21"/>
                      <c:pt idx="0">
                        <c:v>1.7000000000000028</c:v>
                      </c:pt>
                      <c:pt idx="1">
                        <c:v>1</c:v>
                      </c:pt>
                      <c:pt idx="2">
                        <c:v>1.7000000000000028</c:v>
                      </c:pt>
                      <c:pt idx="3">
                        <c:v>2.0999999999999943</c:v>
                      </c:pt>
                      <c:pt idx="4">
                        <c:v>2.0999999999999943</c:v>
                      </c:pt>
                      <c:pt idx="5">
                        <c:v>2</c:v>
                      </c:pt>
                      <c:pt idx="6">
                        <c:v>2.2000000000000028</c:v>
                      </c:pt>
                      <c:pt idx="7">
                        <c:v>2.5</c:v>
                      </c:pt>
                      <c:pt idx="8">
                        <c:v>1.4000000000000057</c:v>
                      </c:pt>
                      <c:pt idx="9">
                        <c:v>2</c:v>
                      </c:pt>
                      <c:pt idx="10">
                        <c:v>3.0999999999999943</c:v>
                      </c:pt>
                      <c:pt idx="11">
                        <c:v>5.2999999999999972</c:v>
                      </c:pt>
                      <c:pt idx="12">
                        <c:v>8.5</c:v>
                      </c:pt>
                      <c:pt idx="13">
                        <c:v>11.299999999999997</c:v>
                      </c:pt>
                      <c:pt idx="14">
                        <c:v>12.599999999999994</c:v>
                      </c:pt>
                      <c:pt idx="15" formatCode="0.0">
                        <c:v>13.2</c:v>
                      </c:pt>
                      <c:pt idx="16" formatCode="0.0">
                        <c:v>14</c:v>
                      </c:pt>
                      <c:pt idx="17" formatCode="0.0">
                        <c:v>11.7</c:v>
                      </c:pt>
                      <c:pt idx="18" formatCode="0.0">
                        <c:v>9.6999999999999993</c:v>
                      </c:pt>
                      <c:pt idx="19" formatCode="0.0">
                        <c:v>6.9</c:v>
                      </c:pt>
                      <c:pt idx="20" formatCode="0.0">
                        <c:v>4.4000000000000004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06-BBFD-4195-BC1C-40C681C127A6}"/>
                  </c:ext>
                </c:extLst>
              </c15:ser>
            </c15:filteredLineSeries>
            <c15:filteredLineSeries>
              <c15:ser>
                <c:idx val="7"/>
                <c:order val="7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'Ceny 2'!$J$5</c15:sqref>
                        </c15:formulaRef>
                      </c:ext>
                    </c:extLst>
                    <c:strCache>
                      <c:ptCount val="1"/>
                      <c:pt idx="0">
                        <c:v>Odívání a obuv</c:v>
                      </c:pt>
                    </c:strCache>
                  </c:strRef>
                </c:tx>
                <c:spPr>
                  <a:ln w="19050">
                    <a:solidFill>
                      <a:srgbClr val="E8AFB2"/>
                    </a:solidFill>
                  </a:ln>
                </c:spPr>
                <c:marker>
                  <c:symbol val="none"/>
                </c:marker>
                <c:cat>
                  <c:multiLvl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'Ceny 2'!$A$10:$B$32</c15:sqref>
                        </c15:formulaRef>
                      </c:ext>
                    </c:extLst>
                    <c:multiLvlStrCache>
                      <c:ptCount val="23"/>
                      <c:lvl>
                        <c:pt idx="0">
                          <c:v>1</c:v>
                        </c:pt>
                        <c:pt idx="1">
                          <c:v>2</c:v>
                        </c:pt>
                        <c:pt idx="2">
                          <c:v>3</c:v>
                        </c:pt>
                        <c:pt idx="3">
                          <c:v>4</c:v>
                        </c:pt>
                        <c:pt idx="4">
                          <c:v>1</c:v>
                        </c:pt>
                        <c:pt idx="5">
                          <c:v>2</c:v>
                        </c:pt>
                        <c:pt idx="6">
                          <c:v>3</c:v>
                        </c:pt>
                        <c:pt idx="7">
                          <c:v>4</c:v>
                        </c:pt>
                        <c:pt idx="8">
                          <c:v>1</c:v>
                        </c:pt>
                        <c:pt idx="9">
                          <c:v>2</c:v>
                        </c:pt>
                        <c:pt idx="10">
                          <c:v>3</c:v>
                        </c:pt>
                        <c:pt idx="11">
                          <c:v>4</c:v>
                        </c:pt>
                        <c:pt idx="12">
                          <c:v>1</c:v>
                        </c:pt>
                        <c:pt idx="13">
                          <c:v>2</c:v>
                        </c:pt>
                        <c:pt idx="14">
                          <c:v>3</c:v>
                        </c:pt>
                        <c:pt idx="15">
                          <c:v>4</c:v>
                        </c:pt>
                        <c:pt idx="16">
                          <c:v>1</c:v>
                        </c:pt>
                        <c:pt idx="17">
                          <c:v>2</c:v>
                        </c:pt>
                        <c:pt idx="18">
                          <c:v>3</c:v>
                        </c:pt>
                        <c:pt idx="19">
                          <c:v>4</c:v>
                        </c:pt>
                        <c:pt idx="20">
                          <c:v>1</c:v>
                        </c:pt>
                        <c:pt idx="21">
                          <c:v>2</c:v>
                        </c:pt>
                        <c:pt idx="22">
                          <c:v>3</c:v>
                        </c:pt>
                      </c:lvl>
                      <c:lvl>
                        <c:pt idx="0">
                          <c:v>2019</c:v>
                        </c:pt>
                        <c:pt idx="4">
                          <c:v>2020</c:v>
                        </c:pt>
                        <c:pt idx="8">
                          <c:v>2021</c:v>
                        </c:pt>
                        <c:pt idx="12">
                          <c:v>2022</c:v>
                        </c:pt>
                        <c:pt idx="16">
                          <c:v>2023</c:v>
                        </c:pt>
                        <c:pt idx="20">
                          <c:v>2024</c:v>
                        </c:pt>
                      </c:lvl>
                    </c:multiLvlStrCache>
                  </c:multiLvl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'Ceny 2'!$J$6:$J$24</c15:sqref>
                        </c15:formulaRef>
                      </c:ext>
                    </c:extLst>
                    <c:numCache>
                      <c:formatCode>General</c:formatCode>
                      <c:ptCount val="19"/>
                      <c:pt idx="0">
                        <c:v>-0.29999999999999716</c:v>
                      </c:pt>
                      <c:pt idx="1">
                        <c:v>-1</c:v>
                      </c:pt>
                      <c:pt idx="2">
                        <c:v>-1.4000000000000057</c:v>
                      </c:pt>
                      <c:pt idx="3">
                        <c:v>-1.7000000000000028</c:v>
                      </c:pt>
                      <c:pt idx="4">
                        <c:v>-1.0999999999999943</c:v>
                      </c:pt>
                      <c:pt idx="5">
                        <c:v>-1.9000000000000057</c:v>
                      </c:pt>
                      <c:pt idx="6">
                        <c:v>-1.5</c:v>
                      </c:pt>
                      <c:pt idx="7">
                        <c:v>-0.29999999999999716</c:v>
                      </c:pt>
                      <c:pt idx="8">
                        <c:v>3.5</c:v>
                      </c:pt>
                      <c:pt idx="9">
                        <c:v>3.4000000000000057</c:v>
                      </c:pt>
                      <c:pt idx="10">
                        <c:v>4.5</c:v>
                      </c:pt>
                      <c:pt idx="11">
                        <c:v>3.4000000000000057</c:v>
                      </c:pt>
                      <c:pt idx="12">
                        <c:v>2.7000000000000028</c:v>
                      </c:pt>
                      <c:pt idx="13">
                        <c:v>2.9000000000000057</c:v>
                      </c:pt>
                      <c:pt idx="14">
                        <c:v>7.7999999999999972</c:v>
                      </c:pt>
                      <c:pt idx="15">
                        <c:v>12.599999999999994</c:v>
                      </c:pt>
                      <c:pt idx="16">
                        <c:v>16.900000000000006</c:v>
                      </c:pt>
                      <c:pt idx="17">
                        <c:v>20</c:v>
                      </c:pt>
                      <c:pt idx="18">
                        <c:v>19</c:v>
                      </c:pt>
                    </c:numCache>
                  </c:numRef>
                </c:val>
                <c:smooth val="0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7-BBFD-4195-BC1C-40C681C127A6}"/>
                  </c:ext>
                </c:extLst>
              </c15:ser>
            </c15:filteredLineSeries>
          </c:ext>
        </c:extLst>
      </c:lineChart>
      <c:catAx>
        <c:axId val="2701200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70121600"/>
        <c:crosses val="autoZero"/>
        <c:auto val="1"/>
        <c:lblAlgn val="ctr"/>
        <c:lblOffset val="100"/>
        <c:noMultiLvlLbl val="0"/>
      </c:catAx>
      <c:valAx>
        <c:axId val="270121600"/>
        <c:scaling>
          <c:orientation val="minMax"/>
          <c:max val="27"/>
          <c:min val="-6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70120064"/>
        <c:crosses val="autoZero"/>
        <c:crossBetween val="between"/>
        <c:majorUnit val="3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3882134414049307E-2"/>
          <c:y val="0.85802375323651925"/>
          <c:w val="0.92470364741641342"/>
          <c:h val="0.1312535179556456"/>
        </c:manualLayout>
      </c:layout>
      <c:overlay val="0"/>
      <c:spPr>
        <a:ln w="6350">
          <a:noFill/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070373184734885E-2"/>
          <c:y val="2.9569886214146503E-2"/>
          <c:w val="0.90493308848362042"/>
          <c:h val="0.7355665315771695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'Ceny 1'!$C$5</c:f>
              <c:strCache>
                <c:ptCount val="1"/>
                <c:pt idx="0">
                  <c:v>Realizované ceny starších bytů, ČR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invertIfNegative val="0"/>
          <c:cat>
            <c:multiLvlStrRef>
              <c:f>'Ceny 1'!$A$10:$B$32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  <c:pt idx="8">
                    <c:v>2021</c:v>
                  </c:pt>
                  <c:pt idx="12">
                    <c:v>2022</c:v>
                  </c:pt>
                  <c:pt idx="16">
                    <c:v>2023</c:v>
                  </c:pt>
                  <c:pt idx="20">
                    <c:v>2024</c:v>
                  </c:pt>
                </c:lvl>
              </c:multiLvlStrCache>
            </c:multiLvlStrRef>
          </c:cat>
          <c:val>
            <c:numRef>
              <c:f>'Ceny 1'!$C$10:$C$32</c:f>
              <c:numCache>
                <c:formatCode>General</c:formatCode>
                <c:ptCount val="23"/>
                <c:pt idx="0">
                  <c:v>11.299999999999997</c:v>
                </c:pt>
                <c:pt idx="1">
                  <c:v>10.599999999999994</c:v>
                </c:pt>
                <c:pt idx="2">
                  <c:v>9.5</c:v>
                </c:pt>
                <c:pt idx="3">
                  <c:v>9.4000000000000057</c:v>
                </c:pt>
                <c:pt idx="4">
                  <c:v>10.599999999999994</c:v>
                </c:pt>
                <c:pt idx="5">
                  <c:v>10.200000000000003</c:v>
                </c:pt>
                <c:pt idx="6">
                  <c:v>11.200000000000003</c:v>
                </c:pt>
                <c:pt idx="7">
                  <c:v>13.299999999999997</c:v>
                </c:pt>
                <c:pt idx="8">
                  <c:v>15.200000000000003</c:v>
                </c:pt>
                <c:pt idx="9">
                  <c:v>17.900000000000006</c:v>
                </c:pt>
                <c:pt idx="10">
                  <c:v>21.299999999999997</c:v>
                </c:pt>
                <c:pt idx="11">
                  <c:v>25.200000000000003</c:v>
                </c:pt>
                <c:pt idx="12">
                  <c:v>27.299999999999997</c:v>
                </c:pt>
                <c:pt idx="13">
                  <c:v>27.599999999999994</c:v>
                </c:pt>
                <c:pt idx="14">
                  <c:v>23.400000000000006</c:v>
                </c:pt>
                <c:pt idx="15">
                  <c:v>13.799999999999997</c:v>
                </c:pt>
                <c:pt idx="16">
                  <c:v>3.7000000000000028</c:v>
                </c:pt>
                <c:pt idx="17">
                  <c:v>-4.0999999999999943</c:v>
                </c:pt>
                <c:pt idx="18">
                  <c:v>-7</c:v>
                </c:pt>
                <c:pt idx="19">
                  <c:v>-5.5</c:v>
                </c:pt>
                <c:pt idx="20">
                  <c:v>9.9999999999994316E-2</c:v>
                </c:pt>
                <c:pt idx="21">
                  <c:v>6.0999999999999943</c:v>
                </c:pt>
                <c:pt idx="22">
                  <c:v>10.700000000000003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804-4093-AD15-A15CDFE97231}"/>
            </c:ext>
          </c:extLst>
        </c:ser>
        <c:ser>
          <c:idx val="1"/>
          <c:order val="1"/>
          <c:tx>
            <c:strRef>
              <c:f>'Ceny 1'!$D$5</c:f>
              <c:strCache>
                <c:ptCount val="1"/>
                <c:pt idx="0">
                  <c:v>Realizované ceny starších bytů, Praha</c:v>
                </c:pt>
              </c:strCache>
            </c:strRef>
          </c:tx>
          <c:spPr>
            <a:solidFill>
              <a:prstClr val="black">
                <a:lumMod val="50000"/>
                <a:lumOff val="50000"/>
              </a:prstClr>
            </a:solidFill>
            <a:ln w="19050">
              <a:noFill/>
            </a:ln>
          </c:spPr>
          <c:invertIfNegative val="0"/>
          <c:cat>
            <c:multiLvlStrRef>
              <c:f>'Ceny 1'!$A$10:$B$32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  <c:pt idx="8">
                    <c:v>2021</c:v>
                  </c:pt>
                  <c:pt idx="12">
                    <c:v>2022</c:v>
                  </c:pt>
                  <c:pt idx="16">
                    <c:v>2023</c:v>
                  </c:pt>
                  <c:pt idx="20">
                    <c:v>2024</c:v>
                  </c:pt>
                </c:lvl>
              </c:multiLvlStrCache>
            </c:multiLvlStrRef>
          </c:cat>
          <c:val>
            <c:numRef>
              <c:f>'Ceny 1'!$D$10:$D$32</c:f>
              <c:numCache>
                <c:formatCode>General</c:formatCode>
                <c:ptCount val="23"/>
                <c:pt idx="0">
                  <c:v>9.4000000000000057</c:v>
                </c:pt>
                <c:pt idx="1">
                  <c:v>8.7000000000000028</c:v>
                </c:pt>
                <c:pt idx="2">
                  <c:v>6.5</c:v>
                </c:pt>
                <c:pt idx="3">
                  <c:v>7.0999999999999943</c:v>
                </c:pt>
                <c:pt idx="4">
                  <c:v>6.2000000000000028</c:v>
                </c:pt>
                <c:pt idx="5">
                  <c:v>8</c:v>
                </c:pt>
                <c:pt idx="6">
                  <c:v>9.4000000000000057</c:v>
                </c:pt>
                <c:pt idx="7">
                  <c:v>10.599999999999994</c:v>
                </c:pt>
                <c:pt idx="8">
                  <c:v>14.299999999999997</c:v>
                </c:pt>
                <c:pt idx="9">
                  <c:v>15.799999999999997</c:v>
                </c:pt>
                <c:pt idx="10">
                  <c:v>16.599999999999994</c:v>
                </c:pt>
                <c:pt idx="11">
                  <c:v>20</c:v>
                </c:pt>
                <c:pt idx="12">
                  <c:v>19</c:v>
                </c:pt>
                <c:pt idx="13">
                  <c:v>16.700000000000003</c:v>
                </c:pt>
                <c:pt idx="14">
                  <c:v>15.599999999999994</c:v>
                </c:pt>
                <c:pt idx="15">
                  <c:v>8.4000000000000057</c:v>
                </c:pt>
                <c:pt idx="16">
                  <c:v>1.2000000000000028</c:v>
                </c:pt>
                <c:pt idx="17">
                  <c:v>-3.5999999999999943</c:v>
                </c:pt>
                <c:pt idx="18">
                  <c:v>-5.2999999999999972</c:v>
                </c:pt>
                <c:pt idx="19">
                  <c:v>-2.5999999999999943</c:v>
                </c:pt>
                <c:pt idx="20">
                  <c:v>1</c:v>
                </c:pt>
                <c:pt idx="21">
                  <c:v>8.5999999999999943</c:v>
                </c:pt>
                <c:pt idx="22">
                  <c:v>11.799999999999997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804-4093-AD15-A15CDFE9723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axId val="270057856"/>
        <c:axId val="270059392"/>
      </c:barChart>
      <c:lineChart>
        <c:grouping val="standard"/>
        <c:varyColors val="0"/>
        <c:ser>
          <c:idx val="2"/>
          <c:order val="2"/>
          <c:tx>
            <c:strRef>
              <c:f>'Ceny 1'!$E$5</c:f>
              <c:strCache>
                <c:ptCount val="1"/>
                <c:pt idx="0">
                  <c:v>Nabídkové ceny bytů, ČR</c:v>
                </c:pt>
              </c:strCache>
            </c:strRef>
          </c:tx>
          <c:spPr>
            <a:ln w="19050">
              <a:solidFill>
                <a:schemeClr val="accent2"/>
              </a:solidFill>
            </a:ln>
          </c:spPr>
          <c:marker>
            <c:symbol val="none"/>
          </c:marker>
          <c:cat>
            <c:multiLvlStrRef>
              <c:f>'Ceny 1'!$A$10:$B$32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  <c:pt idx="8">
                    <c:v>2021</c:v>
                  </c:pt>
                  <c:pt idx="12">
                    <c:v>2022</c:v>
                  </c:pt>
                  <c:pt idx="16">
                    <c:v>2023</c:v>
                  </c:pt>
                  <c:pt idx="20">
                    <c:v>2024</c:v>
                  </c:pt>
                </c:lvl>
              </c:multiLvlStrCache>
            </c:multiLvlStrRef>
          </c:cat>
          <c:val>
            <c:numRef>
              <c:f>'Ceny 1'!$E$10:$E$32</c:f>
              <c:numCache>
                <c:formatCode>0.0</c:formatCode>
                <c:ptCount val="23"/>
                <c:pt idx="0">
                  <c:v>7.4232690935046435</c:v>
                </c:pt>
                <c:pt idx="1">
                  <c:v>5.7262569832402335</c:v>
                </c:pt>
                <c:pt idx="2">
                  <c:v>5.1912568306010911</c:v>
                </c:pt>
                <c:pt idx="3">
                  <c:v>5.5144586415601964</c:v>
                </c:pt>
                <c:pt idx="4">
                  <c:v>6.0465116279069662</c:v>
                </c:pt>
                <c:pt idx="5">
                  <c:v>7.1334214002641829</c:v>
                </c:pt>
                <c:pt idx="6">
                  <c:v>7.9870129870129887</c:v>
                </c:pt>
                <c:pt idx="7">
                  <c:v>7.6481835564053569</c:v>
                </c:pt>
                <c:pt idx="8">
                  <c:v>7.6441102756892292</c:v>
                </c:pt>
                <c:pt idx="9">
                  <c:v>7.9531442663378584</c:v>
                </c:pt>
                <c:pt idx="10">
                  <c:v>9.3205051112447421</c:v>
                </c:pt>
                <c:pt idx="11">
                  <c:v>12.433392539964473</c:v>
                </c:pt>
                <c:pt idx="12">
                  <c:v>16.880093131548307</c:v>
                </c:pt>
                <c:pt idx="13">
                  <c:v>24.671616219303274</c:v>
                </c:pt>
                <c:pt idx="14">
                  <c:v>22.937293729372925</c:v>
                </c:pt>
                <c:pt idx="15">
                  <c:v>18.325434439178508</c:v>
                </c:pt>
                <c:pt idx="16">
                  <c:v>9.8107569721115624</c:v>
                </c:pt>
                <c:pt idx="17" formatCode="General">
                  <c:v>-0.73293632615667548</c:v>
                </c:pt>
                <c:pt idx="18" formatCode="General">
                  <c:v>-3.3109619686800897</c:v>
                </c:pt>
                <c:pt idx="19" formatCode="General">
                  <c:v>-4.1833555852247315</c:v>
                </c:pt>
                <c:pt idx="20" formatCode="General">
                  <c:v>-0.68027210884353906</c:v>
                </c:pt>
                <c:pt idx="21" formatCode="General">
                  <c:v>3.3687125057683573</c:v>
                </c:pt>
                <c:pt idx="22" formatCode="General">
                  <c:v>6.9412309116150084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F804-4093-AD15-A15CDFE97231}"/>
            </c:ext>
          </c:extLst>
        </c:ser>
        <c:ser>
          <c:idx val="3"/>
          <c:order val="3"/>
          <c:tx>
            <c:strRef>
              <c:f>'Ceny 1'!$F$5</c:f>
              <c:strCache>
                <c:ptCount val="1"/>
                <c:pt idx="0">
                  <c:v>Nabídkové ceny bytů, Praha</c:v>
                </c:pt>
              </c:strCache>
            </c:strRef>
          </c:tx>
          <c:spPr>
            <a:ln>
              <a:solidFill>
                <a:schemeClr val="accent1"/>
              </a:solidFill>
            </a:ln>
          </c:spPr>
          <c:marker>
            <c:symbol val="none"/>
          </c:marker>
          <c:cat>
            <c:multiLvlStrRef>
              <c:f>'Ceny 1'!$A$10:$B$32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  <c:pt idx="8">
                    <c:v>2021</c:v>
                  </c:pt>
                  <c:pt idx="12">
                    <c:v>2022</c:v>
                  </c:pt>
                  <c:pt idx="16">
                    <c:v>2023</c:v>
                  </c:pt>
                  <c:pt idx="20">
                    <c:v>2024</c:v>
                  </c:pt>
                </c:lvl>
              </c:multiLvlStrCache>
            </c:multiLvlStrRef>
          </c:cat>
          <c:val>
            <c:numRef>
              <c:f>'Ceny 1'!$F$10:$F$32</c:f>
              <c:numCache>
                <c:formatCode>0.0</c:formatCode>
                <c:ptCount val="23"/>
                <c:pt idx="0">
                  <c:v>8.3178150217256359</c:v>
                </c:pt>
                <c:pt idx="1">
                  <c:v>4.9397590361445651</c:v>
                </c:pt>
                <c:pt idx="2">
                  <c:v>3.3096926713947994</c:v>
                </c:pt>
                <c:pt idx="3">
                  <c:v>2.9530978575564575</c:v>
                </c:pt>
                <c:pt idx="4">
                  <c:v>3.5530085959885298</c:v>
                </c:pt>
                <c:pt idx="5">
                  <c:v>5.2812858783008068</c:v>
                </c:pt>
                <c:pt idx="6">
                  <c:v>6.2356979405034281</c:v>
                </c:pt>
                <c:pt idx="7">
                  <c:v>5.1743532058492718</c:v>
                </c:pt>
                <c:pt idx="8">
                  <c:v>4.759269507470961</c:v>
                </c:pt>
                <c:pt idx="9">
                  <c:v>4.5256270447110012</c:v>
                </c:pt>
                <c:pt idx="10">
                  <c:v>6.2466343564889826</c:v>
                </c:pt>
                <c:pt idx="11">
                  <c:v>9.1443850267379503</c:v>
                </c:pt>
                <c:pt idx="12">
                  <c:v>12.255678816693077</c:v>
                </c:pt>
                <c:pt idx="13">
                  <c:v>19.718309859154942</c:v>
                </c:pt>
                <c:pt idx="14">
                  <c:v>18.499746578813998</c:v>
                </c:pt>
                <c:pt idx="15">
                  <c:v>16.903478686918177</c:v>
                </c:pt>
                <c:pt idx="16">
                  <c:v>10.305882352941182</c:v>
                </c:pt>
                <c:pt idx="17" formatCode="General">
                  <c:v>0.30501089324617681</c:v>
                </c:pt>
                <c:pt idx="18" formatCode="General">
                  <c:v>-1.5825491873396089</c:v>
                </c:pt>
                <c:pt idx="19" formatCode="General">
                  <c:v>-3.5624476110645418</c:v>
                </c:pt>
                <c:pt idx="20" formatCode="General">
                  <c:v>0.3412969283276226</c:v>
                </c:pt>
                <c:pt idx="21" formatCode="General">
                  <c:v>3.9965247610773247</c:v>
                </c:pt>
                <c:pt idx="22" formatCode="General">
                  <c:v>6.7796610169491629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F804-4093-AD15-A15CDFE9723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0057856"/>
        <c:axId val="270059392"/>
      </c:lineChart>
      <c:catAx>
        <c:axId val="2700578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70059392"/>
        <c:crosses val="autoZero"/>
        <c:auto val="1"/>
        <c:lblAlgn val="ctr"/>
        <c:lblOffset val="100"/>
        <c:noMultiLvlLbl val="0"/>
      </c:catAx>
      <c:valAx>
        <c:axId val="270059392"/>
        <c:scaling>
          <c:orientation val="minMax"/>
          <c:max val="28"/>
          <c:min val="-8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70057856"/>
        <c:crosses val="autoZero"/>
        <c:crossBetween val="between"/>
        <c:majorUnit val="4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7.3334810874704504E-2"/>
          <c:y val="0.88817854328492629"/>
          <c:w val="0.89999282337048292"/>
          <c:h val="9.8380614657210319E-2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948270126413842E-2"/>
          <c:y val="2.181131592422042E-2"/>
          <c:w val="0.91916383898868925"/>
          <c:h val="0.7166323314195656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'Ceny 4'!$C$5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invertIfNegative val="0"/>
          <c:cat>
            <c:multiLvlStrRef>
              <c:f>'Ceny 4'!$A$10:$B$32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  <c:pt idx="8">
                    <c:v>2021</c:v>
                  </c:pt>
                  <c:pt idx="12">
                    <c:v>2022</c:v>
                  </c:pt>
                  <c:pt idx="16">
                    <c:v>2023</c:v>
                  </c:pt>
                  <c:pt idx="20">
                    <c:v>2024</c:v>
                  </c:pt>
                </c:lvl>
              </c:multiLvlStrCache>
            </c:multiLvlStrRef>
          </c:cat>
          <c:val>
            <c:numRef>
              <c:f>'Ceny 4'!$C$10:$C$32</c:f>
              <c:numCache>
                <c:formatCode>General</c:formatCode>
                <c:ptCount val="23"/>
                <c:pt idx="0">
                  <c:v>3.5</c:v>
                </c:pt>
                <c:pt idx="1">
                  <c:v>3.5</c:v>
                </c:pt>
                <c:pt idx="2">
                  <c:v>2</c:v>
                </c:pt>
                <c:pt idx="3">
                  <c:v>1.2999999999999972</c:v>
                </c:pt>
                <c:pt idx="4">
                  <c:v>1.4000000000000057</c:v>
                </c:pt>
                <c:pt idx="5">
                  <c:v>-0.59999999999999432</c:v>
                </c:pt>
                <c:pt idx="6">
                  <c:v>-0.29999999999999716</c:v>
                </c:pt>
                <c:pt idx="7">
                  <c:v>9.9999999999994316E-2</c:v>
                </c:pt>
                <c:pt idx="8">
                  <c:v>1.5</c:v>
                </c:pt>
                <c:pt idx="9">
                  <c:v>5.2999999999999972</c:v>
                </c:pt>
                <c:pt idx="10">
                  <c:v>9</c:v>
                </c:pt>
                <c:pt idx="11">
                  <c:v>12.799999999999997</c:v>
                </c:pt>
                <c:pt idx="12">
                  <c:v>21.799999999999997</c:v>
                </c:pt>
                <c:pt idx="13">
                  <c:v>27.700000000000003</c:v>
                </c:pt>
                <c:pt idx="14">
                  <c:v>25.900000000000006</c:v>
                </c:pt>
                <c:pt idx="15">
                  <c:v>21.799999999999997</c:v>
                </c:pt>
                <c:pt idx="16">
                  <c:v>15</c:v>
                </c:pt>
                <c:pt idx="17">
                  <c:v>3.9000000000000057</c:v>
                </c:pt>
                <c:pt idx="18">
                  <c:v>1.3</c:v>
                </c:pt>
                <c:pt idx="19">
                  <c:v>0.8</c:v>
                </c:pt>
                <c:pt idx="20">
                  <c:v>-0.9</c:v>
                </c:pt>
                <c:pt idx="21">
                  <c:v>1.1000000000000001</c:v>
                </c:pt>
                <c:pt idx="22">
                  <c:v>1.2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3C5-439A-9932-D357698333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6"/>
        <c:axId val="271374208"/>
        <c:axId val="271375744"/>
      </c:barChart>
      <c:lineChart>
        <c:grouping val="standard"/>
        <c:varyColors val="0"/>
        <c:ser>
          <c:idx val="1"/>
          <c:order val="1"/>
          <c:tx>
            <c:strRef>
              <c:f>'Ceny 4'!$D$5</c:f>
              <c:strCache>
                <c:ptCount val="1"/>
                <c:pt idx="0">
                  <c:v>Těžba a dobývání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'Ceny 4'!$A$10:$B$32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  <c:pt idx="8">
                    <c:v>2021</c:v>
                  </c:pt>
                  <c:pt idx="12">
                    <c:v>2022</c:v>
                  </c:pt>
                  <c:pt idx="16">
                    <c:v>2023</c:v>
                  </c:pt>
                  <c:pt idx="20">
                    <c:v>2024</c:v>
                  </c:pt>
                </c:lvl>
              </c:multiLvlStrCache>
            </c:multiLvlStrRef>
          </c:cat>
          <c:val>
            <c:numRef>
              <c:f>'Ceny 4'!$D$10:$D$32</c:f>
              <c:numCache>
                <c:formatCode>General</c:formatCode>
                <c:ptCount val="23"/>
                <c:pt idx="0">
                  <c:v>7.7000000000000028</c:v>
                </c:pt>
                <c:pt idx="1">
                  <c:v>7.7000000000000028</c:v>
                </c:pt>
                <c:pt idx="2">
                  <c:v>6.7000000000000028</c:v>
                </c:pt>
                <c:pt idx="3">
                  <c:v>3.7000000000000028</c:v>
                </c:pt>
                <c:pt idx="4">
                  <c:v>-2.0999999999999943</c:v>
                </c:pt>
                <c:pt idx="5">
                  <c:v>-3.5</c:v>
                </c:pt>
                <c:pt idx="6">
                  <c:v>-3.5999999999999943</c:v>
                </c:pt>
                <c:pt idx="7">
                  <c:v>-2</c:v>
                </c:pt>
                <c:pt idx="8">
                  <c:v>-0.5</c:v>
                </c:pt>
                <c:pt idx="9">
                  <c:v>0.79999999999999716</c:v>
                </c:pt>
                <c:pt idx="10">
                  <c:v>3.2999999999999972</c:v>
                </c:pt>
                <c:pt idx="11">
                  <c:v>13.799999999999997</c:v>
                </c:pt>
                <c:pt idx="12">
                  <c:v>25.200000000000003</c:v>
                </c:pt>
                <c:pt idx="13">
                  <c:v>31.900000000000006</c:v>
                </c:pt>
                <c:pt idx="14">
                  <c:v>30.199999999999989</c:v>
                </c:pt>
                <c:pt idx="15">
                  <c:v>23.299999999999997</c:v>
                </c:pt>
                <c:pt idx="16">
                  <c:v>54</c:v>
                </c:pt>
                <c:pt idx="17">
                  <c:v>47.599999999999994</c:v>
                </c:pt>
                <c:pt idx="18">
                  <c:v>44.5</c:v>
                </c:pt>
                <c:pt idx="19">
                  <c:v>40.200000000000003</c:v>
                </c:pt>
                <c:pt idx="20">
                  <c:v>-1.2</c:v>
                </c:pt>
                <c:pt idx="21">
                  <c:v>-1.7</c:v>
                </c:pt>
                <c:pt idx="22">
                  <c:v>-0.5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D3C5-439A-9932-D357698333FF}"/>
            </c:ext>
          </c:extLst>
        </c:ser>
        <c:ser>
          <c:idx val="2"/>
          <c:order val="2"/>
          <c:tx>
            <c:strRef>
              <c:f>'Ceny 4'!$E$5</c:f>
              <c:strCache>
                <c:ptCount val="1"/>
                <c:pt idx="0">
                  <c:v>Zpracovatelský průmysl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'Ceny 4'!$A$10:$B$32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  <c:pt idx="8">
                    <c:v>2021</c:v>
                  </c:pt>
                  <c:pt idx="12">
                    <c:v>2022</c:v>
                  </c:pt>
                  <c:pt idx="16">
                    <c:v>2023</c:v>
                  </c:pt>
                  <c:pt idx="20">
                    <c:v>2024</c:v>
                  </c:pt>
                </c:lvl>
              </c:multiLvlStrCache>
            </c:multiLvlStrRef>
          </c:cat>
          <c:val>
            <c:numRef>
              <c:f>'Ceny 4'!$E$10:$E$32</c:f>
              <c:numCache>
                <c:formatCode>General</c:formatCode>
                <c:ptCount val="23"/>
                <c:pt idx="0">
                  <c:v>2.5999999999999943</c:v>
                </c:pt>
                <c:pt idx="1">
                  <c:v>2.5999999999999943</c:v>
                </c:pt>
                <c:pt idx="2">
                  <c:v>0.79999999999999716</c:v>
                </c:pt>
                <c:pt idx="3">
                  <c:v>-9.9999999999994316E-2</c:v>
                </c:pt>
                <c:pt idx="4">
                  <c:v>0</c:v>
                </c:pt>
                <c:pt idx="5">
                  <c:v>-2.2999999999999972</c:v>
                </c:pt>
                <c:pt idx="6">
                  <c:v>-1.7999999999999972</c:v>
                </c:pt>
                <c:pt idx="7">
                  <c:v>-1.2000000000000028</c:v>
                </c:pt>
                <c:pt idx="8">
                  <c:v>1.7999999999999972</c:v>
                </c:pt>
                <c:pt idx="9">
                  <c:v>6.5</c:v>
                </c:pt>
                <c:pt idx="10">
                  <c:v>11</c:v>
                </c:pt>
                <c:pt idx="11">
                  <c:v>14.5</c:v>
                </c:pt>
                <c:pt idx="12">
                  <c:v>17.5</c:v>
                </c:pt>
                <c:pt idx="13">
                  <c:v>24.200000000000003</c:v>
                </c:pt>
                <c:pt idx="14">
                  <c:v>20.5</c:v>
                </c:pt>
                <c:pt idx="15">
                  <c:v>16</c:v>
                </c:pt>
                <c:pt idx="16">
                  <c:v>10.299999999999997</c:v>
                </c:pt>
                <c:pt idx="17">
                  <c:v>-0.90000000000000568</c:v>
                </c:pt>
                <c:pt idx="18">
                  <c:v>-2.4</c:v>
                </c:pt>
                <c:pt idx="19">
                  <c:v>-2.2999999999999998</c:v>
                </c:pt>
                <c:pt idx="20">
                  <c:v>-1.7</c:v>
                </c:pt>
                <c:pt idx="21">
                  <c:v>0.1</c:v>
                </c:pt>
                <c:pt idx="22">
                  <c:v>0.2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D3C5-439A-9932-D357698333FF}"/>
            </c:ext>
          </c:extLst>
        </c:ser>
        <c:ser>
          <c:idx val="3"/>
          <c:order val="3"/>
          <c:tx>
            <c:strRef>
              <c:f>'Ceny 4'!$F$5</c:f>
              <c:strCache>
                <c:ptCount val="1"/>
                <c:pt idx="0">
                  <c:v>Elektřina, plyn, pára a klim. vzduch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multiLvlStrRef>
              <c:f>'Ceny 4'!$A$10:$B$32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  <c:pt idx="8">
                    <c:v>2021</c:v>
                  </c:pt>
                  <c:pt idx="12">
                    <c:v>2022</c:v>
                  </c:pt>
                  <c:pt idx="16">
                    <c:v>2023</c:v>
                  </c:pt>
                  <c:pt idx="20">
                    <c:v>2024</c:v>
                  </c:pt>
                </c:lvl>
              </c:multiLvlStrCache>
            </c:multiLvlStrRef>
          </c:cat>
          <c:val>
            <c:numRef>
              <c:f>'Ceny 4'!$F$10:$F$32</c:f>
              <c:numCache>
                <c:formatCode>General</c:formatCode>
                <c:ptCount val="23"/>
                <c:pt idx="0">
                  <c:v>7.7000000000000028</c:v>
                </c:pt>
                <c:pt idx="1">
                  <c:v>8.2999999999999972</c:v>
                </c:pt>
                <c:pt idx="2">
                  <c:v>7.7999999999999972</c:v>
                </c:pt>
                <c:pt idx="3">
                  <c:v>8.2999999999999972</c:v>
                </c:pt>
                <c:pt idx="4">
                  <c:v>8.9000000000000057</c:v>
                </c:pt>
                <c:pt idx="5">
                  <c:v>8.2000000000000028</c:v>
                </c:pt>
                <c:pt idx="6">
                  <c:v>7.7999999999999972</c:v>
                </c:pt>
                <c:pt idx="7">
                  <c:v>6.0999999999999943</c:v>
                </c:pt>
                <c:pt idx="8">
                  <c:v>0.29999999999999716</c:v>
                </c:pt>
                <c:pt idx="9">
                  <c:v>9.9999999999994316E-2</c:v>
                </c:pt>
                <c:pt idx="10">
                  <c:v>0.79999999999999716</c:v>
                </c:pt>
                <c:pt idx="11">
                  <c:v>5.5</c:v>
                </c:pt>
                <c:pt idx="12">
                  <c:v>45</c:v>
                </c:pt>
                <c:pt idx="13">
                  <c:v>47.199999999999989</c:v>
                </c:pt>
                <c:pt idx="14">
                  <c:v>56</c:v>
                </c:pt>
                <c:pt idx="15">
                  <c:v>54.300000000000011</c:v>
                </c:pt>
                <c:pt idx="16">
                  <c:v>28.400000000000006</c:v>
                </c:pt>
                <c:pt idx="17">
                  <c:v>18.400000000000006</c:v>
                </c:pt>
                <c:pt idx="18">
                  <c:v>10.5</c:v>
                </c:pt>
                <c:pt idx="19">
                  <c:v>7.1</c:v>
                </c:pt>
                <c:pt idx="20">
                  <c:v>0.8</c:v>
                </c:pt>
                <c:pt idx="21">
                  <c:v>4.5</c:v>
                </c:pt>
                <c:pt idx="22">
                  <c:v>4.2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D3C5-439A-9932-D357698333FF}"/>
            </c:ext>
          </c:extLst>
        </c:ser>
        <c:ser>
          <c:idx val="4"/>
          <c:order val="4"/>
          <c:tx>
            <c:strRef>
              <c:f>'Ceny 4'!$G$5</c:f>
              <c:strCache>
                <c:ptCount val="1"/>
                <c:pt idx="0">
                  <c:v>Zás. vodou; odpadní vody</c:v>
                </c:pt>
              </c:strCache>
            </c:strRef>
          </c:tx>
          <c:spPr>
            <a:ln w="19050">
              <a:solidFill>
                <a:schemeClr val="accent1"/>
              </a:solidFill>
            </a:ln>
          </c:spPr>
          <c:marker>
            <c:symbol val="none"/>
          </c:marker>
          <c:cat>
            <c:multiLvlStrRef>
              <c:f>'Ceny 4'!$A$10:$B$32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  <c:pt idx="8">
                    <c:v>2021</c:v>
                  </c:pt>
                  <c:pt idx="12">
                    <c:v>2022</c:v>
                  </c:pt>
                  <c:pt idx="16">
                    <c:v>2023</c:v>
                  </c:pt>
                  <c:pt idx="20">
                    <c:v>2024</c:v>
                  </c:pt>
                </c:lvl>
              </c:multiLvlStrCache>
            </c:multiLvlStrRef>
          </c:cat>
          <c:val>
            <c:numRef>
              <c:f>'Ceny 4'!$G$10:$G$32</c:f>
              <c:numCache>
                <c:formatCode>General</c:formatCode>
                <c:ptCount val="23"/>
                <c:pt idx="0">
                  <c:v>2.9000000000000057</c:v>
                </c:pt>
                <c:pt idx="1">
                  <c:v>2.9000000000000057</c:v>
                </c:pt>
                <c:pt idx="2">
                  <c:v>2.9000000000000057</c:v>
                </c:pt>
                <c:pt idx="3">
                  <c:v>2.9000000000000057</c:v>
                </c:pt>
                <c:pt idx="4">
                  <c:v>5.4000000000000057</c:v>
                </c:pt>
                <c:pt idx="5">
                  <c:v>6.0999999999999943</c:v>
                </c:pt>
                <c:pt idx="6">
                  <c:v>6.4000000000000057</c:v>
                </c:pt>
                <c:pt idx="7">
                  <c:v>6.4000000000000057</c:v>
                </c:pt>
                <c:pt idx="8">
                  <c:v>6.9000000000000057</c:v>
                </c:pt>
                <c:pt idx="9">
                  <c:v>6.2000000000000028</c:v>
                </c:pt>
                <c:pt idx="10">
                  <c:v>5.9000000000000057</c:v>
                </c:pt>
                <c:pt idx="11">
                  <c:v>5.9000000000000057</c:v>
                </c:pt>
                <c:pt idx="12">
                  <c:v>5.2999999999999972</c:v>
                </c:pt>
                <c:pt idx="13">
                  <c:v>5.2999999999999972</c:v>
                </c:pt>
                <c:pt idx="14">
                  <c:v>5.2999999999999972</c:v>
                </c:pt>
                <c:pt idx="15">
                  <c:v>5.2999999999999972</c:v>
                </c:pt>
                <c:pt idx="16">
                  <c:v>16.299999999999997</c:v>
                </c:pt>
                <c:pt idx="17">
                  <c:v>16.299999999999997</c:v>
                </c:pt>
                <c:pt idx="18">
                  <c:v>16.3</c:v>
                </c:pt>
                <c:pt idx="19">
                  <c:v>16.3</c:v>
                </c:pt>
                <c:pt idx="20">
                  <c:v>9.1999999999999993</c:v>
                </c:pt>
                <c:pt idx="21">
                  <c:v>9.1999999999999993</c:v>
                </c:pt>
                <c:pt idx="22">
                  <c:v>9.1999999999999993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D3C5-439A-9932-D357698333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1374208"/>
        <c:axId val="271375744"/>
      </c:lineChart>
      <c:catAx>
        <c:axId val="27137420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271375744"/>
        <c:crosses val="autoZero"/>
        <c:auto val="1"/>
        <c:lblAlgn val="ctr"/>
        <c:lblOffset val="100"/>
        <c:noMultiLvlLbl val="0"/>
      </c:catAx>
      <c:valAx>
        <c:axId val="271375744"/>
        <c:scaling>
          <c:orientation val="minMax"/>
          <c:min val="-5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71374208"/>
        <c:crosses val="autoZero"/>
        <c:crossBetween val="between"/>
        <c:majorUnit val="5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0756819693945444E-2"/>
          <c:y val="0.86223931272106069"/>
          <c:w val="0.91957268795741853"/>
          <c:h val="0.12109402425765226"/>
        </c:manualLayout>
      </c:layout>
      <c:overlay val="0"/>
      <c:spPr>
        <a:ln w="6350">
          <a:noFill/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204C7C21F48A488F44995C5F8FB06D" ma:contentTypeVersion="11" ma:contentTypeDescription="Vytvoří nový dokument" ma:contentTypeScope="" ma:versionID="1df8c39b067b5d25b5f5e865a8e6deb3">
  <xsd:schema xmlns:xsd="http://www.w3.org/2001/XMLSchema" xmlns:xs="http://www.w3.org/2001/XMLSchema" xmlns:p="http://schemas.microsoft.com/office/2006/metadata/properties" xmlns:ns3="b8c0c86d-151e-4fca-b0d5-747e6692fa1d" targetNamespace="http://schemas.microsoft.com/office/2006/metadata/properties" ma:root="true" ma:fieldsID="0a1e36cc980726b26aea9439dfb6e5b7" ns3:_="">
    <xsd:import namespace="b8c0c86d-151e-4fca-b0d5-747e6692fa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0c86d-151e-4fca-b0d5-747e6692fa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8A1E1-1E99-4B4F-B9B5-70567730AA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7681AD-41B0-431A-9D34-CF6700A12FAC}">
  <ds:schemaRefs>
    <ds:schemaRef ds:uri="http://www.w3.org/XML/1998/namespace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b8c0c86d-151e-4fca-b0d5-747e6692fa1d"/>
  </ds:schemaRefs>
</ds:datastoreItem>
</file>

<file path=customXml/itemProps3.xml><?xml version="1.0" encoding="utf-8"?>
<ds:datastoreItem xmlns:ds="http://schemas.openxmlformats.org/officeDocument/2006/customXml" ds:itemID="{C217542A-452A-49A6-BD70-25B5200F35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c0c86d-151e-4fca-b0d5-747e6692fa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4BA22F-6CC9-4236-80BF-1474304E0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2263</Words>
  <Characters>13357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Kučerová Jana</dc:creator>
  <cp:keywords/>
  <cp:lastModifiedBy>Zábojníková Karolína</cp:lastModifiedBy>
  <cp:revision>3</cp:revision>
  <cp:lastPrinted>2014-07-17T14:07:00Z</cp:lastPrinted>
  <dcterms:created xsi:type="dcterms:W3CDTF">2024-12-16T10:31:00Z</dcterms:created>
  <dcterms:modified xsi:type="dcterms:W3CDTF">2024-12-16T10:42:00Z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0x01010070204C7C21F48A488F44995C5F8FB06D</vt:lpwstr>
  </property>
  <property fmtid="{D5CDD505-2E9C-101B-9397-08002B2CF9AE}" pid="3" name="Názevformuláře">
    <vt:lpwstr>Publikace CZ barevné - vícetematické analýzy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2018-04-17T07:00:00Z</vt:filetime>
  </property>
  <property fmtid="{D5CDD505-2E9C-101B-9397-08002B2CF9AE}" pid="8" name="Označení">
    <vt:lpwstr>Form_c444</vt:lpwstr>
  </property>
  <property fmtid="{D5CDD505-2E9C-101B-9397-08002B2CF9AE}" pid="9" name="MediaServiceImageTags">
    <vt:lpwstr/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xd_Signature">
    <vt:bool>false</vt:bool>
  </property>
</Properties>
</file>