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32897" w14:textId="77777777" w:rsidR="00A75E40" w:rsidRPr="000A3A2C" w:rsidRDefault="00D57677" w:rsidP="00EA0987">
      <w:pPr>
        <w:pStyle w:val="Obsah"/>
        <w:rPr>
          <w:lang w:eastAsia="ar-SA"/>
        </w:rPr>
        <w:sectPr w:rsidR="00A75E40" w:rsidRPr="000A3A2C" w:rsidSect="0085114D">
          <w:headerReference w:type="even" r:id="rId11"/>
          <w:headerReference w:type="default" r:id="rId12"/>
          <w:footerReference w:type="even" r:id="rId13"/>
          <w:footerReference w:type="default" r:id="rId14"/>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21432970" wp14:editId="21432971">
                <wp:simplePos x="0" y="0"/>
                <wp:positionH relativeFrom="page">
                  <wp:posOffset>571500</wp:posOffset>
                </wp:positionH>
                <wp:positionV relativeFrom="page">
                  <wp:posOffset>466725</wp:posOffset>
                </wp:positionV>
                <wp:extent cx="2249805" cy="554355"/>
                <wp:effectExtent l="0" t="0" r="0" b="0"/>
                <wp:wrapSquare wrapText="bothSides"/>
                <wp:docPr id="5"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6"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c="http://schemas.openxmlformats.org/drawingml/2006/chart" xmlns:a16="http://schemas.microsoft.com/office/drawing/2014/main" xmlns:pic="http://schemas.openxmlformats.org/drawingml/2006/picture" xmlns:a14="http://schemas.microsoft.com/office/drawing/2010/main" xmlns:a="http://schemas.openxmlformats.org/drawingml/2006/main">
            <w:pict w14:anchorId="3593FFF3">
              <v:group id="Group 24" style="position:absolute;margin-left:45pt;margin-top:36.75pt;width:177.15pt;height:43.65pt;z-index:251657728;mso-position-horizontal-relative:page;mso-position-vertical-relative:page" coordsize="2714,667" coordorigin="567,851" o:spid="_x0000_s1026" w14:anchorId="593954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">
                <o:lock v:ext="edit" aspectratio="t"/>
                <v:rect id="Rectangle 9" style="position:absolute;left:1215;top:901;width:676;height:154;visibility:visible;mso-wrap-style:square;v-text-anchor:top" o:spid="_x0000_s1027"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">
                  <o:lock v:ext="edit" aspectratio="t"/>
                </v:rect>
                <v:rect id="Rectangle 10" style="position:absolute;left:567;top:1131;width:1324;height:154;visibility:visible;mso-wrap-style:square;v-text-anchor:top" o:spid="_x0000_s1028"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">
                  <o:lock v:ext="edit" aspectratio="t"/>
                </v:rect>
                <v:rect id="Rectangle 11" style="position:absolute;left:1288;top:1361;width:603;height:153;visibility:visible;mso-wrap-style:square;v-text-anchor:top" o:spid="_x0000_s1029"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">
                  <o:lock v:ext="edit" aspectratio="t"/>
                </v:rect>
                <v:shape id="Freeform 12" style="position:absolute;left:1969;top:1311;width:600;height:207;visibility:visible;mso-wrap-style:square;v-text-anchor:top" coordsize="1200,415" o:spid="_x0000_s1030" fillcolor="#bd1b21" stroked="f"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">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verticies="t" aspectratio="t"/>
                </v:shape>
                <v:shape id="Freeform 13" style="position:absolute;left:1962;top:1081;width:1319;height:208;visibility:visible;mso-wrap-style:square;v-text-anchor:top" coordsize="2637,416" o:spid="_x0000_s1031" fillcolor="#bd1b21" stroked="f"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">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verticies="t" aspectratio="t"/>
                </v:shape>
                <v:shape id="Freeform 14" style="position:absolute;left:1962;top:851;width:679;height:208;visibility:visible;mso-wrap-style:square;v-text-anchor:top" coordsize="1358,416" o:spid="_x0000_s1032" fillcolor="#bd1b21" stroked="f"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">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verticies="t" aspectratio="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21432972" wp14:editId="21432973">
                <wp:simplePos x="0" y="0"/>
                <wp:positionH relativeFrom="page">
                  <wp:posOffset>1705610</wp:posOffset>
                </wp:positionH>
                <wp:positionV relativeFrom="page">
                  <wp:posOffset>8173085</wp:posOffset>
                </wp:positionV>
                <wp:extent cx="5130165" cy="925195"/>
                <wp:effectExtent l="3810" t="0" r="0" b="0"/>
                <wp:wrapNone/>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2143298E" w14:textId="62A2CBF3" w:rsidR="0083516C" w:rsidRPr="006C5577" w:rsidRDefault="0083516C" w:rsidP="004924DC">
                            <w:r>
                              <w:t>Z</w:t>
                            </w:r>
                            <w:r w:rsidRPr="006C5577">
                              <w:t xml:space="preserve">pracoval: </w:t>
                            </w:r>
                            <w:r>
                              <w:t>o</w:t>
                            </w:r>
                            <w:r w:rsidRPr="006C5577">
                              <w:t>dbor</w:t>
                            </w:r>
                            <w:r>
                              <w:t xml:space="preserve"> Kancelář předsedy</w:t>
                            </w:r>
                            <w:r w:rsidRPr="006C5577">
                              <w:t xml:space="preserve"> </w:t>
                            </w:r>
                          </w:p>
                          <w:p w14:paraId="2143298F" w14:textId="3A6544AB" w:rsidR="0083516C" w:rsidRPr="006C5577" w:rsidRDefault="0083516C" w:rsidP="004924DC">
                            <w:r w:rsidRPr="006C5577">
                              <w:t xml:space="preserve">Ředitel odboru: </w:t>
                            </w:r>
                            <w:r>
                              <w:t>Egor Sidorov, Ph.D.</w:t>
                            </w:r>
                          </w:p>
                          <w:p w14:paraId="21432990" w14:textId="384FDA5E" w:rsidR="0083516C" w:rsidRPr="006C5577" w:rsidRDefault="0083516C" w:rsidP="004924DC">
                            <w:r w:rsidRPr="006C5577">
                              <w:t xml:space="preserve">Kontaktní osoba: </w:t>
                            </w:r>
                            <w:r>
                              <w:t>Karolína Zábojníková</w:t>
                            </w:r>
                            <w:r w:rsidRPr="006C5577">
                              <w:t>,</w:t>
                            </w:r>
                            <w:r>
                              <w:t xml:space="preserve"> e-mail: karolina.zabojnikova@csu.gov.cz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432972" id="_x0000_t202" coordsize="21600,21600" o:spt="202" path="m,l,21600r21600,l21600,xe">
                <v:stroke joinstyle="miter"/>
                <v:path gradientshapeok="t" o:connecttype="rect"/>
              </v:shapetype>
              <v:shape id="Textové pole 2" o:spid="_x0000_s1026" type="#_x0000_t202" style="position:absolute;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" filled="f" stroked="f">
                <v:textbox inset="0,0,0,0">
                  <w:txbxContent>
                    <w:p w14:paraId="2143298E" w14:textId="62A2CBF3" w:rsidR="0083516C" w:rsidRPr="006C5577" w:rsidRDefault="0083516C" w:rsidP="004924DC">
                      <w:r>
                        <w:t>Z</w:t>
                      </w:r>
                      <w:r w:rsidRPr="006C5577">
                        <w:t xml:space="preserve">pracoval: </w:t>
                      </w:r>
                      <w:r>
                        <w:t>o</w:t>
                      </w:r>
                      <w:r w:rsidRPr="006C5577">
                        <w:t>dbor</w:t>
                      </w:r>
                      <w:r>
                        <w:t xml:space="preserve"> Kancelář předsedy</w:t>
                      </w:r>
                      <w:r w:rsidRPr="006C5577">
                        <w:t xml:space="preserve"> </w:t>
                      </w:r>
                    </w:p>
                    <w:p w14:paraId="2143298F" w14:textId="3A6544AB" w:rsidR="0083516C" w:rsidRPr="006C5577" w:rsidRDefault="0083516C" w:rsidP="004924DC">
                      <w:r w:rsidRPr="006C5577">
                        <w:t xml:space="preserve">Ředitel odboru: </w:t>
                      </w:r>
                      <w:r>
                        <w:t>Egor Sidorov, Ph.D.</w:t>
                      </w:r>
                    </w:p>
                    <w:p w14:paraId="21432990" w14:textId="384FDA5E" w:rsidR="0083516C" w:rsidRPr="006C5577" w:rsidRDefault="0083516C" w:rsidP="004924DC">
                      <w:r w:rsidRPr="006C5577">
                        <w:t xml:space="preserve">Kontaktní osoba: </w:t>
                      </w:r>
                      <w:r>
                        <w:t>Karolína Zábojníková</w:t>
                      </w:r>
                      <w:r w:rsidRPr="006C5577">
                        <w:t>,</w:t>
                      </w:r>
                      <w:r>
                        <w:t xml:space="preserve"> e-mail: karolina.zabojnikova@csu.gov.cz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21432974" wp14:editId="21432975">
                <wp:simplePos x="0" y="0"/>
                <wp:positionH relativeFrom="page">
                  <wp:posOffset>1710055</wp:posOffset>
                </wp:positionH>
                <wp:positionV relativeFrom="page">
                  <wp:posOffset>4680585</wp:posOffset>
                </wp:positionV>
                <wp:extent cx="5129530" cy="1686560"/>
                <wp:effectExtent l="0" t="0" r="1270" b="1524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79046422" w14:textId="77777777" w:rsidR="0083516C" w:rsidRDefault="0083516C" w:rsidP="004924DC">
                            <w:pPr>
                              <w:pStyle w:val="TLIdentifikace-sted"/>
                            </w:pPr>
                            <w:r w:rsidRPr="00C72884">
                              <w:t>Souhrnná data o České republice</w:t>
                            </w:r>
                          </w:p>
                          <w:p w14:paraId="21432992" w14:textId="42BA083D" w:rsidR="0083516C" w:rsidRPr="004924DC" w:rsidRDefault="0083516C" w:rsidP="004924DC">
                            <w:pPr>
                              <w:pStyle w:val="TLIdentifikace-sted"/>
                            </w:pPr>
                            <w:r>
                              <w:t>Praha, 17. 12. 2024</w:t>
                            </w:r>
                          </w:p>
                          <w:p w14:paraId="21432993" w14:textId="14C90D98" w:rsidR="0083516C" w:rsidRPr="004924DC" w:rsidRDefault="0083516C" w:rsidP="004924DC">
                            <w:pPr>
                              <w:pStyle w:val="TLIdentifikace-sted"/>
                            </w:pPr>
                            <w:r w:rsidRPr="004924DC">
                              <w:t xml:space="preserve">Kód publikace: </w:t>
                            </w:r>
                            <w:r>
                              <w:t>320193-24</w:t>
                            </w:r>
                          </w:p>
                          <w:p w14:paraId="21432994" w14:textId="5930D47D" w:rsidR="0083516C" w:rsidRPr="004924DC" w:rsidRDefault="0083516C" w:rsidP="004924DC">
                            <w:pPr>
                              <w:pStyle w:val="TLIdentifikace-sted"/>
                            </w:pPr>
                            <w:r>
                              <w:t>Pořadové číslo v roce: 3</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4" id="_x0000_s1027" type="#_x0000_t202" style="position:absolute;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" filled="f" stroked="f">
                <v:textbox style="mso-fit-shape-to-text:t" inset="0,0,0,0">
                  <w:txbxContent>
                    <w:p w14:paraId="79046422" w14:textId="77777777" w:rsidR="0083516C" w:rsidRDefault="0083516C" w:rsidP="004924DC">
                      <w:pPr>
                        <w:pStyle w:val="TLIdentifikace-sted"/>
                      </w:pPr>
                      <w:r w:rsidRPr="00C72884">
                        <w:t>Souhrnná data o České republice</w:t>
                      </w:r>
                    </w:p>
                    <w:p w14:paraId="21432992" w14:textId="42BA083D" w:rsidR="0083516C" w:rsidRPr="004924DC" w:rsidRDefault="0083516C" w:rsidP="004924DC">
                      <w:pPr>
                        <w:pStyle w:val="TLIdentifikace-sted"/>
                      </w:pPr>
                      <w:r>
                        <w:t>Praha, 17. 12. 2024</w:t>
                      </w:r>
                    </w:p>
                    <w:p w14:paraId="21432993" w14:textId="14C90D98" w:rsidR="0083516C" w:rsidRPr="004924DC" w:rsidRDefault="0083516C" w:rsidP="004924DC">
                      <w:pPr>
                        <w:pStyle w:val="TLIdentifikace-sted"/>
                      </w:pPr>
                      <w:r w:rsidRPr="004924DC">
                        <w:t xml:space="preserve">Kód publikace: </w:t>
                      </w:r>
                      <w:r>
                        <w:t>320193-24</w:t>
                      </w:r>
                    </w:p>
                    <w:p w14:paraId="21432994" w14:textId="5930D47D" w:rsidR="0083516C" w:rsidRPr="004924DC" w:rsidRDefault="0083516C" w:rsidP="004924DC">
                      <w:pPr>
                        <w:pStyle w:val="TLIdentifikace-sted"/>
                      </w:pPr>
                      <w:r>
                        <w:t>Pořadové číslo v roce: 3</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21432976" wp14:editId="21432977">
                <wp:simplePos x="0" y="0"/>
                <wp:positionH relativeFrom="page">
                  <wp:posOffset>1710055</wp:posOffset>
                </wp:positionH>
                <wp:positionV relativeFrom="page">
                  <wp:posOffset>1476375</wp:posOffset>
                </wp:positionV>
                <wp:extent cx="5129530" cy="2207895"/>
                <wp:effectExtent l="0" t="0" r="1270" b="1905"/>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20789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21432996" w14:textId="454255AE" w:rsidR="0083516C" w:rsidRPr="00DE02BD" w:rsidRDefault="0083516C" w:rsidP="0012192F">
                            <w:pPr>
                              <w:pStyle w:val="Podnadpis"/>
                            </w:pPr>
                            <w:r w:rsidRPr="00C72884">
                              <w:rPr>
                                <w:rFonts w:cs="Times New Roman"/>
                                <w:bCs/>
                                <w:caps/>
                                <w:kern w:val="28"/>
                                <w:sz w:val="56"/>
                                <w:szCs w:val="32"/>
                              </w:rPr>
                              <w:t>VÝVOJ EKONOMIKY ČESKÉ REPUBLIKY</w:t>
                            </w:r>
                          </w:p>
                          <w:p w14:paraId="21432997" w14:textId="677E9C3E" w:rsidR="0083516C" w:rsidRPr="00DE02BD" w:rsidRDefault="0083516C" w:rsidP="0012192F">
                            <w:pPr>
                              <w:pStyle w:val="Podnadpis"/>
                            </w:pPr>
                            <w:r>
                              <w:t>1. až 3. čtvrtletí 2024</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6" id="_x0000_s1028" type="#_x0000_t202" style="position:absolute;margin-left:134.65pt;margin-top:116.25pt;width:403.9pt;height:173.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" filled="f" stroked="f">
                <v:textbox style="mso-fit-shape-to-text:t" inset="0,0,0,0">
                  <w:txbxContent>
                    <w:p w14:paraId="21432996" w14:textId="454255AE" w:rsidR="0083516C" w:rsidRPr="00DE02BD" w:rsidRDefault="0083516C" w:rsidP="0012192F">
                      <w:pPr>
                        <w:pStyle w:val="Podnadpis"/>
                      </w:pPr>
                      <w:r w:rsidRPr="00C72884">
                        <w:rPr>
                          <w:rFonts w:cs="Times New Roman"/>
                          <w:bCs/>
                          <w:caps/>
                          <w:kern w:val="28"/>
                          <w:sz w:val="56"/>
                          <w:szCs w:val="32"/>
                        </w:rPr>
                        <w:t>VÝVOJ EKONOMIKY ČESKÉ REPUBLIKY</w:t>
                      </w:r>
                    </w:p>
                    <w:p w14:paraId="21432997" w14:textId="677E9C3E" w:rsidR="0083516C" w:rsidRPr="00DE02BD" w:rsidRDefault="0083516C" w:rsidP="0012192F">
                      <w:pPr>
                        <w:pStyle w:val="Podnadpis"/>
                      </w:pPr>
                      <w:r>
                        <w:t>1. až 3. čtvrtletí 2024</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21432978" wp14:editId="5BD8AB08">
                <wp:simplePos x="0" y="0"/>
                <wp:positionH relativeFrom="page">
                  <wp:posOffset>1700530</wp:posOffset>
                </wp:positionH>
                <wp:positionV relativeFrom="page">
                  <wp:posOffset>9649460</wp:posOffset>
                </wp:positionV>
                <wp:extent cx="5130165" cy="179705"/>
                <wp:effectExtent l="0" t="0" r="13335" b="1079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21432999" w14:textId="5D3A9B27" w:rsidR="0083516C" w:rsidRPr="004924DC" w:rsidRDefault="0083516C" w:rsidP="004924DC">
                            <w:r w:rsidRPr="004924DC">
                              <w:t xml:space="preserve">© Český statistický úřad, </w:t>
                            </w:r>
                            <w:r>
                              <w:t>Praha</w:t>
                            </w:r>
                            <w:r w:rsidRPr="004924DC">
                              <w:t xml:space="preserve">, </w:t>
                            </w:r>
                            <w:r>
                              <w:t>2024</w:t>
                            </w:r>
                          </w:p>
                          <w:p w14:paraId="2143299A" w14:textId="77777777" w:rsidR="0083516C" w:rsidRPr="005251DD" w:rsidRDefault="0083516C" w:rsidP="00665BA4"/>
                          <w:p w14:paraId="2143299B" w14:textId="77777777" w:rsidR="0083516C" w:rsidRPr="005251DD" w:rsidRDefault="0083516C" w:rsidP="00FC684B"/>
                          <w:p w14:paraId="2143299C" w14:textId="77777777" w:rsidR="0083516C" w:rsidRDefault="0083516C"/>
                          <w:p w14:paraId="2143299D" w14:textId="77777777" w:rsidR="0083516C" w:rsidRPr="00097407" w:rsidRDefault="0083516C"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2143299E" w14:textId="77777777" w:rsidR="0083516C" w:rsidRPr="005251DD" w:rsidRDefault="0083516C" w:rsidP="00665BA4"/>
                          <w:p w14:paraId="2143299F" w14:textId="77777777" w:rsidR="0083516C" w:rsidRPr="005251DD" w:rsidRDefault="0083516C"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32978" id="_x0000_s1029" type="#_x0000_t202" style="position:absolute;margin-left:133.9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" filled="f" stroked="f">
                <v:textbox inset="0,0,0,0">
                  <w:txbxContent>
                    <w:p w14:paraId="21432999" w14:textId="5D3A9B27" w:rsidR="0083516C" w:rsidRPr="004924DC" w:rsidRDefault="0083516C" w:rsidP="004924DC">
                      <w:r w:rsidRPr="004924DC">
                        <w:t xml:space="preserve">© Český statistický úřad, </w:t>
                      </w:r>
                      <w:r>
                        <w:t>Praha</w:t>
                      </w:r>
                      <w:r w:rsidRPr="004924DC">
                        <w:t xml:space="preserve">, </w:t>
                      </w:r>
                      <w:r>
                        <w:t>2024</w:t>
                      </w:r>
                    </w:p>
                    <w:p w14:paraId="2143299A" w14:textId="77777777" w:rsidR="0083516C" w:rsidRPr="005251DD" w:rsidRDefault="0083516C" w:rsidP="00665BA4"/>
                    <w:p w14:paraId="2143299B" w14:textId="77777777" w:rsidR="0083516C" w:rsidRPr="005251DD" w:rsidRDefault="0083516C" w:rsidP="00FC684B"/>
                    <w:p w14:paraId="2143299C" w14:textId="77777777" w:rsidR="0083516C" w:rsidRDefault="0083516C"/>
                    <w:p w14:paraId="2143299D" w14:textId="77777777" w:rsidR="0083516C" w:rsidRPr="00097407" w:rsidRDefault="0083516C"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2143299E" w14:textId="77777777" w:rsidR="0083516C" w:rsidRPr="005251DD" w:rsidRDefault="0083516C" w:rsidP="00665BA4"/>
                    <w:p w14:paraId="2143299F" w14:textId="77777777" w:rsidR="0083516C" w:rsidRPr="005251DD" w:rsidRDefault="0083516C" w:rsidP="00FC684B"/>
                  </w:txbxContent>
                </v:textbox>
                <w10:wrap anchorx="page" anchory="page"/>
                <w10:anchorlock/>
              </v:shape>
            </w:pict>
          </mc:Fallback>
        </mc:AlternateContent>
      </w:r>
      <w:r>
        <w:rPr>
          <w:noProof/>
        </w:rPr>
        <mc:AlternateContent>
          <mc:Choice Requires="wps">
            <w:drawing>
              <wp:anchor distT="4294967294" distB="4294967294" distL="114300" distR="114300" simplePos="0" relativeHeight="251653632" behindDoc="0" locked="1" layoutInCell="0" allowOverlap="1" wp14:anchorId="2143297A" wp14:editId="2143297B">
                <wp:simplePos x="0" y="0"/>
                <wp:positionH relativeFrom="page">
                  <wp:posOffset>1710055</wp:posOffset>
                </wp:positionH>
                <wp:positionV relativeFrom="page">
                  <wp:posOffset>9361169</wp:posOffset>
                </wp:positionV>
                <wp:extent cx="5130165" cy="0"/>
                <wp:effectExtent l="0" t="0" r="26035" b="2540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c="http://schemas.openxmlformats.org/drawingml/2006/chart" xmlns:a16="http://schemas.microsoft.com/office/drawing/2014/main" xmlns:pic="http://schemas.openxmlformats.org/drawingml/2006/picture" xmlns:a14="http://schemas.microsoft.com/office/drawing/2010/main" xmlns:a="http://schemas.openxmlformats.org/drawingml/2006/main">
            <w:pict w14:anchorId="374F4708">
              <v:line id="Přímá spojnice 33" style="position:absolute;z-index:25165363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o:spid="_x0000_s1026" o:allowincell="f" strokecolor="windowText" strokeweight="1pt" from="134.65pt,737.1pt" to="538.6pt,737.1pt" w14:anchorId="26CA64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lock v:ext="edit" shapetype="f"/>
                <w10:wrap anchorx="page" anchory="page"/>
                <w10:anchorlock/>
              </v:line>
            </w:pict>
          </mc:Fallback>
        </mc:AlternateContent>
      </w:r>
      <w:r w:rsidR="00F63FB7">
        <w:br w:type="page"/>
      </w:r>
      <w:r>
        <w:lastRenderedPageBreak/>
        <w:br w:type="page"/>
      </w:r>
      <w:r>
        <w:rPr>
          <w:noProof/>
        </w:rPr>
        <mc:AlternateContent>
          <mc:Choice Requires="wps">
            <w:drawing>
              <wp:anchor distT="0" distB="0" distL="114300" distR="114300" simplePos="0" relativeHeight="251659776" behindDoc="0" locked="1" layoutInCell="1" allowOverlap="1" wp14:anchorId="2143297C" wp14:editId="2143297D">
                <wp:simplePos x="0" y="0"/>
                <wp:positionH relativeFrom="page">
                  <wp:posOffset>723900</wp:posOffset>
                </wp:positionH>
                <wp:positionV relativeFrom="page">
                  <wp:posOffset>1440180</wp:posOffset>
                </wp:positionV>
                <wp:extent cx="6119495" cy="7673340"/>
                <wp:effectExtent l="0" t="5080" r="1905" b="63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214329A0" w14:textId="77777777" w:rsidR="0083516C" w:rsidRPr="00DE02BD" w:rsidRDefault="0083516C" w:rsidP="00040D10">
                            <w:pPr>
                              <w:pStyle w:val="TLKontaktyerven"/>
                            </w:pPr>
                            <w:r w:rsidRPr="00DE02BD">
                              <w:t>KONTAKTY V ÚSTŘEDÍ</w:t>
                            </w:r>
                          </w:p>
                          <w:p w14:paraId="214329A1" w14:textId="77777777" w:rsidR="0083516C" w:rsidRPr="007D40DF" w:rsidRDefault="0083516C" w:rsidP="00040D10">
                            <w:pPr>
                              <w:pStyle w:val="TLKontakty"/>
                              <w:spacing w:after="80" w:line="240" w:lineRule="auto"/>
                              <w:contextualSpacing w:val="0"/>
                              <w:rPr>
                                <w:b w:val="0"/>
                                <w:color w:val="auto"/>
                              </w:rPr>
                            </w:pPr>
                            <w:r w:rsidRPr="00EA0987">
                              <w:t>Český statistický úřad</w:t>
                            </w:r>
                            <w:r w:rsidRPr="00EA0987">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Pr>
                                <w:color w:val="auto"/>
                              </w:rPr>
                              <w:t>www.csu.gov</w:t>
                            </w:r>
                            <w:r w:rsidRPr="007D40DF">
                              <w:rPr>
                                <w:color w:val="auto"/>
                              </w:rPr>
                              <w:t>.cz</w:t>
                            </w:r>
                          </w:p>
                          <w:p w14:paraId="214329A2" w14:textId="77777777" w:rsidR="0083516C" w:rsidRPr="00D235B7" w:rsidRDefault="0083516C" w:rsidP="00040D10">
                            <w:pPr>
                              <w:pStyle w:val="TLKontakty"/>
                              <w:spacing w:after="80" w:line="240" w:lineRule="auto"/>
                              <w:contextualSpacing w:val="0"/>
                              <w:rPr>
                                <w:b w:val="0"/>
                                <w:color w:val="auto"/>
                              </w:rPr>
                            </w:pPr>
                            <w:r w:rsidRPr="00D235B7">
                              <w:rPr>
                                <w:color w:val="auto"/>
                              </w:rPr>
                              <w:t>Oddělení informačních služeb</w:t>
                            </w:r>
                            <w:r>
                              <w:rPr>
                                <w:b w:val="0"/>
                                <w:color w:val="auto"/>
                              </w:rPr>
                              <w:t xml:space="preserve"> | tel.: 274 056 789 | e-mail: infoservis@csu.gov</w:t>
                            </w:r>
                            <w:r w:rsidRPr="00D235B7">
                              <w:rPr>
                                <w:b w:val="0"/>
                                <w:color w:val="auto"/>
                              </w:rPr>
                              <w:t>.cz</w:t>
                            </w:r>
                          </w:p>
                          <w:p w14:paraId="214329A3" w14:textId="77777777" w:rsidR="0083516C" w:rsidRPr="00D235B7" w:rsidRDefault="0083516C" w:rsidP="00040D10">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xml:space="preserve"> 052 361 | e-mail: prodejna@csu.gov</w:t>
                            </w:r>
                            <w:r w:rsidRPr="00D235B7">
                              <w:rPr>
                                <w:b w:val="0"/>
                                <w:color w:val="auto"/>
                              </w:rPr>
                              <w:t>.cz</w:t>
                            </w:r>
                          </w:p>
                          <w:p w14:paraId="214329A4" w14:textId="77777777" w:rsidR="0083516C" w:rsidRPr="00D235B7" w:rsidRDefault="0083516C" w:rsidP="00040D10">
                            <w:pPr>
                              <w:pStyle w:val="TLKontakty"/>
                              <w:spacing w:after="80" w:line="240" w:lineRule="auto"/>
                              <w:contextualSpacing w:val="0"/>
                              <w:rPr>
                                <w:b w:val="0"/>
                                <w:color w:val="auto"/>
                              </w:rPr>
                            </w:pPr>
                            <w:r w:rsidRPr="00D235B7">
                              <w:rPr>
                                <w:color w:val="auto"/>
                              </w:rPr>
                              <w:t>Evropská data (ESDS), mezinárodní srovnání</w:t>
                            </w:r>
                            <w:r>
                              <w:rPr>
                                <w:b w:val="0"/>
                                <w:color w:val="auto"/>
                              </w:rPr>
                              <w:t xml:space="preserve"> | tel.: 274 052 732 | e-mail: esds@csu.gov</w:t>
                            </w:r>
                            <w:r w:rsidRPr="00D235B7">
                              <w:rPr>
                                <w:b w:val="0"/>
                                <w:color w:val="auto"/>
                              </w:rPr>
                              <w:t>.cz</w:t>
                            </w:r>
                          </w:p>
                          <w:p w14:paraId="214329A5" w14:textId="77777777" w:rsidR="0083516C" w:rsidRPr="00D235B7" w:rsidRDefault="0083516C" w:rsidP="00040D10">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xml:space="preserve"> 052 361 | e-mail: knihovna@csu.gov</w:t>
                            </w:r>
                            <w:r w:rsidRPr="00D235B7">
                              <w:rPr>
                                <w:b w:val="0"/>
                                <w:color w:val="auto"/>
                              </w:rPr>
                              <w:t>.cz</w:t>
                            </w:r>
                          </w:p>
                          <w:p w14:paraId="214329A6" w14:textId="77777777" w:rsidR="0083516C" w:rsidRPr="004A61C5" w:rsidRDefault="0083516C" w:rsidP="00040D10">
                            <w:pPr>
                              <w:pStyle w:val="TLKontakty"/>
                              <w:spacing w:after="80" w:line="240" w:lineRule="auto"/>
                              <w:contextualSpacing w:val="0"/>
                              <w:rPr>
                                <w:color w:val="auto"/>
                              </w:rPr>
                            </w:pPr>
                          </w:p>
                          <w:p w14:paraId="40288679" w14:textId="77777777" w:rsidR="0083516C" w:rsidRPr="00DE02BD" w:rsidRDefault="0083516C" w:rsidP="00AB535B">
                            <w:pPr>
                              <w:pStyle w:val="TLKontaktyerven"/>
                            </w:pPr>
                            <w:r w:rsidRPr="00DE02BD">
                              <w:t>INFORMAČNÍ SLUŽBY V REGIONECH</w:t>
                            </w:r>
                          </w:p>
                          <w:p w14:paraId="6DBBA526" w14:textId="77777777" w:rsidR="0083516C" w:rsidRPr="00992CF3" w:rsidRDefault="0083516C" w:rsidP="00AB535B">
                            <w:pPr>
                              <w:pStyle w:val="TLKontakty"/>
                              <w:spacing w:after="80" w:line="240" w:lineRule="auto"/>
                              <w:rPr>
                                <w:b w:val="0"/>
                                <w:color w:val="auto"/>
                              </w:rPr>
                            </w:pPr>
                            <w:r w:rsidRPr="00EA0987">
                              <w:t>Hl. m. Praha</w:t>
                            </w:r>
                            <w:r w:rsidRPr="00EA0987">
                              <w:rPr>
                                <w:b w:val="0"/>
                              </w:rPr>
                              <w:t xml:space="preserve"> </w:t>
                            </w:r>
                            <w:r w:rsidRPr="00992CF3">
                              <w:rPr>
                                <w:b w:val="0"/>
                                <w:color w:val="auto"/>
                              </w:rPr>
                              <w:t>|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w:t>
                            </w:r>
                          </w:p>
                          <w:p w14:paraId="52BB90CC" w14:textId="77777777" w:rsidR="0083516C" w:rsidRPr="00992CF3" w:rsidRDefault="0083516C" w:rsidP="00AB535B">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14:paraId="00AED4D4" w14:textId="77777777" w:rsidR="0083516C" w:rsidRPr="004A61C5" w:rsidRDefault="0083516C" w:rsidP="00AB535B">
                            <w:pPr>
                              <w:pStyle w:val="TLKontakty"/>
                              <w:spacing w:after="80" w:line="240" w:lineRule="auto"/>
                              <w:rPr>
                                <w:color w:val="auto"/>
                              </w:rPr>
                            </w:pPr>
                          </w:p>
                          <w:p w14:paraId="4E278003" w14:textId="77777777" w:rsidR="0083516C" w:rsidRPr="00992CF3" w:rsidRDefault="0083516C" w:rsidP="00AB535B">
                            <w:pPr>
                              <w:pStyle w:val="TLKontakty"/>
                              <w:spacing w:after="80" w:line="240" w:lineRule="auto"/>
                              <w:rPr>
                                <w:b w:val="0"/>
                                <w:color w:val="auto"/>
                              </w:rPr>
                            </w:pPr>
                            <w:r w:rsidRPr="00EA0987">
                              <w:t>Středočeský kraj</w:t>
                            </w:r>
                            <w:r w:rsidRPr="00EA0987">
                              <w:rPr>
                                <w:b w:val="0"/>
                              </w:rPr>
                              <w:t xml:space="preserve"> </w:t>
                            </w:r>
                            <w:r w:rsidRPr="00992CF3">
                              <w:rPr>
                                <w:b w:val="0"/>
                                <w:color w:val="auto"/>
                              </w:rPr>
                              <w:t>| Na padesátém 81, 100 82 Praha 10, tel.</w:t>
                            </w:r>
                            <w:r>
                              <w:rPr>
                                <w:b w:val="0"/>
                                <w:color w:val="auto"/>
                              </w:rPr>
                              <w:t xml:space="preserve">: </w:t>
                            </w:r>
                            <w:r w:rsidRPr="00992CF3">
                              <w:rPr>
                                <w:b w:val="0"/>
                                <w:color w:val="auto"/>
                              </w:rPr>
                              <w:t>274 054 175</w:t>
                            </w:r>
                          </w:p>
                          <w:p w14:paraId="5C66D95E" w14:textId="77777777" w:rsidR="0083516C" w:rsidRPr="00992CF3" w:rsidRDefault="0083516C" w:rsidP="00AB535B">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14:paraId="70ADCE20" w14:textId="77777777" w:rsidR="0083516C" w:rsidRPr="004A61C5" w:rsidRDefault="0083516C" w:rsidP="00AB535B">
                            <w:pPr>
                              <w:pStyle w:val="TLKontakty"/>
                              <w:spacing w:after="80" w:line="240" w:lineRule="auto"/>
                              <w:rPr>
                                <w:color w:val="auto"/>
                              </w:rPr>
                            </w:pPr>
                          </w:p>
                          <w:p w14:paraId="56C99FCE" w14:textId="77777777" w:rsidR="0083516C" w:rsidRPr="00992CF3" w:rsidRDefault="0083516C" w:rsidP="00AB535B">
                            <w:pPr>
                              <w:pStyle w:val="TLKontakty"/>
                              <w:spacing w:after="80" w:line="240" w:lineRule="auto"/>
                              <w:rPr>
                                <w:b w:val="0"/>
                                <w:color w:val="auto"/>
                              </w:rPr>
                            </w:pPr>
                            <w:r w:rsidRPr="00EA0987">
                              <w:t>České Budějovice</w:t>
                            </w:r>
                            <w:r w:rsidRPr="00EA0987">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14:paraId="1004772F" w14:textId="77777777" w:rsidR="0083516C" w:rsidRPr="00992CF3" w:rsidRDefault="0083516C" w:rsidP="00AB535B">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165CF548" w14:textId="77777777" w:rsidR="0083516C" w:rsidRPr="004A61C5" w:rsidRDefault="0083516C" w:rsidP="00AB535B">
                            <w:pPr>
                              <w:pStyle w:val="TLKontakty"/>
                              <w:spacing w:after="80" w:line="240" w:lineRule="auto"/>
                              <w:rPr>
                                <w:color w:val="auto"/>
                              </w:rPr>
                            </w:pPr>
                          </w:p>
                          <w:p w14:paraId="073A8F45" w14:textId="77777777" w:rsidR="0083516C" w:rsidRPr="00BC731E" w:rsidRDefault="0083516C" w:rsidP="00AB535B">
                            <w:pPr>
                              <w:pStyle w:val="TLKontakty"/>
                              <w:spacing w:after="80" w:line="240" w:lineRule="auto"/>
                              <w:rPr>
                                <w:b w:val="0"/>
                                <w:color w:val="auto"/>
                              </w:rPr>
                            </w:pPr>
                            <w:r w:rsidRPr="00EA0987">
                              <w:t>Plzeň</w:t>
                            </w:r>
                            <w:r w:rsidRPr="00DE02BD">
                              <w:rPr>
                                <w:b w:val="0"/>
                                <w:color w:val="685B7A"/>
                              </w:rPr>
                              <w:t xml:space="preserve"> </w:t>
                            </w:r>
                            <w:r w:rsidRPr="004A61C5">
                              <w:rPr>
                                <w:b w:val="0"/>
                                <w:color w:val="auto"/>
                              </w:rPr>
                              <w:t>|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p>
                          <w:p w14:paraId="6C9701D0" w14:textId="77777777" w:rsidR="0083516C" w:rsidRPr="004A61C5" w:rsidRDefault="0083516C" w:rsidP="00AB535B">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782D67CB" w14:textId="77777777" w:rsidR="0083516C" w:rsidRPr="004A61C5" w:rsidRDefault="0083516C" w:rsidP="00AB535B">
                            <w:pPr>
                              <w:pStyle w:val="TLKontakty"/>
                              <w:spacing w:after="80" w:line="240" w:lineRule="auto"/>
                              <w:rPr>
                                <w:color w:val="auto"/>
                              </w:rPr>
                            </w:pPr>
                          </w:p>
                          <w:p w14:paraId="00F3D1DC" w14:textId="77777777" w:rsidR="0083516C" w:rsidRPr="004A61C5" w:rsidRDefault="0083516C" w:rsidP="00AB535B">
                            <w:pPr>
                              <w:pStyle w:val="TLKontakty"/>
                              <w:spacing w:after="80" w:line="240" w:lineRule="auto"/>
                              <w:rPr>
                                <w:b w:val="0"/>
                                <w:color w:val="auto"/>
                              </w:rPr>
                            </w:pPr>
                            <w:r w:rsidRPr="00EA0987">
                              <w:t>Karlovy Vary</w:t>
                            </w:r>
                            <w:r w:rsidRPr="00EA0987">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tel.</w:t>
                            </w:r>
                            <w:r>
                              <w:rPr>
                                <w:b w:val="0"/>
                                <w:color w:val="auto"/>
                              </w:rPr>
                              <w:t>: 353 114 529</w:t>
                            </w:r>
                          </w:p>
                          <w:p w14:paraId="24C682D2" w14:textId="77777777" w:rsidR="0083516C" w:rsidRPr="004A61C5" w:rsidRDefault="0083516C" w:rsidP="00AB535B">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6E9577F9" w14:textId="77777777" w:rsidR="0083516C" w:rsidRPr="004A61C5" w:rsidRDefault="0083516C" w:rsidP="00AB535B">
                            <w:pPr>
                              <w:pStyle w:val="TLKontakty"/>
                              <w:spacing w:after="80" w:line="240" w:lineRule="auto"/>
                              <w:rPr>
                                <w:color w:val="auto"/>
                              </w:rPr>
                            </w:pPr>
                          </w:p>
                          <w:p w14:paraId="77286DF2" w14:textId="77777777" w:rsidR="0083516C" w:rsidRPr="004A61C5" w:rsidRDefault="0083516C" w:rsidP="00AB535B">
                            <w:pPr>
                              <w:pStyle w:val="TLKontakty"/>
                              <w:spacing w:after="80" w:line="240" w:lineRule="auto"/>
                              <w:rPr>
                                <w:b w:val="0"/>
                                <w:color w:val="auto"/>
                              </w:rPr>
                            </w:pPr>
                            <w:r w:rsidRPr="00EA0987">
                              <w:t>Ústí nad Labem</w:t>
                            </w:r>
                            <w:r w:rsidRPr="00EA0987">
                              <w:rPr>
                                <w:b w:val="0"/>
                              </w:rPr>
                              <w:t xml:space="preserve"> </w:t>
                            </w:r>
                            <w:r w:rsidRPr="004A61C5">
                              <w:rPr>
                                <w:b w:val="0"/>
                                <w:color w:val="auto"/>
                              </w:rPr>
                              <w:t>| Špálova 2684, 400 11 Ústí nad Labem</w:t>
                            </w:r>
                            <w:r>
                              <w:rPr>
                                <w:b w:val="0"/>
                                <w:color w:val="auto"/>
                              </w:rPr>
                              <w:t xml:space="preserve">, </w:t>
                            </w:r>
                            <w:r w:rsidRPr="004A61C5">
                              <w:rPr>
                                <w:b w:val="0"/>
                                <w:color w:val="auto"/>
                              </w:rPr>
                              <w:t>tel.</w:t>
                            </w:r>
                            <w:r>
                              <w:rPr>
                                <w:b w:val="0"/>
                                <w:color w:val="auto"/>
                              </w:rPr>
                              <w:t>: 472 706 176</w:t>
                            </w:r>
                          </w:p>
                          <w:p w14:paraId="650EE774" w14:textId="77777777" w:rsidR="0083516C" w:rsidRPr="004A61C5" w:rsidRDefault="0083516C" w:rsidP="00AB535B">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07D247CD" w14:textId="77777777" w:rsidR="0083516C" w:rsidRPr="004A61C5" w:rsidRDefault="0083516C" w:rsidP="00AB535B">
                            <w:pPr>
                              <w:pStyle w:val="TLKontakty"/>
                              <w:spacing w:after="80" w:line="240" w:lineRule="auto"/>
                              <w:rPr>
                                <w:color w:val="auto"/>
                              </w:rPr>
                            </w:pPr>
                          </w:p>
                          <w:p w14:paraId="29194436" w14:textId="77777777" w:rsidR="0083516C" w:rsidRPr="004A61C5" w:rsidRDefault="0083516C" w:rsidP="00AB535B">
                            <w:pPr>
                              <w:pStyle w:val="TLKontakty"/>
                              <w:spacing w:after="80" w:line="240" w:lineRule="auto"/>
                              <w:rPr>
                                <w:b w:val="0"/>
                                <w:color w:val="auto"/>
                              </w:rPr>
                            </w:pPr>
                            <w:r w:rsidRPr="00EA0987">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tel.</w:t>
                            </w:r>
                            <w:r>
                              <w:rPr>
                                <w:b w:val="0"/>
                                <w:color w:val="auto"/>
                              </w:rPr>
                              <w:t>: 704 675 184</w:t>
                            </w:r>
                          </w:p>
                          <w:p w14:paraId="495AA30F" w14:textId="77777777" w:rsidR="0083516C" w:rsidRPr="004A61C5" w:rsidRDefault="0083516C" w:rsidP="00AB535B">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352E4F51" w14:textId="77777777" w:rsidR="0083516C" w:rsidRPr="004A61C5" w:rsidRDefault="0083516C" w:rsidP="00AB535B">
                            <w:pPr>
                              <w:pStyle w:val="TLKontakty"/>
                              <w:spacing w:after="80" w:line="240" w:lineRule="auto"/>
                              <w:rPr>
                                <w:b w:val="0"/>
                                <w:color w:val="auto"/>
                              </w:rPr>
                            </w:pPr>
                          </w:p>
                          <w:p w14:paraId="4CA59A3C" w14:textId="77777777" w:rsidR="0083516C" w:rsidRPr="004A61C5" w:rsidRDefault="0083516C" w:rsidP="00AB535B">
                            <w:pPr>
                              <w:pStyle w:val="TLKontakty"/>
                              <w:spacing w:after="80" w:line="240" w:lineRule="auto"/>
                              <w:rPr>
                                <w:b w:val="0"/>
                                <w:color w:val="auto"/>
                              </w:rPr>
                            </w:pPr>
                            <w:r w:rsidRPr="00EA0987">
                              <w:t>Hradec Králové</w:t>
                            </w:r>
                            <w:r w:rsidRPr="00EA0987">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tel.</w:t>
                            </w:r>
                            <w:r w:rsidRPr="007D40DF">
                              <w:rPr>
                                <w:b w:val="0"/>
                                <w:color w:val="auto"/>
                              </w:rPr>
                              <w:t>:</w:t>
                            </w:r>
                            <w:r>
                              <w:rPr>
                                <w:b w:val="0"/>
                                <w:color w:val="auto"/>
                              </w:rPr>
                              <w:t xml:space="preserve"> 495 762 322</w:t>
                            </w:r>
                          </w:p>
                          <w:p w14:paraId="081AD867" w14:textId="77777777" w:rsidR="0083516C" w:rsidRPr="004A61C5" w:rsidRDefault="0083516C" w:rsidP="00AB535B">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08EC8A6A" w14:textId="77777777" w:rsidR="0083516C" w:rsidRPr="004A61C5" w:rsidRDefault="0083516C" w:rsidP="00AB535B">
                            <w:pPr>
                              <w:pStyle w:val="TLKontakty"/>
                              <w:spacing w:after="80" w:line="240" w:lineRule="auto"/>
                              <w:rPr>
                                <w:color w:val="auto"/>
                              </w:rPr>
                            </w:pPr>
                          </w:p>
                          <w:p w14:paraId="7586B150" w14:textId="77777777" w:rsidR="0083516C" w:rsidRPr="004A61C5" w:rsidRDefault="0083516C" w:rsidP="00AB535B">
                            <w:pPr>
                              <w:pStyle w:val="TLKontakty"/>
                              <w:spacing w:after="80" w:line="240" w:lineRule="auto"/>
                              <w:rPr>
                                <w:b w:val="0"/>
                                <w:color w:val="auto"/>
                              </w:rPr>
                            </w:pPr>
                            <w:r w:rsidRPr="00EA0987">
                              <w:t>Pardubice</w:t>
                            </w:r>
                            <w:r w:rsidRPr="00EA0987">
                              <w:rPr>
                                <w:b w:val="0"/>
                              </w:rPr>
                              <w:t xml:space="preserve"> </w:t>
                            </w:r>
                            <w:r w:rsidRPr="004A61C5">
                              <w:rPr>
                                <w:b w:val="0"/>
                                <w:color w:val="auto"/>
                              </w:rPr>
                              <w:t>| V Ráji 872, 531 53 Pardubice</w:t>
                            </w:r>
                            <w:r>
                              <w:rPr>
                                <w:b w:val="0"/>
                                <w:color w:val="auto"/>
                              </w:rPr>
                              <w:t xml:space="preserve">, </w:t>
                            </w:r>
                            <w:r w:rsidRPr="004A61C5">
                              <w:rPr>
                                <w:b w:val="0"/>
                                <w:color w:val="auto"/>
                              </w:rPr>
                              <w:t>tel.</w:t>
                            </w:r>
                            <w:r>
                              <w:rPr>
                                <w:b w:val="0"/>
                                <w:color w:val="auto"/>
                              </w:rPr>
                              <w:t>: 466 743 480</w:t>
                            </w:r>
                          </w:p>
                          <w:p w14:paraId="4B4D3BBA" w14:textId="77777777" w:rsidR="0083516C" w:rsidRPr="004A61C5" w:rsidRDefault="0083516C" w:rsidP="00AB535B">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6CF93D89" w14:textId="77777777" w:rsidR="0083516C" w:rsidRPr="004A61C5" w:rsidRDefault="0083516C" w:rsidP="00AB535B">
                            <w:pPr>
                              <w:pStyle w:val="TLKontakty"/>
                              <w:spacing w:after="80" w:line="240" w:lineRule="auto"/>
                              <w:rPr>
                                <w:b w:val="0"/>
                                <w:color w:val="auto"/>
                              </w:rPr>
                            </w:pPr>
                          </w:p>
                          <w:p w14:paraId="30BAB159" w14:textId="77777777" w:rsidR="0083516C" w:rsidRPr="004A61C5" w:rsidRDefault="0083516C" w:rsidP="00AB535B">
                            <w:pPr>
                              <w:pStyle w:val="TLKontakty"/>
                              <w:spacing w:after="80" w:line="240" w:lineRule="auto"/>
                              <w:rPr>
                                <w:b w:val="0"/>
                                <w:color w:val="auto"/>
                              </w:rPr>
                            </w:pPr>
                            <w:r w:rsidRPr="00EA0987">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Pr>
                                <w:b w:val="0"/>
                                <w:color w:val="auto"/>
                              </w:rPr>
                              <w:t>080</w:t>
                            </w:r>
                          </w:p>
                          <w:p w14:paraId="0532717C" w14:textId="77777777" w:rsidR="0083516C" w:rsidRPr="004A61C5" w:rsidRDefault="0083516C" w:rsidP="00AB535B">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7B3866D4" w14:textId="77777777" w:rsidR="0083516C" w:rsidRDefault="0083516C" w:rsidP="00AB535B">
                            <w:pPr>
                              <w:pStyle w:val="TLKontakty"/>
                              <w:spacing w:after="80" w:line="240" w:lineRule="auto"/>
                            </w:pPr>
                          </w:p>
                          <w:p w14:paraId="3DCDC97A" w14:textId="77777777" w:rsidR="0083516C" w:rsidRPr="00BC731E" w:rsidRDefault="0083516C" w:rsidP="00AB535B">
                            <w:pPr>
                              <w:pStyle w:val="TLKontakty"/>
                              <w:spacing w:after="80" w:line="240" w:lineRule="auto"/>
                              <w:rPr>
                                <w:b w:val="0"/>
                                <w:color w:val="auto"/>
                              </w:rPr>
                            </w:pPr>
                            <w:r w:rsidRPr="00EA0987">
                              <w:t>Brno</w:t>
                            </w:r>
                            <w:r w:rsidRPr="00DE02BD">
                              <w:rPr>
                                <w:b w:val="0"/>
                                <w:color w:val="685B7A"/>
                              </w:rPr>
                              <w:t xml:space="preserve"> </w:t>
                            </w:r>
                            <w:r w:rsidRPr="004A61C5">
                              <w:rPr>
                                <w:b w:val="0"/>
                                <w:color w:val="auto"/>
                              </w:rPr>
                              <w:t xml:space="preserve">| Jezuitská 2, 601 59 Brno, </w:t>
                            </w:r>
                            <w:r>
                              <w:rPr>
                                <w:b w:val="0"/>
                                <w:color w:val="auto"/>
                              </w:rPr>
                              <w:t xml:space="preserve">tel: </w:t>
                            </w:r>
                            <w:r w:rsidRPr="00BC731E">
                              <w:rPr>
                                <w:b w:val="0"/>
                                <w:color w:val="auto"/>
                              </w:rPr>
                              <w:t>542 528 200</w:t>
                            </w:r>
                          </w:p>
                          <w:p w14:paraId="1AB72DE8" w14:textId="77777777" w:rsidR="0083516C" w:rsidRPr="004A61C5" w:rsidRDefault="0083516C" w:rsidP="00AB535B">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0068D5EE" w14:textId="77777777" w:rsidR="0083516C" w:rsidRPr="004A61C5" w:rsidRDefault="0083516C" w:rsidP="00AB535B">
                            <w:pPr>
                              <w:pStyle w:val="TLKontakty"/>
                              <w:spacing w:after="80" w:line="240" w:lineRule="auto"/>
                              <w:rPr>
                                <w:b w:val="0"/>
                                <w:color w:val="auto"/>
                              </w:rPr>
                            </w:pPr>
                          </w:p>
                          <w:p w14:paraId="50E3CB39" w14:textId="77777777" w:rsidR="0083516C" w:rsidRPr="005E7C78" w:rsidRDefault="0083516C" w:rsidP="00AB535B">
                            <w:pPr>
                              <w:pStyle w:val="TLKontakty"/>
                              <w:spacing w:after="80" w:line="240" w:lineRule="auto"/>
                              <w:rPr>
                                <w:b w:val="0"/>
                                <w:color w:val="auto"/>
                              </w:rPr>
                            </w:pPr>
                            <w:r w:rsidRPr="00EA0987">
                              <w:t>Olomouc</w:t>
                            </w:r>
                            <w:r w:rsidRPr="005E7C78">
                              <w:rPr>
                                <w:b w:val="0"/>
                                <w:color w:val="auto"/>
                              </w:rPr>
                              <w:t xml:space="preserve"> | Jeremenkova 1142/42, 772 11 Olomouc, </w:t>
                            </w:r>
                            <w:r>
                              <w:rPr>
                                <w:b w:val="0"/>
                                <w:color w:val="auto"/>
                              </w:rPr>
                              <w:t xml:space="preserve">tel.: </w:t>
                            </w:r>
                            <w:r w:rsidRPr="00BC731E">
                              <w:rPr>
                                <w:b w:val="0"/>
                                <w:color w:val="auto"/>
                              </w:rPr>
                              <w:t>585 731 511</w:t>
                            </w:r>
                          </w:p>
                          <w:p w14:paraId="4DF839A7" w14:textId="77777777" w:rsidR="0083516C" w:rsidRPr="005E7C78" w:rsidRDefault="0083516C" w:rsidP="00AB535B">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46C88BC4" w14:textId="77777777" w:rsidR="0083516C" w:rsidRPr="005E7C78" w:rsidRDefault="0083516C" w:rsidP="00AB535B">
                            <w:pPr>
                              <w:pStyle w:val="TLKontakty"/>
                              <w:spacing w:after="80" w:line="240" w:lineRule="auto"/>
                              <w:rPr>
                                <w:b w:val="0"/>
                                <w:color w:val="auto"/>
                              </w:rPr>
                            </w:pPr>
                          </w:p>
                          <w:p w14:paraId="16A6BEB7" w14:textId="77777777" w:rsidR="0083516C" w:rsidRPr="005E7C78" w:rsidRDefault="0083516C" w:rsidP="00AB535B">
                            <w:pPr>
                              <w:pStyle w:val="TLKontakty"/>
                              <w:spacing w:after="80" w:line="240" w:lineRule="auto"/>
                              <w:rPr>
                                <w:b w:val="0"/>
                                <w:color w:val="auto"/>
                              </w:rPr>
                            </w:pPr>
                            <w:r w:rsidRPr="00EA0987">
                              <w:t>Zlín</w:t>
                            </w:r>
                            <w:r w:rsidRPr="00EA0987">
                              <w:rPr>
                                <w:b w:val="0"/>
                              </w:rPr>
                              <w:t xml:space="preserve"> </w:t>
                            </w:r>
                            <w:r w:rsidRPr="005E7C78">
                              <w:rPr>
                                <w:b w:val="0"/>
                                <w:color w:val="auto"/>
                              </w:rPr>
                              <w:t>| tř</w:t>
                            </w:r>
                            <w:r>
                              <w:rPr>
                                <w:b w:val="0"/>
                                <w:color w:val="auto"/>
                              </w:rPr>
                              <w:t>ída</w:t>
                            </w:r>
                            <w:r w:rsidRPr="005E7C78">
                              <w:rPr>
                                <w:b w:val="0"/>
                                <w:color w:val="auto"/>
                              </w:rPr>
                              <w:t xml:space="preserve"> Tomáše Bati 1565, 761 76 Zlín, </w:t>
                            </w:r>
                            <w:r>
                              <w:rPr>
                                <w:b w:val="0"/>
                                <w:color w:val="auto"/>
                              </w:rPr>
                              <w:t>tel.: 577 004 936</w:t>
                            </w:r>
                          </w:p>
                          <w:p w14:paraId="15EF2429" w14:textId="77777777" w:rsidR="0083516C" w:rsidRDefault="0083516C" w:rsidP="00AB535B">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124AFCC8" w14:textId="77777777" w:rsidR="0083516C" w:rsidRPr="005E7C78" w:rsidRDefault="0083516C" w:rsidP="00AB535B">
                            <w:pPr>
                              <w:pStyle w:val="TLKontakty"/>
                              <w:spacing w:after="80" w:line="240" w:lineRule="auto"/>
                              <w:rPr>
                                <w:b w:val="0"/>
                                <w:color w:val="auto"/>
                              </w:rPr>
                            </w:pPr>
                          </w:p>
                          <w:p w14:paraId="61D04DDC" w14:textId="77777777" w:rsidR="0083516C" w:rsidRPr="005E7C78" w:rsidRDefault="0083516C" w:rsidP="00AB535B">
                            <w:pPr>
                              <w:pStyle w:val="TLKontakty"/>
                              <w:spacing w:after="80" w:line="240" w:lineRule="auto"/>
                              <w:rPr>
                                <w:b w:val="0"/>
                                <w:color w:val="auto"/>
                              </w:rPr>
                            </w:pPr>
                            <w:r w:rsidRPr="00EA0987">
                              <w:t>Ostrava</w:t>
                            </w:r>
                            <w:r w:rsidRPr="00EA0987">
                              <w:rPr>
                                <w:b w:val="0"/>
                              </w:rPr>
                              <w:t xml:space="preserve"> </w:t>
                            </w:r>
                            <w:r w:rsidRPr="005E7C78">
                              <w:rPr>
                                <w:b w:val="0"/>
                                <w:color w:val="auto"/>
                              </w:rPr>
                              <w:t>| Repinova 17, 702 03 Ostrava,</w:t>
                            </w:r>
                            <w:r>
                              <w:rPr>
                                <w:b w:val="0"/>
                                <w:color w:val="auto"/>
                              </w:rPr>
                              <w:t xml:space="preserve"> tel: 595 131 230</w:t>
                            </w:r>
                          </w:p>
                          <w:p w14:paraId="0F47DC86" w14:textId="77777777" w:rsidR="0083516C" w:rsidRPr="00095135" w:rsidRDefault="0083516C" w:rsidP="00AB535B">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C" id="_x0000_s1030" type="#_x0000_t202" style="position:absolute;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" filled="f" stroked="f">
                <v:textbox style="mso-fit-shape-to-text:t" inset="0,0,0,0">
                  <w:txbxContent>
                    <w:p w14:paraId="214329A0" w14:textId="77777777" w:rsidR="0083516C" w:rsidRPr="00DE02BD" w:rsidRDefault="0083516C" w:rsidP="00040D10">
                      <w:pPr>
                        <w:pStyle w:val="TLKontaktyerven"/>
                      </w:pPr>
                      <w:r w:rsidRPr="00DE02BD">
                        <w:t>KONTAKTY V ÚSTŘEDÍ</w:t>
                      </w:r>
                    </w:p>
                    <w:p w14:paraId="214329A1" w14:textId="77777777" w:rsidR="0083516C" w:rsidRPr="007D40DF" w:rsidRDefault="0083516C" w:rsidP="00040D10">
                      <w:pPr>
                        <w:pStyle w:val="TLKontakty"/>
                        <w:spacing w:after="80" w:line="240" w:lineRule="auto"/>
                        <w:contextualSpacing w:val="0"/>
                        <w:rPr>
                          <w:b w:val="0"/>
                          <w:color w:val="auto"/>
                        </w:rPr>
                      </w:pPr>
                      <w:r w:rsidRPr="00EA0987">
                        <w:t>Český statistický úřad</w:t>
                      </w:r>
                      <w:r w:rsidRPr="00EA0987">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Pr>
                          <w:color w:val="auto"/>
                        </w:rPr>
                        <w:t>www.csu.gov</w:t>
                      </w:r>
                      <w:r w:rsidRPr="007D40DF">
                        <w:rPr>
                          <w:color w:val="auto"/>
                        </w:rPr>
                        <w:t>.cz</w:t>
                      </w:r>
                    </w:p>
                    <w:p w14:paraId="214329A2" w14:textId="77777777" w:rsidR="0083516C" w:rsidRPr="00D235B7" w:rsidRDefault="0083516C" w:rsidP="00040D10">
                      <w:pPr>
                        <w:pStyle w:val="TLKontakty"/>
                        <w:spacing w:after="80" w:line="240" w:lineRule="auto"/>
                        <w:contextualSpacing w:val="0"/>
                        <w:rPr>
                          <w:b w:val="0"/>
                          <w:color w:val="auto"/>
                        </w:rPr>
                      </w:pPr>
                      <w:r w:rsidRPr="00D235B7">
                        <w:rPr>
                          <w:color w:val="auto"/>
                        </w:rPr>
                        <w:t>Oddělení informačních služeb</w:t>
                      </w:r>
                      <w:r>
                        <w:rPr>
                          <w:b w:val="0"/>
                          <w:color w:val="auto"/>
                        </w:rPr>
                        <w:t xml:space="preserve"> | tel.: 274 056 789 | e-mail: infoservis@csu.gov</w:t>
                      </w:r>
                      <w:r w:rsidRPr="00D235B7">
                        <w:rPr>
                          <w:b w:val="0"/>
                          <w:color w:val="auto"/>
                        </w:rPr>
                        <w:t>.cz</w:t>
                      </w:r>
                    </w:p>
                    <w:p w14:paraId="214329A3" w14:textId="77777777" w:rsidR="0083516C" w:rsidRPr="00D235B7" w:rsidRDefault="0083516C" w:rsidP="00040D10">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xml:space="preserve"> 052 361 | e-mail: prodejna@csu.gov</w:t>
                      </w:r>
                      <w:r w:rsidRPr="00D235B7">
                        <w:rPr>
                          <w:b w:val="0"/>
                          <w:color w:val="auto"/>
                        </w:rPr>
                        <w:t>.cz</w:t>
                      </w:r>
                    </w:p>
                    <w:p w14:paraId="214329A4" w14:textId="77777777" w:rsidR="0083516C" w:rsidRPr="00D235B7" w:rsidRDefault="0083516C" w:rsidP="00040D10">
                      <w:pPr>
                        <w:pStyle w:val="TLKontakty"/>
                        <w:spacing w:after="80" w:line="240" w:lineRule="auto"/>
                        <w:contextualSpacing w:val="0"/>
                        <w:rPr>
                          <w:b w:val="0"/>
                          <w:color w:val="auto"/>
                        </w:rPr>
                      </w:pPr>
                      <w:r w:rsidRPr="00D235B7">
                        <w:rPr>
                          <w:color w:val="auto"/>
                        </w:rPr>
                        <w:t>Evropská data (ESDS), mezinárodní srovnání</w:t>
                      </w:r>
                      <w:r>
                        <w:rPr>
                          <w:b w:val="0"/>
                          <w:color w:val="auto"/>
                        </w:rPr>
                        <w:t xml:space="preserve"> | tel.: 274 052 732 | e-mail: esds@csu.gov</w:t>
                      </w:r>
                      <w:r w:rsidRPr="00D235B7">
                        <w:rPr>
                          <w:b w:val="0"/>
                          <w:color w:val="auto"/>
                        </w:rPr>
                        <w:t>.cz</w:t>
                      </w:r>
                    </w:p>
                    <w:p w14:paraId="214329A5" w14:textId="77777777" w:rsidR="0083516C" w:rsidRPr="00D235B7" w:rsidRDefault="0083516C" w:rsidP="00040D10">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xml:space="preserve"> 052 361 | e-mail: knihovna@csu.gov</w:t>
                      </w:r>
                      <w:r w:rsidRPr="00D235B7">
                        <w:rPr>
                          <w:b w:val="0"/>
                          <w:color w:val="auto"/>
                        </w:rPr>
                        <w:t>.cz</w:t>
                      </w:r>
                    </w:p>
                    <w:p w14:paraId="214329A6" w14:textId="77777777" w:rsidR="0083516C" w:rsidRPr="004A61C5" w:rsidRDefault="0083516C" w:rsidP="00040D10">
                      <w:pPr>
                        <w:pStyle w:val="TLKontakty"/>
                        <w:spacing w:after="80" w:line="240" w:lineRule="auto"/>
                        <w:contextualSpacing w:val="0"/>
                        <w:rPr>
                          <w:color w:val="auto"/>
                        </w:rPr>
                      </w:pPr>
                    </w:p>
                    <w:p w14:paraId="40288679" w14:textId="77777777" w:rsidR="0083516C" w:rsidRPr="00DE02BD" w:rsidRDefault="0083516C" w:rsidP="00AB535B">
                      <w:pPr>
                        <w:pStyle w:val="TLKontaktyerven"/>
                      </w:pPr>
                      <w:r w:rsidRPr="00DE02BD">
                        <w:t>INFORMAČNÍ SLUŽBY V REGIONECH</w:t>
                      </w:r>
                    </w:p>
                    <w:p w14:paraId="6DBBA526" w14:textId="77777777" w:rsidR="0083516C" w:rsidRPr="00992CF3" w:rsidRDefault="0083516C" w:rsidP="00AB535B">
                      <w:pPr>
                        <w:pStyle w:val="TLKontakty"/>
                        <w:spacing w:after="80" w:line="240" w:lineRule="auto"/>
                        <w:rPr>
                          <w:b w:val="0"/>
                          <w:color w:val="auto"/>
                        </w:rPr>
                      </w:pPr>
                      <w:r w:rsidRPr="00EA0987">
                        <w:t>Hl. m. Praha</w:t>
                      </w:r>
                      <w:r w:rsidRPr="00EA0987">
                        <w:rPr>
                          <w:b w:val="0"/>
                        </w:rPr>
                        <w:t xml:space="preserve"> </w:t>
                      </w:r>
                      <w:r w:rsidRPr="00992CF3">
                        <w:rPr>
                          <w:b w:val="0"/>
                          <w:color w:val="auto"/>
                        </w:rPr>
                        <w:t>|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w:t>
                      </w:r>
                    </w:p>
                    <w:p w14:paraId="52BB90CC" w14:textId="77777777" w:rsidR="0083516C" w:rsidRPr="00992CF3" w:rsidRDefault="0083516C" w:rsidP="00AB535B">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14:paraId="00AED4D4" w14:textId="77777777" w:rsidR="0083516C" w:rsidRPr="004A61C5" w:rsidRDefault="0083516C" w:rsidP="00AB535B">
                      <w:pPr>
                        <w:pStyle w:val="TLKontakty"/>
                        <w:spacing w:after="80" w:line="240" w:lineRule="auto"/>
                        <w:rPr>
                          <w:color w:val="auto"/>
                        </w:rPr>
                      </w:pPr>
                    </w:p>
                    <w:p w14:paraId="4E278003" w14:textId="77777777" w:rsidR="0083516C" w:rsidRPr="00992CF3" w:rsidRDefault="0083516C" w:rsidP="00AB535B">
                      <w:pPr>
                        <w:pStyle w:val="TLKontakty"/>
                        <w:spacing w:after="80" w:line="240" w:lineRule="auto"/>
                        <w:rPr>
                          <w:b w:val="0"/>
                          <w:color w:val="auto"/>
                        </w:rPr>
                      </w:pPr>
                      <w:r w:rsidRPr="00EA0987">
                        <w:t>Středočeský kraj</w:t>
                      </w:r>
                      <w:r w:rsidRPr="00EA0987">
                        <w:rPr>
                          <w:b w:val="0"/>
                        </w:rPr>
                        <w:t xml:space="preserve"> </w:t>
                      </w:r>
                      <w:r w:rsidRPr="00992CF3">
                        <w:rPr>
                          <w:b w:val="0"/>
                          <w:color w:val="auto"/>
                        </w:rPr>
                        <w:t>| Na padesátém 81, 100 82 Praha 10, tel.</w:t>
                      </w:r>
                      <w:r>
                        <w:rPr>
                          <w:b w:val="0"/>
                          <w:color w:val="auto"/>
                        </w:rPr>
                        <w:t xml:space="preserve">: </w:t>
                      </w:r>
                      <w:r w:rsidRPr="00992CF3">
                        <w:rPr>
                          <w:b w:val="0"/>
                          <w:color w:val="auto"/>
                        </w:rPr>
                        <w:t>274 054 175</w:t>
                      </w:r>
                    </w:p>
                    <w:p w14:paraId="5C66D95E" w14:textId="77777777" w:rsidR="0083516C" w:rsidRPr="00992CF3" w:rsidRDefault="0083516C" w:rsidP="00AB535B">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14:paraId="70ADCE20" w14:textId="77777777" w:rsidR="0083516C" w:rsidRPr="004A61C5" w:rsidRDefault="0083516C" w:rsidP="00AB535B">
                      <w:pPr>
                        <w:pStyle w:val="TLKontakty"/>
                        <w:spacing w:after="80" w:line="240" w:lineRule="auto"/>
                        <w:rPr>
                          <w:color w:val="auto"/>
                        </w:rPr>
                      </w:pPr>
                    </w:p>
                    <w:p w14:paraId="56C99FCE" w14:textId="77777777" w:rsidR="0083516C" w:rsidRPr="00992CF3" w:rsidRDefault="0083516C" w:rsidP="00AB535B">
                      <w:pPr>
                        <w:pStyle w:val="TLKontakty"/>
                        <w:spacing w:after="80" w:line="240" w:lineRule="auto"/>
                        <w:rPr>
                          <w:b w:val="0"/>
                          <w:color w:val="auto"/>
                        </w:rPr>
                      </w:pPr>
                      <w:r w:rsidRPr="00EA0987">
                        <w:t>České Budějovice</w:t>
                      </w:r>
                      <w:r w:rsidRPr="00EA0987">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14:paraId="1004772F" w14:textId="77777777" w:rsidR="0083516C" w:rsidRPr="00992CF3" w:rsidRDefault="0083516C" w:rsidP="00AB535B">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165CF548" w14:textId="77777777" w:rsidR="0083516C" w:rsidRPr="004A61C5" w:rsidRDefault="0083516C" w:rsidP="00AB535B">
                      <w:pPr>
                        <w:pStyle w:val="TLKontakty"/>
                        <w:spacing w:after="80" w:line="240" w:lineRule="auto"/>
                        <w:rPr>
                          <w:color w:val="auto"/>
                        </w:rPr>
                      </w:pPr>
                    </w:p>
                    <w:p w14:paraId="073A8F45" w14:textId="77777777" w:rsidR="0083516C" w:rsidRPr="00BC731E" w:rsidRDefault="0083516C" w:rsidP="00AB535B">
                      <w:pPr>
                        <w:pStyle w:val="TLKontakty"/>
                        <w:spacing w:after="80" w:line="240" w:lineRule="auto"/>
                        <w:rPr>
                          <w:b w:val="0"/>
                          <w:color w:val="auto"/>
                        </w:rPr>
                      </w:pPr>
                      <w:r w:rsidRPr="00EA0987">
                        <w:t>Plzeň</w:t>
                      </w:r>
                      <w:r w:rsidRPr="00DE02BD">
                        <w:rPr>
                          <w:b w:val="0"/>
                          <w:color w:val="685B7A"/>
                        </w:rPr>
                        <w:t xml:space="preserve"> </w:t>
                      </w:r>
                      <w:r w:rsidRPr="004A61C5">
                        <w:rPr>
                          <w:b w:val="0"/>
                          <w:color w:val="auto"/>
                        </w:rPr>
                        <w:t>|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p>
                    <w:p w14:paraId="6C9701D0" w14:textId="77777777" w:rsidR="0083516C" w:rsidRPr="004A61C5" w:rsidRDefault="0083516C" w:rsidP="00AB535B">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782D67CB" w14:textId="77777777" w:rsidR="0083516C" w:rsidRPr="004A61C5" w:rsidRDefault="0083516C" w:rsidP="00AB535B">
                      <w:pPr>
                        <w:pStyle w:val="TLKontakty"/>
                        <w:spacing w:after="80" w:line="240" w:lineRule="auto"/>
                        <w:rPr>
                          <w:color w:val="auto"/>
                        </w:rPr>
                      </w:pPr>
                    </w:p>
                    <w:p w14:paraId="00F3D1DC" w14:textId="77777777" w:rsidR="0083516C" w:rsidRPr="004A61C5" w:rsidRDefault="0083516C" w:rsidP="00AB535B">
                      <w:pPr>
                        <w:pStyle w:val="TLKontakty"/>
                        <w:spacing w:after="80" w:line="240" w:lineRule="auto"/>
                        <w:rPr>
                          <w:b w:val="0"/>
                          <w:color w:val="auto"/>
                        </w:rPr>
                      </w:pPr>
                      <w:r w:rsidRPr="00EA0987">
                        <w:t>Karlovy Vary</w:t>
                      </w:r>
                      <w:r w:rsidRPr="00EA0987">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tel.</w:t>
                      </w:r>
                      <w:r>
                        <w:rPr>
                          <w:b w:val="0"/>
                          <w:color w:val="auto"/>
                        </w:rPr>
                        <w:t>: 353 114 529</w:t>
                      </w:r>
                    </w:p>
                    <w:p w14:paraId="24C682D2" w14:textId="77777777" w:rsidR="0083516C" w:rsidRPr="004A61C5" w:rsidRDefault="0083516C" w:rsidP="00AB535B">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6E9577F9" w14:textId="77777777" w:rsidR="0083516C" w:rsidRPr="004A61C5" w:rsidRDefault="0083516C" w:rsidP="00AB535B">
                      <w:pPr>
                        <w:pStyle w:val="TLKontakty"/>
                        <w:spacing w:after="80" w:line="240" w:lineRule="auto"/>
                        <w:rPr>
                          <w:color w:val="auto"/>
                        </w:rPr>
                      </w:pPr>
                    </w:p>
                    <w:p w14:paraId="77286DF2" w14:textId="77777777" w:rsidR="0083516C" w:rsidRPr="004A61C5" w:rsidRDefault="0083516C" w:rsidP="00AB535B">
                      <w:pPr>
                        <w:pStyle w:val="TLKontakty"/>
                        <w:spacing w:after="80" w:line="240" w:lineRule="auto"/>
                        <w:rPr>
                          <w:b w:val="0"/>
                          <w:color w:val="auto"/>
                        </w:rPr>
                      </w:pPr>
                      <w:r w:rsidRPr="00EA0987">
                        <w:t>Ústí nad Labem</w:t>
                      </w:r>
                      <w:r w:rsidRPr="00EA0987">
                        <w:rPr>
                          <w:b w:val="0"/>
                        </w:rPr>
                        <w:t xml:space="preserve"> </w:t>
                      </w:r>
                      <w:r w:rsidRPr="004A61C5">
                        <w:rPr>
                          <w:b w:val="0"/>
                          <w:color w:val="auto"/>
                        </w:rPr>
                        <w:t>| Špálova 2684, 400 11 Ústí nad Labem</w:t>
                      </w:r>
                      <w:r>
                        <w:rPr>
                          <w:b w:val="0"/>
                          <w:color w:val="auto"/>
                        </w:rPr>
                        <w:t xml:space="preserve">, </w:t>
                      </w:r>
                      <w:r w:rsidRPr="004A61C5">
                        <w:rPr>
                          <w:b w:val="0"/>
                          <w:color w:val="auto"/>
                        </w:rPr>
                        <w:t>tel.</w:t>
                      </w:r>
                      <w:r>
                        <w:rPr>
                          <w:b w:val="0"/>
                          <w:color w:val="auto"/>
                        </w:rPr>
                        <w:t>: 472 706 176</w:t>
                      </w:r>
                    </w:p>
                    <w:p w14:paraId="650EE774" w14:textId="77777777" w:rsidR="0083516C" w:rsidRPr="004A61C5" w:rsidRDefault="0083516C" w:rsidP="00AB535B">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07D247CD" w14:textId="77777777" w:rsidR="0083516C" w:rsidRPr="004A61C5" w:rsidRDefault="0083516C" w:rsidP="00AB535B">
                      <w:pPr>
                        <w:pStyle w:val="TLKontakty"/>
                        <w:spacing w:after="80" w:line="240" w:lineRule="auto"/>
                        <w:rPr>
                          <w:color w:val="auto"/>
                        </w:rPr>
                      </w:pPr>
                    </w:p>
                    <w:p w14:paraId="29194436" w14:textId="77777777" w:rsidR="0083516C" w:rsidRPr="004A61C5" w:rsidRDefault="0083516C" w:rsidP="00AB535B">
                      <w:pPr>
                        <w:pStyle w:val="TLKontakty"/>
                        <w:spacing w:after="80" w:line="240" w:lineRule="auto"/>
                        <w:rPr>
                          <w:b w:val="0"/>
                          <w:color w:val="auto"/>
                        </w:rPr>
                      </w:pPr>
                      <w:r w:rsidRPr="00EA0987">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tel.</w:t>
                      </w:r>
                      <w:r>
                        <w:rPr>
                          <w:b w:val="0"/>
                          <w:color w:val="auto"/>
                        </w:rPr>
                        <w:t>: 704 675 184</w:t>
                      </w:r>
                    </w:p>
                    <w:p w14:paraId="495AA30F" w14:textId="77777777" w:rsidR="0083516C" w:rsidRPr="004A61C5" w:rsidRDefault="0083516C" w:rsidP="00AB535B">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352E4F51" w14:textId="77777777" w:rsidR="0083516C" w:rsidRPr="004A61C5" w:rsidRDefault="0083516C" w:rsidP="00AB535B">
                      <w:pPr>
                        <w:pStyle w:val="TLKontakty"/>
                        <w:spacing w:after="80" w:line="240" w:lineRule="auto"/>
                        <w:rPr>
                          <w:b w:val="0"/>
                          <w:color w:val="auto"/>
                        </w:rPr>
                      </w:pPr>
                    </w:p>
                    <w:p w14:paraId="4CA59A3C" w14:textId="77777777" w:rsidR="0083516C" w:rsidRPr="004A61C5" w:rsidRDefault="0083516C" w:rsidP="00AB535B">
                      <w:pPr>
                        <w:pStyle w:val="TLKontakty"/>
                        <w:spacing w:after="80" w:line="240" w:lineRule="auto"/>
                        <w:rPr>
                          <w:b w:val="0"/>
                          <w:color w:val="auto"/>
                        </w:rPr>
                      </w:pPr>
                      <w:r w:rsidRPr="00EA0987">
                        <w:t>Hradec Králové</w:t>
                      </w:r>
                      <w:r w:rsidRPr="00EA0987">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tel.</w:t>
                      </w:r>
                      <w:r w:rsidRPr="007D40DF">
                        <w:rPr>
                          <w:b w:val="0"/>
                          <w:color w:val="auto"/>
                        </w:rPr>
                        <w:t>:</w:t>
                      </w:r>
                      <w:r>
                        <w:rPr>
                          <w:b w:val="0"/>
                          <w:color w:val="auto"/>
                        </w:rPr>
                        <w:t xml:space="preserve"> 495 762 322</w:t>
                      </w:r>
                    </w:p>
                    <w:p w14:paraId="081AD867" w14:textId="77777777" w:rsidR="0083516C" w:rsidRPr="004A61C5" w:rsidRDefault="0083516C" w:rsidP="00AB535B">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08EC8A6A" w14:textId="77777777" w:rsidR="0083516C" w:rsidRPr="004A61C5" w:rsidRDefault="0083516C" w:rsidP="00AB535B">
                      <w:pPr>
                        <w:pStyle w:val="TLKontakty"/>
                        <w:spacing w:after="80" w:line="240" w:lineRule="auto"/>
                        <w:rPr>
                          <w:color w:val="auto"/>
                        </w:rPr>
                      </w:pPr>
                    </w:p>
                    <w:p w14:paraId="7586B150" w14:textId="77777777" w:rsidR="0083516C" w:rsidRPr="004A61C5" w:rsidRDefault="0083516C" w:rsidP="00AB535B">
                      <w:pPr>
                        <w:pStyle w:val="TLKontakty"/>
                        <w:spacing w:after="80" w:line="240" w:lineRule="auto"/>
                        <w:rPr>
                          <w:b w:val="0"/>
                          <w:color w:val="auto"/>
                        </w:rPr>
                      </w:pPr>
                      <w:r w:rsidRPr="00EA0987">
                        <w:t>Pardubice</w:t>
                      </w:r>
                      <w:r w:rsidRPr="00EA0987">
                        <w:rPr>
                          <w:b w:val="0"/>
                        </w:rPr>
                        <w:t xml:space="preserve"> </w:t>
                      </w:r>
                      <w:r w:rsidRPr="004A61C5">
                        <w:rPr>
                          <w:b w:val="0"/>
                          <w:color w:val="auto"/>
                        </w:rPr>
                        <w:t>| V Ráji 872, 531 53 Pardubice</w:t>
                      </w:r>
                      <w:r>
                        <w:rPr>
                          <w:b w:val="0"/>
                          <w:color w:val="auto"/>
                        </w:rPr>
                        <w:t xml:space="preserve">, </w:t>
                      </w:r>
                      <w:r w:rsidRPr="004A61C5">
                        <w:rPr>
                          <w:b w:val="0"/>
                          <w:color w:val="auto"/>
                        </w:rPr>
                        <w:t>tel.</w:t>
                      </w:r>
                      <w:r>
                        <w:rPr>
                          <w:b w:val="0"/>
                          <w:color w:val="auto"/>
                        </w:rPr>
                        <w:t>: 466 743 480</w:t>
                      </w:r>
                    </w:p>
                    <w:p w14:paraId="4B4D3BBA" w14:textId="77777777" w:rsidR="0083516C" w:rsidRPr="004A61C5" w:rsidRDefault="0083516C" w:rsidP="00AB535B">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6CF93D89" w14:textId="77777777" w:rsidR="0083516C" w:rsidRPr="004A61C5" w:rsidRDefault="0083516C" w:rsidP="00AB535B">
                      <w:pPr>
                        <w:pStyle w:val="TLKontakty"/>
                        <w:spacing w:after="80" w:line="240" w:lineRule="auto"/>
                        <w:rPr>
                          <w:b w:val="0"/>
                          <w:color w:val="auto"/>
                        </w:rPr>
                      </w:pPr>
                    </w:p>
                    <w:p w14:paraId="30BAB159" w14:textId="77777777" w:rsidR="0083516C" w:rsidRPr="004A61C5" w:rsidRDefault="0083516C" w:rsidP="00AB535B">
                      <w:pPr>
                        <w:pStyle w:val="TLKontakty"/>
                        <w:spacing w:after="80" w:line="240" w:lineRule="auto"/>
                        <w:rPr>
                          <w:b w:val="0"/>
                          <w:color w:val="auto"/>
                        </w:rPr>
                      </w:pPr>
                      <w:r w:rsidRPr="00EA0987">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Pr>
                          <w:b w:val="0"/>
                          <w:color w:val="auto"/>
                        </w:rPr>
                        <w:t>080</w:t>
                      </w:r>
                    </w:p>
                    <w:p w14:paraId="0532717C" w14:textId="77777777" w:rsidR="0083516C" w:rsidRPr="004A61C5" w:rsidRDefault="0083516C" w:rsidP="00AB535B">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7B3866D4" w14:textId="77777777" w:rsidR="0083516C" w:rsidRDefault="0083516C" w:rsidP="00AB535B">
                      <w:pPr>
                        <w:pStyle w:val="TLKontakty"/>
                        <w:spacing w:after="80" w:line="240" w:lineRule="auto"/>
                      </w:pPr>
                    </w:p>
                    <w:p w14:paraId="3DCDC97A" w14:textId="77777777" w:rsidR="0083516C" w:rsidRPr="00BC731E" w:rsidRDefault="0083516C" w:rsidP="00AB535B">
                      <w:pPr>
                        <w:pStyle w:val="TLKontakty"/>
                        <w:spacing w:after="80" w:line="240" w:lineRule="auto"/>
                        <w:rPr>
                          <w:b w:val="0"/>
                          <w:color w:val="auto"/>
                        </w:rPr>
                      </w:pPr>
                      <w:r w:rsidRPr="00EA0987">
                        <w:t>Brno</w:t>
                      </w:r>
                      <w:r w:rsidRPr="00DE02BD">
                        <w:rPr>
                          <w:b w:val="0"/>
                          <w:color w:val="685B7A"/>
                        </w:rPr>
                        <w:t xml:space="preserve"> </w:t>
                      </w:r>
                      <w:r w:rsidRPr="004A61C5">
                        <w:rPr>
                          <w:b w:val="0"/>
                          <w:color w:val="auto"/>
                        </w:rPr>
                        <w:t xml:space="preserve">| Jezuitská 2, 601 59 Brno, </w:t>
                      </w:r>
                      <w:r>
                        <w:rPr>
                          <w:b w:val="0"/>
                          <w:color w:val="auto"/>
                        </w:rPr>
                        <w:t xml:space="preserve">tel: </w:t>
                      </w:r>
                      <w:r w:rsidRPr="00BC731E">
                        <w:rPr>
                          <w:b w:val="0"/>
                          <w:color w:val="auto"/>
                        </w:rPr>
                        <w:t>542 528 200</w:t>
                      </w:r>
                    </w:p>
                    <w:p w14:paraId="1AB72DE8" w14:textId="77777777" w:rsidR="0083516C" w:rsidRPr="004A61C5" w:rsidRDefault="0083516C" w:rsidP="00AB535B">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0068D5EE" w14:textId="77777777" w:rsidR="0083516C" w:rsidRPr="004A61C5" w:rsidRDefault="0083516C" w:rsidP="00AB535B">
                      <w:pPr>
                        <w:pStyle w:val="TLKontakty"/>
                        <w:spacing w:after="80" w:line="240" w:lineRule="auto"/>
                        <w:rPr>
                          <w:b w:val="0"/>
                          <w:color w:val="auto"/>
                        </w:rPr>
                      </w:pPr>
                    </w:p>
                    <w:p w14:paraId="50E3CB39" w14:textId="77777777" w:rsidR="0083516C" w:rsidRPr="005E7C78" w:rsidRDefault="0083516C" w:rsidP="00AB535B">
                      <w:pPr>
                        <w:pStyle w:val="TLKontakty"/>
                        <w:spacing w:after="80" w:line="240" w:lineRule="auto"/>
                        <w:rPr>
                          <w:b w:val="0"/>
                          <w:color w:val="auto"/>
                        </w:rPr>
                      </w:pPr>
                      <w:r w:rsidRPr="00EA0987">
                        <w:t>Olomouc</w:t>
                      </w:r>
                      <w:r w:rsidRPr="005E7C78">
                        <w:rPr>
                          <w:b w:val="0"/>
                          <w:color w:val="auto"/>
                        </w:rPr>
                        <w:t xml:space="preserve"> | Jeremenkova 1142/42, 772 11 Olomouc, </w:t>
                      </w:r>
                      <w:r>
                        <w:rPr>
                          <w:b w:val="0"/>
                          <w:color w:val="auto"/>
                        </w:rPr>
                        <w:t xml:space="preserve">tel.: </w:t>
                      </w:r>
                      <w:r w:rsidRPr="00BC731E">
                        <w:rPr>
                          <w:b w:val="0"/>
                          <w:color w:val="auto"/>
                        </w:rPr>
                        <w:t>585 731 511</w:t>
                      </w:r>
                    </w:p>
                    <w:p w14:paraId="4DF839A7" w14:textId="77777777" w:rsidR="0083516C" w:rsidRPr="005E7C78" w:rsidRDefault="0083516C" w:rsidP="00AB535B">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46C88BC4" w14:textId="77777777" w:rsidR="0083516C" w:rsidRPr="005E7C78" w:rsidRDefault="0083516C" w:rsidP="00AB535B">
                      <w:pPr>
                        <w:pStyle w:val="TLKontakty"/>
                        <w:spacing w:after="80" w:line="240" w:lineRule="auto"/>
                        <w:rPr>
                          <w:b w:val="0"/>
                          <w:color w:val="auto"/>
                        </w:rPr>
                      </w:pPr>
                    </w:p>
                    <w:p w14:paraId="16A6BEB7" w14:textId="77777777" w:rsidR="0083516C" w:rsidRPr="005E7C78" w:rsidRDefault="0083516C" w:rsidP="00AB535B">
                      <w:pPr>
                        <w:pStyle w:val="TLKontakty"/>
                        <w:spacing w:after="80" w:line="240" w:lineRule="auto"/>
                        <w:rPr>
                          <w:b w:val="0"/>
                          <w:color w:val="auto"/>
                        </w:rPr>
                      </w:pPr>
                      <w:r w:rsidRPr="00EA0987">
                        <w:t>Zlín</w:t>
                      </w:r>
                      <w:r w:rsidRPr="00EA0987">
                        <w:rPr>
                          <w:b w:val="0"/>
                        </w:rPr>
                        <w:t xml:space="preserve"> </w:t>
                      </w:r>
                      <w:r w:rsidRPr="005E7C78">
                        <w:rPr>
                          <w:b w:val="0"/>
                          <w:color w:val="auto"/>
                        </w:rPr>
                        <w:t>| tř</w:t>
                      </w:r>
                      <w:r>
                        <w:rPr>
                          <w:b w:val="0"/>
                          <w:color w:val="auto"/>
                        </w:rPr>
                        <w:t>ída</w:t>
                      </w:r>
                      <w:r w:rsidRPr="005E7C78">
                        <w:rPr>
                          <w:b w:val="0"/>
                          <w:color w:val="auto"/>
                        </w:rPr>
                        <w:t xml:space="preserve"> Tomáše Bati 1565, 761 76 Zlín, </w:t>
                      </w:r>
                      <w:r>
                        <w:rPr>
                          <w:b w:val="0"/>
                          <w:color w:val="auto"/>
                        </w:rPr>
                        <w:t>tel.: 577 004 936</w:t>
                      </w:r>
                    </w:p>
                    <w:p w14:paraId="15EF2429" w14:textId="77777777" w:rsidR="0083516C" w:rsidRDefault="0083516C" w:rsidP="00AB535B">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124AFCC8" w14:textId="77777777" w:rsidR="0083516C" w:rsidRPr="005E7C78" w:rsidRDefault="0083516C" w:rsidP="00AB535B">
                      <w:pPr>
                        <w:pStyle w:val="TLKontakty"/>
                        <w:spacing w:after="80" w:line="240" w:lineRule="auto"/>
                        <w:rPr>
                          <w:b w:val="0"/>
                          <w:color w:val="auto"/>
                        </w:rPr>
                      </w:pPr>
                    </w:p>
                    <w:p w14:paraId="61D04DDC" w14:textId="77777777" w:rsidR="0083516C" w:rsidRPr="005E7C78" w:rsidRDefault="0083516C" w:rsidP="00AB535B">
                      <w:pPr>
                        <w:pStyle w:val="TLKontakty"/>
                        <w:spacing w:after="80" w:line="240" w:lineRule="auto"/>
                        <w:rPr>
                          <w:b w:val="0"/>
                          <w:color w:val="auto"/>
                        </w:rPr>
                      </w:pPr>
                      <w:r w:rsidRPr="00EA0987">
                        <w:t>Ostrava</w:t>
                      </w:r>
                      <w:r w:rsidRPr="00EA0987">
                        <w:rPr>
                          <w:b w:val="0"/>
                        </w:rPr>
                        <w:t xml:space="preserve"> </w:t>
                      </w:r>
                      <w:r w:rsidRPr="005E7C78">
                        <w:rPr>
                          <w:b w:val="0"/>
                          <w:color w:val="auto"/>
                        </w:rPr>
                        <w:t>| Repinova 17, 702 03 Ostrava,</w:t>
                      </w:r>
                      <w:r>
                        <w:rPr>
                          <w:b w:val="0"/>
                          <w:color w:val="auto"/>
                        </w:rPr>
                        <w:t xml:space="preserve"> tel: 595 131 230</w:t>
                      </w:r>
                    </w:p>
                    <w:p w14:paraId="0F47DC86" w14:textId="77777777" w:rsidR="0083516C" w:rsidRPr="00095135" w:rsidRDefault="0083516C" w:rsidP="00AB535B">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2143297E" wp14:editId="2143297F">
                <wp:simplePos x="0" y="0"/>
                <wp:positionH relativeFrom="page">
                  <wp:posOffset>720090</wp:posOffset>
                </wp:positionH>
                <wp:positionV relativeFrom="page">
                  <wp:posOffset>9324975</wp:posOffset>
                </wp:positionV>
                <wp:extent cx="6120000" cy="540000"/>
                <wp:effectExtent l="0" t="0" r="14605" b="1270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54000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0C2ABDC7" w14:textId="77777777" w:rsidR="0083516C" w:rsidRDefault="0083516C" w:rsidP="00884AD6"/>
                          <w:p w14:paraId="214329D3" w14:textId="51EABF1C" w:rsidR="0083516C" w:rsidRPr="00321924" w:rsidRDefault="0083516C" w:rsidP="00884AD6">
                            <w:r w:rsidRPr="00321924">
                              <w:t xml:space="preserve">© Český statistický úřad, </w:t>
                            </w:r>
                            <w:r>
                              <w:t>Praha</w:t>
                            </w:r>
                            <w:r w:rsidRPr="00321924">
                              <w:t xml:space="preserve">, </w:t>
                            </w:r>
                            <w:r>
                              <w:t>2024</w:t>
                            </w:r>
                          </w:p>
                          <w:p w14:paraId="214329D4" w14:textId="77777777" w:rsidR="0083516C" w:rsidRDefault="0083516C"/>
                          <w:p w14:paraId="214329D5" w14:textId="77777777" w:rsidR="0083516C" w:rsidRPr="00841D9F" w:rsidRDefault="0083516C" w:rsidP="000A3A2C">
                            <w:r w:rsidRPr="00841D9F">
                              <w:rPr>
                                <w:szCs w:val="26"/>
                              </w:rPr>
                              <w:t xml:space="preserve">ISBN XX-XXXX-XXX-X  </w:t>
                            </w:r>
                            <w:r w:rsidRPr="00841D9F">
                              <w:t>(pouze u nepravidelných a ročních publikací)</w:t>
                            </w:r>
                          </w:p>
                          <w:p w14:paraId="214329D6" w14:textId="77777777" w:rsidR="0083516C" w:rsidRPr="00AF2852" w:rsidRDefault="0083516C"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3297E" id="_x0000_s1031" type="#_x0000_t202" style="position:absolute;margin-left:56.7pt;margin-top:734.25pt;width:481.9pt;height:42.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" filled="f" stroked="f">
                <v:textbox inset="0,0,0,0">
                  <w:txbxContent>
                    <w:p w14:paraId="0C2ABDC7" w14:textId="77777777" w:rsidR="0083516C" w:rsidRDefault="0083516C" w:rsidP="00884AD6"/>
                    <w:p w14:paraId="214329D3" w14:textId="51EABF1C" w:rsidR="0083516C" w:rsidRPr="00321924" w:rsidRDefault="0083516C" w:rsidP="00884AD6">
                      <w:r w:rsidRPr="00321924">
                        <w:t xml:space="preserve">© Český statistický úřad, </w:t>
                      </w:r>
                      <w:r>
                        <w:t>Praha</w:t>
                      </w:r>
                      <w:r w:rsidRPr="00321924">
                        <w:t xml:space="preserve">, </w:t>
                      </w:r>
                      <w:r>
                        <w:t>2024</w:t>
                      </w:r>
                    </w:p>
                    <w:p w14:paraId="214329D4" w14:textId="77777777" w:rsidR="0083516C" w:rsidRDefault="0083516C"/>
                    <w:p w14:paraId="214329D5" w14:textId="77777777" w:rsidR="0083516C" w:rsidRPr="00841D9F" w:rsidRDefault="0083516C" w:rsidP="000A3A2C">
                      <w:r w:rsidRPr="00841D9F">
                        <w:rPr>
                          <w:szCs w:val="26"/>
                        </w:rPr>
                        <w:t xml:space="preserve">ISBN XX-XXXX-XXX-X  </w:t>
                      </w:r>
                      <w:r w:rsidRPr="00841D9F">
                        <w:t>(pouze u nepravidelných a ročních publikací)</w:t>
                      </w:r>
                    </w:p>
                    <w:p w14:paraId="214329D6" w14:textId="77777777" w:rsidR="0083516C" w:rsidRPr="00AF2852" w:rsidRDefault="0083516C"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21432980" wp14:editId="21432981">
                <wp:simplePos x="0" y="0"/>
                <wp:positionH relativeFrom="page">
                  <wp:posOffset>723265</wp:posOffset>
                </wp:positionH>
                <wp:positionV relativeFrom="page">
                  <wp:posOffset>723265</wp:posOffset>
                </wp:positionV>
                <wp:extent cx="6119495" cy="555625"/>
                <wp:effectExtent l="0" t="0" r="254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214329D7" w14:textId="77777777" w:rsidR="0083516C" w:rsidRPr="009A1902" w:rsidRDefault="0083516C" w:rsidP="00214CF7">
                            <w:pPr>
                              <w:jc w:val="left"/>
                              <w:rPr>
                                <w:b/>
                                <w:bCs/>
                                <w:i/>
                                <w:sz w:val="24"/>
                              </w:rPr>
                            </w:pPr>
                            <w:r w:rsidRPr="00EA0987">
                              <w:rPr>
                                <w:b/>
                                <w:color w:val="86BF5E"/>
                                <w:sz w:val="24"/>
                              </w:rPr>
                              <w:t xml:space="preserve">Zajímají Vás nejnovější údaje o inflaci, HDP, obyvatelstvu, průměrných mzdách </w:t>
                            </w:r>
                            <w:r w:rsidRPr="00EA0987">
                              <w:rPr>
                                <w:b/>
                                <w:color w:val="86BF5E"/>
                                <w:sz w:val="24"/>
                              </w:rPr>
                              <w:br/>
                              <w:t xml:space="preserve">a mnohé další? Najdete je na stránkách ČSÚ na internetu: </w:t>
                            </w:r>
                            <w:r>
                              <w:rPr>
                                <w:b/>
                                <w:bCs/>
                                <w:sz w:val="24"/>
                              </w:rPr>
                              <w:t>www.csu.gov.cz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80" id="_x0000_s1032" type="#_x0000_t202" style="position:absolute;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" filled="f" stroked="f">
                <v:textbox style="mso-fit-shape-to-text:t" inset="0,0,0,0">
                  <w:txbxContent>
                    <w:p w14:paraId="214329D7" w14:textId="77777777" w:rsidR="0083516C" w:rsidRPr="009A1902" w:rsidRDefault="0083516C" w:rsidP="00214CF7">
                      <w:pPr>
                        <w:jc w:val="left"/>
                        <w:rPr>
                          <w:b/>
                          <w:bCs/>
                          <w:i/>
                          <w:sz w:val="24"/>
                        </w:rPr>
                      </w:pPr>
                      <w:r w:rsidRPr="00EA0987">
                        <w:rPr>
                          <w:b/>
                          <w:color w:val="86BF5E"/>
                          <w:sz w:val="24"/>
                        </w:rPr>
                        <w:t xml:space="preserve">Zajímají Vás nejnovější údaje o inflaci, HDP, obyvatelstvu, průměrných mzdách </w:t>
                      </w:r>
                      <w:r w:rsidRPr="00EA0987">
                        <w:rPr>
                          <w:b/>
                          <w:color w:val="86BF5E"/>
                          <w:sz w:val="24"/>
                        </w:rPr>
                        <w:br/>
                        <w:t xml:space="preserve">a mnohé další? Najdete je na stránkách ČSÚ na internetu: </w:t>
                      </w:r>
                      <w:r>
                        <w:rPr>
                          <w:b/>
                          <w:bCs/>
                          <w:sz w:val="24"/>
                        </w:rPr>
                        <w:t>www.csu.gov.cz</w:t>
                      </w:r>
                    </w:p>
                  </w:txbxContent>
                </v:textbox>
                <w10:wrap anchorx="page" anchory="page"/>
                <w10:anchorlock/>
              </v:shape>
            </w:pict>
          </mc:Fallback>
        </mc:AlternateContent>
      </w:r>
    </w:p>
    <w:sdt>
      <w:sdtPr>
        <w:rPr>
          <w:b w:val="0"/>
          <w:color w:val="auto"/>
          <w:sz w:val="20"/>
          <w:szCs w:val="20"/>
        </w:rPr>
        <w:id w:val="129444162"/>
        <w:docPartObj>
          <w:docPartGallery w:val="Table of Contents"/>
          <w:docPartUnique/>
        </w:docPartObj>
      </w:sdtPr>
      <w:sdtContent>
        <w:p w14:paraId="7D810B7A" w14:textId="77777777" w:rsidR="00C72884" w:rsidRPr="009110F7" w:rsidRDefault="00C72884" w:rsidP="00C72884">
          <w:pPr>
            <w:pStyle w:val="Obsah"/>
          </w:pPr>
          <w:r>
            <w:t>Obsah</w:t>
          </w:r>
        </w:p>
        <w:p w14:paraId="25060470" w14:textId="15E5722E" w:rsidR="00E53874" w:rsidRDefault="00C72884">
          <w:pPr>
            <w:pStyle w:val="Obsah1"/>
            <w:rPr>
              <w:rFonts w:asciiTheme="minorHAnsi" w:eastAsiaTheme="minorEastAsia" w:hAnsiTheme="minorHAnsi" w:cstheme="minorBidi"/>
              <w:noProof/>
              <w:sz w:val="22"/>
              <w:szCs w:val="22"/>
            </w:rPr>
          </w:pPr>
          <w:r>
            <w:fldChar w:fldCharType="begin"/>
          </w:r>
          <w:r>
            <w:instrText>TOC \o "1-3" \h \z \u</w:instrText>
          </w:r>
          <w:r>
            <w:fldChar w:fldCharType="separate"/>
          </w:r>
          <w:hyperlink w:anchor="_Toc185241001" w:history="1">
            <w:r w:rsidR="00E53874" w:rsidRPr="005C3F7F">
              <w:rPr>
                <w:rStyle w:val="Hypertextovodkaz"/>
                <w:noProof/>
              </w:rPr>
              <w:t>1. Shrnutí</w:t>
            </w:r>
            <w:r w:rsidR="00E53874">
              <w:rPr>
                <w:noProof/>
                <w:webHidden/>
              </w:rPr>
              <w:tab/>
            </w:r>
            <w:r w:rsidR="00E53874">
              <w:rPr>
                <w:noProof/>
                <w:webHidden/>
              </w:rPr>
              <w:fldChar w:fldCharType="begin"/>
            </w:r>
            <w:r w:rsidR="00E53874">
              <w:rPr>
                <w:noProof/>
                <w:webHidden/>
              </w:rPr>
              <w:instrText xml:space="preserve"> PAGEREF _Toc185241001 \h </w:instrText>
            </w:r>
            <w:r w:rsidR="00E53874">
              <w:rPr>
                <w:noProof/>
                <w:webHidden/>
              </w:rPr>
            </w:r>
            <w:r w:rsidR="00E53874">
              <w:rPr>
                <w:noProof/>
                <w:webHidden/>
              </w:rPr>
              <w:fldChar w:fldCharType="separate"/>
            </w:r>
            <w:r w:rsidR="00E53874">
              <w:rPr>
                <w:noProof/>
                <w:webHidden/>
              </w:rPr>
              <w:t>4</w:t>
            </w:r>
            <w:r w:rsidR="00E53874">
              <w:rPr>
                <w:noProof/>
                <w:webHidden/>
              </w:rPr>
              <w:fldChar w:fldCharType="end"/>
            </w:r>
          </w:hyperlink>
        </w:p>
        <w:p w14:paraId="72E4F0C3" w14:textId="59800EEC" w:rsidR="00E53874" w:rsidRDefault="0083516C">
          <w:pPr>
            <w:pStyle w:val="Obsah1"/>
            <w:rPr>
              <w:rFonts w:asciiTheme="minorHAnsi" w:eastAsiaTheme="minorEastAsia" w:hAnsiTheme="minorHAnsi" w:cstheme="minorBidi"/>
              <w:noProof/>
              <w:sz w:val="22"/>
              <w:szCs w:val="22"/>
            </w:rPr>
          </w:pPr>
          <w:hyperlink w:anchor="_Toc185241002" w:history="1">
            <w:r w:rsidR="00E53874" w:rsidRPr="005C3F7F">
              <w:rPr>
                <w:rStyle w:val="Hypertextovodkaz"/>
                <w:noProof/>
              </w:rPr>
              <w:t>2. Souhrnná výkonnost</w:t>
            </w:r>
            <w:r w:rsidR="00E53874">
              <w:rPr>
                <w:noProof/>
                <w:webHidden/>
              </w:rPr>
              <w:tab/>
            </w:r>
            <w:r w:rsidR="00E53874">
              <w:rPr>
                <w:noProof/>
                <w:webHidden/>
              </w:rPr>
              <w:fldChar w:fldCharType="begin"/>
            </w:r>
            <w:r w:rsidR="00E53874">
              <w:rPr>
                <w:noProof/>
                <w:webHidden/>
              </w:rPr>
              <w:instrText xml:space="preserve"> PAGEREF _Toc185241002 \h </w:instrText>
            </w:r>
            <w:r w:rsidR="00E53874">
              <w:rPr>
                <w:noProof/>
                <w:webHidden/>
              </w:rPr>
            </w:r>
            <w:r w:rsidR="00E53874">
              <w:rPr>
                <w:noProof/>
                <w:webHidden/>
              </w:rPr>
              <w:fldChar w:fldCharType="separate"/>
            </w:r>
            <w:r w:rsidR="00E53874">
              <w:rPr>
                <w:noProof/>
                <w:webHidden/>
              </w:rPr>
              <w:t>6</w:t>
            </w:r>
            <w:r w:rsidR="00E53874">
              <w:rPr>
                <w:noProof/>
                <w:webHidden/>
              </w:rPr>
              <w:fldChar w:fldCharType="end"/>
            </w:r>
          </w:hyperlink>
        </w:p>
        <w:p w14:paraId="53F54BE5" w14:textId="5BC983A9" w:rsidR="00E53874" w:rsidRDefault="0083516C">
          <w:pPr>
            <w:pStyle w:val="Obsah1"/>
            <w:rPr>
              <w:rFonts w:asciiTheme="minorHAnsi" w:eastAsiaTheme="minorEastAsia" w:hAnsiTheme="minorHAnsi" w:cstheme="minorBidi"/>
              <w:noProof/>
              <w:sz w:val="22"/>
              <w:szCs w:val="22"/>
            </w:rPr>
          </w:pPr>
          <w:hyperlink w:anchor="_Toc185241003" w:history="1">
            <w:r w:rsidR="00E53874" w:rsidRPr="005C3F7F">
              <w:rPr>
                <w:rStyle w:val="Hypertextovodkaz"/>
                <w:noProof/>
              </w:rPr>
              <w:t>3. Výkonnost odvětví</w:t>
            </w:r>
            <w:r w:rsidR="00E53874">
              <w:rPr>
                <w:noProof/>
                <w:webHidden/>
              </w:rPr>
              <w:tab/>
            </w:r>
            <w:r w:rsidR="00E53874">
              <w:rPr>
                <w:noProof/>
                <w:webHidden/>
              </w:rPr>
              <w:fldChar w:fldCharType="begin"/>
            </w:r>
            <w:r w:rsidR="00E53874">
              <w:rPr>
                <w:noProof/>
                <w:webHidden/>
              </w:rPr>
              <w:instrText xml:space="preserve"> PAGEREF _Toc185241003 \h </w:instrText>
            </w:r>
            <w:r w:rsidR="00E53874">
              <w:rPr>
                <w:noProof/>
                <w:webHidden/>
              </w:rPr>
            </w:r>
            <w:r w:rsidR="00E53874">
              <w:rPr>
                <w:noProof/>
                <w:webHidden/>
              </w:rPr>
              <w:fldChar w:fldCharType="separate"/>
            </w:r>
            <w:r w:rsidR="00E53874">
              <w:rPr>
                <w:noProof/>
                <w:webHidden/>
              </w:rPr>
              <w:t>10</w:t>
            </w:r>
            <w:r w:rsidR="00E53874">
              <w:rPr>
                <w:noProof/>
                <w:webHidden/>
              </w:rPr>
              <w:fldChar w:fldCharType="end"/>
            </w:r>
          </w:hyperlink>
        </w:p>
        <w:p w14:paraId="046D6F21" w14:textId="13E7E142" w:rsidR="00E53874" w:rsidRDefault="0083516C">
          <w:pPr>
            <w:pStyle w:val="Obsah1"/>
            <w:rPr>
              <w:rFonts w:asciiTheme="minorHAnsi" w:eastAsiaTheme="minorEastAsia" w:hAnsiTheme="minorHAnsi" w:cstheme="minorBidi"/>
              <w:noProof/>
              <w:sz w:val="22"/>
              <w:szCs w:val="22"/>
            </w:rPr>
          </w:pPr>
          <w:hyperlink w:anchor="_Toc185241004" w:history="1">
            <w:r w:rsidR="00E53874" w:rsidRPr="005C3F7F">
              <w:rPr>
                <w:rStyle w:val="Hypertextovodkaz"/>
                <w:noProof/>
              </w:rPr>
              <w:t>4. Vnější vztahy</w:t>
            </w:r>
            <w:r w:rsidR="00E53874">
              <w:rPr>
                <w:noProof/>
                <w:webHidden/>
              </w:rPr>
              <w:tab/>
            </w:r>
            <w:r w:rsidR="00E53874">
              <w:rPr>
                <w:noProof/>
                <w:webHidden/>
              </w:rPr>
              <w:fldChar w:fldCharType="begin"/>
            </w:r>
            <w:r w:rsidR="00E53874">
              <w:rPr>
                <w:noProof/>
                <w:webHidden/>
              </w:rPr>
              <w:instrText xml:space="preserve"> PAGEREF _Toc185241004 \h </w:instrText>
            </w:r>
            <w:r w:rsidR="00E53874">
              <w:rPr>
                <w:noProof/>
                <w:webHidden/>
              </w:rPr>
            </w:r>
            <w:r w:rsidR="00E53874">
              <w:rPr>
                <w:noProof/>
                <w:webHidden/>
              </w:rPr>
              <w:fldChar w:fldCharType="separate"/>
            </w:r>
            <w:r w:rsidR="00E53874">
              <w:rPr>
                <w:noProof/>
                <w:webHidden/>
              </w:rPr>
              <w:t>21</w:t>
            </w:r>
            <w:r w:rsidR="00E53874">
              <w:rPr>
                <w:noProof/>
                <w:webHidden/>
              </w:rPr>
              <w:fldChar w:fldCharType="end"/>
            </w:r>
          </w:hyperlink>
        </w:p>
        <w:p w14:paraId="754CFDC8" w14:textId="1AB44769" w:rsidR="00E53874" w:rsidRDefault="0083516C">
          <w:pPr>
            <w:pStyle w:val="Obsah1"/>
            <w:rPr>
              <w:rFonts w:asciiTheme="minorHAnsi" w:eastAsiaTheme="minorEastAsia" w:hAnsiTheme="minorHAnsi" w:cstheme="minorBidi"/>
              <w:noProof/>
              <w:sz w:val="22"/>
              <w:szCs w:val="22"/>
            </w:rPr>
          </w:pPr>
          <w:hyperlink w:anchor="_Toc185241005" w:history="1">
            <w:r w:rsidR="00E53874" w:rsidRPr="005C3F7F">
              <w:rPr>
                <w:rStyle w:val="Hypertextovodkaz"/>
                <w:noProof/>
              </w:rPr>
              <w:t>5. Ceny</w:t>
            </w:r>
            <w:r w:rsidR="00E53874">
              <w:rPr>
                <w:noProof/>
                <w:webHidden/>
              </w:rPr>
              <w:tab/>
            </w:r>
            <w:r w:rsidR="00E53874">
              <w:rPr>
                <w:noProof/>
                <w:webHidden/>
              </w:rPr>
              <w:fldChar w:fldCharType="begin"/>
            </w:r>
            <w:r w:rsidR="00E53874">
              <w:rPr>
                <w:noProof/>
                <w:webHidden/>
              </w:rPr>
              <w:instrText xml:space="preserve"> PAGEREF _Toc185241005 \h </w:instrText>
            </w:r>
            <w:r w:rsidR="00E53874">
              <w:rPr>
                <w:noProof/>
                <w:webHidden/>
              </w:rPr>
            </w:r>
            <w:r w:rsidR="00E53874">
              <w:rPr>
                <w:noProof/>
                <w:webHidden/>
              </w:rPr>
              <w:fldChar w:fldCharType="separate"/>
            </w:r>
            <w:r w:rsidR="00E53874">
              <w:rPr>
                <w:noProof/>
                <w:webHidden/>
              </w:rPr>
              <w:t>25</w:t>
            </w:r>
            <w:r w:rsidR="00E53874">
              <w:rPr>
                <w:noProof/>
                <w:webHidden/>
              </w:rPr>
              <w:fldChar w:fldCharType="end"/>
            </w:r>
          </w:hyperlink>
        </w:p>
        <w:p w14:paraId="25B0D5B9" w14:textId="096C28FB" w:rsidR="00E53874" w:rsidRDefault="0083516C">
          <w:pPr>
            <w:pStyle w:val="Obsah1"/>
            <w:rPr>
              <w:rFonts w:asciiTheme="minorHAnsi" w:eastAsiaTheme="minorEastAsia" w:hAnsiTheme="minorHAnsi" w:cstheme="minorBidi"/>
              <w:noProof/>
              <w:sz w:val="22"/>
              <w:szCs w:val="22"/>
            </w:rPr>
          </w:pPr>
          <w:hyperlink w:anchor="_Toc185241006" w:history="1">
            <w:r w:rsidR="00E53874" w:rsidRPr="005C3F7F">
              <w:rPr>
                <w:rStyle w:val="Hypertextovodkaz"/>
                <w:noProof/>
              </w:rPr>
              <w:t>6. Trh práce</w:t>
            </w:r>
            <w:r w:rsidR="00E53874">
              <w:rPr>
                <w:noProof/>
                <w:webHidden/>
              </w:rPr>
              <w:tab/>
            </w:r>
            <w:r w:rsidR="00E53874">
              <w:rPr>
                <w:noProof/>
                <w:webHidden/>
              </w:rPr>
              <w:fldChar w:fldCharType="begin"/>
            </w:r>
            <w:r w:rsidR="00E53874">
              <w:rPr>
                <w:noProof/>
                <w:webHidden/>
              </w:rPr>
              <w:instrText xml:space="preserve"> PAGEREF _Toc185241006 \h </w:instrText>
            </w:r>
            <w:r w:rsidR="00E53874">
              <w:rPr>
                <w:noProof/>
                <w:webHidden/>
              </w:rPr>
            </w:r>
            <w:r w:rsidR="00E53874">
              <w:rPr>
                <w:noProof/>
                <w:webHidden/>
              </w:rPr>
              <w:fldChar w:fldCharType="separate"/>
            </w:r>
            <w:r w:rsidR="00E53874">
              <w:rPr>
                <w:noProof/>
                <w:webHidden/>
              </w:rPr>
              <w:t>31</w:t>
            </w:r>
            <w:r w:rsidR="00E53874">
              <w:rPr>
                <w:noProof/>
                <w:webHidden/>
              </w:rPr>
              <w:fldChar w:fldCharType="end"/>
            </w:r>
          </w:hyperlink>
        </w:p>
        <w:p w14:paraId="0C03DB9F" w14:textId="3BEE1B23" w:rsidR="00E53874" w:rsidRDefault="0083516C">
          <w:pPr>
            <w:pStyle w:val="Obsah1"/>
            <w:rPr>
              <w:rFonts w:asciiTheme="minorHAnsi" w:eastAsiaTheme="minorEastAsia" w:hAnsiTheme="minorHAnsi" w:cstheme="minorBidi"/>
              <w:noProof/>
              <w:sz w:val="22"/>
              <w:szCs w:val="22"/>
            </w:rPr>
          </w:pPr>
          <w:hyperlink w:anchor="_Toc185241007" w:history="1">
            <w:r w:rsidR="00E53874" w:rsidRPr="005C3F7F">
              <w:rPr>
                <w:rStyle w:val="Hypertextovodkaz"/>
                <w:noProof/>
              </w:rPr>
              <w:t>7. Měnové podmínky</w:t>
            </w:r>
            <w:r w:rsidR="00E53874">
              <w:rPr>
                <w:noProof/>
                <w:webHidden/>
              </w:rPr>
              <w:tab/>
            </w:r>
            <w:r w:rsidR="00E53874">
              <w:rPr>
                <w:noProof/>
                <w:webHidden/>
              </w:rPr>
              <w:fldChar w:fldCharType="begin"/>
            </w:r>
            <w:r w:rsidR="00E53874">
              <w:rPr>
                <w:noProof/>
                <w:webHidden/>
              </w:rPr>
              <w:instrText xml:space="preserve"> PAGEREF _Toc185241007 \h </w:instrText>
            </w:r>
            <w:r w:rsidR="00E53874">
              <w:rPr>
                <w:noProof/>
                <w:webHidden/>
              </w:rPr>
            </w:r>
            <w:r w:rsidR="00E53874">
              <w:rPr>
                <w:noProof/>
                <w:webHidden/>
              </w:rPr>
              <w:fldChar w:fldCharType="separate"/>
            </w:r>
            <w:r w:rsidR="00E53874">
              <w:rPr>
                <w:noProof/>
                <w:webHidden/>
              </w:rPr>
              <w:t>38</w:t>
            </w:r>
            <w:r w:rsidR="00E53874">
              <w:rPr>
                <w:noProof/>
                <w:webHidden/>
              </w:rPr>
              <w:fldChar w:fldCharType="end"/>
            </w:r>
          </w:hyperlink>
        </w:p>
        <w:p w14:paraId="0B0D2C32" w14:textId="1A02E853" w:rsidR="00E53874" w:rsidRDefault="0083516C">
          <w:pPr>
            <w:pStyle w:val="Obsah1"/>
            <w:rPr>
              <w:rFonts w:asciiTheme="minorHAnsi" w:eastAsiaTheme="minorEastAsia" w:hAnsiTheme="minorHAnsi" w:cstheme="minorBidi"/>
              <w:noProof/>
              <w:sz w:val="22"/>
              <w:szCs w:val="22"/>
            </w:rPr>
          </w:pPr>
          <w:hyperlink w:anchor="_Toc185241008" w:history="1">
            <w:r w:rsidR="00E53874" w:rsidRPr="005C3F7F">
              <w:rPr>
                <w:rStyle w:val="Hypertextovodkaz"/>
                <w:noProof/>
              </w:rPr>
              <w:t>8. Státní rozpočet</w:t>
            </w:r>
            <w:r w:rsidR="00E53874">
              <w:rPr>
                <w:noProof/>
                <w:webHidden/>
              </w:rPr>
              <w:tab/>
            </w:r>
            <w:r w:rsidR="00E53874">
              <w:rPr>
                <w:noProof/>
                <w:webHidden/>
              </w:rPr>
              <w:fldChar w:fldCharType="begin"/>
            </w:r>
            <w:r w:rsidR="00E53874">
              <w:rPr>
                <w:noProof/>
                <w:webHidden/>
              </w:rPr>
              <w:instrText xml:space="preserve"> PAGEREF _Toc185241008 \h </w:instrText>
            </w:r>
            <w:r w:rsidR="00E53874">
              <w:rPr>
                <w:noProof/>
                <w:webHidden/>
              </w:rPr>
            </w:r>
            <w:r w:rsidR="00E53874">
              <w:rPr>
                <w:noProof/>
                <w:webHidden/>
              </w:rPr>
              <w:fldChar w:fldCharType="separate"/>
            </w:r>
            <w:r w:rsidR="00E53874">
              <w:rPr>
                <w:noProof/>
                <w:webHidden/>
              </w:rPr>
              <w:t>40</w:t>
            </w:r>
            <w:r w:rsidR="00E53874">
              <w:rPr>
                <w:noProof/>
                <w:webHidden/>
              </w:rPr>
              <w:fldChar w:fldCharType="end"/>
            </w:r>
          </w:hyperlink>
        </w:p>
        <w:p w14:paraId="6BBE4EAD" w14:textId="6EFE18B0" w:rsidR="00C72884" w:rsidRDefault="00C72884" w:rsidP="00C72884">
          <w:pPr>
            <w:pStyle w:val="Obsah1"/>
            <w:tabs>
              <w:tab w:val="clear" w:pos="9639"/>
              <w:tab w:val="right" w:leader="dot" w:pos="9630"/>
            </w:tabs>
            <w:rPr>
              <w:szCs w:val="20"/>
            </w:rPr>
          </w:pPr>
          <w:r>
            <w:fldChar w:fldCharType="end"/>
          </w:r>
        </w:p>
      </w:sdtContent>
    </w:sdt>
    <w:p w14:paraId="5A20DB3F" w14:textId="73D676D0" w:rsidR="00C72884" w:rsidRDefault="00C72884" w:rsidP="00C72884">
      <w:pPr>
        <w:pStyle w:val="Obsahpoloky"/>
      </w:pPr>
    </w:p>
    <w:p w14:paraId="0598EDD2" w14:textId="4CB38494" w:rsidR="00C72884" w:rsidRDefault="00C72884" w:rsidP="00C72884">
      <w:pPr>
        <w:pStyle w:val="Obsahpoloky"/>
      </w:pPr>
    </w:p>
    <w:p w14:paraId="1DF1F77C" w14:textId="67D40279" w:rsidR="00C72884" w:rsidRDefault="00C72884" w:rsidP="00C72884">
      <w:pPr>
        <w:pStyle w:val="Obsahpoloky"/>
      </w:pPr>
    </w:p>
    <w:p w14:paraId="480CABA8" w14:textId="77777777" w:rsidR="00C72884" w:rsidRPr="009110F7" w:rsidRDefault="00C72884" w:rsidP="00C72884">
      <w:pPr>
        <w:pStyle w:val="Textpoznpodarou"/>
        <w:jc w:val="both"/>
        <w:rPr>
          <w:rFonts w:cs="Arial"/>
          <w:color w:val="000000"/>
        </w:rPr>
      </w:pPr>
    </w:p>
    <w:p w14:paraId="7A1FB62F" w14:textId="77777777" w:rsidR="00C72884" w:rsidRDefault="00C72884" w:rsidP="00C72884">
      <w:pPr>
        <w:pStyle w:val="Textpoznpodarou"/>
        <w:jc w:val="both"/>
        <w:rPr>
          <w:rFonts w:cs="Arial"/>
          <w:color w:val="000000"/>
        </w:rPr>
      </w:pPr>
    </w:p>
    <w:p w14:paraId="21461640" w14:textId="77777777" w:rsidR="00C72884" w:rsidRDefault="00C72884" w:rsidP="00C72884">
      <w:pPr>
        <w:pStyle w:val="Textpoznpodarou"/>
        <w:jc w:val="both"/>
        <w:rPr>
          <w:rFonts w:cs="Arial"/>
          <w:color w:val="000000"/>
        </w:rPr>
      </w:pPr>
    </w:p>
    <w:p w14:paraId="3AF697A4" w14:textId="77777777" w:rsidR="00C72884" w:rsidRDefault="00C72884" w:rsidP="00C72884">
      <w:pPr>
        <w:pStyle w:val="Textpoznpodarou"/>
        <w:jc w:val="both"/>
        <w:rPr>
          <w:rFonts w:cs="Arial"/>
          <w:color w:val="000000"/>
        </w:rPr>
      </w:pPr>
    </w:p>
    <w:p w14:paraId="6696E482" w14:textId="77777777" w:rsidR="00C72884" w:rsidRDefault="00C72884" w:rsidP="00C72884">
      <w:pPr>
        <w:pStyle w:val="Textpoznpodarou"/>
        <w:jc w:val="both"/>
        <w:rPr>
          <w:rFonts w:cs="Arial"/>
          <w:color w:val="000000"/>
        </w:rPr>
      </w:pPr>
    </w:p>
    <w:p w14:paraId="29222EF0" w14:textId="4A0CC2B8" w:rsidR="00C72884" w:rsidRPr="009110F7" w:rsidRDefault="00C72884" w:rsidP="00C72884">
      <w:pPr>
        <w:pStyle w:val="Textpoznpodarou"/>
        <w:jc w:val="both"/>
        <w:rPr>
          <w:rFonts w:cs="Arial"/>
          <w:color w:val="000000"/>
        </w:rPr>
      </w:pPr>
      <w:r>
        <w:rPr>
          <w:rFonts w:cs="Arial"/>
          <w:color w:val="000000"/>
        </w:rPr>
        <w:t>Hlavní z</w:t>
      </w:r>
      <w:r w:rsidRPr="009110F7">
        <w:rPr>
          <w:rFonts w:cs="Arial"/>
          <w:color w:val="000000"/>
        </w:rPr>
        <w:t>droje dat v celé analýze: ČSÚ, MF ČR, ČNB, MPSV, ČSSZ, Eurostat, propočty ČSÚ.</w:t>
      </w:r>
    </w:p>
    <w:p w14:paraId="1F6F7E0A" w14:textId="1828653F" w:rsidR="00C72884" w:rsidRDefault="00C72884" w:rsidP="00C72884">
      <w:pPr>
        <w:pStyle w:val="Textpoznpodarou"/>
        <w:jc w:val="both"/>
        <w:rPr>
          <w:rFonts w:cs="Arial"/>
          <w:color w:val="000000"/>
        </w:rPr>
      </w:pPr>
      <w:r w:rsidRPr="009110F7">
        <w:rPr>
          <w:rFonts w:cs="Arial"/>
          <w:color w:val="000000"/>
        </w:rPr>
        <w:t>Poslední informace uváděné v této publikaci pocházejí z</w:t>
      </w:r>
      <w:r>
        <w:rPr>
          <w:rFonts w:cs="Arial"/>
          <w:color w:val="000000"/>
        </w:rPr>
        <w:t xml:space="preserve"> </w:t>
      </w:r>
      <w:r w:rsidR="008462A8">
        <w:rPr>
          <w:rFonts w:cs="Arial"/>
          <w:color w:val="000000"/>
        </w:rPr>
        <w:t>9</w:t>
      </w:r>
      <w:r>
        <w:rPr>
          <w:rFonts w:cs="Arial"/>
          <w:color w:val="000000"/>
        </w:rPr>
        <w:t xml:space="preserve">. </w:t>
      </w:r>
      <w:r w:rsidR="00102C41">
        <w:rPr>
          <w:rFonts w:cs="Arial"/>
          <w:color w:val="000000"/>
        </w:rPr>
        <w:t>prosince</w:t>
      </w:r>
      <w:r>
        <w:rPr>
          <w:rFonts w:cs="Arial"/>
          <w:color w:val="000000"/>
        </w:rPr>
        <w:t xml:space="preserve"> 2024</w:t>
      </w:r>
      <w:r w:rsidRPr="009110F7">
        <w:rPr>
          <w:rFonts w:cs="Arial"/>
          <w:color w:val="000000"/>
        </w:rPr>
        <w:t>.</w:t>
      </w:r>
    </w:p>
    <w:p w14:paraId="4B6FCFF2" w14:textId="77777777" w:rsidR="00C72884" w:rsidRPr="00C72884" w:rsidRDefault="00C72884" w:rsidP="00C72884"/>
    <w:p w14:paraId="1CE9DFF1" w14:textId="338F16EE" w:rsidR="00A668A3" w:rsidRPr="00C72884" w:rsidRDefault="00852217" w:rsidP="00A668A3">
      <w:pPr>
        <w:pStyle w:val="Nadpis1"/>
      </w:pPr>
      <w:r>
        <w:br w:type="page"/>
      </w:r>
      <w:bookmarkStart w:id="0" w:name="_Toc511215218"/>
    </w:p>
    <w:p w14:paraId="7B92C4E0" w14:textId="77777777" w:rsidR="00AD4F16" w:rsidRDefault="00AD4F16" w:rsidP="00AD4F16">
      <w:pPr>
        <w:pStyle w:val="Nadpis1"/>
      </w:pPr>
      <w:bookmarkStart w:id="1" w:name="_Toc185241001"/>
      <w:r>
        <w:lastRenderedPageBreak/>
        <w:t>1. Shrnutí</w:t>
      </w:r>
      <w:bookmarkEnd w:id="1"/>
    </w:p>
    <w:p w14:paraId="4897C547" w14:textId="77777777" w:rsidR="00AD4F16" w:rsidRDefault="00AD4F16" w:rsidP="00AD4F16">
      <w:pPr>
        <w:pStyle w:val="Normalodrka"/>
        <w:ind w:left="357" w:hanging="357"/>
      </w:pPr>
      <w:r>
        <w:t>Hrubý domácí produkt (HDP) ve 3. čtvrtletí 2024 rostl mezičtvrtletně o 0,4 %</w:t>
      </w:r>
      <w:r>
        <w:rPr>
          <w:rStyle w:val="Znakapoznpodarou"/>
          <w:spacing w:val="-4"/>
        </w:rPr>
        <w:footnoteReference w:id="1"/>
      </w:r>
      <w:r>
        <w:t>. Pokračovalo mezičtvrtletní oživení domácí spotřeby a pozitivně působila změna zásob. Mezičtvrtletní růst HDP naopak brzdila investiční aktivita a zahraniční poptávka. Meziročně byl HDP vyšší o 1,3 %. Vyšší byla spotřeba domácností i vládních institucí a mírně pozitivně působila zahraniční poptávka. Klesala ale investiční aktivita a negativně se meziročně vyvíjela změna zásob. Hrubý domácí produkt v EU ve 3. čtvrtletí meziročně rostl o 1,0 % a mezičtvrtletně o 0,4 %. Pokračoval meziroční pokles HDP Německa a Rakouska. V rámci střední Evropy naopak kromě Česka meziročně rostlo Polsko i Slovensko. Mezičtvrtletně rostl HDP Česka a Slovenska. Naopak Německo, Polsko a Rakousko vykázaly drobné poklesy.</w:t>
      </w:r>
    </w:p>
    <w:p w14:paraId="01781109" w14:textId="77777777" w:rsidR="00AD4F16" w:rsidRDefault="00AD4F16" w:rsidP="00AD4F16">
      <w:pPr>
        <w:pStyle w:val="Normalodrka"/>
        <w:ind w:left="357" w:hanging="357"/>
      </w:pPr>
      <w:r>
        <w:t xml:space="preserve">Hrubá přidaná hodnota (HPH) se ve 3. čtvrtletí mezičtvrtletně zvýšila o 0,8 % a meziročně o 1,0 %. Mezičtvrtletní růst byl zaznamenán v řadě odvětví, nejvíce v peněžnictví a pojišťovnictví (2,8 %) a ve zpracovatelském průmyslu (2,5 %). HPH se zvyšovala i v dalších odvětvích s výjimkou profesních, vědeckých, technických a administrativních činností, kde byl zaznamenán pokles o 0,1 %. Meziročně nejvíce rostla HPH v peněžnictví a pojišťovnictví (3,2 %). Posilující domácí spotřeba se projevila také solidním meziročním zvýšením HPH v uskupení obchod, doprava, ubytování a pohostinství (2,6 %) </w:t>
      </w:r>
      <w:r>
        <w:br/>
        <w:t xml:space="preserve">a v ostatních činnostech (2,6 %). Mírný meziroční pokles HPH o 0,1 % byl zaznamenán ve zpracovatelském průmyslu i v průmyslu jako celku a ve stavebnictví. Nejhlouběji meziročně klesla HPH </w:t>
      </w:r>
      <w:r>
        <w:br/>
        <w:t>v zemědělství, lesnictví a rybářství (−1,8 %).</w:t>
      </w:r>
    </w:p>
    <w:p w14:paraId="76322A62" w14:textId="77777777" w:rsidR="00AD4F16" w:rsidRDefault="00AD4F16" w:rsidP="00AD4F16">
      <w:pPr>
        <w:pStyle w:val="Normalodrka"/>
        <w:ind w:left="357" w:hanging="357"/>
      </w:pPr>
      <w:r>
        <w:t>Vývoz zboží a služeb ve 3. čtvrtletí 2024 reálně meziročně vzrostl o 4,0 %</w:t>
      </w:r>
      <w:r>
        <w:rPr>
          <w:rStyle w:val="Znakapoznpodarou"/>
          <w:spacing w:val="-4"/>
        </w:rPr>
        <w:footnoteReference w:id="2"/>
      </w:r>
      <w:r>
        <w:t xml:space="preserve"> a dovoz o 3,4 %. Bilance zahraničního obchodu se zbožím a službami v běžných cenách ve 2. čtvrtletí celkově dosáhla přebytku 121,8 mld. korun a ten se tak meziročně zvýšil o 29,9 mld., zejména vlivem zvýšení přebytku obchodu se zbožím. K tomuto zlepšení nejvíce přispěl obchod s motorovými vozidly a počíta</w:t>
      </w:r>
      <w:r>
        <w:rPr>
          <w:lang w:eastAsia="en-US"/>
        </w:rPr>
        <w:t>či, elektronickými a optickými přístroji a zařízeními. Meziročně se ve 3. čtvrtletí nejvíce zhoršila bilance obchodu se základními kovy.</w:t>
      </w:r>
    </w:p>
    <w:p w14:paraId="7D90E091" w14:textId="77777777" w:rsidR="00AD4F16" w:rsidRDefault="00AD4F16" w:rsidP="00AD4F16">
      <w:pPr>
        <w:pStyle w:val="Normalodrka"/>
        <w:ind w:left="357" w:hanging="357"/>
      </w:pPr>
      <w:r>
        <w:t>Celková cenová hladina (podle deflátoru HDP) ve 3. čtvrtletí meziročně vzrostla o 3,9 % a mezičtvrtletně se zvýšila o 0,4 %. Spotřebitelské ceny byly ve 3. čtvrtletí meziročně vyšší o 2,3 % a mezičtvrtletně vzrostly o 0,5 %. Zpomalení meziročního přírůstku spotřebitelských cen ovlivnil nižší</w:t>
      </w:r>
      <w:r>
        <w:rPr>
          <w:lang w:eastAsia="en-US"/>
        </w:rPr>
        <w:t xml:space="preserve"> růst cen dopravy a dále zmírnění dynamiky cen alkoholických nápojů a tabáku a odívání a obuvi. Naopak zmírnil pokles cen potravin a nealkoholických nápojů. Značně posílil růst nabídkových i realizovaných cen bytů. </w:t>
      </w:r>
      <w:r>
        <w:t xml:space="preserve">Ceny průmyslových výrobců ve 3. čtvrtletí meziročně vzrostly o 1,2 %. Opět se zmírnil pokles cen zemědělských výrobců. </w:t>
      </w:r>
    </w:p>
    <w:p w14:paraId="3A0426DE" w14:textId="77777777" w:rsidR="00AD4F16" w:rsidRDefault="00AD4F16" w:rsidP="00AD4F16">
      <w:pPr>
        <w:pStyle w:val="Normalodrka"/>
        <w:ind w:left="357" w:hanging="357"/>
      </w:pPr>
      <w:r>
        <w:t xml:space="preserve">Základní měnověpolitické úrokové sazby dál klesaly a spolu s nimi také úrokové sazby u většiny druhů klientských vkladů a úvěrů. </w:t>
      </w:r>
      <w:r>
        <w:rPr>
          <w:lang w:eastAsia="en-US"/>
        </w:rPr>
        <w:t xml:space="preserve">Dynamika objemu poskytnutých úvěrů zpomalila včetně hypoték. V nových hypotečních smlouvách tvořila většinu </w:t>
      </w:r>
      <w:r>
        <w:t>dojednávání nových podmínek existujících smluv.</w:t>
      </w:r>
    </w:p>
    <w:p w14:paraId="44DF8B14" w14:textId="379BFCBD" w:rsidR="00AD4F16" w:rsidRDefault="00AD4F16" w:rsidP="0083516C">
      <w:pPr>
        <w:pStyle w:val="Normalodrka"/>
        <w:ind w:left="357" w:hanging="357"/>
      </w:pPr>
      <w:r>
        <w:t>Celková zaměstnanost</w:t>
      </w:r>
      <w:r>
        <w:rPr>
          <w:rStyle w:val="Znakapoznpodarou"/>
        </w:rPr>
        <w:footnoteReference w:id="3"/>
      </w:r>
      <w:r>
        <w:t xml:space="preserve"> ve 3. čtvrtletí byla meziročně vyšší o 0,4 % a mezičtvrtletně se nezměnila. Celková míra nezaměstnanosti stále kolísá pod 3 %. Průměrná hrubá měsíční nominální mzda ve 3. čtvrtletí meziročně vzrostla o 7,0 % a dosáhla 45 412 koru</w:t>
      </w:r>
      <w:r w:rsidR="00EF6DB3">
        <w:t>n. Reálně průměrná mzda posílila</w:t>
      </w:r>
      <w:r>
        <w:t xml:space="preserve"> o 4,6 %. Mezičtvrtletní nominální navýšení průměrné mzdy činilo 1,9 %.</w:t>
      </w:r>
    </w:p>
    <w:p w14:paraId="1C9E6474" w14:textId="4F96B8E9" w:rsidR="00AD4F16" w:rsidRDefault="00AD4F16" w:rsidP="00AD4F16">
      <w:pPr>
        <w:pStyle w:val="Normalodrka"/>
        <w:spacing w:after="0"/>
        <w:ind w:left="357" w:hanging="357"/>
      </w:pPr>
      <w:r>
        <w:t>V 1. až 3. čtvrtletí 2024 hospodařil státní rozpočet s</w:t>
      </w:r>
      <w:r w:rsidR="00773220">
        <w:t>e</w:t>
      </w:r>
      <w:bookmarkStart w:id="2" w:name="_GoBack"/>
      <w:bookmarkEnd w:id="2"/>
      <w:r>
        <w:t xml:space="preserve"> schodkem ve výši 181,7 mld. korun, což bylo téměř stejně jako v předchozím roce. Postupně odeznívala potřeba mimořádných výdajů domácnostem i firmám zasaženým dopady vysoké inflace a zřetelné jsou dopady schváleného konsolidačního balíčku. Je patrná i změna rozpočtového určení daní, která zvyšuje podíl na výnosu některých váhově významných daní ve prospěch státního rozpočtu. Přetrvávající slabý hospodářský růst ale brzdil růst příjmů z</w:t>
      </w:r>
      <w:r w:rsidR="00EF6DB3">
        <w:t xml:space="preserve"> některých </w:t>
      </w:r>
      <w:r>
        <w:t>daní.</w:t>
      </w:r>
    </w:p>
    <w:p w14:paraId="181E4D16" w14:textId="6E17C515" w:rsidR="00603FF5" w:rsidRDefault="00DB6566" w:rsidP="0083516C">
      <w:pPr>
        <w:pStyle w:val="Normalodrka"/>
        <w:numPr>
          <w:ilvl w:val="0"/>
          <w:numId w:val="0"/>
        </w:numPr>
        <w:spacing w:after="0"/>
        <w:jc w:val="center"/>
      </w:pPr>
      <w:r w:rsidRPr="00DB6566">
        <w:rPr>
          <w:noProof/>
        </w:rPr>
        <w:lastRenderedPageBreak/>
        <w:drawing>
          <wp:inline distT="0" distB="0" distL="0" distR="0" wp14:anchorId="16CDD439" wp14:editId="3B1FB1B1">
            <wp:extent cx="5857875" cy="8867775"/>
            <wp:effectExtent l="0" t="0" r="9525"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57875" cy="8867775"/>
                    </a:xfrm>
                    <a:prstGeom prst="rect">
                      <a:avLst/>
                    </a:prstGeom>
                    <a:noFill/>
                    <a:ln>
                      <a:noFill/>
                    </a:ln>
                  </pic:spPr>
                </pic:pic>
              </a:graphicData>
            </a:graphic>
          </wp:inline>
        </w:drawing>
      </w:r>
      <w:bookmarkStart w:id="3" w:name="_Toc145318531"/>
      <w:bookmarkStart w:id="4" w:name="_Toc153531174"/>
      <w:bookmarkStart w:id="5" w:name="_Toc169258114"/>
      <w:bookmarkStart w:id="6" w:name="_Toc137233026"/>
      <w:bookmarkStart w:id="7" w:name="_Toc130286019"/>
      <w:bookmarkStart w:id="8" w:name="_Toc114134050"/>
      <w:bookmarkStart w:id="9" w:name="_Toc145318534"/>
      <w:bookmarkStart w:id="10" w:name="_Toc153531177"/>
      <w:bookmarkStart w:id="11" w:name="_Toc121993822"/>
      <w:bookmarkStart w:id="12" w:name="_Toc137233031"/>
      <w:bookmarkEnd w:id="0"/>
    </w:p>
    <w:p w14:paraId="17F497BC" w14:textId="77777777" w:rsidR="00FA7115" w:rsidRPr="009110F7" w:rsidRDefault="00FA7115" w:rsidP="00FA7115">
      <w:pPr>
        <w:pStyle w:val="Nadpis1"/>
      </w:pPr>
      <w:bookmarkStart w:id="13" w:name="_Toc185241002"/>
      <w:bookmarkEnd w:id="3"/>
      <w:bookmarkEnd w:id="4"/>
      <w:bookmarkEnd w:id="5"/>
      <w:bookmarkEnd w:id="6"/>
      <w:bookmarkEnd w:id="7"/>
      <w:bookmarkEnd w:id="8"/>
      <w:bookmarkEnd w:id="9"/>
      <w:r>
        <w:lastRenderedPageBreak/>
        <w:t>2. Souhrnná výkonnost</w:t>
      </w:r>
      <w:bookmarkEnd w:id="13"/>
    </w:p>
    <w:tbl>
      <w:tblPr>
        <w:tblW w:w="9639" w:type="dxa"/>
        <w:tblInd w:w="-20" w:type="dxa"/>
        <w:tblCellMar>
          <w:left w:w="0" w:type="dxa"/>
          <w:right w:w="0" w:type="dxa"/>
        </w:tblCellMar>
        <w:tblLook w:val="00A0" w:firstRow="1" w:lastRow="0" w:firstColumn="1" w:lastColumn="0" w:noHBand="0" w:noVBand="0"/>
      </w:tblPr>
      <w:tblGrid>
        <w:gridCol w:w="1806"/>
        <w:gridCol w:w="210"/>
        <w:gridCol w:w="7623"/>
      </w:tblGrid>
      <w:tr w:rsidR="00FA7115" w:rsidRPr="009110F7" w14:paraId="6D6121B9" w14:textId="77777777" w:rsidTr="30D0B3BE">
        <w:trPr>
          <w:trHeight w:val="145"/>
        </w:trPr>
        <w:tc>
          <w:tcPr>
            <w:tcW w:w="1806" w:type="dxa"/>
            <w:shd w:val="clear" w:color="auto" w:fill="auto"/>
            <w:tcMar>
              <w:left w:w="0" w:type="dxa"/>
            </w:tcMar>
          </w:tcPr>
          <w:p w14:paraId="1D6DCC9C" w14:textId="35413431" w:rsidR="00FA7115" w:rsidRDefault="00FA7115" w:rsidP="0058308D">
            <w:pPr>
              <w:pStyle w:val="Marginlie"/>
            </w:pPr>
            <w:r>
              <w:t xml:space="preserve">Růst české ekonomiky </w:t>
            </w:r>
            <w:r w:rsidR="001D40D7">
              <w:t xml:space="preserve">mírně </w:t>
            </w:r>
            <w:r>
              <w:t>zrychlil.</w:t>
            </w:r>
          </w:p>
        </w:tc>
        <w:tc>
          <w:tcPr>
            <w:tcW w:w="210" w:type="dxa"/>
            <w:shd w:val="clear" w:color="auto" w:fill="auto"/>
            <w:tcMar>
              <w:left w:w="0" w:type="dxa"/>
            </w:tcMar>
          </w:tcPr>
          <w:p w14:paraId="184F30D3" w14:textId="77777777" w:rsidR="00FA7115" w:rsidRDefault="00FA7115" w:rsidP="0058308D">
            <w:pPr>
              <w:pStyle w:val="Textpoznpodarou"/>
              <w:jc w:val="both"/>
              <w:rPr>
                <w:spacing w:val="-4"/>
              </w:rPr>
            </w:pPr>
          </w:p>
        </w:tc>
        <w:tc>
          <w:tcPr>
            <w:tcW w:w="7623" w:type="dxa"/>
            <w:shd w:val="clear" w:color="auto" w:fill="auto"/>
            <w:tcMar>
              <w:left w:w="0" w:type="dxa"/>
            </w:tcMar>
          </w:tcPr>
          <w:p w14:paraId="3110D250" w14:textId="44DF7691" w:rsidR="00FA7115" w:rsidRPr="00014ED0" w:rsidRDefault="00FA7115" w:rsidP="001D40D7">
            <w:pPr>
              <w:rPr>
                <w:spacing w:val="-2"/>
              </w:rPr>
            </w:pPr>
            <w:r>
              <w:rPr>
                <w:spacing w:val="-2"/>
              </w:rPr>
              <w:t xml:space="preserve">Česká ekonomika si i ve 3. </w:t>
            </w:r>
            <w:r w:rsidR="001D40D7">
              <w:rPr>
                <w:spacing w:val="-2"/>
              </w:rPr>
              <w:t>kvartálu</w:t>
            </w:r>
            <w:r>
              <w:rPr>
                <w:spacing w:val="-2"/>
              </w:rPr>
              <w:t xml:space="preserve"> 2024 držela mírný mezičtvrtletní růst HDP (0,4 %)</w:t>
            </w:r>
            <w:r w:rsidRPr="00014ED0">
              <w:rPr>
                <w:rStyle w:val="Znakapoznpodarou"/>
                <w:rFonts w:cs="Arial"/>
                <w:spacing w:val="-2"/>
              </w:rPr>
              <w:footnoteReference w:id="4"/>
            </w:r>
            <w:r>
              <w:rPr>
                <w:spacing w:val="-2"/>
              </w:rPr>
              <w:t>. Pokračoval růst domácí spotřeby, především spotřeby domácností a k mezičtvrtletnímu růstu HDP pozitivně přispívala rovně</w:t>
            </w:r>
            <w:r w:rsidR="001D40D7">
              <w:rPr>
                <w:spacing w:val="-2"/>
              </w:rPr>
              <w:t>ž</w:t>
            </w:r>
            <w:r>
              <w:rPr>
                <w:spacing w:val="-2"/>
              </w:rPr>
              <w:t xml:space="preserve"> změna zásob. Na druhé straně došlo k poklesu investiční aktivity a nepříznivě působila i zahraniční poptávka. Meziročně se HDP ve 3. čtvrtletí zvýšil o 1,3 % a přírůstek tak posílil na nejvyšší hodnotu od 3. čtvrtletí 2022. Napomohla tomu i nižší srovnávací základna, protože 3. čtvrtletí bylo z pohledu vývoje HDP nejslabším kvartálem roku</w:t>
            </w:r>
            <w:r w:rsidR="001D40D7">
              <w:rPr>
                <w:spacing w:val="-2"/>
              </w:rPr>
              <w:t xml:space="preserve"> 2023</w:t>
            </w:r>
            <w:r>
              <w:rPr>
                <w:spacing w:val="-2"/>
              </w:rPr>
              <w:t xml:space="preserve">. Meziročně solidně rostla domácí spotřeba a k růstu HDP přispívala i zahraniční poptávka, ale kapitálové výdaje setrvávaly v meziročním poklesu. Negativně stále působila změna zásob, ale za 3. čtvrtletím 2023 reálně zaostávala též investiční aktivita.  </w:t>
            </w:r>
          </w:p>
        </w:tc>
      </w:tr>
      <w:tr w:rsidR="00FA7115" w:rsidRPr="009110F7" w14:paraId="706CC73C" w14:textId="77777777" w:rsidTr="30D0B3BE">
        <w:trPr>
          <w:trHeight w:val="170"/>
        </w:trPr>
        <w:tc>
          <w:tcPr>
            <w:tcW w:w="1806" w:type="dxa"/>
            <w:vMerge w:val="restart"/>
            <w:shd w:val="clear" w:color="auto" w:fill="auto"/>
            <w:tcMar>
              <w:left w:w="0" w:type="dxa"/>
            </w:tcMar>
          </w:tcPr>
          <w:p w14:paraId="4257AE2B" w14:textId="77777777" w:rsidR="00FA7115" w:rsidRDefault="00FA7115" w:rsidP="0058308D">
            <w:pPr>
              <w:pStyle w:val="Marginlie"/>
            </w:pPr>
          </w:p>
        </w:tc>
        <w:tc>
          <w:tcPr>
            <w:tcW w:w="210" w:type="dxa"/>
            <w:vMerge w:val="restart"/>
            <w:shd w:val="clear" w:color="auto" w:fill="auto"/>
            <w:tcMar>
              <w:left w:w="0" w:type="dxa"/>
            </w:tcMar>
          </w:tcPr>
          <w:p w14:paraId="38C17A1E" w14:textId="77777777" w:rsidR="00FA7115" w:rsidRDefault="00FA7115" w:rsidP="0058308D">
            <w:pPr>
              <w:pStyle w:val="Textpoznpodarou"/>
              <w:jc w:val="both"/>
              <w:rPr>
                <w:spacing w:val="-4"/>
              </w:rPr>
            </w:pPr>
          </w:p>
        </w:tc>
        <w:tc>
          <w:tcPr>
            <w:tcW w:w="7623" w:type="dxa"/>
            <w:shd w:val="clear" w:color="auto" w:fill="auto"/>
            <w:tcMar>
              <w:left w:w="0" w:type="dxa"/>
            </w:tcMar>
          </w:tcPr>
          <w:p w14:paraId="7176AA36" w14:textId="77777777" w:rsidR="00FA7115" w:rsidRPr="00D721B4" w:rsidRDefault="00FA7115" w:rsidP="0058308D">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w:t>
            </w:r>
            <w:r>
              <w:rPr>
                <w:rFonts w:cs="Arial"/>
                <w:bCs/>
                <w:szCs w:val="20"/>
                <w:lang w:eastAsia="en-US"/>
              </w:rPr>
              <w:t> %</w:t>
            </w:r>
            <w:r w:rsidRPr="00D721B4">
              <w:rPr>
                <w:rFonts w:cs="Arial"/>
                <w:bCs/>
                <w:szCs w:val="20"/>
                <w:lang w:eastAsia="en-US"/>
              </w:rPr>
              <w:t>)</w:t>
            </w:r>
          </w:p>
        </w:tc>
      </w:tr>
      <w:tr w:rsidR="00FA7115" w:rsidRPr="009110F7" w14:paraId="0DD7B7BB" w14:textId="77777777" w:rsidTr="30D0B3BE">
        <w:tblPrEx>
          <w:tblCellMar>
            <w:left w:w="70" w:type="dxa"/>
            <w:right w:w="70" w:type="dxa"/>
          </w:tblCellMar>
        </w:tblPrEx>
        <w:trPr>
          <w:trHeight w:val="170"/>
        </w:trPr>
        <w:tc>
          <w:tcPr>
            <w:tcW w:w="1806" w:type="dxa"/>
            <w:vMerge/>
          </w:tcPr>
          <w:p w14:paraId="18243F1D" w14:textId="77777777" w:rsidR="00FA7115" w:rsidRPr="009110F7" w:rsidRDefault="00FA7115" w:rsidP="0058308D">
            <w:pPr>
              <w:pStyle w:val="Marginlie"/>
            </w:pPr>
          </w:p>
        </w:tc>
        <w:tc>
          <w:tcPr>
            <w:tcW w:w="210" w:type="dxa"/>
            <w:vMerge/>
          </w:tcPr>
          <w:p w14:paraId="4195E7D1" w14:textId="77777777" w:rsidR="00FA7115" w:rsidRPr="009110F7" w:rsidRDefault="00FA7115" w:rsidP="0058308D">
            <w:pPr>
              <w:pStyle w:val="Textpoznpodarou"/>
              <w:jc w:val="both"/>
              <w:rPr>
                <w:spacing w:val="-4"/>
              </w:rPr>
            </w:pPr>
          </w:p>
        </w:tc>
        <w:tc>
          <w:tcPr>
            <w:tcW w:w="7623" w:type="dxa"/>
            <w:shd w:val="clear" w:color="auto" w:fill="auto"/>
          </w:tcPr>
          <w:p w14:paraId="2EEB242E" w14:textId="77777777" w:rsidR="00FA7115" w:rsidRPr="009110F7" w:rsidRDefault="00FA7115" w:rsidP="0058308D">
            <w:pPr>
              <w:spacing w:after="0"/>
            </w:pPr>
            <w:r>
              <w:rPr>
                <w:noProof/>
              </w:rPr>
              <w:drawing>
                <wp:inline distT="0" distB="0" distL="0" distR="0" wp14:anchorId="3A5064A8" wp14:editId="39324CC9">
                  <wp:extent cx="4737600" cy="3456000"/>
                  <wp:effectExtent l="0" t="0" r="6350" b="0"/>
                  <wp:docPr id="11" name="Graf 1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FA7115" w:rsidRPr="009110F7" w14:paraId="4E70C0B6" w14:textId="77777777" w:rsidTr="30D0B3BE">
        <w:trPr>
          <w:trHeight w:val="170"/>
        </w:trPr>
        <w:tc>
          <w:tcPr>
            <w:tcW w:w="1806" w:type="dxa"/>
            <w:vMerge/>
            <w:tcMar>
              <w:left w:w="0" w:type="dxa"/>
            </w:tcMar>
          </w:tcPr>
          <w:p w14:paraId="27B02B32" w14:textId="77777777" w:rsidR="00FA7115" w:rsidRPr="009110F7" w:rsidRDefault="00FA7115" w:rsidP="0058308D">
            <w:pPr>
              <w:pStyle w:val="Marginlie"/>
            </w:pPr>
          </w:p>
        </w:tc>
        <w:tc>
          <w:tcPr>
            <w:tcW w:w="210" w:type="dxa"/>
            <w:vMerge/>
            <w:tcMar>
              <w:left w:w="0" w:type="dxa"/>
            </w:tcMar>
          </w:tcPr>
          <w:p w14:paraId="2C75E1BA" w14:textId="77777777" w:rsidR="00FA7115" w:rsidRPr="009110F7" w:rsidRDefault="00FA7115" w:rsidP="0058308D">
            <w:pPr>
              <w:pStyle w:val="Textpoznpodarou"/>
              <w:jc w:val="both"/>
              <w:rPr>
                <w:spacing w:val="-4"/>
              </w:rPr>
            </w:pPr>
          </w:p>
        </w:tc>
        <w:tc>
          <w:tcPr>
            <w:tcW w:w="7623" w:type="dxa"/>
            <w:shd w:val="clear" w:color="auto" w:fill="auto"/>
            <w:tcMar>
              <w:left w:w="0" w:type="dxa"/>
            </w:tcMar>
          </w:tcPr>
          <w:p w14:paraId="416157C4" w14:textId="77777777" w:rsidR="00FA7115" w:rsidRPr="009110F7" w:rsidRDefault="00FA7115" w:rsidP="0058308D">
            <w:pPr>
              <w:spacing w:after="220"/>
              <w:rPr>
                <w:sz w:val="14"/>
                <w:szCs w:val="14"/>
              </w:rPr>
            </w:pPr>
            <w:r>
              <w:rPr>
                <w:sz w:val="14"/>
                <w:szCs w:val="14"/>
              </w:rPr>
              <w:t>Zdroj: ČSÚ, Eurostat</w:t>
            </w:r>
          </w:p>
        </w:tc>
      </w:tr>
      <w:tr w:rsidR="00FA7115" w:rsidRPr="009110F7" w14:paraId="7088CB7A" w14:textId="77777777" w:rsidTr="30D0B3BE">
        <w:trPr>
          <w:trHeight w:val="145"/>
        </w:trPr>
        <w:tc>
          <w:tcPr>
            <w:tcW w:w="1806" w:type="dxa"/>
            <w:shd w:val="clear" w:color="auto" w:fill="auto"/>
            <w:tcMar>
              <w:left w:w="0" w:type="dxa"/>
            </w:tcMar>
          </w:tcPr>
          <w:p w14:paraId="569DDD08" w14:textId="77777777" w:rsidR="00FA7115" w:rsidRDefault="00FA7115" w:rsidP="0058308D">
            <w:pPr>
              <w:pStyle w:val="Marginlie"/>
            </w:pPr>
            <w:r>
              <w:t>Meziroční růst HDP v EU posílil.</w:t>
            </w:r>
          </w:p>
        </w:tc>
        <w:tc>
          <w:tcPr>
            <w:tcW w:w="210" w:type="dxa"/>
            <w:shd w:val="clear" w:color="auto" w:fill="auto"/>
            <w:tcMar>
              <w:left w:w="0" w:type="dxa"/>
            </w:tcMar>
          </w:tcPr>
          <w:p w14:paraId="013570B9" w14:textId="77777777" w:rsidR="00FA7115" w:rsidRDefault="00FA7115" w:rsidP="0058308D">
            <w:pPr>
              <w:pStyle w:val="Textpoznpodarou"/>
              <w:jc w:val="both"/>
              <w:rPr>
                <w:spacing w:val="-4"/>
              </w:rPr>
            </w:pPr>
          </w:p>
        </w:tc>
        <w:tc>
          <w:tcPr>
            <w:tcW w:w="7623" w:type="dxa"/>
            <w:shd w:val="clear" w:color="auto" w:fill="auto"/>
            <w:tcMar>
              <w:left w:w="0" w:type="dxa"/>
            </w:tcMar>
          </w:tcPr>
          <w:p w14:paraId="7A32237F" w14:textId="2A8BA916" w:rsidR="00FA7115" w:rsidRDefault="00FA7115" w:rsidP="00E53874">
            <w:r>
              <w:t>Hrubý domácí produkt v EU vzrostl ve 3. kvartálu mezičtvrtletně o 0,</w:t>
            </w:r>
            <w:r w:rsidR="009855E1">
              <w:t>4</w:t>
            </w:r>
            <w:r>
              <w:t> %, stejně jako v 1. a 2. čtvrtletí 2024. Nejvýraznější přírůstek byl zaznamenán v Irsku (</w:t>
            </w:r>
            <w:r w:rsidR="009855E1">
              <w:t>3,5</w:t>
            </w:r>
            <w:r>
              <w:t> %</w:t>
            </w:r>
            <w:r w:rsidR="009855E1">
              <w:t>), Dánsku (1,2 %) a v Litvě (1,2</w:t>
            </w:r>
            <w:r>
              <w:t xml:space="preserve"> %). K mezičtvrtletnímu poklesu HDP došlo naopak v Maďarsku (−0,7 %), Lotyšsku (−0,4 %), </w:t>
            </w:r>
            <w:r w:rsidR="009855E1">
              <w:t xml:space="preserve">Rakousku (-0,1 %), </w:t>
            </w:r>
            <w:r>
              <w:t>Polsku (−0,</w:t>
            </w:r>
            <w:r w:rsidR="009855E1">
              <w:t>1</w:t>
            </w:r>
            <w:r>
              <w:t xml:space="preserve"> %) a </w:t>
            </w:r>
            <w:r w:rsidR="009855E1">
              <w:t xml:space="preserve">Rumunsku </w:t>
            </w:r>
            <w:r>
              <w:t>(−0,1 %). Ostře sledovaná německá ekonomika s</w:t>
            </w:r>
            <w:r w:rsidR="009855E1">
              <w:t>e pohybovala v pásmu stagnace (</w:t>
            </w:r>
            <w:r>
              <w:t>0,1 %), podobně jako Itálie (0,0 %). Česko spolu se Slovenskem</w:t>
            </w:r>
            <w:r w:rsidR="009855E1">
              <w:t xml:space="preserve"> (0,3 %)</w:t>
            </w:r>
            <w:r>
              <w:t xml:space="preserve"> </w:t>
            </w:r>
            <w:r w:rsidR="009855E1">
              <w:t>dosáhly přírůstku HDP blízko</w:t>
            </w:r>
            <w:r>
              <w:t xml:space="preserve"> unijního průměru. Meziroční dynamika HDP v EU ve 3. čtvrtletí zrychlila na 1,0 %. Nejvíce se meziročně zvýšil HDP </w:t>
            </w:r>
            <w:r w:rsidR="009855E1">
              <w:t xml:space="preserve">na Maltě (5,4 %), v Chorvatsku (4,1 %) a </w:t>
            </w:r>
            <w:r>
              <w:t>v</w:t>
            </w:r>
            <w:r w:rsidR="009855E1">
              <w:t> </w:t>
            </w:r>
            <w:r>
              <w:t>Dánsku</w:t>
            </w:r>
            <w:r w:rsidR="009855E1">
              <w:t xml:space="preserve"> (3,9 %).</w:t>
            </w:r>
            <w:r>
              <w:t xml:space="preserve"> Za úrovní 3. čtvrtletí 2023 zaostávala nejvíce lotyšská ekonomika </w:t>
            </w:r>
            <w:r w:rsidR="009855E1">
              <w:t>(−1,0</w:t>
            </w:r>
            <w:r>
              <w:t xml:space="preserve"> %) a dále </w:t>
            </w:r>
            <w:r w:rsidR="009855E1">
              <w:t xml:space="preserve">Rakousko (-0,8 %), </w:t>
            </w:r>
            <w:r>
              <w:t>Maďarsko (</w:t>
            </w:r>
            <w:r w:rsidR="009855E1">
              <w:t>-</w:t>
            </w:r>
            <w:r>
              <w:t>0,7 %),</w:t>
            </w:r>
            <w:r w:rsidR="009855E1">
              <w:t xml:space="preserve"> Estonsko (-0,6 %), Rumunsko a</w:t>
            </w:r>
            <w:r>
              <w:t xml:space="preserve"> Německo (</w:t>
            </w:r>
            <w:r w:rsidR="009855E1">
              <w:t xml:space="preserve">shodně o </w:t>
            </w:r>
            <w:r>
              <w:t xml:space="preserve">−0,3 %, </w:t>
            </w:r>
            <w:r w:rsidR="009855E1">
              <w:t xml:space="preserve">u Německa </w:t>
            </w:r>
            <w:r>
              <w:t>šlo o pátý meziroční pokles v</w:t>
            </w:r>
            <w:r w:rsidR="00E53874">
              <w:t> </w:t>
            </w:r>
            <w:r>
              <w:t>řadě)</w:t>
            </w:r>
            <w:r w:rsidR="009855E1">
              <w:t>.</w:t>
            </w:r>
            <w:r>
              <w:t xml:space="preserve"> Polsko a Slovensko (u obou shodně vzrostl HDP meziročně o 1,7 %) spolu s Českem se z pohledu dynamiky HDP dostaly na čelo v rámci střední Evropy.    </w:t>
            </w:r>
          </w:p>
        </w:tc>
      </w:tr>
      <w:tr w:rsidR="00FA7115" w:rsidRPr="009110F7" w14:paraId="6297C8D2" w14:textId="77777777" w:rsidTr="30D0B3BE">
        <w:trPr>
          <w:trHeight w:val="145"/>
        </w:trPr>
        <w:tc>
          <w:tcPr>
            <w:tcW w:w="1806" w:type="dxa"/>
            <w:shd w:val="clear" w:color="auto" w:fill="auto"/>
            <w:tcMar>
              <w:left w:w="0" w:type="dxa"/>
            </w:tcMar>
          </w:tcPr>
          <w:p w14:paraId="4AF2F4F1" w14:textId="77777777" w:rsidR="00FA7115" w:rsidRDefault="00FA7115" w:rsidP="0058308D">
            <w:pPr>
              <w:pStyle w:val="Marginlie"/>
            </w:pPr>
            <w:r>
              <w:lastRenderedPageBreak/>
              <w:t>Mzdy a platy již více než rok reálně rostly.</w:t>
            </w:r>
          </w:p>
        </w:tc>
        <w:tc>
          <w:tcPr>
            <w:tcW w:w="210" w:type="dxa"/>
            <w:shd w:val="clear" w:color="auto" w:fill="auto"/>
            <w:tcMar>
              <w:left w:w="0" w:type="dxa"/>
            </w:tcMar>
          </w:tcPr>
          <w:p w14:paraId="65AB917F" w14:textId="77777777" w:rsidR="00FA7115" w:rsidRDefault="00FA7115" w:rsidP="0058308D">
            <w:pPr>
              <w:pStyle w:val="Textpoznpodarou"/>
              <w:jc w:val="both"/>
              <w:rPr>
                <w:spacing w:val="-4"/>
              </w:rPr>
            </w:pPr>
          </w:p>
        </w:tc>
        <w:tc>
          <w:tcPr>
            <w:tcW w:w="7623" w:type="dxa"/>
            <w:shd w:val="clear" w:color="auto" w:fill="auto"/>
            <w:tcMar>
              <w:left w:w="0" w:type="dxa"/>
            </w:tcMar>
          </w:tcPr>
          <w:p w14:paraId="01F9AE13" w14:textId="77777777" w:rsidR="00FA7115" w:rsidRPr="00014ED0" w:rsidRDefault="00FA7115" w:rsidP="0058308D">
            <w:r>
              <w:t>Ve formě mezd a platů bylo ve 3. čtvrtletí vyplaceno meziročně o 6,6 % více při současném přírůstku celkové zaměstnanosti o 0,4 %</w:t>
            </w:r>
            <w:r w:rsidRPr="00014ED0">
              <w:rPr>
                <w:rStyle w:val="Znakapoznpodarou"/>
                <w:spacing w:val="-2"/>
              </w:rPr>
              <w:footnoteReference w:id="5"/>
            </w:r>
            <w:r>
              <w:t>. Pokračující zvolňování cenového růstu přitom znamenalo, že reálně mzdy a platy meziročně vzrostly o 3,7 %</w:t>
            </w:r>
            <w:r>
              <w:rPr>
                <w:rStyle w:val="Znakapoznpodarou"/>
                <w:spacing w:val="-2"/>
              </w:rPr>
              <w:footnoteReference w:id="6"/>
            </w:r>
            <w:r>
              <w:t>, nejvíce od 4. čtvrtletí 2019. Meziroční reálný přírůstek byl pátý v řadě. V rámci celé ekonomiky byla silnější dynamika mezd ve službách. Z hlediska velikosti byl výrazně před ostatními sekcemi meziroční přírůstek mezd a platů v činnostech v oblasti nemovitostí (27,2 % při růstu zaměstnanosti o 0,4 %), kde jsou výdělky navázány mimo jiné na vývoj cen nemovitostí. Nadprůměrně dále rostly mzdy a platy v uskupení profesní, vědecké, technické a administrativní činnosti (9,8 %, zaměstnanost o 1,0 %), v ostatních činnostech</w:t>
            </w:r>
            <w:r>
              <w:rPr>
                <w:rStyle w:val="Znakapoznpodarou"/>
                <w:spacing w:val="-2"/>
              </w:rPr>
              <w:footnoteReference w:id="7"/>
            </w:r>
            <w:r>
              <w:t xml:space="preserve"> (8,6 %, zaměstnanost o 2,3 %), ve stavebnictví (7,6 %, zaměstnanost o 0,2 %), v uskupení obchod, doprava, ubytování </w:t>
            </w:r>
            <w:r>
              <w:br/>
              <w:t>a pohostinství (7,2 %, zaměstnanost o 1,0 %), v peněžnictví a pojišťovnictví (6,9 %, zaměstnanost o 1,2 %) a informačních a komunikačních činnostech (6,7 %, zaměstnanost o 0,1 %). Mírněji pak rostly mzdy a platy ve v</w:t>
            </w:r>
            <w:r w:rsidRPr="00AC0203">
              <w:t>eřejn</w:t>
            </w:r>
            <w:r>
              <w:t>é správě a obraně</w:t>
            </w:r>
            <w:r w:rsidRPr="00AC0203">
              <w:t>, vzdělávání, zdravotní a sociální péč</w:t>
            </w:r>
            <w:r>
              <w:t xml:space="preserve">i (5,9 % při růstu zaměstnanosti o 2,1 %), v průmyslu (5,0 % při poklesu zaměstnanosti o 1,4 %, z toho ve zpracovatelském průmyslu mzdy vzrostly o 4,6 % a zaměstnanost klesla o 1,6 %) a v zemědělství, lesnictví a rybářství (1,8 %, zaměstnanost −0,6 %).   </w:t>
            </w:r>
          </w:p>
        </w:tc>
      </w:tr>
      <w:tr w:rsidR="00FA7115" w:rsidRPr="009110F7" w14:paraId="3A8E1CCC" w14:textId="77777777" w:rsidTr="30D0B3BE">
        <w:trPr>
          <w:trHeight w:val="145"/>
        </w:trPr>
        <w:tc>
          <w:tcPr>
            <w:tcW w:w="1806" w:type="dxa"/>
            <w:shd w:val="clear" w:color="auto" w:fill="auto"/>
            <w:tcMar>
              <w:left w:w="0" w:type="dxa"/>
            </w:tcMar>
          </w:tcPr>
          <w:p w14:paraId="740009CA" w14:textId="77777777" w:rsidR="00FA7115" w:rsidRDefault="00FA7115" w:rsidP="0058308D">
            <w:pPr>
              <w:pStyle w:val="Marginlie"/>
            </w:pPr>
            <w:r>
              <w:t>Objem mezd a platy výrazněji mezičtvrtletně rostly ve službách.</w:t>
            </w:r>
          </w:p>
        </w:tc>
        <w:tc>
          <w:tcPr>
            <w:tcW w:w="210" w:type="dxa"/>
            <w:shd w:val="clear" w:color="auto" w:fill="auto"/>
            <w:tcMar>
              <w:left w:w="0" w:type="dxa"/>
            </w:tcMar>
          </w:tcPr>
          <w:p w14:paraId="408471A2" w14:textId="77777777" w:rsidR="00FA7115" w:rsidRDefault="00FA7115" w:rsidP="0058308D">
            <w:pPr>
              <w:pStyle w:val="Textpoznpodarou"/>
              <w:jc w:val="both"/>
              <w:rPr>
                <w:spacing w:val="-4"/>
              </w:rPr>
            </w:pPr>
          </w:p>
        </w:tc>
        <w:tc>
          <w:tcPr>
            <w:tcW w:w="7623" w:type="dxa"/>
            <w:shd w:val="clear" w:color="auto" w:fill="auto"/>
            <w:tcMar>
              <w:left w:w="0" w:type="dxa"/>
            </w:tcMar>
          </w:tcPr>
          <w:p w14:paraId="34083961" w14:textId="77C993A6" w:rsidR="00FA7115" w:rsidRDefault="00FA7115" w:rsidP="0058308D">
            <w:r>
              <w:t>Mezičtvrtletně se vyplacené mzdy a platy ve 3. čtvrtletí zvýšily o 1,8 % a celková zaměstnanost se nezměnila. Reálný přírůstek mezd a platů dosáhl 1,2 %. Nejvíce se mezičtvrtletně zvýšily mzdy a platy v činnostech v oblasti nemovitostí (8,0 %, zaměstnanost klesla o 2,5 %), v pro</w:t>
            </w:r>
            <w:r w:rsidR="00E53874">
              <w:t xml:space="preserve">fesních, vědeckých, technických </w:t>
            </w:r>
            <w:r>
              <w:t>a administrativních činnostech (4,0 %, zaměstnanost vzrostla o 1,2 %), ve stavebnictví (3,2 %, zaměstnanost o 0,7 %), v</w:t>
            </w:r>
            <w:r w:rsidRPr="00AC0203">
              <w:t>eřejn</w:t>
            </w:r>
            <w:r>
              <w:t>é správě a obraně</w:t>
            </w:r>
            <w:r w:rsidRPr="00AC0203">
              <w:t>, vzdělávání, zdravotní a</w:t>
            </w:r>
            <w:r>
              <w:t> </w:t>
            </w:r>
            <w:r w:rsidRPr="00AC0203">
              <w:t>sociální péč</w:t>
            </w:r>
            <w:r>
              <w:t>i (2,3 %, zaměstnanost o 0,7 %), v uskupení obchod, doprava, ubytování a pohostinství (2,1 %, zaměstnanost −0,8 %), v informačních a komunikačních činnostech (1,8 %, zaměstnanost vzrostla o 0,2 %) a v ostatních činnostech (1,0 %, zaměstnanost −1,8 %). Mírně se zvyšovaly mzdy a platy v průmyslu (0,4 % při stagnaci zaměstnanosti, z toho zpracovatelský průmysl vykázal růst mezd a platů o 0,1 % a zaměstnanosti o 0,3 %). Mezičtvrtletní pokles byl zaznamenán v zemědělství, lesnictví a rybářství (−0,2 %, zaměstnanost −2,4 %) a v peněžnictví a pojišťovnictví (−0,1 %, zaměstnanost vzrostla o 1,8 %).</w:t>
            </w:r>
          </w:p>
        </w:tc>
      </w:tr>
      <w:tr w:rsidR="00FA7115" w:rsidRPr="009110F7" w14:paraId="281B0346" w14:textId="77777777" w:rsidTr="30D0B3BE">
        <w:trPr>
          <w:trHeight w:val="145"/>
        </w:trPr>
        <w:tc>
          <w:tcPr>
            <w:tcW w:w="1806" w:type="dxa"/>
            <w:shd w:val="clear" w:color="auto" w:fill="auto"/>
            <w:tcMar>
              <w:left w:w="0" w:type="dxa"/>
            </w:tcMar>
          </w:tcPr>
          <w:p w14:paraId="78F3A0C9" w14:textId="77777777" w:rsidR="00FA7115" w:rsidRDefault="00FA7115" w:rsidP="0058308D">
            <w:pPr>
              <w:pStyle w:val="Marginlie"/>
            </w:pPr>
            <w:r>
              <w:t>Spotřeba domácností posílila.</w:t>
            </w:r>
          </w:p>
        </w:tc>
        <w:tc>
          <w:tcPr>
            <w:tcW w:w="210" w:type="dxa"/>
            <w:shd w:val="clear" w:color="auto" w:fill="auto"/>
            <w:tcMar>
              <w:left w:w="0" w:type="dxa"/>
            </w:tcMar>
          </w:tcPr>
          <w:p w14:paraId="356C47B1" w14:textId="77777777" w:rsidR="00FA7115" w:rsidRDefault="00FA7115" w:rsidP="0058308D">
            <w:pPr>
              <w:pStyle w:val="Textpoznpodarou"/>
              <w:jc w:val="both"/>
              <w:rPr>
                <w:spacing w:val="-4"/>
              </w:rPr>
            </w:pPr>
          </w:p>
        </w:tc>
        <w:tc>
          <w:tcPr>
            <w:tcW w:w="7623" w:type="dxa"/>
            <w:shd w:val="clear" w:color="auto" w:fill="auto"/>
            <w:tcMar>
              <w:left w:w="0" w:type="dxa"/>
            </w:tcMar>
          </w:tcPr>
          <w:p w14:paraId="160710C5" w14:textId="77777777" w:rsidR="00FA7115" w:rsidRDefault="00FA7115" w:rsidP="0058308D">
            <w:r>
              <w:rPr>
                <w:spacing w:val="-2"/>
              </w:rPr>
              <w:t>Spotřeba ve 3. čtvrtletí celkově meziročně vzrostla o 2,5 % a ve směru růstu HDP přispěla 2,0 p. b.</w:t>
            </w:r>
            <w:r w:rsidRPr="00014ED0">
              <w:rPr>
                <w:rStyle w:val="Znakapoznpodarou"/>
                <w:spacing w:val="-2"/>
              </w:rPr>
              <w:footnoteReference w:id="8"/>
            </w:r>
            <w:r>
              <w:rPr>
                <w:spacing w:val="-2"/>
              </w:rPr>
              <w:t>. Spotřeba domácností meziročně stoupla o 2,2 % a spotřeba vládních institucí o 3,0 %. Mezičtvrtletně se domácí spotřeba zvýšila o 0,5 % a růst poháněly zejména výdaje domácností (0,7 %), zatímco u vládních institucí spotřeba v zásadě mezičtvrtletně stagnovala (−0,1 %). Za posílením meziročního růstu spotřeby domácností stály zejména výdaje na předměty střednědobé spotřeby (1,9 %)</w:t>
            </w:r>
            <w:r>
              <w:rPr>
                <w:rStyle w:val="Znakapoznpodarou"/>
              </w:rPr>
              <w:footnoteReference w:id="9"/>
            </w:r>
            <w:r>
              <w:rPr>
                <w:spacing w:val="-2"/>
              </w:rPr>
              <w:t xml:space="preserve"> a netrvanlivého zboží (4,8 %). U střednědobé spotřeby šlo o první meziroční přírůstek od 1. čtvrtletí 2022. Mírně meziročně rostly také výdaje na služby. Meziročně nižší ale byly výdaje na předměty dlouhodobé spotřeby. Mezičtvrtletně vyšší byly výdaje na předměty střednědobé (1,9 %) i krátkodobé spotřeby (1,8 %). Klesla spotřeba služeb (−1,5 %) a po předchozím silném přírůstku ve 3. čtvrtletí v zásadě stagnovala dlouhodobá spotřeba (−0,1 %).</w:t>
            </w:r>
          </w:p>
        </w:tc>
      </w:tr>
      <w:tr w:rsidR="00FA7115" w:rsidRPr="009110F7" w14:paraId="6F895643" w14:textId="77777777" w:rsidTr="30D0B3BE">
        <w:trPr>
          <w:trHeight w:val="145"/>
        </w:trPr>
        <w:tc>
          <w:tcPr>
            <w:tcW w:w="1806" w:type="dxa"/>
            <w:shd w:val="clear" w:color="auto" w:fill="auto"/>
            <w:tcMar>
              <w:left w:w="0" w:type="dxa"/>
            </w:tcMar>
          </w:tcPr>
          <w:p w14:paraId="2F5966A1" w14:textId="77777777" w:rsidR="00FA7115" w:rsidRDefault="00FA7115" w:rsidP="0058308D">
            <w:pPr>
              <w:pStyle w:val="Marginlie"/>
            </w:pPr>
            <w:r>
              <w:t xml:space="preserve">Investiční aktivita ve </w:t>
            </w:r>
            <w:r>
              <w:br/>
              <w:t>3. čtvrtletí brzdila.</w:t>
            </w:r>
          </w:p>
        </w:tc>
        <w:tc>
          <w:tcPr>
            <w:tcW w:w="210" w:type="dxa"/>
            <w:shd w:val="clear" w:color="auto" w:fill="auto"/>
            <w:tcMar>
              <w:left w:w="0" w:type="dxa"/>
            </w:tcMar>
          </w:tcPr>
          <w:p w14:paraId="13C2EBEF" w14:textId="77777777" w:rsidR="00FA7115" w:rsidRDefault="00FA7115" w:rsidP="0058308D">
            <w:pPr>
              <w:pStyle w:val="Textpoznpodarou"/>
              <w:jc w:val="both"/>
              <w:rPr>
                <w:spacing w:val="-4"/>
              </w:rPr>
            </w:pPr>
          </w:p>
        </w:tc>
        <w:tc>
          <w:tcPr>
            <w:tcW w:w="7623" w:type="dxa"/>
            <w:shd w:val="clear" w:color="auto" w:fill="auto"/>
            <w:tcMar>
              <w:left w:w="0" w:type="dxa"/>
            </w:tcMar>
          </w:tcPr>
          <w:p w14:paraId="37E1E134" w14:textId="02592830" w:rsidR="00FA7115" w:rsidRDefault="00FA7115" w:rsidP="001D40D7">
            <w:pPr>
              <w:rPr>
                <w:spacing w:val="-2"/>
              </w:rPr>
            </w:pPr>
            <w:r>
              <w:t>Výdaje na tvorbu hrubého kapitálu se ve 3. čtvrtletí celkově meziročně snížily o 3,4 % a ve směru poklesu HDP působily −0,9 p.</w:t>
            </w:r>
            <w:r w:rsidR="001D40D7">
              <w:t xml:space="preserve"> </w:t>
            </w:r>
            <w:r>
              <w:t xml:space="preserve">b. Nejvíce k tomuto poklesu přispěla změna </w:t>
            </w:r>
            <w:r>
              <w:lastRenderedPageBreak/>
              <w:t>zásob</w:t>
            </w:r>
            <w:r>
              <w:rPr>
                <w:rStyle w:val="Znakapoznpodarou"/>
              </w:rPr>
              <w:footnoteReference w:id="10"/>
            </w:r>
            <w:r>
              <w:t xml:space="preserve">. Negativní vliv změny zásob ale postupně slábne, což se také odráží na zmírnění propadu kapitálových výdajů v posledních několika čtvrtletích (od 4. kvartálu 2023 postupně −14,2 %, −9,9 %, −6,9 %). Výdaje na tvorbu hrubého fixního kapitálu (investice) ve 3. čtvrtletí 2024 meziročně klesly o 0,8 %. Mezičtvrtletně se výdaje na tvorbu hrubého kapitálu reálně zvýšily o 3,0 % a tvorba zásob naopak hrála klíčovou pozitivní roli, zatímco investice klesly o 1,2 %. Na mezičtvrtletním vývoji investiční aktivity je od 3. čtvrtletí 2023 patrné zbrždění. Ve druhém pololetí 2023 se růst zcela zastavil, v 1. čtvrtletí 2024 došlo k výraznému poklesu a na mezičtvrtletní oživení </w:t>
            </w:r>
            <w:r w:rsidR="001D40D7">
              <w:t>ve</w:t>
            </w:r>
            <w:r>
              <w:t xml:space="preserve"> 2. kvartálu investice navázaly aktuálním propadem. Věcná struktura výdajů na tvorbu hrubého fixního kapitálu ukazuje hluboký meziroční pokles investic do ICT a ostatních strojů a zařízení (−12,5 %). Propad zde trvá už od poloviny roku 2023 a zčásti se projevuje nižší dynamikou dovozu. Nižší byly také investice do obydlí (−1,1 %). Naopak meziročně rostly výdaje na dopravní prostředky a zařízení (18,1 %), ostatní budovy a stavby (2,4 %) a produkty duševního vlastnictví (2,2 %). Mezičtvrtletně nižší byly investice do ICT a ostatních strojů a zařízení (−10,8 %) a obydlí (−2,6 %). Vzrostly výdaje na dopravní prostředky a zařízení (20,6 %), ostatní budovy a stavby (0,5 %) a produkty duševního vlastnictví (0,4 %).   </w:t>
            </w:r>
          </w:p>
        </w:tc>
      </w:tr>
      <w:tr w:rsidR="00FA7115" w:rsidRPr="009110F7" w14:paraId="0AD51EE2" w14:textId="77777777" w:rsidTr="30D0B3BE">
        <w:trPr>
          <w:trHeight w:val="154"/>
        </w:trPr>
        <w:tc>
          <w:tcPr>
            <w:tcW w:w="1806" w:type="dxa"/>
            <w:vMerge w:val="restart"/>
            <w:shd w:val="clear" w:color="auto" w:fill="auto"/>
            <w:tcMar>
              <w:left w:w="0" w:type="dxa"/>
            </w:tcMar>
          </w:tcPr>
          <w:p w14:paraId="02BF4865" w14:textId="77777777" w:rsidR="00FA7115" w:rsidRDefault="00FA7115" w:rsidP="0058308D">
            <w:pPr>
              <w:pStyle w:val="Marginlie"/>
            </w:pPr>
          </w:p>
        </w:tc>
        <w:tc>
          <w:tcPr>
            <w:tcW w:w="210" w:type="dxa"/>
            <w:vMerge w:val="restart"/>
            <w:shd w:val="clear" w:color="auto" w:fill="auto"/>
            <w:tcMar>
              <w:left w:w="0" w:type="dxa"/>
            </w:tcMar>
          </w:tcPr>
          <w:p w14:paraId="7F490E7F" w14:textId="77777777" w:rsidR="00FA7115" w:rsidRDefault="00FA7115" w:rsidP="0058308D">
            <w:pPr>
              <w:pStyle w:val="Textpoznpodarou"/>
              <w:jc w:val="both"/>
              <w:rPr>
                <w:spacing w:val="-4"/>
              </w:rPr>
            </w:pPr>
          </w:p>
        </w:tc>
        <w:tc>
          <w:tcPr>
            <w:tcW w:w="7623" w:type="dxa"/>
            <w:shd w:val="clear" w:color="auto" w:fill="auto"/>
            <w:tcMar>
              <w:left w:w="0" w:type="dxa"/>
            </w:tcMar>
          </w:tcPr>
          <w:p w14:paraId="30BE2D1A" w14:textId="77777777" w:rsidR="00FA7115" w:rsidRDefault="00FA7115" w:rsidP="0058308D">
            <w:pPr>
              <w:spacing w:after="0"/>
            </w:pPr>
            <w:r w:rsidRPr="00D721B4">
              <w:rPr>
                <w:b/>
                <w:szCs w:val="20"/>
              </w:rPr>
              <w:t>Graf č. 2</w:t>
            </w:r>
            <w:r>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w:t>
            </w:r>
            <w:r>
              <w:rPr>
                <w:rFonts w:cs="Arial"/>
                <w:bCs/>
                <w:szCs w:val="20"/>
                <w:lang w:eastAsia="en-US"/>
              </w:rPr>
              <w:t> %</w:t>
            </w:r>
            <w:r w:rsidRPr="00D721B4">
              <w:rPr>
                <w:rFonts w:cs="Arial"/>
                <w:bCs/>
                <w:szCs w:val="20"/>
                <w:lang w:eastAsia="en-US"/>
              </w:rPr>
              <w:t>)</w:t>
            </w:r>
          </w:p>
        </w:tc>
      </w:tr>
      <w:tr w:rsidR="00FA7115" w:rsidRPr="009110F7" w14:paraId="01FC89C5" w14:textId="77777777" w:rsidTr="30D0B3BE">
        <w:tblPrEx>
          <w:tblCellMar>
            <w:left w:w="70" w:type="dxa"/>
            <w:right w:w="70" w:type="dxa"/>
          </w:tblCellMar>
        </w:tblPrEx>
        <w:trPr>
          <w:trHeight w:val="154"/>
        </w:trPr>
        <w:tc>
          <w:tcPr>
            <w:tcW w:w="1806" w:type="dxa"/>
            <w:vMerge/>
          </w:tcPr>
          <w:p w14:paraId="2D0E6ED0" w14:textId="77777777" w:rsidR="00FA7115" w:rsidRDefault="00FA7115" w:rsidP="0058308D">
            <w:pPr>
              <w:pStyle w:val="Marginlie"/>
            </w:pPr>
          </w:p>
        </w:tc>
        <w:tc>
          <w:tcPr>
            <w:tcW w:w="210" w:type="dxa"/>
            <w:vMerge/>
          </w:tcPr>
          <w:p w14:paraId="1DBDE992" w14:textId="77777777" w:rsidR="00FA7115" w:rsidRDefault="00FA7115" w:rsidP="0058308D">
            <w:pPr>
              <w:pStyle w:val="Textpoznpodarou"/>
              <w:jc w:val="both"/>
              <w:rPr>
                <w:spacing w:val="-4"/>
              </w:rPr>
            </w:pPr>
          </w:p>
        </w:tc>
        <w:tc>
          <w:tcPr>
            <w:tcW w:w="7623" w:type="dxa"/>
            <w:shd w:val="clear" w:color="auto" w:fill="auto"/>
          </w:tcPr>
          <w:p w14:paraId="19B64EDF" w14:textId="77777777" w:rsidR="00FA7115" w:rsidRDefault="00FA7115" w:rsidP="0058308D">
            <w:pPr>
              <w:spacing w:after="0"/>
            </w:pPr>
            <w:r>
              <w:rPr>
                <w:noProof/>
              </w:rPr>
              <w:drawing>
                <wp:inline distT="0" distB="0" distL="0" distR="0" wp14:anchorId="59B886FF" wp14:editId="171FC586">
                  <wp:extent cx="4737600" cy="3456000"/>
                  <wp:effectExtent l="0" t="0" r="6350" b="0"/>
                  <wp:docPr id="14" name="Graf 14">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FA7115" w:rsidRPr="009110F7" w14:paraId="137BAE77" w14:textId="77777777" w:rsidTr="30D0B3BE">
        <w:trPr>
          <w:trHeight w:val="154"/>
        </w:trPr>
        <w:tc>
          <w:tcPr>
            <w:tcW w:w="1806" w:type="dxa"/>
            <w:vMerge/>
            <w:tcMar>
              <w:left w:w="0" w:type="dxa"/>
            </w:tcMar>
          </w:tcPr>
          <w:p w14:paraId="503E0C5A" w14:textId="77777777" w:rsidR="00FA7115" w:rsidRDefault="00FA7115" w:rsidP="0058308D">
            <w:pPr>
              <w:pStyle w:val="Marginlie"/>
            </w:pPr>
          </w:p>
        </w:tc>
        <w:tc>
          <w:tcPr>
            <w:tcW w:w="210" w:type="dxa"/>
            <w:vMerge/>
            <w:tcMar>
              <w:left w:w="0" w:type="dxa"/>
            </w:tcMar>
          </w:tcPr>
          <w:p w14:paraId="776CC4F7" w14:textId="77777777" w:rsidR="00FA7115" w:rsidRDefault="00FA7115" w:rsidP="0058308D">
            <w:pPr>
              <w:pStyle w:val="Textpoznpodarou"/>
              <w:jc w:val="both"/>
              <w:rPr>
                <w:spacing w:val="-4"/>
              </w:rPr>
            </w:pPr>
          </w:p>
        </w:tc>
        <w:tc>
          <w:tcPr>
            <w:tcW w:w="7623" w:type="dxa"/>
            <w:shd w:val="clear" w:color="auto" w:fill="auto"/>
            <w:tcMar>
              <w:left w:w="0" w:type="dxa"/>
            </w:tcMar>
          </w:tcPr>
          <w:p w14:paraId="22CD3AA2" w14:textId="77777777" w:rsidR="00FA7115" w:rsidRDefault="00FA7115" w:rsidP="0058308D">
            <w:pPr>
              <w:spacing w:after="0"/>
              <w:rPr>
                <w:sz w:val="14"/>
                <w:szCs w:val="14"/>
              </w:rPr>
            </w:pPr>
            <w:r>
              <w:rPr>
                <w:sz w:val="14"/>
                <w:szCs w:val="14"/>
              </w:rPr>
              <w:t>Zdroj: ČSÚ</w:t>
            </w:r>
          </w:p>
          <w:p w14:paraId="364F18EB" w14:textId="77777777" w:rsidR="00FA7115" w:rsidRDefault="00FA7115" w:rsidP="0058308D">
            <w:r>
              <w:rPr>
                <w:sz w:val="14"/>
                <w:szCs w:val="14"/>
              </w:rPr>
              <w:t>* po vyloučení dovozu pro konečné užití</w:t>
            </w:r>
          </w:p>
        </w:tc>
      </w:tr>
      <w:tr w:rsidR="00FA7115" w:rsidRPr="009110F7" w14:paraId="69CBF70D" w14:textId="77777777" w:rsidTr="30D0B3BE">
        <w:trPr>
          <w:trHeight w:val="145"/>
        </w:trPr>
        <w:tc>
          <w:tcPr>
            <w:tcW w:w="1806" w:type="dxa"/>
            <w:shd w:val="clear" w:color="auto" w:fill="auto"/>
            <w:tcMar>
              <w:left w:w="0" w:type="dxa"/>
            </w:tcMar>
          </w:tcPr>
          <w:p w14:paraId="0AE0BC76" w14:textId="77777777" w:rsidR="00FA7115" w:rsidRDefault="00FA7115" w:rsidP="0058308D">
            <w:pPr>
              <w:pStyle w:val="Marginlie"/>
            </w:pPr>
            <w:r>
              <w:t xml:space="preserve">Bilance zahraničního obchodu se zbožím </w:t>
            </w:r>
            <w:r>
              <w:br/>
              <w:t>a službami skončila v přebytku.</w:t>
            </w:r>
          </w:p>
        </w:tc>
        <w:tc>
          <w:tcPr>
            <w:tcW w:w="210" w:type="dxa"/>
            <w:shd w:val="clear" w:color="auto" w:fill="auto"/>
            <w:tcMar>
              <w:left w:w="0" w:type="dxa"/>
            </w:tcMar>
          </w:tcPr>
          <w:p w14:paraId="6AAABB4E" w14:textId="77777777" w:rsidR="00FA7115" w:rsidRDefault="00FA7115" w:rsidP="0058308D">
            <w:pPr>
              <w:pStyle w:val="Textpoznpodarou"/>
              <w:jc w:val="both"/>
              <w:rPr>
                <w:spacing w:val="-4"/>
              </w:rPr>
            </w:pPr>
          </w:p>
        </w:tc>
        <w:tc>
          <w:tcPr>
            <w:tcW w:w="7623" w:type="dxa"/>
            <w:shd w:val="clear" w:color="auto" w:fill="auto"/>
            <w:tcMar>
              <w:left w:w="0" w:type="dxa"/>
            </w:tcMar>
          </w:tcPr>
          <w:p w14:paraId="32E08145" w14:textId="6A7D7D68" w:rsidR="00FA7115" w:rsidRDefault="00FA7115" w:rsidP="001D40D7">
            <w:r>
              <w:t>Vývoz zboží a služeb</w:t>
            </w:r>
            <w:r w:rsidRPr="009110F7">
              <w:rPr>
                <w:rStyle w:val="Znakapoznpodarou"/>
              </w:rPr>
              <w:footnoteReference w:id="11"/>
            </w:r>
            <w:r>
              <w:t xml:space="preserve"> ve 3. čtvrtletí reálně meziročně vzrostl o 4,0 % a tempo tak výrazně posílilo oproti předchozím čtyřem kvartálům. Solidně rostl vývoz zboží (2,6 %) a ještě více se zvýšil export služeb (5,8 %). Meziroční přírůstek dovozu také ve 3. čtvrtletí zrychlil, ale za exportem dynamika zaostávala (3,4 %), takže celkový příspěvek zahraniční poptávky k meziročnímu růstu HDP byl pozitivní. Import zboží vzrostl o 2,3 % a služeb o 8,8 %. Mezičtvrtletní přírůstek vývozu zboží a služeb ve 3. čtvrtletí zrychlil na 1,9 %, přičemž vývoz zboží byl vyšší o 2,2 %, zatímco u služeb došlo ke zpomalení růstu na 0,3 %. Mezičtvrtletní přírůstek dovozu (3,2 %) byl ale </w:t>
            </w:r>
            <w:r>
              <w:lastRenderedPageBreak/>
              <w:t xml:space="preserve">výraznější než dynamika exportu, takže celkový vliv zahraniční poptávky na mezičtvrtletní růst HDP byl ve 3. čtvrtletí nepříznivý. Dovoz zboží mezičtvrtletně vzrostl o 3,2 % a služeb o 2,7 %. </w:t>
            </w:r>
            <w:r w:rsidR="001D40D7">
              <w:t>Celková b</w:t>
            </w:r>
            <w:r>
              <w:t xml:space="preserve">ilance zahraničního obchodu se zbožím a službami dosáhla ve 3. čtvrtletí přebytku 121,8 mld. korun a meziročně se kladné saldo zvýšilo </w:t>
            </w:r>
            <w:r>
              <w:br/>
              <w:t xml:space="preserve">o 29,9 mld. korun. Za tímto zlepšením stál z naprosté většiny obchod se zbožím </w:t>
            </w:r>
            <w:r>
              <w:br/>
              <w:t xml:space="preserve">(+29,2 mld. korun), u služeb přebytek meziročně stagnoval (+0,7 mld.). Mezičtvrtletně se přebytek bilance zahraničního obchodu zmírňoval.       </w:t>
            </w:r>
          </w:p>
        </w:tc>
      </w:tr>
      <w:tr w:rsidR="00FA7115" w:rsidRPr="009110F7" w14:paraId="24E36990" w14:textId="77777777" w:rsidTr="30D0B3BE">
        <w:trPr>
          <w:trHeight w:val="145"/>
        </w:trPr>
        <w:tc>
          <w:tcPr>
            <w:tcW w:w="1806" w:type="dxa"/>
            <w:shd w:val="clear" w:color="auto" w:fill="auto"/>
            <w:tcMar>
              <w:left w:w="0" w:type="dxa"/>
            </w:tcMar>
          </w:tcPr>
          <w:p w14:paraId="50D19666" w14:textId="77777777" w:rsidR="00FA7115" w:rsidRDefault="00FA7115" w:rsidP="0058308D">
            <w:pPr>
              <w:pStyle w:val="Marginlie"/>
            </w:pPr>
            <w:r>
              <w:lastRenderedPageBreak/>
              <w:t>Ve většině sledovaných odvětví HPH mezičtvrtletně rostla.</w:t>
            </w:r>
          </w:p>
        </w:tc>
        <w:tc>
          <w:tcPr>
            <w:tcW w:w="210" w:type="dxa"/>
            <w:shd w:val="clear" w:color="auto" w:fill="auto"/>
            <w:tcMar>
              <w:left w:w="0" w:type="dxa"/>
            </w:tcMar>
          </w:tcPr>
          <w:p w14:paraId="13839761" w14:textId="77777777" w:rsidR="00FA7115" w:rsidRDefault="00FA7115" w:rsidP="0058308D">
            <w:pPr>
              <w:pStyle w:val="Textpoznpodarou"/>
              <w:jc w:val="both"/>
              <w:rPr>
                <w:spacing w:val="-4"/>
              </w:rPr>
            </w:pPr>
          </w:p>
        </w:tc>
        <w:tc>
          <w:tcPr>
            <w:tcW w:w="7623" w:type="dxa"/>
            <w:shd w:val="clear" w:color="auto" w:fill="auto"/>
            <w:tcMar>
              <w:left w:w="0" w:type="dxa"/>
            </w:tcMar>
          </w:tcPr>
          <w:p w14:paraId="3A53334A" w14:textId="77777777" w:rsidR="00FA7115" w:rsidRDefault="00FA7115" w:rsidP="0058308D">
            <w:r>
              <w:t>Mezičtvrtletní růst hrubé přidané hodnoty (HPH) ve 3. čtvrtletí zrychlil na 0,8 %. Růst byl zaznamenán v řadě odvětví, nejvíce v peněžnictví a pojišťovnictví (2,8 %) a ve zpracovatelském průmyslu (2,5 %, HPH celého průmyslu mezičtvrtletně rostla o 1,5 %). Nadprůměrný přírůstek byl zaznamenán také v informačních a komunikačních činnostech (1,5 %) a v zemědělství, lesnictví a rybářství (1,2 %). Výraznější mezičtvrtletní přírůstky byly zachyceny v uskupení obchod, doprava, ubytování a pohostinství (0,7 %) a ve stavebnictví (0,5 %). Ostatní odvětví se pohybovala spíše v pásmu stagnace. HPH tak rostla v ostatních činnostech (0,3 %), ve v</w:t>
            </w:r>
            <w:r w:rsidRPr="00AC0203">
              <w:t>eřejn</w:t>
            </w:r>
            <w:r>
              <w:t>é správě a obraně</w:t>
            </w:r>
            <w:r w:rsidRPr="00AC0203">
              <w:t>, vzdělávání, zdravotní a sociální péč</w:t>
            </w:r>
            <w:r>
              <w:t>i (0,2 %) a v činnostech v oblasti nemovitostí (0,1 %). V profesních, vědeckých, technických a administrativních činnostech byl zaznamenán pokles o 0,1 %.</w:t>
            </w:r>
          </w:p>
        </w:tc>
      </w:tr>
      <w:tr w:rsidR="00FA7115" w:rsidRPr="009110F7" w14:paraId="0A157AFF" w14:textId="77777777" w:rsidTr="30D0B3BE">
        <w:trPr>
          <w:trHeight w:val="170"/>
        </w:trPr>
        <w:tc>
          <w:tcPr>
            <w:tcW w:w="1806" w:type="dxa"/>
            <w:vMerge w:val="restart"/>
            <w:shd w:val="clear" w:color="auto" w:fill="auto"/>
            <w:tcMar>
              <w:left w:w="0" w:type="dxa"/>
            </w:tcMar>
          </w:tcPr>
          <w:p w14:paraId="43557E52" w14:textId="77777777" w:rsidR="00FA7115" w:rsidRDefault="00FA7115" w:rsidP="0058308D">
            <w:pPr>
              <w:pStyle w:val="Marginlie"/>
            </w:pPr>
          </w:p>
        </w:tc>
        <w:tc>
          <w:tcPr>
            <w:tcW w:w="210" w:type="dxa"/>
            <w:vMerge w:val="restart"/>
            <w:shd w:val="clear" w:color="auto" w:fill="auto"/>
            <w:tcMar>
              <w:left w:w="0" w:type="dxa"/>
            </w:tcMar>
          </w:tcPr>
          <w:p w14:paraId="41DBF4CB" w14:textId="77777777" w:rsidR="00FA7115" w:rsidRDefault="00FA7115" w:rsidP="0058308D">
            <w:pPr>
              <w:pStyle w:val="Textpoznpodarou"/>
              <w:jc w:val="both"/>
              <w:rPr>
                <w:spacing w:val="-4"/>
              </w:rPr>
            </w:pPr>
          </w:p>
        </w:tc>
        <w:tc>
          <w:tcPr>
            <w:tcW w:w="7623" w:type="dxa"/>
            <w:shd w:val="clear" w:color="auto" w:fill="auto"/>
            <w:tcMar>
              <w:left w:w="0" w:type="dxa"/>
            </w:tcMar>
          </w:tcPr>
          <w:p w14:paraId="2E4AE3E4" w14:textId="77777777" w:rsidR="00FA7115" w:rsidRDefault="00FA7115" w:rsidP="0058308D">
            <w:pPr>
              <w:spacing w:after="0"/>
            </w:pPr>
            <w:r w:rsidRPr="00D721B4">
              <w:rPr>
                <w:b/>
                <w:szCs w:val="20"/>
              </w:rPr>
              <w:t>Graf č. 3</w:t>
            </w:r>
            <w:r>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w:t>
            </w:r>
            <w:r>
              <w:rPr>
                <w:rFonts w:cs="Arial"/>
                <w:bCs/>
                <w:szCs w:val="20"/>
                <w:lang w:eastAsia="en-US"/>
              </w:rPr>
              <w:t> %</w:t>
            </w:r>
            <w:r w:rsidRPr="00D721B4">
              <w:rPr>
                <w:rFonts w:cs="Arial"/>
                <w:bCs/>
                <w:szCs w:val="20"/>
                <w:lang w:eastAsia="en-US"/>
              </w:rPr>
              <w:t>)</w:t>
            </w:r>
          </w:p>
        </w:tc>
      </w:tr>
      <w:tr w:rsidR="00FA7115" w:rsidRPr="009110F7" w14:paraId="17D87FFC" w14:textId="77777777" w:rsidTr="30D0B3BE">
        <w:tblPrEx>
          <w:tblCellMar>
            <w:left w:w="70" w:type="dxa"/>
            <w:right w:w="70" w:type="dxa"/>
          </w:tblCellMar>
        </w:tblPrEx>
        <w:trPr>
          <w:trHeight w:val="170"/>
        </w:trPr>
        <w:tc>
          <w:tcPr>
            <w:tcW w:w="1806" w:type="dxa"/>
            <w:vMerge/>
          </w:tcPr>
          <w:p w14:paraId="751C41F4" w14:textId="77777777" w:rsidR="00FA7115" w:rsidRDefault="00FA7115" w:rsidP="0058308D">
            <w:pPr>
              <w:pStyle w:val="Marginlie"/>
            </w:pPr>
          </w:p>
        </w:tc>
        <w:tc>
          <w:tcPr>
            <w:tcW w:w="210" w:type="dxa"/>
            <w:vMerge/>
          </w:tcPr>
          <w:p w14:paraId="581B2C1E" w14:textId="77777777" w:rsidR="00FA7115" w:rsidRDefault="00FA7115" w:rsidP="0058308D">
            <w:pPr>
              <w:pStyle w:val="Textpoznpodarou"/>
              <w:jc w:val="both"/>
              <w:rPr>
                <w:spacing w:val="-4"/>
              </w:rPr>
            </w:pPr>
          </w:p>
        </w:tc>
        <w:tc>
          <w:tcPr>
            <w:tcW w:w="7623" w:type="dxa"/>
            <w:shd w:val="clear" w:color="auto" w:fill="auto"/>
          </w:tcPr>
          <w:p w14:paraId="25786C1E" w14:textId="77777777" w:rsidR="00FA7115" w:rsidRDefault="00FA7115" w:rsidP="0058308D">
            <w:pPr>
              <w:spacing w:after="0"/>
            </w:pPr>
            <w:r>
              <w:rPr>
                <w:noProof/>
              </w:rPr>
              <w:drawing>
                <wp:inline distT="0" distB="0" distL="0" distR="0" wp14:anchorId="38E953D6" wp14:editId="6A420E62">
                  <wp:extent cx="4737600" cy="3456000"/>
                  <wp:effectExtent l="0" t="0" r="6350" b="0"/>
                  <wp:docPr id="17" name="Graf 17">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FA7115" w:rsidRPr="009110F7" w14:paraId="3E14BECA" w14:textId="77777777" w:rsidTr="30D0B3BE">
        <w:trPr>
          <w:trHeight w:val="170"/>
        </w:trPr>
        <w:tc>
          <w:tcPr>
            <w:tcW w:w="1806" w:type="dxa"/>
            <w:vMerge/>
            <w:tcMar>
              <w:left w:w="0" w:type="dxa"/>
            </w:tcMar>
          </w:tcPr>
          <w:p w14:paraId="67B2AC27" w14:textId="77777777" w:rsidR="00FA7115" w:rsidRDefault="00FA7115" w:rsidP="0058308D">
            <w:pPr>
              <w:pStyle w:val="Marginlie"/>
            </w:pPr>
          </w:p>
        </w:tc>
        <w:tc>
          <w:tcPr>
            <w:tcW w:w="210" w:type="dxa"/>
            <w:vMerge/>
            <w:tcMar>
              <w:left w:w="0" w:type="dxa"/>
            </w:tcMar>
          </w:tcPr>
          <w:p w14:paraId="4C834A8E" w14:textId="77777777" w:rsidR="00FA7115" w:rsidRDefault="00FA7115" w:rsidP="0058308D">
            <w:pPr>
              <w:pStyle w:val="Textpoznpodarou"/>
              <w:jc w:val="both"/>
              <w:rPr>
                <w:spacing w:val="-4"/>
              </w:rPr>
            </w:pPr>
          </w:p>
        </w:tc>
        <w:tc>
          <w:tcPr>
            <w:tcW w:w="7623" w:type="dxa"/>
            <w:shd w:val="clear" w:color="auto" w:fill="auto"/>
            <w:tcMar>
              <w:left w:w="0" w:type="dxa"/>
            </w:tcMar>
          </w:tcPr>
          <w:p w14:paraId="63D00320" w14:textId="77777777" w:rsidR="00FA7115" w:rsidRDefault="00FA7115" w:rsidP="0058308D">
            <w:r w:rsidRPr="00A85DE1">
              <w:rPr>
                <w:sz w:val="14"/>
                <w:szCs w:val="14"/>
              </w:rPr>
              <w:t>Zdroj: ČSÚ</w:t>
            </w:r>
          </w:p>
        </w:tc>
      </w:tr>
      <w:tr w:rsidR="00FA7115" w:rsidRPr="009110F7" w14:paraId="66F02149" w14:textId="77777777" w:rsidTr="30D0B3BE">
        <w:trPr>
          <w:trHeight w:val="145"/>
        </w:trPr>
        <w:tc>
          <w:tcPr>
            <w:tcW w:w="1806" w:type="dxa"/>
            <w:shd w:val="clear" w:color="auto" w:fill="auto"/>
            <w:tcMar>
              <w:left w:w="0" w:type="dxa"/>
            </w:tcMar>
          </w:tcPr>
          <w:p w14:paraId="3CE80EE5" w14:textId="77777777" w:rsidR="00FA7115" w:rsidRDefault="00FA7115" w:rsidP="0058308D">
            <w:pPr>
              <w:pStyle w:val="Marginlie"/>
            </w:pPr>
            <w:r>
              <w:t>Zpracovatelský průmysl meziročně zaostával.</w:t>
            </w:r>
          </w:p>
        </w:tc>
        <w:tc>
          <w:tcPr>
            <w:tcW w:w="210" w:type="dxa"/>
            <w:shd w:val="clear" w:color="auto" w:fill="auto"/>
            <w:tcMar>
              <w:left w:w="0" w:type="dxa"/>
            </w:tcMar>
          </w:tcPr>
          <w:p w14:paraId="2D9033EB" w14:textId="77777777" w:rsidR="00FA7115" w:rsidRDefault="00FA7115" w:rsidP="0058308D">
            <w:pPr>
              <w:pStyle w:val="Textpoznpodarou"/>
              <w:jc w:val="both"/>
              <w:rPr>
                <w:spacing w:val="-4"/>
              </w:rPr>
            </w:pPr>
          </w:p>
        </w:tc>
        <w:tc>
          <w:tcPr>
            <w:tcW w:w="7623" w:type="dxa"/>
            <w:shd w:val="clear" w:color="auto" w:fill="auto"/>
            <w:tcMar>
              <w:left w:w="0" w:type="dxa"/>
            </w:tcMar>
          </w:tcPr>
          <w:p w14:paraId="10249837" w14:textId="77777777" w:rsidR="00FA7115" w:rsidRDefault="00FA7115" w:rsidP="0058308D">
            <w:pPr>
              <w:spacing w:after="0"/>
            </w:pPr>
            <w:r>
              <w:t>Hrubá přidaná hodnota ve 3. čtvrtletí meziročně vzrostla o 1,0 %. Nejvíce rostla HPH v peněžnictví a pojišťovnictví (3,2 %). Posilující domácí spotřeba se projevila zvýšením HPH v uskupení obchod, doprava, ubytování a pohostinství (2,6 %) a v ostatních činnostech (2,6 %). Mírně se zvyšoval také výkon v oblasti v</w:t>
            </w:r>
            <w:r w:rsidRPr="00AC0203">
              <w:t>eřejn</w:t>
            </w:r>
            <w:r>
              <w:t>é správy a obrany</w:t>
            </w:r>
            <w:r w:rsidRPr="00AC0203">
              <w:t>, vzdělávání, zdravotní a sociální péč</w:t>
            </w:r>
            <w:r>
              <w:t>e (1,0 %), v profesních, vědeckých, technických a administrativních činnostech (0,8 %) a v činnostech v oblasti nemovitostí (0,5 %). Hrubá přidaná hodnota ve zpracovatelském průmyslu i v průmyslu jako celku meziročně zaostávala o 0,1 % a stejně na tom bylo stavebnictví. Nejhlouběji meziročně klesla HPH v zemědělství, lesnictví a rybářství (−1,8 %).</w:t>
            </w:r>
          </w:p>
        </w:tc>
      </w:tr>
    </w:tbl>
    <w:p w14:paraId="0515594F" w14:textId="77777777" w:rsidR="004E7C6B" w:rsidRDefault="004E7C6B" w:rsidP="004E7C6B">
      <w:pPr>
        <w:pStyle w:val="Nadpis1"/>
      </w:pPr>
      <w:bookmarkStart w:id="14" w:name="_Toc185241003"/>
      <w:bookmarkStart w:id="15" w:name="_Toc169258116"/>
      <w:bookmarkStart w:id="16" w:name="_Toc153531176"/>
      <w:bookmarkStart w:id="17" w:name="_Toc176767107"/>
      <w:bookmarkStart w:id="18" w:name="_Toc161914427"/>
      <w:bookmarkEnd w:id="10"/>
      <w:bookmarkEnd w:id="11"/>
      <w:r>
        <w:rPr>
          <w:szCs w:val="32"/>
        </w:rPr>
        <w:lastRenderedPageBreak/>
        <w:t>3</w:t>
      </w:r>
      <w:r>
        <w:t>. Výkonnost odvětví</w:t>
      </w:r>
      <w:bookmarkEnd w:id="14"/>
    </w:p>
    <w:p w14:paraId="1F0FCD6B" w14:textId="77777777" w:rsidR="004E7C6B" w:rsidRDefault="004E7C6B" w:rsidP="004E7C6B">
      <w:pPr>
        <w:spacing w:after="0" w:line="240" w:lineRule="auto"/>
        <w:jc w:val="left"/>
        <w:rPr>
          <w:rFonts w:eastAsia="MS Gothic"/>
          <w:b/>
          <w:bCs/>
          <w:color w:val="71818C"/>
          <w:sz w:val="2"/>
          <w:szCs w:val="2"/>
        </w:rPr>
      </w:pPr>
    </w:p>
    <w:p w14:paraId="3C4851AC" w14:textId="77777777" w:rsidR="004E7C6B" w:rsidRDefault="004E7C6B" w:rsidP="004E7C6B">
      <w:pPr>
        <w:spacing w:after="0" w:line="240" w:lineRule="auto"/>
        <w:jc w:val="left"/>
        <w:rPr>
          <w:rFonts w:eastAsia="MS Gothic"/>
          <w:b/>
          <w:bCs/>
          <w:color w:val="71818C"/>
          <w:sz w:val="2"/>
          <w:szCs w:val="2"/>
        </w:rPr>
      </w:pPr>
    </w:p>
    <w:p w14:paraId="3D71F81F" w14:textId="77777777" w:rsidR="004E7C6B" w:rsidRDefault="004E7C6B" w:rsidP="004E7C6B">
      <w:pPr>
        <w:spacing w:after="0" w:line="240" w:lineRule="auto"/>
        <w:jc w:val="left"/>
        <w:rPr>
          <w:rFonts w:eastAsia="MS Gothic"/>
          <w:b/>
          <w:bCs/>
          <w:color w:val="71818C"/>
          <w:sz w:val="2"/>
          <w:szCs w:val="2"/>
        </w:rPr>
      </w:pPr>
    </w:p>
    <w:p w14:paraId="58487F6C" w14:textId="77777777" w:rsidR="004E7C6B" w:rsidRDefault="004E7C6B" w:rsidP="004E7C6B">
      <w:pPr>
        <w:spacing w:after="0" w:line="240" w:lineRule="auto"/>
        <w:jc w:val="left"/>
        <w:rPr>
          <w:rFonts w:eastAsia="MS Gothic"/>
          <w:b/>
          <w:bCs/>
          <w:color w:val="71818C"/>
          <w:sz w:val="2"/>
          <w:szCs w:val="2"/>
        </w:rPr>
      </w:pPr>
    </w:p>
    <w:p w14:paraId="704D3AFB" w14:textId="77777777" w:rsidR="004E7C6B" w:rsidRDefault="004E7C6B" w:rsidP="004E7C6B">
      <w:pPr>
        <w:spacing w:after="0" w:line="240" w:lineRule="auto"/>
        <w:jc w:val="left"/>
        <w:rPr>
          <w:rFonts w:eastAsia="MS Gothic"/>
          <w:b/>
          <w:bCs/>
          <w:color w:val="71818C"/>
          <w:sz w:val="2"/>
          <w:szCs w:val="2"/>
        </w:rPr>
      </w:pPr>
    </w:p>
    <w:tbl>
      <w:tblPr>
        <w:tblW w:w="0" w:type="dxa"/>
        <w:tblInd w:w="-20" w:type="dxa"/>
        <w:tblLayout w:type="fixed"/>
        <w:tblCellMar>
          <w:left w:w="0" w:type="dxa"/>
          <w:right w:w="0" w:type="dxa"/>
        </w:tblCellMar>
        <w:tblLook w:val="00A0" w:firstRow="1" w:lastRow="0" w:firstColumn="1" w:lastColumn="0" w:noHBand="0" w:noVBand="0"/>
      </w:tblPr>
      <w:tblGrid>
        <w:gridCol w:w="1814"/>
        <w:gridCol w:w="229"/>
        <w:gridCol w:w="7596"/>
      </w:tblGrid>
      <w:tr w:rsidR="004E7C6B" w14:paraId="453EC388" w14:textId="77777777" w:rsidTr="004E7C6B">
        <w:trPr>
          <w:trHeight w:val="145"/>
        </w:trPr>
        <w:tc>
          <w:tcPr>
            <w:tcW w:w="1814" w:type="dxa"/>
            <w:hideMark/>
          </w:tcPr>
          <w:p w14:paraId="5DDCACD6" w14:textId="77777777" w:rsidR="004E7C6B" w:rsidRDefault="004E7C6B">
            <w:pPr>
              <w:pStyle w:val="Marginlie"/>
              <w:rPr>
                <w:lang w:eastAsia="en-US"/>
              </w:rPr>
            </w:pPr>
            <w:r>
              <w:rPr>
                <w:lang w:eastAsia="en-US"/>
              </w:rPr>
              <w:t>Mezikvartální růst HPH se během letošního roku postupně mírně zvyšoval a ve 3. čtvrtletí již prostupoval skoro všemi klíčovými odvětvími.</w:t>
            </w:r>
          </w:p>
        </w:tc>
        <w:tc>
          <w:tcPr>
            <w:tcW w:w="229" w:type="dxa"/>
          </w:tcPr>
          <w:p w14:paraId="75DF7F1B" w14:textId="77777777" w:rsidR="004E7C6B" w:rsidRDefault="004E7C6B">
            <w:pPr>
              <w:pStyle w:val="Textpoznpodarou"/>
              <w:jc w:val="both"/>
              <w:rPr>
                <w:spacing w:val="-4"/>
                <w:lang w:eastAsia="en-US"/>
              </w:rPr>
            </w:pPr>
          </w:p>
        </w:tc>
        <w:tc>
          <w:tcPr>
            <w:tcW w:w="7596" w:type="dxa"/>
            <w:hideMark/>
          </w:tcPr>
          <w:p w14:paraId="1A1C2832" w14:textId="77777777" w:rsidR="004E7C6B" w:rsidRDefault="004E7C6B">
            <w:pPr>
              <w:spacing w:after="200"/>
              <w:rPr>
                <w:lang w:eastAsia="en-US"/>
              </w:rPr>
            </w:pPr>
            <w:r>
              <w:rPr>
                <w:color w:val="0D0D0D" w:themeColor="text1" w:themeTint="F2"/>
                <w:spacing w:val="-4"/>
                <w:lang w:eastAsia="en-US"/>
              </w:rPr>
              <w:t>Výkon všech odvětví národního hospodářství zachycený pomocí ukazatele hrubé přidané hodnoty (HPH)</w:t>
            </w:r>
            <w:r>
              <w:rPr>
                <w:rStyle w:val="Znakapoznpodarou"/>
                <w:color w:val="0D0D0D" w:themeColor="text1" w:themeTint="F2"/>
                <w:spacing w:val="-5"/>
                <w:lang w:eastAsia="en-US"/>
              </w:rPr>
              <w:t xml:space="preserve"> </w:t>
            </w:r>
            <w:r>
              <w:rPr>
                <w:lang w:eastAsia="en-US"/>
              </w:rPr>
              <w:footnoteReference w:id="12"/>
            </w:r>
            <w:r>
              <w:rPr>
                <w:lang w:eastAsia="en-US"/>
              </w:rPr>
              <w:t xml:space="preserve"> se v průběhu roku 2024 postupně zotavoval z loňské recese. Na počátku roku výkon mezikvartálně pouze stagnoval, když z hlavních odvětví rostla svižněji HPH jen ve finančnictví. V následujícím kvartálu se mírný růst celkové HPH po roční odluce obnovil (+0,3 %), byť k němu přispěly téměř výhradně služby (zejména obchod či služby pro podniky). Během 3. čtvrtletí pak růst HPH posílil na 0,8 % (nejvíce za poslední tři roky) a k alespoň mírnému oživení došlo téměř ve všech odvětvích. Oproti stejnému období konjunkturního roku 2019 byl aktuální souhrnný výkon odvětví vyšší o 2,5 %, výhradně jen ve službách</w:t>
            </w:r>
            <w:r>
              <w:rPr>
                <w:rStyle w:val="Znakapoznpodarou"/>
                <w:lang w:eastAsia="en-US"/>
              </w:rPr>
              <w:footnoteReference w:id="13"/>
            </w:r>
            <w:r>
              <w:rPr>
                <w:lang w:eastAsia="en-US"/>
              </w:rPr>
              <w:t>.</w:t>
            </w:r>
          </w:p>
        </w:tc>
      </w:tr>
      <w:tr w:rsidR="004E7C6B" w14:paraId="36A9E64C" w14:textId="77777777" w:rsidTr="004E7C6B">
        <w:trPr>
          <w:trHeight w:val="145"/>
        </w:trPr>
        <w:tc>
          <w:tcPr>
            <w:tcW w:w="1814" w:type="dxa"/>
            <w:hideMark/>
          </w:tcPr>
          <w:p w14:paraId="13E0092F" w14:textId="77777777" w:rsidR="004E7C6B" w:rsidRDefault="004E7C6B">
            <w:pPr>
              <w:pStyle w:val="Marginlie"/>
              <w:spacing w:after="240"/>
              <w:rPr>
                <w:color w:val="0D0D0D" w:themeColor="text1" w:themeTint="F2"/>
                <w:spacing w:val="-4"/>
                <w:lang w:eastAsia="en-US"/>
              </w:rPr>
            </w:pPr>
            <w:r>
              <w:rPr>
                <w:color w:val="0D0D0D" w:themeColor="text1" w:themeTint="F2"/>
                <w:spacing w:val="-4"/>
                <w:lang w:eastAsia="en-US"/>
              </w:rPr>
              <w:t xml:space="preserve">V úhrnu od počátku roku meziročně stagnovala přidaná hodnota. Dařilo se službám – zejména finančnictví, obchodu </w:t>
            </w:r>
            <w:r>
              <w:rPr>
                <w:color w:val="0D0D0D" w:themeColor="text1" w:themeTint="F2"/>
                <w:spacing w:val="-4"/>
                <w:lang w:eastAsia="en-US"/>
              </w:rPr>
              <w:br/>
              <w:t xml:space="preserve">a aktivitám spojeným s cestovním ruchem. </w:t>
            </w:r>
            <w:r>
              <w:rPr>
                <w:color w:val="0D0D0D" w:themeColor="text1" w:themeTint="F2"/>
                <w:spacing w:val="-4"/>
                <w:lang w:eastAsia="en-US"/>
              </w:rPr>
              <w:br/>
              <w:t>V průmyslu i stavebnictví výkon nadále klesal.</w:t>
            </w:r>
          </w:p>
        </w:tc>
        <w:tc>
          <w:tcPr>
            <w:tcW w:w="229" w:type="dxa"/>
          </w:tcPr>
          <w:p w14:paraId="14CCFC36" w14:textId="77777777" w:rsidR="004E7C6B" w:rsidRDefault="004E7C6B">
            <w:pPr>
              <w:pStyle w:val="Textpoznpodarou"/>
              <w:spacing w:after="240"/>
              <w:jc w:val="both"/>
              <w:rPr>
                <w:spacing w:val="-4"/>
                <w:lang w:eastAsia="en-US"/>
              </w:rPr>
            </w:pPr>
          </w:p>
        </w:tc>
        <w:tc>
          <w:tcPr>
            <w:tcW w:w="7596" w:type="dxa"/>
            <w:hideMark/>
          </w:tcPr>
          <w:p w14:paraId="16F45692" w14:textId="77777777" w:rsidR="004E7C6B" w:rsidRDefault="004E7C6B">
            <w:pPr>
              <w:spacing w:after="200"/>
              <w:rPr>
                <w:color w:val="0D0D0D" w:themeColor="text1" w:themeTint="F2"/>
                <w:spacing w:val="-4"/>
                <w:lang w:eastAsia="en-US"/>
              </w:rPr>
            </w:pPr>
            <w:r>
              <w:rPr>
                <w:lang w:eastAsia="en-US"/>
              </w:rPr>
              <w:t xml:space="preserve">V úhrnu za 1. až 3. čtvrtletí 2024 HPH meziročně stagnovala, když byl růst napříč téměř všemi službami kompenzován útlumem tradičních výrobních odvětví primárního i sekundárního sektoru. Ekonomiku nejvíce brzdil zpracovatelský průmysl (příspěvek </w:t>
            </w:r>
            <w:r>
              <w:rPr>
                <w:color w:val="0D0D0D" w:themeColor="text1" w:themeTint="F2"/>
                <w:spacing w:val="-4"/>
                <w:lang w:eastAsia="en-US"/>
              </w:rPr>
              <w:t>−</w:t>
            </w:r>
            <w:r>
              <w:rPr>
                <w:lang w:eastAsia="en-US"/>
              </w:rPr>
              <w:t>0,3 p. b.), v němž HPH klesla o 1,6 % (odhlédneme-li od pandemického roku 2020, šlo o nejhorší výsledek po roce 2012). Nedařilo se ani ostatní části průmyslu (zahrnující zejména těžbu a energetiku), kde výkon klesl třetí rok v řadě (letos o 3,4 %). Ve stavebnictví trvá pokles HPH ještě déle (šestý rok), letošní útlum byl ale v tomto kontextu nejmenší (</w:t>
            </w:r>
            <w:r>
              <w:rPr>
                <w:color w:val="0D0D0D" w:themeColor="text1" w:themeTint="F2"/>
                <w:spacing w:val="-4"/>
                <w:lang w:eastAsia="en-US"/>
              </w:rPr>
              <w:t>−</w:t>
            </w:r>
            <w:r>
              <w:rPr>
                <w:lang w:eastAsia="en-US"/>
              </w:rPr>
              <w:t>1,8 %). Obdobně jako loni se mírně snížil i výkon primárního sektoru (</w:t>
            </w:r>
            <w:r>
              <w:rPr>
                <w:color w:val="0D0D0D" w:themeColor="text1" w:themeTint="F2"/>
                <w:spacing w:val="-4"/>
                <w:lang w:eastAsia="en-US"/>
              </w:rPr>
              <w:t>−</w:t>
            </w:r>
            <w:r>
              <w:rPr>
                <w:lang w:eastAsia="en-US"/>
              </w:rPr>
              <w:t>1,6 %), do letošního výsledku se promítá slabší sklizeň klíčových plodin</w:t>
            </w:r>
            <w:r>
              <w:rPr>
                <w:rStyle w:val="Znakapoznpodarou"/>
                <w:lang w:eastAsia="en-US"/>
              </w:rPr>
              <w:footnoteReference w:id="14"/>
            </w:r>
            <w:r>
              <w:rPr>
                <w:lang w:eastAsia="en-US"/>
              </w:rPr>
              <w:t xml:space="preserve"> </w:t>
            </w:r>
            <w:r>
              <w:rPr>
                <w:lang w:eastAsia="en-US"/>
              </w:rPr>
              <w:br/>
              <w:t>i přetrvávající pokles těžby dřeva. Službám se letos dařilo, byť souhrnný růst jejich HPH (1,1 %) nedosáhl tempa z předešlých třech let, kdy některá z těchto odvětví stále ještě doháněla ztráty z pandemického období. Stejně jako po většinu loňského roku byly služby poháněny především odvětvím obchod, doprava, ubytování a pohostinství, které těžily z obnoveného růstu kupní síly tuzemských domácností i pokračujícího rozvoje turismu. Nejvíce se ovšem zvýšila HPH v peněžnictví a pojišťovnictví (+3,5 %).</w:t>
            </w:r>
          </w:p>
        </w:tc>
      </w:tr>
      <w:tr w:rsidR="004E7C6B" w14:paraId="5D0A61E0" w14:textId="77777777" w:rsidTr="004E7C6B">
        <w:trPr>
          <w:trHeight w:val="145"/>
        </w:trPr>
        <w:tc>
          <w:tcPr>
            <w:tcW w:w="1814" w:type="dxa"/>
            <w:hideMark/>
          </w:tcPr>
          <w:p w14:paraId="2EF4C17C" w14:textId="77777777" w:rsidR="004E7C6B" w:rsidRDefault="004E7C6B">
            <w:pPr>
              <w:pStyle w:val="Marginlie"/>
              <w:spacing w:after="240"/>
              <w:rPr>
                <w:color w:val="0D0D0D" w:themeColor="text1" w:themeTint="F2"/>
                <w:spacing w:val="-4"/>
                <w:lang w:eastAsia="en-US"/>
              </w:rPr>
            </w:pPr>
            <w:r>
              <w:rPr>
                <w:color w:val="0D0D0D" w:themeColor="text1" w:themeTint="F2"/>
                <w:spacing w:val="-4"/>
                <w:lang w:eastAsia="en-US"/>
              </w:rPr>
              <w:t xml:space="preserve">Průmyslová produkce letos mezikvartálně klesala. Projevovala se slabá zahraniční poptávka i doznívající efekt zvýšených výrobních nákladů z období energetické krize. </w:t>
            </w:r>
          </w:p>
        </w:tc>
        <w:tc>
          <w:tcPr>
            <w:tcW w:w="229" w:type="dxa"/>
          </w:tcPr>
          <w:p w14:paraId="7EAF7DA5" w14:textId="77777777" w:rsidR="004E7C6B" w:rsidRDefault="004E7C6B">
            <w:pPr>
              <w:pStyle w:val="Textpoznpodarou"/>
              <w:spacing w:after="240"/>
              <w:jc w:val="both"/>
              <w:rPr>
                <w:spacing w:val="-4"/>
                <w:lang w:eastAsia="en-US"/>
              </w:rPr>
            </w:pPr>
          </w:p>
        </w:tc>
        <w:tc>
          <w:tcPr>
            <w:tcW w:w="7596" w:type="dxa"/>
            <w:hideMark/>
          </w:tcPr>
          <w:p w14:paraId="2D742DB6" w14:textId="77777777" w:rsidR="004E7C6B" w:rsidRDefault="004E7C6B">
            <w:pPr>
              <w:spacing w:after="200"/>
              <w:rPr>
                <w:color w:val="0D0D0D" w:themeColor="text1" w:themeTint="F2"/>
                <w:spacing w:val="-4"/>
                <w:lang w:eastAsia="en-US"/>
              </w:rPr>
            </w:pPr>
            <w:r>
              <w:rPr>
                <w:color w:val="0D0D0D" w:themeColor="text1" w:themeTint="F2"/>
                <w:spacing w:val="-4"/>
                <w:lang w:eastAsia="en-US"/>
              </w:rPr>
              <w:t xml:space="preserve">Výše uvedený souhrnný pohled dále rozvádějí podstatně detailnější podnikové statistiky. Tuzemský průmysl byl od počátku letošního roku zasažen recesí a brzdila ho především přetrvávající slabá zahraniční poptávka. Ekonomiky klíčových obchodních partnerů Česka v eurozóně totiž čelily cyklickým i dlouhodobějším strukturálním problémům. Ty se projevují současně také v tuzemsku. Zejména většina energeticky náročných oborů stále pociťuje dopady zvýšených cen vstupů. Řada dalších nosných oborů je pak limitována pokračující slabší investiční aktivitou v ekonomice pramenící z oslabené podnikatelské i spotřebitelské důvěry umocněné přetrvávajícími ztíženými možnostmi úvěrového financování investic. Po krátkodobém oživení na konci roku 2023, za nímž stáli převážně výrobci dopravních </w:t>
            </w:r>
            <w:r>
              <w:rPr>
                <w:color w:val="0D0D0D" w:themeColor="text1" w:themeTint="F2"/>
                <w:spacing w:val="-4"/>
                <w:lang w:eastAsia="en-US"/>
              </w:rPr>
              <w:lastRenderedPageBreak/>
              <w:t>prostředků (vč. jejich subdodavatelů), se průmyslová produkce</w:t>
            </w:r>
            <w:r>
              <w:rPr>
                <w:rStyle w:val="Znakapoznpodarou"/>
                <w:color w:val="0D0D0D" w:themeColor="text1" w:themeTint="F2"/>
                <w:spacing w:val="-4"/>
                <w:lang w:eastAsia="en-US"/>
              </w:rPr>
              <w:footnoteReference w:id="15"/>
            </w:r>
            <w:r>
              <w:rPr>
                <w:color w:val="0D0D0D" w:themeColor="text1" w:themeTint="F2"/>
                <w:spacing w:val="-4"/>
                <w:lang w:eastAsia="en-US"/>
              </w:rPr>
              <w:t xml:space="preserve"> v Česku v 1. čtvrtletí 2024 mezikvartálně opět snížila (−0,8 %). V následujícím období se její pokles mírně prohloubil a ani 3. čtvrtletí nepřineslo zřetelný obrat (+0,1 %), neboť klíčové, investičně zaměřené obory výrazněji nepodpořily </w:t>
            </w:r>
            <w:r>
              <w:rPr>
                <w:color w:val="0D0D0D" w:themeColor="text1" w:themeTint="F2"/>
                <w:spacing w:val="-6"/>
                <w:lang w:eastAsia="en-US"/>
              </w:rPr>
              <w:t>výkon průmyslu. Celková průmyslová produkce za svým vrcholem z období předpandemické konjunktury (2. čtvrtletí 2019) mírně zaostala (o</w:t>
            </w:r>
            <w:r>
              <w:rPr>
                <w:spacing w:val="-6"/>
                <w:lang w:eastAsia="en-US"/>
              </w:rPr>
              <w:t> </w:t>
            </w:r>
            <w:r>
              <w:rPr>
                <w:color w:val="0D0D0D" w:themeColor="text1" w:themeTint="F2"/>
                <w:spacing w:val="-6"/>
                <w:lang w:eastAsia="en-US"/>
              </w:rPr>
              <w:t>2,7 %)</w:t>
            </w:r>
            <w:r>
              <w:rPr>
                <w:rStyle w:val="Znakapoznpodarou"/>
                <w:color w:val="0D0D0D" w:themeColor="text1" w:themeTint="F2"/>
                <w:spacing w:val="-6"/>
                <w:lang w:eastAsia="en-US"/>
              </w:rPr>
              <w:footnoteReference w:id="16"/>
            </w:r>
            <w:r>
              <w:rPr>
                <w:color w:val="0D0D0D" w:themeColor="text1" w:themeTint="F2"/>
                <w:spacing w:val="-6"/>
                <w:lang w:eastAsia="en-US"/>
              </w:rPr>
              <w:t>.</w:t>
            </w:r>
          </w:p>
        </w:tc>
      </w:tr>
      <w:tr w:rsidR="004E7C6B" w14:paraId="642B6403" w14:textId="77777777" w:rsidTr="004E7C6B">
        <w:trPr>
          <w:trHeight w:val="145"/>
        </w:trPr>
        <w:tc>
          <w:tcPr>
            <w:tcW w:w="1814" w:type="dxa"/>
            <w:hideMark/>
          </w:tcPr>
          <w:p w14:paraId="7259C881" w14:textId="77777777" w:rsidR="004E7C6B" w:rsidRDefault="004E7C6B">
            <w:pPr>
              <w:pStyle w:val="Marginlie"/>
              <w:spacing w:after="240"/>
              <w:rPr>
                <w:color w:val="0D0D0D" w:themeColor="text1" w:themeTint="F2"/>
                <w:spacing w:val="-4"/>
                <w:lang w:eastAsia="en-US"/>
              </w:rPr>
            </w:pPr>
            <w:r>
              <w:rPr>
                <w:color w:val="0D0D0D" w:themeColor="text1" w:themeTint="F2"/>
                <w:spacing w:val="-4"/>
                <w:lang w:eastAsia="en-US"/>
              </w:rPr>
              <w:lastRenderedPageBreak/>
              <w:t>Mírný meziroční pokles průmyslu pokračoval druhým rokem v řadě. Letos k němu přispěly hlavně strojírenství, hutnictví a těžba, v nichž produkce shodně propadla o desetinu.</w:t>
            </w:r>
          </w:p>
        </w:tc>
        <w:tc>
          <w:tcPr>
            <w:tcW w:w="229" w:type="dxa"/>
          </w:tcPr>
          <w:p w14:paraId="796DFFE9" w14:textId="77777777" w:rsidR="004E7C6B" w:rsidRDefault="004E7C6B">
            <w:pPr>
              <w:pStyle w:val="Textpoznpodarou"/>
              <w:spacing w:after="240"/>
              <w:jc w:val="both"/>
              <w:rPr>
                <w:spacing w:val="-4"/>
                <w:lang w:eastAsia="en-US"/>
              </w:rPr>
            </w:pPr>
          </w:p>
        </w:tc>
        <w:tc>
          <w:tcPr>
            <w:tcW w:w="7596" w:type="dxa"/>
            <w:hideMark/>
          </w:tcPr>
          <w:p w14:paraId="0BFF8203" w14:textId="77777777" w:rsidR="004E7C6B" w:rsidRDefault="004E7C6B">
            <w:pPr>
              <w:rPr>
                <w:color w:val="0D0D0D" w:themeColor="text1" w:themeTint="F2"/>
                <w:spacing w:val="-4"/>
                <w:lang w:eastAsia="en-US"/>
              </w:rPr>
            </w:pPr>
            <w:r>
              <w:rPr>
                <w:color w:val="0D0D0D" w:themeColor="text1" w:themeTint="F2"/>
                <w:spacing w:val="-4"/>
                <w:lang w:eastAsia="en-US"/>
              </w:rPr>
              <w:t>V úhrnu za 1. až 3. čtvrtletí 2024 se průmyslová produkce meziročně snížila o 0,9 %</w:t>
            </w:r>
            <w:r>
              <w:rPr>
                <w:rStyle w:val="Znakapoznpodarou"/>
                <w:color w:val="0D0D0D" w:themeColor="text1" w:themeTint="F2"/>
                <w:spacing w:val="-4"/>
                <w:lang w:eastAsia="en-US"/>
              </w:rPr>
              <w:footnoteReference w:id="17"/>
            </w:r>
            <w:r>
              <w:rPr>
                <w:color w:val="0D0D0D" w:themeColor="text1" w:themeTint="F2"/>
                <w:spacing w:val="-4"/>
                <w:lang w:eastAsia="en-US"/>
              </w:rPr>
              <w:t xml:space="preserve"> (identický výsledek zaznamenala i ve stejném období loni). Letos se negativně projevil zejména citelný útlum nosného odvětví strojírenství (pokles produkce o 10,8 %, příspěvek k vývoji celého průmyslu −0,9 p. b.)</w:t>
            </w:r>
            <w:r>
              <w:rPr>
                <w:rStyle w:val="Znakapoznpodarou"/>
                <w:color w:val="0D0D0D" w:themeColor="text1" w:themeTint="F2"/>
                <w:spacing w:val="-4"/>
                <w:lang w:eastAsia="en-US"/>
              </w:rPr>
              <w:footnoteReference w:id="18"/>
            </w:r>
            <w:r>
              <w:rPr>
                <w:color w:val="0D0D0D" w:themeColor="text1" w:themeTint="F2"/>
                <w:spacing w:val="-4"/>
                <w:lang w:eastAsia="en-US"/>
              </w:rPr>
              <w:t xml:space="preserve"> v důsledku slabé poptávky, zejména z tuzemska. Útlum se zde týká např. výroby čerpadel, zemědělských nebo kovoobráběcích strojů, nižší produkci lze však v tomto jinak dosti diverzifikovaném oboru vystopovat již v zásadě napříč celým odvětvím. O bezmála desetinu se snížila produkce ve výrobě základních kovů, hutnictví a slévárenství (příspěvek k růstu průmyslu −0,3 p. b.). Odbytové potíže v Česku </w:t>
            </w:r>
            <w:r>
              <w:rPr>
                <w:color w:val="0D0D0D" w:themeColor="text1" w:themeTint="F2"/>
                <w:spacing w:val="-4"/>
                <w:lang w:eastAsia="en-US"/>
              </w:rPr>
              <w:br/>
              <w:t>i zahraničí má tento značně energeticky náročný obor již třetí rok v řadě</w:t>
            </w:r>
            <w:r>
              <w:rPr>
                <w:rStyle w:val="Znakapoznpodarou"/>
                <w:color w:val="0D0D0D" w:themeColor="text1" w:themeTint="F2"/>
                <w:spacing w:val="-4"/>
                <w:lang w:eastAsia="en-US"/>
              </w:rPr>
              <w:footnoteReference w:id="19"/>
            </w:r>
            <w:r>
              <w:rPr>
                <w:color w:val="0D0D0D" w:themeColor="text1" w:themeTint="F2"/>
                <w:spacing w:val="-4"/>
                <w:lang w:eastAsia="en-US"/>
              </w:rPr>
              <w:t xml:space="preserve">. Dlouhodobě se projevuje slabší poptávka po oceli, hlavně ze stavebnictví, automobilového průmyslu či strojírenství. Hluboké problémy se nevyhýbají ani dlouhodobě upadající těžbě </w:t>
            </w:r>
            <w:r>
              <w:rPr>
                <w:color w:val="0D0D0D" w:themeColor="text1" w:themeTint="F2"/>
                <w:spacing w:val="-6"/>
                <w:lang w:eastAsia="en-US"/>
              </w:rPr>
              <w:t xml:space="preserve">i dobývání (meziroční pokles produkce o 9,7 %, příspěvek </w:t>
            </w:r>
            <w:r>
              <w:rPr>
                <w:color w:val="0D0D0D" w:themeColor="text1" w:themeTint="F2"/>
                <w:spacing w:val="-4"/>
                <w:lang w:eastAsia="en-US"/>
              </w:rPr>
              <w:t>−</w:t>
            </w:r>
            <w:r>
              <w:rPr>
                <w:color w:val="0D0D0D" w:themeColor="text1" w:themeTint="F2"/>
                <w:spacing w:val="-6"/>
                <w:lang w:eastAsia="en-US"/>
              </w:rPr>
              <w:t>0,2 p. b.).</w:t>
            </w:r>
            <w:r>
              <w:rPr>
                <w:color w:val="0D0D0D" w:themeColor="text1" w:themeTint="F2"/>
                <w:spacing w:val="-4"/>
                <w:lang w:eastAsia="en-US"/>
              </w:rPr>
              <w:t xml:space="preserve"> Jako loni se zde i letos projevuje nejen řízený útlum v dominantním, ale stále méně rentabilním segmentu těžby uhlí, ale </w:t>
            </w:r>
            <w:r>
              <w:rPr>
                <w:color w:val="0D0D0D" w:themeColor="text1" w:themeTint="F2"/>
                <w:spacing w:val="-4"/>
                <w:lang w:eastAsia="en-US"/>
              </w:rPr>
              <w:br/>
              <w:t xml:space="preserve">i </w:t>
            </w:r>
            <w:r>
              <w:rPr>
                <w:color w:val="0D0D0D" w:themeColor="text1" w:themeTint="F2"/>
                <w:spacing w:val="-6"/>
                <w:lang w:eastAsia="en-US"/>
              </w:rPr>
              <w:t>nižší těžba stavebních materiálů (−4,1 %). Ta vyvěrá z přetrvávající slabé domácí poptávky a projevuje se také v navazujícím oboru výroby nekovových minerálních produktů (−0,5 %).</w:t>
            </w:r>
          </w:p>
        </w:tc>
      </w:tr>
      <w:tr w:rsidR="004E7C6B" w14:paraId="7F220EEB" w14:textId="77777777" w:rsidTr="004E7C6B">
        <w:trPr>
          <w:trHeight w:val="145"/>
        </w:trPr>
        <w:tc>
          <w:tcPr>
            <w:tcW w:w="1814" w:type="dxa"/>
            <w:hideMark/>
          </w:tcPr>
          <w:p w14:paraId="6FA8A665" w14:textId="77777777" w:rsidR="004E7C6B" w:rsidRDefault="004E7C6B">
            <w:pPr>
              <w:pStyle w:val="Marginlie"/>
              <w:spacing w:after="240"/>
              <w:rPr>
                <w:color w:val="0D0D0D" w:themeColor="text1" w:themeTint="F2"/>
                <w:spacing w:val="-4"/>
                <w:lang w:eastAsia="en-US"/>
              </w:rPr>
            </w:pPr>
            <w:r>
              <w:rPr>
                <w:color w:val="0D0D0D" w:themeColor="text1" w:themeTint="F2"/>
                <w:spacing w:val="-4"/>
                <w:lang w:eastAsia="en-US"/>
              </w:rPr>
              <w:t>Vysoké tempo výroby z předchozích let neudržel automobilový průmysl, což mělo dopad i na nejbližší subdodavatelské obory.</w:t>
            </w:r>
          </w:p>
        </w:tc>
        <w:tc>
          <w:tcPr>
            <w:tcW w:w="229" w:type="dxa"/>
          </w:tcPr>
          <w:p w14:paraId="340472B1" w14:textId="77777777" w:rsidR="004E7C6B" w:rsidRDefault="004E7C6B">
            <w:pPr>
              <w:pStyle w:val="Textpoznpodarou"/>
              <w:spacing w:after="240"/>
              <w:jc w:val="both"/>
              <w:rPr>
                <w:spacing w:val="-4"/>
                <w:lang w:eastAsia="en-US"/>
              </w:rPr>
            </w:pPr>
          </w:p>
        </w:tc>
        <w:tc>
          <w:tcPr>
            <w:tcW w:w="7596" w:type="dxa"/>
            <w:hideMark/>
          </w:tcPr>
          <w:p w14:paraId="29B0CFD6" w14:textId="77777777" w:rsidR="004E7C6B" w:rsidRDefault="004E7C6B">
            <w:pPr>
              <w:rPr>
                <w:color w:val="0D0D0D" w:themeColor="text1" w:themeTint="F2"/>
                <w:spacing w:val="-4"/>
                <w:lang w:eastAsia="en-US"/>
              </w:rPr>
            </w:pPr>
            <w:r>
              <w:rPr>
                <w:color w:val="0D0D0D" w:themeColor="text1" w:themeTint="F2"/>
                <w:spacing w:val="-4"/>
                <w:lang w:eastAsia="en-US"/>
              </w:rPr>
              <w:t>Na recesi průmyslu měla letos podíl i výroba motorových vozidel (příspěvek −0,1 p. b., pokles produkce odvětví o 0,8 %</w:t>
            </w:r>
            <w:r>
              <w:rPr>
                <w:rStyle w:val="Znakapoznpodarou"/>
                <w:color w:val="0D0D0D" w:themeColor="text1" w:themeTint="F2"/>
                <w:spacing w:val="-4"/>
                <w:lang w:eastAsia="en-US"/>
              </w:rPr>
              <w:footnoteReference w:id="20"/>
            </w:r>
            <w:r>
              <w:rPr>
                <w:color w:val="0D0D0D" w:themeColor="text1" w:themeTint="F2"/>
                <w:spacing w:val="-4"/>
                <w:lang w:eastAsia="en-US"/>
              </w:rPr>
              <w:t>). Odhlédneme-li od specifického „pandemického roku“ 2020 (poznamenaném nucenými uzávěry provozoven), jde v tomto klíčovém odvětví i přes relativně mělký pokles o nejhorší výsledek po roce 2013</w:t>
            </w:r>
            <w:r>
              <w:rPr>
                <w:rStyle w:val="Znakapoznpodarou"/>
                <w:color w:val="0D0D0D" w:themeColor="text1" w:themeTint="F2"/>
                <w:spacing w:val="-4"/>
                <w:lang w:eastAsia="en-US"/>
              </w:rPr>
              <w:footnoteReference w:id="21"/>
            </w:r>
            <w:r>
              <w:rPr>
                <w:color w:val="0D0D0D" w:themeColor="text1" w:themeTint="F2"/>
                <w:spacing w:val="-4"/>
                <w:lang w:eastAsia="en-US"/>
              </w:rPr>
              <w:t>. Aktuální dynamika tohoto oboru je přitom v Česku, podobně jako ve většině novějších členských států, oproti jádrovým zemím EU relativně příznivější</w:t>
            </w:r>
            <w:r>
              <w:rPr>
                <w:rStyle w:val="Znakapoznpodarou"/>
                <w:color w:val="0D0D0D" w:themeColor="text1" w:themeTint="F2"/>
                <w:spacing w:val="-4"/>
                <w:lang w:eastAsia="en-US"/>
              </w:rPr>
              <w:footnoteReference w:id="22"/>
            </w:r>
            <w:r>
              <w:rPr>
                <w:color w:val="0D0D0D" w:themeColor="text1" w:themeTint="F2"/>
                <w:spacing w:val="-4"/>
                <w:lang w:eastAsia="en-US"/>
              </w:rPr>
              <w:t xml:space="preserve">. Vedle nižších pracovních nákladů zde hraje roli i dosud menší zastoupení elektrických a hybridních vozů v produkci (jejich odbyt se potýká s problémy kvůli narůstající asijské konkurenci i nižší dotační podpoře v zemích Unie). Tyto vnější okolnosti se odrazily i v nevýrazných výsledcích nejbližších subdodavatelských oborů – produkce ve výrobě elektrických zařízení se letos meziročně snížila o 0,5 %, </w:t>
            </w:r>
            <w:r>
              <w:rPr>
                <w:color w:val="0D0D0D" w:themeColor="text1" w:themeTint="F2"/>
                <w:spacing w:val="-4"/>
                <w:lang w:eastAsia="en-US"/>
              </w:rPr>
              <w:lastRenderedPageBreak/>
              <w:t xml:space="preserve">v gumárenství a plastikářství sice mírně ožila (+1,3 %), to je však do značné míry důsledek slabší loňské výroby. </w:t>
            </w:r>
          </w:p>
        </w:tc>
      </w:tr>
      <w:tr w:rsidR="004E7C6B" w14:paraId="3F93CF1D" w14:textId="77777777" w:rsidTr="004E7C6B">
        <w:trPr>
          <w:trHeight w:val="145"/>
        </w:trPr>
        <w:tc>
          <w:tcPr>
            <w:tcW w:w="1814" w:type="dxa"/>
            <w:hideMark/>
          </w:tcPr>
          <w:p w14:paraId="58A346D4" w14:textId="77777777" w:rsidR="004E7C6B" w:rsidRDefault="004E7C6B">
            <w:pPr>
              <w:pStyle w:val="Marginlie"/>
              <w:spacing w:after="240"/>
              <w:rPr>
                <w:color w:val="0D0D0D" w:themeColor="text1" w:themeTint="F2"/>
                <w:spacing w:val="-4"/>
                <w:lang w:eastAsia="en-US"/>
              </w:rPr>
            </w:pPr>
            <w:r>
              <w:rPr>
                <w:color w:val="0D0D0D" w:themeColor="text1" w:themeTint="F2"/>
                <w:spacing w:val="-4"/>
                <w:lang w:eastAsia="en-US"/>
              </w:rPr>
              <w:lastRenderedPageBreak/>
              <w:t xml:space="preserve">Pokles produkce energetiky se letos zmírnil. Nadále se projevovala slabší poptávka vlivem teplejšího počasí, úsporných opatření ve firmách a domácnostech i poklesu ekonomické aktivity v průmyslu i stavebnictví. </w:t>
            </w:r>
          </w:p>
        </w:tc>
        <w:tc>
          <w:tcPr>
            <w:tcW w:w="229" w:type="dxa"/>
          </w:tcPr>
          <w:p w14:paraId="0AE11DCB" w14:textId="77777777" w:rsidR="004E7C6B" w:rsidRDefault="004E7C6B">
            <w:pPr>
              <w:pStyle w:val="Textpoznpodarou"/>
              <w:spacing w:after="240"/>
              <w:jc w:val="both"/>
              <w:rPr>
                <w:spacing w:val="-4"/>
                <w:lang w:eastAsia="en-US"/>
              </w:rPr>
            </w:pPr>
          </w:p>
        </w:tc>
        <w:tc>
          <w:tcPr>
            <w:tcW w:w="7596" w:type="dxa"/>
            <w:hideMark/>
          </w:tcPr>
          <w:p w14:paraId="7940A200" w14:textId="77777777" w:rsidR="004E7C6B" w:rsidRDefault="004E7C6B">
            <w:pPr>
              <w:rPr>
                <w:color w:val="0D0D0D" w:themeColor="text1" w:themeTint="F2"/>
                <w:spacing w:val="-4"/>
                <w:lang w:eastAsia="en-US"/>
              </w:rPr>
            </w:pPr>
            <w:r>
              <w:rPr>
                <w:color w:val="0D0D0D" w:themeColor="text1" w:themeTint="F2"/>
                <w:spacing w:val="-4"/>
                <w:lang w:eastAsia="en-US"/>
              </w:rPr>
              <w:t>Po hlubokém rekordním 11% propadu za celý loňský rok se letos za tři kvartály snížila produkce v odvětví energetiky o 1,4 %. Nadále se projevovala slabší poptávka po elektřině, plynu i teplu, a to zejména vlivem teplejšího počasí</w:t>
            </w:r>
            <w:r>
              <w:rPr>
                <w:rStyle w:val="Znakapoznpodarou"/>
                <w:color w:val="0D0D0D" w:themeColor="text1" w:themeTint="F2"/>
                <w:spacing w:val="-4"/>
                <w:lang w:eastAsia="en-US"/>
              </w:rPr>
              <w:footnoteReference w:id="23"/>
            </w:r>
            <w:r>
              <w:rPr>
                <w:color w:val="0D0D0D" w:themeColor="text1" w:themeTint="F2"/>
                <w:spacing w:val="-4"/>
                <w:lang w:eastAsia="en-US"/>
              </w:rPr>
              <w:t xml:space="preserve"> po většinu období, vlivem </w:t>
            </w:r>
            <w:r>
              <w:rPr>
                <w:color w:val="0D0D0D" w:themeColor="text1" w:themeTint="F2"/>
                <w:spacing w:val="-6"/>
                <w:lang w:eastAsia="en-US"/>
              </w:rPr>
              <w:t xml:space="preserve">poklesu ekonomické aktivity v průmyslu a stavebnictví a rovněž díky pokračujícím úsporným opatřením na straně spotřeby ve firmách a domácnostech. </w:t>
            </w:r>
            <w:r>
              <w:rPr>
                <w:color w:val="0D0D0D" w:themeColor="text1" w:themeTint="F2"/>
                <w:spacing w:val="-5"/>
                <w:lang w:eastAsia="en-US"/>
              </w:rPr>
              <w:t>Za nižší výrobou elektřiny stály letos všechny klíčové zdroje</w:t>
            </w:r>
            <w:r>
              <w:rPr>
                <w:rStyle w:val="Znakapoznpodarou"/>
                <w:color w:val="0D0D0D" w:themeColor="text1" w:themeTint="F2"/>
                <w:spacing w:val="-5"/>
                <w:lang w:eastAsia="en-US"/>
              </w:rPr>
              <w:footnoteReference w:id="24"/>
            </w:r>
            <w:r>
              <w:rPr>
                <w:color w:val="0D0D0D" w:themeColor="text1" w:themeTint="F2"/>
                <w:spacing w:val="-5"/>
                <w:lang w:eastAsia="en-US"/>
              </w:rPr>
              <w:t>, což v zásadě platí i v případě vyrobeného tepla</w:t>
            </w:r>
            <w:r>
              <w:rPr>
                <w:rStyle w:val="Znakapoznpodarou"/>
                <w:color w:val="0D0D0D" w:themeColor="text1" w:themeTint="F2"/>
                <w:spacing w:val="-5"/>
                <w:lang w:eastAsia="en-US"/>
              </w:rPr>
              <w:footnoteReference w:id="25"/>
            </w:r>
            <w:r>
              <w:rPr>
                <w:color w:val="0D0D0D" w:themeColor="text1" w:themeTint="F2"/>
                <w:spacing w:val="-5"/>
                <w:lang w:eastAsia="en-US"/>
              </w:rPr>
              <w:t xml:space="preserve">. Hrubá tuzemská spotřeba elektřiny klesla letos za tři čtvrtletí meziročně o 1,6 %, u zemního plynu činil pokles 6,1 % (po přepočtu na dlouhodobý teplotní normál ale jen 0,6 %). V samotném 3. čtvrtletí vzrostla skutečná spotřeba plynu o 1,8 % (meziročně se navýšila poprvé po třech letech, výhradně vlivem chladnějšího počasí v druhé půli měsíce), a to hlavně u domácností a drobných podnikatelů, naopak u velkoodběratelů se mírně snížila (o 2 %). Zvýšená poptávka po plynu ve 3. čtvrtletí se odrazila v produkci celého odvětví energetiky, jež meziročně posílila o 2,4 % (vzrostla poprvé za posledních osm kvartálů). </w:t>
            </w:r>
          </w:p>
        </w:tc>
      </w:tr>
      <w:tr w:rsidR="004E7C6B" w14:paraId="7C58303A" w14:textId="77777777" w:rsidTr="004E7C6B">
        <w:trPr>
          <w:trHeight w:val="145"/>
        </w:trPr>
        <w:tc>
          <w:tcPr>
            <w:tcW w:w="1814" w:type="dxa"/>
          </w:tcPr>
          <w:p w14:paraId="247D61C8" w14:textId="77777777" w:rsidR="004E7C6B" w:rsidRDefault="004E7C6B">
            <w:pPr>
              <w:pStyle w:val="Marginlie"/>
              <w:spacing w:after="240"/>
              <w:rPr>
                <w:color w:val="0D0D0D" w:themeColor="text1" w:themeTint="F2"/>
                <w:spacing w:val="-4"/>
                <w:lang w:eastAsia="en-US"/>
              </w:rPr>
            </w:pPr>
            <w:r>
              <w:rPr>
                <w:color w:val="0D0D0D" w:themeColor="text1" w:themeTint="F2"/>
                <w:spacing w:val="-4"/>
                <w:lang w:eastAsia="en-US"/>
              </w:rPr>
              <w:t>Proti hlubšímu útlumu průmyslu působila zejména většina oborů vyrábějících produkty krátkodobé spotřeby.</w:t>
            </w:r>
          </w:p>
          <w:p w14:paraId="791CEBC0" w14:textId="77777777" w:rsidR="004E7C6B" w:rsidRDefault="004E7C6B">
            <w:pPr>
              <w:pStyle w:val="Marginlie"/>
              <w:spacing w:after="240"/>
              <w:rPr>
                <w:color w:val="0D0D0D" w:themeColor="text1" w:themeTint="F2"/>
                <w:spacing w:val="-4"/>
                <w:lang w:eastAsia="en-US"/>
              </w:rPr>
            </w:pPr>
          </w:p>
        </w:tc>
        <w:tc>
          <w:tcPr>
            <w:tcW w:w="229" w:type="dxa"/>
          </w:tcPr>
          <w:p w14:paraId="658D2A7F" w14:textId="77777777" w:rsidR="004E7C6B" w:rsidRDefault="004E7C6B">
            <w:pPr>
              <w:pStyle w:val="Textpoznpodarou"/>
              <w:spacing w:after="240"/>
              <w:jc w:val="both"/>
              <w:rPr>
                <w:spacing w:val="-4"/>
                <w:lang w:eastAsia="en-US"/>
              </w:rPr>
            </w:pPr>
          </w:p>
        </w:tc>
        <w:tc>
          <w:tcPr>
            <w:tcW w:w="7596" w:type="dxa"/>
            <w:hideMark/>
          </w:tcPr>
          <w:p w14:paraId="73A42CD0" w14:textId="77777777" w:rsidR="004E7C6B" w:rsidRDefault="004E7C6B">
            <w:pPr>
              <w:spacing w:after="200"/>
              <w:rPr>
                <w:color w:val="0D0D0D" w:themeColor="text1" w:themeTint="F2"/>
                <w:spacing w:val="-4"/>
                <w:lang w:eastAsia="en-US"/>
              </w:rPr>
            </w:pPr>
            <w:r>
              <w:rPr>
                <w:color w:val="0D0D0D" w:themeColor="text1" w:themeTint="F2"/>
                <w:spacing w:val="-4"/>
                <w:lang w:eastAsia="en-US"/>
              </w:rPr>
              <w:t xml:space="preserve">Proti hlubšímu poklesu výkonu průmyslu působily letos zejména obory zaměřené na produkci zboží krátkodobé spotřeby. V potravinářství se v 1. až 3. čtvrtletí produkce meziročně zvýšila poprvé za poslední tři roky (+3,7 %, příspěvek k růstu celého průmyslu +0,2 p. b.). Z obnoveného růstu kupní síly domácností i rozvíjejícího turismu těžili také výrobci nápojů (+5,0 %), na rozdíl od potravinářství však jejich produkce ještě nepřekonala vrchol z období poslední předpandemické konjunktury. To platí i pro oděvnictví, jehož produkce byla hlavně zásluhou vyšší zahraniční poptávky meziročně vyšší o 2,7 %, a také obuvnický a kožedělný průmysl, za jehož bezmála 8% růstem (nejvyšším mezi všemi průmyslovými obory) stála naopak oživená domácí poptávka. V dlouhodobě se rozvíjejícím a výrazně proexportně zaměřeném farmaceutickém průmyslu sice růst produkce ve srovnání se </w:t>
            </w:r>
            <w:r>
              <w:rPr>
                <w:color w:val="0D0D0D" w:themeColor="text1" w:themeTint="F2"/>
                <w:spacing w:val="-5"/>
                <w:lang w:eastAsia="en-US"/>
              </w:rPr>
              <w:t>svižným loňským tempem zvolnil (na 2,7 %), přetrvával ale již od roku 2013</w:t>
            </w:r>
            <w:r>
              <w:rPr>
                <w:color w:val="0D0D0D" w:themeColor="text1" w:themeTint="F2"/>
                <w:spacing w:val="-4"/>
                <w:lang w:eastAsia="en-US"/>
              </w:rPr>
              <w:t>. K prosperujícím oborům, k jejichž útlumu nedošlo ani za pandemie, patří rovněž ostatní zpracovatelský průmysl (zahrnující mj. i výrobu sportovních potřeb, her a hraček). Jeho produkce díky vyšší poptávce z tuzemska i zahraničí letos meziročně posílila o 5,4 %. Naopak u některých produktů dlouhodobější spotřeby (např. nábytek) domácnosti nákupy nadále odkládaly</w:t>
            </w:r>
            <w:r>
              <w:rPr>
                <w:rStyle w:val="Znakapoznpodarou"/>
                <w:color w:val="0D0D0D" w:themeColor="text1" w:themeTint="F2"/>
                <w:spacing w:val="-4"/>
                <w:lang w:eastAsia="en-US"/>
              </w:rPr>
              <w:footnoteReference w:id="26"/>
            </w:r>
            <w:r>
              <w:rPr>
                <w:color w:val="0D0D0D" w:themeColor="text1" w:themeTint="F2"/>
                <w:spacing w:val="-4"/>
                <w:lang w:eastAsia="en-US"/>
              </w:rPr>
              <w:t>.</w:t>
            </w:r>
          </w:p>
        </w:tc>
      </w:tr>
      <w:tr w:rsidR="004E7C6B" w14:paraId="2C43E5AA" w14:textId="77777777" w:rsidTr="004E7C6B">
        <w:trPr>
          <w:trHeight w:val="145"/>
        </w:trPr>
        <w:tc>
          <w:tcPr>
            <w:tcW w:w="1814" w:type="dxa"/>
          </w:tcPr>
          <w:p w14:paraId="5E3F2D42" w14:textId="77777777" w:rsidR="004E7C6B" w:rsidRDefault="004E7C6B">
            <w:pPr>
              <w:pStyle w:val="Marginlie"/>
              <w:rPr>
                <w:color w:val="0D0D0D" w:themeColor="text1" w:themeTint="F2"/>
                <w:spacing w:val="-4"/>
                <w:lang w:eastAsia="en-US"/>
              </w:rPr>
            </w:pPr>
            <w:r>
              <w:rPr>
                <w:color w:val="0D0D0D" w:themeColor="text1" w:themeTint="F2"/>
                <w:spacing w:val="-4"/>
                <w:lang w:eastAsia="en-US"/>
              </w:rPr>
              <w:t xml:space="preserve">K pozitivnímu obratu však došlo díky oživení domácí poptávky v chemickém průmyslu. K oživení došlo </w:t>
            </w:r>
            <w:r>
              <w:rPr>
                <w:color w:val="0D0D0D" w:themeColor="text1" w:themeTint="F2"/>
                <w:spacing w:val="-4"/>
                <w:lang w:eastAsia="en-US"/>
              </w:rPr>
              <w:br/>
              <w:t>i v kovodělném průmyslu.</w:t>
            </w:r>
          </w:p>
          <w:p w14:paraId="38B8377C" w14:textId="77777777" w:rsidR="004E7C6B" w:rsidRDefault="004E7C6B">
            <w:pPr>
              <w:pStyle w:val="Marginlie"/>
              <w:rPr>
                <w:color w:val="0D0D0D" w:themeColor="text1" w:themeTint="F2"/>
                <w:spacing w:val="-4"/>
                <w:lang w:eastAsia="en-US"/>
              </w:rPr>
            </w:pPr>
          </w:p>
          <w:p w14:paraId="0E356937" w14:textId="77777777" w:rsidR="004E7C6B" w:rsidRDefault="004E7C6B">
            <w:pPr>
              <w:pStyle w:val="Marginlie"/>
              <w:rPr>
                <w:color w:val="0D0D0D" w:themeColor="text1" w:themeTint="F2"/>
                <w:spacing w:val="-4"/>
                <w:lang w:eastAsia="en-US"/>
              </w:rPr>
            </w:pPr>
          </w:p>
          <w:p w14:paraId="32121C4D" w14:textId="77777777" w:rsidR="004E7C6B" w:rsidRDefault="004E7C6B">
            <w:pPr>
              <w:pStyle w:val="Marginlie"/>
              <w:rPr>
                <w:color w:val="0D0D0D" w:themeColor="text1" w:themeTint="F2"/>
                <w:spacing w:val="-4"/>
                <w:lang w:eastAsia="en-US"/>
              </w:rPr>
            </w:pPr>
          </w:p>
          <w:p w14:paraId="7BD48E16" w14:textId="77777777" w:rsidR="004E7C6B" w:rsidRDefault="004E7C6B">
            <w:pPr>
              <w:pStyle w:val="Marginlie"/>
              <w:rPr>
                <w:color w:val="0D0D0D" w:themeColor="text1" w:themeTint="F2"/>
                <w:spacing w:val="-4"/>
                <w:lang w:eastAsia="en-US"/>
              </w:rPr>
            </w:pPr>
          </w:p>
          <w:p w14:paraId="245BD336" w14:textId="77777777" w:rsidR="004E7C6B" w:rsidRDefault="004E7C6B">
            <w:pPr>
              <w:pStyle w:val="Marginlie"/>
              <w:rPr>
                <w:color w:val="0D0D0D" w:themeColor="text1" w:themeTint="F2"/>
                <w:spacing w:val="-4"/>
                <w:lang w:eastAsia="en-US"/>
              </w:rPr>
            </w:pPr>
          </w:p>
          <w:p w14:paraId="71C283C6" w14:textId="77777777" w:rsidR="004E7C6B" w:rsidRDefault="004E7C6B">
            <w:pPr>
              <w:pStyle w:val="Marginlie"/>
              <w:spacing w:after="240"/>
              <w:rPr>
                <w:color w:val="0D0D0D" w:themeColor="text1" w:themeTint="F2"/>
                <w:spacing w:val="-4"/>
                <w:lang w:eastAsia="en-US"/>
              </w:rPr>
            </w:pPr>
            <w:r>
              <w:rPr>
                <w:color w:val="0D0D0D" w:themeColor="text1" w:themeTint="F2"/>
                <w:spacing w:val="-4"/>
                <w:lang w:eastAsia="en-US"/>
              </w:rPr>
              <w:t xml:space="preserve">I díky rozvoji fotovoltaiky pokračoval růst elektronického průmyslu. Domácí poptávka stimulovala také další </w:t>
            </w:r>
            <w:r>
              <w:rPr>
                <w:color w:val="0D0D0D" w:themeColor="text1" w:themeTint="F2"/>
                <w:spacing w:val="-4"/>
                <w:lang w:eastAsia="en-US"/>
              </w:rPr>
              <w:lastRenderedPageBreak/>
              <w:t>rozvoj výroby kolejových dopravních prostředků.</w:t>
            </w:r>
          </w:p>
        </w:tc>
        <w:tc>
          <w:tcPr>
            <w:tcW w:w="229" w:type="dxa"/>
          </w:tcPr>
          <w:p w14:paraId="4E4635DF" w14:textId="77777777" w:rsidR="004E7C6B" w:rsidRDefault="004E7C6B">
            <w:pPr>
              <w:pStyle w:val="Textpoznpodarou"/>
              <w:spacing w:after="240"/>
              <w:jc w:val="both"/>
              <w:rPr>
                <w:spacing w:val="-4"/>
                <w:lang w:eastAsia="en-US"/>
              </w:rPr>
            </w:pPr>
          </w:p>
        </w:tc>
        <w:tc>
          <w:tcPr>
            <w:tcW w:w="7596" w:type="dxa"/>
            <w:hideMark/>
          </w:tcPr>
          <w:p w14:paraId="768D7810" w14:textId="77777777" w:rsidR="004E7C6B" w:rsidRDefault="004E7C6B">
            <w:pPr>
              <w:spacing w:after="200"/>
              <w:rPr>
                <w:color w:val="0D0D0D" w:themeColor="text1" w:themeTint="F2"/>
                <w:spacing w:val="-4"/>
                <w:lang w:eastAsia="en-US"/>
              </w:rPr>
            </w:pPr>
            <w:r>
              <w:rPr>
                <w:color w:val="0D0D0D" w:themeColor="text1" w:themeTint="F2"/>
                <w:spacing w:val="-4"/>
                <w:lang w:eastAsia="en-US"/>
              </w:rPr>
              <w:t xml:space="preserve">Po loňském propadu došlo k oživení některých energeticky náročnějších oborů zaměřených na výrobu meziproduktů. Jde o zejména o chemický průmysl, k jehož meziročnímu růstu (+1,1 %) přispěla zotavující se domácí poptávka. Podobně posílil také dřevozpracující průmysl, v němž postupný útlum v předchozích třech letech úzce souvisel s ústupem kůrovcové kalamity a návratem k běžnému režimu těžby dřeva. Svižněji letos vzrostla produkce v papírenském průmyslu (+5,9 %), primárně díky vyššímu odbytu v zahraničí. Dařilo se i některým vesměs menším průmyslovým oborům specializovaným na investiční produkci – čtvrtým rokem pokračoval mírný růst ve výrobě počítačů, elektronických a optických přístrojů a zařízení. Ten letos činil 3,1 %, pozitivně se v něm projevila zejména tuzemská poptávka (zčásti spojená i s rozvojem fotovoltaiky). Ta nadále výrazně pomáhá i výrobě ostatních (zejména kolejových) dopravních prostředků. Po </w:t>
            </w:r>
            <w:r>
              <w:rPr>
                <w:color w:val="0D0D0D" w:themeColor="text1" w:themeTint="F2"/>
                <w:spacing w:val="-4"/>
                <w:lang w:eastAsia="en-US"/>
              </w:rPr>
              <w:lastRenderedPageBreak/>
              <w:t>nebývale silném loňském roce zde ovšem růst produkce citelně zvolnil (na 1,1 %)</w:t>
            </w:r>
            <w:r>
              <w:rPr>
                <w:rStyle w:val="Znakapoznpodarou"/>
                <w:color w:val="0D0D0D" w:themeColor="text1" w:themeTint="F2"/>
                <w:spacing w:val="-4"/>
                <w:lang w:eastAsia="en-US"/>
              </w:rPr>
              <w:footnoteReference w:id="27"/>
            </w:r>
            <w:r>
              <w:rPr>
                <w:color w:val="0D0D0D" w:themeColor="text1" w:themeTint="F2"/>
                <w:spacing w:val="-4"/>
                <w:lang w:eastAsia="en-US"/>
              </w:rPr>
              <w:t xml:space="preserve">. Naopak po dvou slabších letech došlo letos k mírnému oživení v energeticky náročnějších oborech </w:t>
            </w:r>
            <w:r>
              <w:rPr>
                <w:color w:val="0D0D0D" w:themeColor="text1" w:themeTint="F2"/>
                <w:spacing w:val="-6"/>
                <w:lang w:eastAsia="en-US"/>
              </w:rPr>
              <w:t>kovodělného průmyslu (+0,4 %), k čemuž pomohla vyšší zahraniční poptávka. Pozitivně</w:t>
            </w:r>
            <w:r>
              <w:rPr>
                <w:color w:val="0D0D0D" w:themeColor="text1" w:themeTint="F2"/>
                <w:spacing w:val="-4"/>
                <w:lang w:eastAsia="en-US"/>
              </w:rPr>
              <w:t xml:space="preserve"> se v tomto oboru projevuje i malý, ale dynamicky rostoucí segment zbrojní výroby.</w:t>
            </w:r>
          </w:p>
        </w:tc>
      </w:tr>
      <w:tr w:rsidR="004E7C6B" w14:paraId="5DF18172" w14:textId="77777777" w:rsidTr="004E7C6B">
        <w:trPr>
          <w:trHeight w:val="170"/>
        </w:trPr>
        <w:tc>
          <w:tcPr>
            <w:tcW w:w="1814" w:type="dxa"/>
            <w:vMerge w:val="restart"/>
          </w:tcPr>
          <w:p w14:paraId="43CE7B4E" w14:textId="77777777" w:rsidR="004E7C6B" w:rsidRDefault="004E7C6B">
            <w:pPr>
              <w:pStyle w:val="Marginlie"/>
              <w:rPr>
                <w:lang w:eastAsia="en-US"/>
              </w:rPr>
            </w:pPr>
          </w:p>
        </w:tc>
        <w:tc>
          <w:tcPr>
            <w:tcW w:w="229" w:type="dxa"/>
            <w:vMerge w:val="restart"/>
          </w:tcPr>
          <w:p w14:paraId="635D434A" w14:textId="77777777" w:rsidR="004E7C6B" w:rsidRDefault="004E7C6B">
            <w:pPr>
              <w:pStyle w:val="Textpoznpodarou"/>
              <w:jc w:val="both"/>
              <w:rPr>
                <w:spacing w:val="-4"/>
                <w:lang w:eastAsia="en-US"/>
              </w:rPr>
            </w:pPr>
          </w:p>
        </w:tc>
        <w:tc>
          <w:tcPr>
            <w:tcW w:w="7596" w:type="dxa"/>
            <w:hideMark/>
          </w:tcPr>
          <w:p w14:paraId="0BEB5390" w14:textId="77777777" w:rsidR="004E7C6B" w:rsidRDefault="004E7C6B">
            <w:pPr>
              <w:spacing w:after="0"/>
              <w:rPr>
                <w:spacing w:val="-2"/>
                <w:lang w:eastAsia="en-US"/>
              </w:rPr>
            </w:pPr>
            <w:r>
              <w:rPr>
                <w:rFonts w:cs="Arial"/>
                <w:b/>
                <w:bCs/>
                <w:color w:val="000000"/>
                <w:spacing w:val="-2"/>
                <w:szCs w:val="20"/>
                <w:lang w:eastAsia="en-US"/>
              </w:rPr>
              <w:t xml:space="preserve">Graf č. 4 </w:t>
            </w:r>
            <w:r>
              <w:rPr>
                <w:b/>
                <w:spacing w:val="-2"/>
                <w:lang w:eastAsia="en-US"/>
              </w:rPr>
              <w:t xml:space="preserve">Příspěvky dílčích odvětví k meziroční změně průmyslové produkce v ČR </w:t>
            </w:r>
            <w:r>
              <w:rPr>
                <w:spacing w:val="-2"/>
                <w:lang w:eastAsia="en-US"/>
              </w:rPr>
              <w:t xml:space="preserve">(očištěno o kalendářní vlivy, reálně, v p. b.) </w:t>
            </w:r>
            <w:r>
              <w:rPr>
                <w:b/>
                <w:spacing w:val="-2"/>
                <w:lang w:eastAsia="en-US"/>
              </w:rPr>
              <w:t xml:space="preserve">a produkce v celém průmyslu v ČR, Německu a EU27 </w:t>
            </w:r>
            <w:r>
              <w:rPr>
                <w:spacing w:val="-2"/>
                <w:lang w:eastAsia="en-US"/>
              </w:rPr>
              <w:t>(sezónně očištěno, úroveň roku 2021=100, pravá osa)</w:t>
            </w:r>
          </w:p>
        </w:tc>
      </w:tr>
      <w:tr w:rsidR="004E7C6B" w14:paraId="16B4827F" w14:textId="77777777" w:rsidTr="004E7C6B">
        <w:trPr>
          <w:trHeight w:val="170"/>
        </w:trPr>
        <w:tc>
          <w:tcPr>
            <w:tcW w:w="1814" w:type="dxa"/>
            <w:vMerge/>
            <w:vAlign w:val="center"/>
            <w:hideMark/>
          </w:tcPr>
          <w:p w14:paraId="14FFCCDB" w14:textId="77777777" w:rsidR="004E7C6B" w:rsidRDefault="004E7C6B">
            <w:pPr>
              <w:spacing w:after="0" w:line="240" w:lineRule="auto"/>
              <w:jc w:val="left"/>
              <w:rPr>
                <w:spacing w:val="-2"/>
                <w:sz w:val="16"/>
                <w:szCs w:val="16"/>
                <w:lang w:eastAsia="en-US"/>
              </w:rPr>
            </w:pPr>
          </w:p>
        </w:tc>
        <w:tc>
          <w:tcPr>
            <w:tcW w:w="229" w:type="dxa"/>
            <w:vMerge/>
            <w:vAlign w:val="center"/>
            <w:hideMark/>
          </w:tcPr>
          <w:p w14:paraId="3462AA40" w14:textId="77777777" w:rsidR="004E7C6B" w:rsidRDefault="004E7C6B">
            <w:pPr>
              <w:spacing w:after="0" w:line="240" w:lineRule="auto"/>
              <w:jc w:val="left"/>
              <w:rPr>
                <w:rFonts w:eastAsia="Calibri"/>
                <w:spacing w:val="-4"/>
                <w:szCs w:val="20"/>
                <w:lang w:eastAsia="en-US"/>
              </w:rPr>
            </w:pPr>
          </w:p>
        </w:tc>
        <w:tc>
          <w:tcPr>
            <w:tcW w:w="7596" w:type="dxa"/>
            <w:tcMar>
              <w:top w:w="0" w:type="dxa"/>
              <w:left w:w="70" w:type="dxa"/>
              <w:bottom w:w="0" w:type="dxa"/>
              <w:right w:w="70" w:type="dxa"/>
            </w:tcMar>
            <w:hideMark/>
          </w:tcPr>
          <w:p w14:paraId="482A3809" w14:textId="5CBCD39D" w:rsidR="004E7C6B" w:rsidRDefault="004E7C6B">
            <w:pPr>
              <w:spacing w:after="0"/>
              <w:rPr>
                <w:spacing w:val="-6"/>
                <w:lang w:eastAsia="en-US"/>
              </w:rPr>
            </w:pPr>
            <w:r>
              <w:rPr>
                <w:noProof/>
              </w:rPr>
              <w:drawing>
                <wp:inline distT="0" distB="0" distL="0" distR="0" wp14:anchorId="075F3757" wp14:editId="03AE9CAA">
                  <wp:extent cx="4733925" cy="3581400"/>
                  <wp:effectExtent l="0" t="0" r="0" b="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4E7C6B" w14:paraId="1BC13FB0" w14:textId="77777777" w:rsidTr="004E7C6B">
        <w:trPr>
          <w:trHeight w:val="170"/>
        </w:trPr>
        <w:tc>
          <w:tcPr>
            <w:tcW w:w="1814" w:type="dxa"/>
            <w:vMerge/>
            <w:vAlign w:val="center"/>
            <w:hideMark/>
          </w:tcPr>
          <w:p w14:paraId="25FEF1B8" w14:textId="77777777" w:rsidR="004E7C6B" w:rsidRDefault="004E7C6B">
            <w:pPr>
              <w:spacing w:after="0" w:line="240" w:lineRule="auto"/>
              <w:jc w:val="left"/>
              <w:rPr>
                <w:spacing w:val="-2"/>
                <w:sz w:val="16"/>
                <w:szCs w:val="16"/>
                <w:lang w:eastAsia="en-US"/>
              </w:rPr>
            </w:pPr>
          </w:p>
        </w:tc>
        <w:tc>
          <w:tcPr>
            <w:tcW w:w="229" w:type="dxa"/>
            <w:vMerge/>
            <w:vAlign w:val="center"/>
            <w:hideMark/>
          </w:tcPr>
          <w:p w14:paraId="408BE06F" w14:textId="77777777" w:rsidR="004E7C6B" w:rsidRDefault="004E7C6B">
            <w:pPr>
              <w:spacing w:after="0" w:line="240" w:lineRule="auto"/>
              <w:jc w:val="left"/>
              <w:rPr>
                <w:rFonts w:eastAsia="Calibri"/>
                <w:spacing w:val="-4"/>
                <w:szCs w:val="20"/>
                <w:lang w:eastAsia="en-US"/>
              </w:rPr>
            </w:pPr>
          </w:p>
        </w:tc>
        <w:tc>
          <w:tcPr>
            <w:tcW w:w="7596" w:type="dxa"/>
            <w:hideMark/>
          </w:tcPr>
          <w:p w14:paraId="512DCBD4" w14:textId="77777777" w:rsidR="004E7C6B" w:rsidRDefault="004E7C6B">
            <w:pPr>
              <w:tabs>
                <w:tab w:val="right" w:pos="7683"/>
              </w:tabs>
              <w:spacing w:after="0" w:line="240" w:lineRule="auto"/>
              <w:jc w:val="left"/>
              <w:rPr>
                <w:rFonts w:cs="Arial"/>
                <w:sz w:val="14"/>
                <w:szCs w:val="14"/>
                <w:lang w:eastAsia="en-US"/>
              </w:rPr>
            </w:pPr>
            <w:r>
              <w:rPr>
                <w:rFonts w:cs="Arial"/>
                <w:spacing w:val="-2"/>
                <w:sz w:val="14"/>
                <w:szCs w:val="14"/>
                <w:lang w:eastAsia="en-US"/>
              </w:rPr>
              <w:t>*Příspěvek zbývajícího zpracovatelského průmyslu zahrnuje i vliv celkové metodické diskrepance pramenící ze změny vah.</w:t>
            </w:r>
          </w:p>
          <w:p w14:paraId="64F1651F" w14:textId="77777777" w:rsidR="004E7C6B" w:rsidRDefault="004E7C6B">
            <w:pPr>
              <w:tabs>
                <w:tab w:val="right" w:pos="7683"/>
              </w:tabs>
              <w:spacing w:after="200" w:line="240" w:lineRule="auto"/>
              <w:jc w:val="left"/>
              <w:rPr>
                <w:spacing w:val="-2"/>
                <w:sz w:val="14"/>
                <w:szCs w:val="14"/>
                <w:lang w:eastAsia="en-US"/>
              </w:rPr>
            </w:pPr>
            <w:r>
              <w:rPr>
                <w:rFonts w:cs="Arial"/>
                <w:sz w:val="14"/>
                <w:szCs w:val="14"/>
                <w:lang w:eastAsia="en-US"/>
              </w:rPr>
              <w:t>Zdroj: ČSÚ, Eurostat</w:t>
            </w:r>
          </w:p>
        </w:tc>
      </w:tr>
      <w:tr w:rsidR="004E7C6B" w14:paraId="0B4C6CF6" w14:textId="77777777" w:rsidTr="004E7C6B">
        <w:trPr>
          <w:trHeight w:val="134"/>
        </w:trPr>
        <w:tc>
          <w:tcPr>
            <w:tcW w:w="1814" w:type="dxa"/>
          </w:tcPr>
          <w:p w14:paraId="5FB50C37" w14:textId="77777777" w:rsidR="004E7C6B" w:rsidRDefault="004E7C6B">
            <w:pPr>
              <w:pStyle w:val="Marginlie"/>
              <w:rPr>
                <w:lang w:eastAsia="en-US"/>
              </w:rPr>
            </w:pPr>
            <w:r>
              <w:rPr>
                <w:lang w:eastAsia="en-US"/>
              </w:rPr>
              <w:t>Hodnota zakázek ve výrobě dopravních prostředků nadále rostla, ve 3. čtvrtletí ovšem slabším tempem.</w:t>
            </w:r>
          </w:p>
          <w:p w14:paraId="3FA28C8C" w14:textId="77777777" w:rsidR="004E7C6B" w:rsidRDefault="004E7C6B">
            <w:pPr>
              <w:pStyle w:val="Marginlie"/>
              <w:rPr>
                <w:lang w:eastAsia="en-US"/>
              </w:rPr>
            </w:pPr>
          </w:p>
          <w:p w14:paraId="59F6A648" w14:textId="77777777" w:rsidR="004E7C6B" w:rsidRDefault="004E7C6B">
            <w:pPr>
              <w:pStyle w:val="Marginlie"/>
              <w:rPr>
                <w:lang w:eastAsia="en-US"/>
              </w:rPr>
            </w:pPr>
          </w:p>
          <w:p w14:paraId="665606AC" w14:textId="77777777" w:rsidR="004E7C6B" w:rsidRDefault="004E7C6B">
            <w:pPr>
              <w:pStyle w:val="Marginlie"/>
              <w:rPr>
                <w:lang w:eastAsia="en-US"/>
              </w:rPr>
            </w:pPr>
          </w:p>
          <w:p w14:paraId="0D4AF19E" w14:textId="77777777" w:rsidR="004E7C6B" w:rsidRDefault="004E7C6B">
            <w:pPr>
              <w:pStyle w:val="Marginlie"/>
              <w:rPr>
                <w:lang w:eastAsia="en-US"/>
              </w:rPr>
            </w:pPr>
          </w:p>
          <w:p w14:paraId="0F23FAEA" w14:textId="77777777" w:rsidR="004E7C6B" w:rsidRDefault="004E7C6B">
            <w:pPr>
              <w:pStyle w:val="Marginlie"/>
              <w:rPr>
                <w:lang w:eastAsia="en-US"/>
              </w:rPr>
            </w:pPr>
          </w:p>
          <w:p w14:paraId="725DA58B" w14:textId="77777777" w:rsidR="004E7C6B" w:rsidRDefault="004E7C6B">
            <w:pPr>
              <w:pStyle w:val="Marginlie"/>
              <w:rPr>
                <w:lang w:eastAsia="en-US"/>
              </w:rPr>
            </w:pPr>
          </w:p>
          <w:p w14:paraId="0DA4AABA" w14:textId="77777777" w:rsidR="004E7C6B" w:rsidRDefault="004E7C6B">
            <w:pPr>
              <w:pStyle w:val="Marginlie"/>
              <w:rPr>
                <w:lang w:eastAsia="en-US"/>
              </w:rPr>
            </w:pPr>
          </w:p>
          <w:p w14:paraId="01366456" w14:textId="77777777" w:rsidR="004E7C6B" w:rsidRDefault="004E7C6B">
            <w:pPr>
              <w:pStyle w:val="Marginlie"/>
              <w:rPr>
                <w:lang w:eastAsia="en-US"/>
              </w:rPr>
            </w:pPr>
          </w:p>
          <w:p w14:paraId="1EB3E4A7" w14:textId="77777777" w:rsidR="004E7C6B" w:rsidRDefault="004E7C6B">
            <w:pPr>
              <w:pStyle w:val="Marginlie"/>
              <w:rPr>
                <w:lang w:eastAsia="en-US"/>
              </w:rPr>
            </w:pPr>
            <w:r>
              <w:rPr>
                <w:lang w:eastAsia="en-US"/>
              </w:rPr>
              <w:t>V hutnictví, strojírenství, kovodělném a textilním průmyslu však přetrvávala slabá poptávka.</w:t>
            </w:r>
          </w:p>
        </w:tc>
        <w:tc>
          <w:tcPr>
            <w:tcW w:w="229" w:type="dxa"/>
          </w:tcPr>
          <w:p w14:paraId="765790FD" w14:textId="77777777" w:rsidR="004E7C6B" w:rsidRDefault="004E7C6B">
            <w:pPr>
              <w:pStyle w:val="Textpoznpodarou"/>
              <w:jc w:val="both"/>
              <w:rPr>
                <w:spacing w:val="-4"/>
                <w:lang w:eastAsia="en-US"/>
              </w:rPr>
            </w:pPr>
          </w:p>
        </w:tc>
        <w:tc>
          <w:tcPr>
            <w:tcW w:w="7596" w:type="dxa"/>
            <w:hideMark/>
          </w:tcPr>
          <w:p w14:paraId="186239B4" w14:textId="77777777" w:rsidR="004E7C6B" w:rsidRDefault="004E7C6B">
            <w:pPr>
              <w:spacing w:after="220"/>
              <w:rPr>
                <w:color w:val="0D0D0D" w:themeColor="text1" w:themeTint="F2"/>
                <w:spacing w:val="-4"/>
                <w:lang w:eastAsia="en-US"/>
              </w:rPr>
            </w:pPr>
            <w:r>
              <w:rPr>
                <w:color w:val="0D0D0D" w:themeColor="text1" w:themeTint="F2"/>
                <w:spacing w:val="-4"/>
                <w:lang w:eastAsia="en-US"/>
              </w:rPr>
              <w:t>Dynamika nových průmyslových zakázek letos naznačovala mírné oživení.  Zatímco po většinu loňského roku se nominální hodnota zakázek ve sledovaných průmyslových oborech</w:t>
            </w:r>
            <w:r>
              <w:rPr>
                <w:rStyle w:val="Znakapoznpodarou"/>
                <w:color w:val="0D0D0D" w:themeColor="text1" w:themeTint="F2"/>
                <w:spacing w:val="-4"/>
                <w:lang w:eastAsia="en-US"/>
              </w:rPr>
              <w:footnoteReference w:id="28"/>
            </w:r>
            <w:r>
              <w:rPr>
                <w:color w:val="0D0D0D" w:themeColor="text1" w:themeTint="F2"/>
                <w:spacing w:val="-4"/>
                <w:lang w:eastAsia="en-US"/>
              </w:rPr>
              <w:t xml:space="preserve"> meziročně snižovala, za 1. až 3. čtvrtletí 2024 vzrostla o 3,7 % (srovnatelného tempa dosáhla ve všech dosavadních letošních kvartálech). To lze s ohledem na letošní stagnaci cen průmyslových výrobců považovat za náznak budoucího mírného hospodářského oživení celého odvětví. Takřka identický růst signalizovaly jak objednávky z tuzemska, tak ze zahraničí. Ve směru růstu celkových zakázek nejvíce působila (stejně jako po celý loňský rok) vyšší poptávka po motorových vozidlech (s růstem o 7 %</w:t>
            </w:r>
            <w:r>
              <w:rPr>
                <w:rStyle w:val="Znakapoznpodarou"/>
                <w:color w:val="0D0D0D" w:themeColor="text1" w:themeTint="F2"/>
                <w:spacing w:val="-4"/>
                <w:lang w:eastAsia="en-US"/>
              </w:rPr>
              <w:footnoteReference w:id="29"/>
            </w:r>
            <w:r>
              <w:rPr>
                <w:color w:val="0D0D0D" w:themeColor="text1" w:themeTint="F2"/>
                <w:spacing w:val="-4"/>
                <w:lang w:eastAsia="en-US"/>
              </w:rPr>
              <w:t xml:space="preserve">), dařilo se i návazné výrobě elektrických zařízení (+5 %). Pozitivní vyhlídky byly patrné také v elektronickém průmyslu a zejména ve výrobě ostatních dopravních prostředků (+25 %). Další oživení některých menších oborů předznamenávají vyšší nasmlouvané objednávky v oděvnictví, papírenství či farmacii. Řada klíčových zpracovatelských oborů byla ovšem stále limitovaná slabou poptávkou. Ta v hutnictví propadla meziročně o 13 %, ve strojírenství o 4 % a </w:t>
            </w:r>
            <w:r>
              <w:rPr>
                <w:spacing w:val="-4"/>
                <w:lang w:eastAsia="en-US"/>
              </w:rPr>
              <w:t xml:space="preserve">v kovodělném průmyslu v důsledku stále slabší tuzemské poptávky výše celkových zakázek fakticky stagnovala. Druhý rok v řadě strádala i textilní výroba, v níž byl klíčový segment produkce technických textilií nadále limitován slabší domácí poptávkou ze strany návazného odvětví stavebnictví. </w:t>
            </w:r>
          </w:p>
        </w:tc>
      </w:tr>
      <w:tr w:rsidR="004E7C6B" w14:paraId="37245522" w14:textId="77777777" w:rsidTr="004E7C6B">
        <w:trPr>
          <w:trHeight w:val="134"/>
        </w:trPr>
        <w:tc>
          <w:tcPr>
            <w:tcW w:w="1814" w:type="dxa"/>
          </w:tcPr>
          <w:p w14:paraId="0DFCC02F" w14:textId="77777777" w:rsidR="004E7C6B" w:rsidRDefault="004E7C6B">
            <w:pPr>
              <w:pStyle w:val="Marginlie"/>
              <w:rPr>
                <w:color w:val="0D0D0D" w:themeColor="text1" w:themeTint="F2"/>
                <w:lang w:eastAsia="en-US"/>
              </w:rPr>
            </w:pPr>
            <w:r>
              <w:rPr>
                <w:color w:val="0D0D0D" w:themeColor="text1" w:themeTint="F2"/>
                <w:lang w:eastAsia="en-US"/>
              </w:rPr>
              <w:lastRenderedPageBreak/>
              <w:t>Důvěra podniků v průmyslu byla nadále nízká. Skoro polovinu firem trápí nedostatečná poptávka. Aktuální i očekávaný vývoj zaměstnanosti zůstává nepříznivý.</w:t>
            </w:r>
          </w:p>
          <w:p w14:paraId="346581FF" w14:textId="77777777" w:rsidR="004E7C6B" w:rsidRDefault="004E7C6B">
            <w:pPr>
              <w:pStyle w:val="Marginlie"/>
              <w:rPr>
                <w:color w:val="0D0D0D" w:themeColor="text1" w:themeTint="F2"/>
                <w:lang w:eastAsia="en-US"/>
              </w:rPr>
            </w:pPr>
          </w:p>
          <w:p w14:paraId="3538F2F2" w14:textId="77777777" w:rsidR="004E7C6B" w:rsidRDefault="004E7C6B">
            <w:pPr>
              <w:pStyle w:val="Marginlie"/>
              <w:rPr>
                <w:color w:val="0D0D0D" w:themeColor="text1" w:themeTint="F2"/>
                <w:lang w:eastAsia="en-US"/>
              </w:rPr>
            </w:pPr>
          </w:p>
          <w:p w14:paraId="64CD098D" w14:textId="77777777" w:rsidR="004E7C6B" w:rsidRDefault="004E7C6B">
            <w:pPr>
              <w:pStyle w:val="Marginlie"/>
              <w:rPr>
                <w:color w:val="0D0D0D" w:themeColor="text1" w:themeTint="F2"/>
                <w:lang w:eastAsia="en-US"/>
              </w:rPr>
            </w:pPr>
          </w:p>
          <w:p w14:paraId="28F445AF" w14:textId="77777777" w:rsidR="004E7C6B" w:rsidRDefault="004E7C6B">
            <w:pPr>
              <w:pStyle w:val="Marginlie"/>
              <w:rPr>
                <w:color w:val="0D0D0D" w:themeColor="text1" w:themeTint="F2"/>
                <w:lang w:eastAsia="en-US"/>
              </w:rPr>
            </w:pPr>
          </w:p>
          <w:p w14:paraId="3E220DC9" w14:textId="77777777" w:rsidR="004E7C6B" w:rsidRDefault="004E7C6B">
            <w:pPr>
              <w:pStyle w:val="Marginlie"/>
              <w:rPr>
                <w:color w:val="0D0D0D" w:themeColor="text1" w:themeTint="F2"/>
                <w:lang w:eastAsia="en-US"/>
              </w:rPr>
            </w:pPr>
          </w:p>
          <w:p w14:paraId="3B77AF3D" w14:textId="77777777" w:rsidR="004E7C6B" w:rsidRDefault="004E7C6B">
            <w:pPr>
              <w:pStyle w:val="Marginlie"/>
              <w:rPr>
                <w:color w:val="0D0D0D" w:themeColor="text1" w:themeTint="F2"/>
                <w:lang w:eastAsia="en-US"/>
              </w:rPr>
            </w:pPr>
          </w:p>
          <w:p w14:paraId="798A7B1E" w14:textId="77777777" w:rsidR="004E7C6B" w:rsidRDefault="004E7C6B">
            <w:pPr>
              <w:pStyle w:val="Marginlie"/>
              <w:rPr>
                <w:lang w:eastAsia="en-US"/>
              </w:rPr>
            </w:pPr>
            <w:r>
              <w:rPr>
                <w:color w:val="0D0D0D" w:themeColor="text1" w:themeTint="F2"/>
                <w:lang w:eastAsia="en-US"/>
              </w:rPr>
              <w:t>Využití výrobních kapacit průmyslu nedosahuje úrovně období let 2015 až 2019. Ve výrobě motorových vozidel bylo však využití vysoké.</w:t>
            </w:r>
          </w:p>
        </w:tc>
        <w:tc>
          <w:tcPr>
            <w:tcW w:w="229" w:type="dxa"/>
          </w:tcPr>
          <w:p w14:paraId="50A2246F" w14:textId="77777777" w:rsidR="004E7C6B" w:rsidRDefault="004E7C6B">
            <w:pPr>
              <w:pStyle w:val="Textpoznpodarou"/>
              <w:jc w:val="both"/>
              <w:rPr>
                <w:spacing w:val="-4"/>
                <w:lang w:eastAsia="en-US"/>
              </w:rPr>
            </w:pPr>
          </w:p>
        </w:tc>
        <w:tc>
          <w:tcPr>
            <w:tcW w:w="7596" w:type="dxa"/>
            <w:hideMark/>
          </w:tcPr>
          <w:p w14:paraId="775C9DF2" w14:textId="77777777" w:rsidR="004E7C6B" w:rsidRDefault="004E7C6B">
            <w:pPr>
              <w:spacing w:after="220"/>
              <w:rPr>
                <w:color w:val="0D0D0D" w:themeColor="text1" w:themeTint="F2"/>
                <w:spacing w:val="-4"/>
                <w:lang w:eastAsia="en-US"/>
              </w:rPr>
            </w:pPr>
            <w:r>
              <w:rPr>
                <w:color w:val="0D0D0D" w:themeColor="text1" w:themeTint="F2"/>
                <w:spacing w:val="-3"/>
                <w:lang w:eastAsia="en-US"/>
              </w:rPr>
              <w:t>Důvěra podnikatelů v průmyslu se přes určité kolísání v posledních dvou letech významně neměnila. Nadále setrvává v negativním pásmu a letos v listopadu se nacházela skoro o</w:t>
            </w:r>
            <w:r>
              <w:rPr>
                <w:spacing w:val="-4"/>
                <w:lang w:eastAsia="en-US"/>
              </w:rPr>
              <w:t> </w:t>
            </w:r>
            <w:r>
              <w:rPr>
                <w:color w:val="0D0D0D" w:themeColor="text1" w:themeTint="F2"/>
                <w:spacing w:val="-3"/>
                <w:lang w:eastAsia="en-US"/>
              </w:rPr>
              <w:t>desetinu pod svým dlouhodobým průměrem. Přestože u nákladových tlaků došlo k</w:t>
            </w:r>
            <w:r>
              <w:rPr>
                <w:spacing w:val="-4"/>
                <w:lang w:eastAsia="en-US"/>
              </w:rPr>
              <w:t> </w:t>
            </w:r>
            <w:r>
              <w:rPr>
                <w:color w:val="0D0D0D" w:themeColor="text1" w:themeTint="F2"/>
                <w:spacing w:val="-3"/>
                <w:lang w:eastAsia="en-US"/>
              </w:rPr>
              <w:t>částečné stabilizaci (v listopadu plánovala v krátkodobém horizontu zvýšit ceny své produkce necelá čtvrtina podniků) a do normálu se vrátil i objem naskladněných zásob, podniky napříč většinou odvětví stále limituje nedostatečná poptávka. Ta i přes drobné zlepšení na počátku 4. čtvrtletí 2024 stále limitovala skoro polovinu z nich</w:t>
            </w:r>
            <w:r>
              <w:rPr>
                <w:rStyle w:val="Znakapoznpodarou"/>
                <w:color w:val="0D0D0D" w:themeColor="text1" w:themeTint="F2"/>
                <w:spacing w:val="-3"/>
                <w:lang w:eastAsia="en-US"/>
              </w:rPr>
              <w:footnoteReference w:id="30"/>
            </w:r>
            <w:r>
              <w:rPr>
                <w:color w:val="0D0D0D" w:themeColor="text1" w:themeTint="F2"/>
                <w:spacing w:val="-3"/>
                <w:lang w:eastAsia="en-US"/>
              </w:rPr>
              <w:t>. Naopak nedostatek zaměstnanců sužoval šestinu podniků</w:t>
            </w:r>
            <w:r>
              <w:rPr>
                <w:rStyle w:val="Znakapoznpodarou"/>
                <w:color w:val="0D0D0D" w:themeColor="text1" w:themeTint="F2"/>
                <w:spacing w:val="-3"/>
                <w:lang w:eastAsia="en-US"/>
              </w:rPr>
              <w:footnoteReference w:id="31"/>
            </w:r>
            <w:r>
              <w:rPr>
                <w:color w:val="0D0D0D" w:themeColor="text1" w:themeTint="F2"/>
                <w:spacing w:val="-3"/>
                <w:lang w:eastAsia="en-US"/>
              </w:rPr>
              <w:t xml:space="preserve">. To bylo sice letos nejvíce, ve srovnání s loňským listopadem jde však o mírně nižší podíl. Firmy navíc plánují v nejbližším kvartálu lidi spíše propouštět (17 %) než přijímat (6 %), což souzní i s reálným vývojem v posledních měsících (evidenční počet zaměstnanců v průmyslu se v 1. až </w:t>
            </w:r>
            <w:r>
              <w:rPr>
                <w:color w:val="0D0D0D" w:themeColor="text1" w:themeTint="F2"/>
                <w:spacing w:val="-3"/>
                <w:lang w:eastAsia="en-US"/>
              </w:rPr>
              <w:br/>
              <w:t xml:space="preserve">3. čtvrtletí 2024 meziročně snížil o 2 %). Krátkodobá očekávání výroby byla na sklonku roku mírně negativní a lehký optimismus týkající se zlepšení celkové vlastní ekonomické situace podniku, jenž přetrvával téměř po celý letošní rok, firmy v listopadu opustil. </w:t>
            </w:r>
            <w:r>
              <w:rPr>
                <w:color w:val="0D0D0D" w:themeColor="text1" w:themeTint="F2"/>
                <w:spacing w:val="-4"/>
                <w:lang w:eastAsia="en-US"/>
              </w:rPr>
              <w:t>Využití výrobních kapacit dosahovalo 82,5 % (o 2 p. b. méně než v průměru za konjunkturní období let 2015 až 2019), v samotném automobilovém průmyslu byla však situace vcelku příznivá (92,9 %), využití zde převyšovalo úroveň z období poslední konjunktury.</w:t>
            </w:r>
          </w:p>
        </w:tc>
      </w:tr>
      <w:tr w:rsidR="004E7C6B" w14:paraId="0E90FB15" w14:textId="77777777" w:rsidTr="004E7C6B">
        <w:trPr>
          <w:trHeight w:val="134"/>
        </w:trPr>
        <w:tc>
          <w:tcPr>
            <w:tcW w:w="1814" w:type="dxa"/>
            <w:vMerge w:val="restart"/>
          </w:tcPr>
          <w:p w14:paraId="07E2DBE3" w14:textId="77777777" w:rsidR="004E7C6B" w:rsidRDefault="004E7C6B">
            <w:pPr>
              <w:pStyle w:val="Marginlie"/>
              <w:rPr>
                <w:lang w:eastAsia="en-US"/>
              </w:rPr>
            </w:pPr>
          </w:p>
        </w:tc>
        <w:tc>
          <w:tcPr>
            <w:tcW w:w="229" w:type="dxa"/>
            <w:vMerge w:val="restart"/>
          </w:tcPr>
          <w:p w14:paraId="251A4179" w14:textId="77777777" w:rsidR="004E7C6B" w:rsidRDefault="004E7C6B">
            <w:pPr>
              <w:pStyle w:val="Textpoznpodarou"/>
              <w:jc w:val="both"/>
              <w:rPr>
                <w:spacing w:val="-4"/>
                <w:lang w:eastAsia="en-US"/>
              </w:rPr>
            </w:pPr>
          </w:p>
        </w:tc>
        <w:tc>
          <w:tcPr>
            <w:tcW w:w="7596" w:type="dxa"/>
            <w:hideMark/>
          </w:tcPr>
          <w:p w14:paraId="7B4E86A9" w14:textId="77777777" w:rsidR="004E7C6B" w:rsidRDefault="004E7C6B">
            <w:pPr>
              <w:spacing w:after="0"/>
              <w:rPr>
                <w:color w:val="0D0D0D" w:themeColor="text1" w:themeTint="F2"/>
                <w:spacing w:val="-5"/>
                <w:lang w:eastAsia="en-US"/>
              </w:rPr>
            </w:pPr>
            <w:r>
              <w:rPr>
                <w:b/>
                <w:spacing w:val="-2"/>
                <w:lang w:eastAsia="en-US"/>
              </w:rPr>
              <w:t xml:space="preserve">Graf č. 5  Nové zakázky v průmyslu </w:t>
            </w:r>
            <w:r>
              <w:rPr>
                <w:bCs/>
                <w:spacing w:val="-2"/>
                <w:lang w:eastAsia="en-US"/>
              </w:rPr>
              <w:t xml:space="preserve">(nominálně, </w:t>
            </w:r>
            <w:r>
              <w:rPr>
                <w:spacing w:val="-2"/>
                <w:lang w:eastAsia="en-US"/>
              </w:rPr>
              <w:t>meziročně,</w:t>
            </w:r>
            <w:r>
              <w:rPr>
                <w:bCs/>
                <w:spacing w:val="-2"/>
                <w:lang w:eastAsia="en-US"/>
              </w:rPr>
              <w:t xml:space="preserve"> v %)</w:t>
            </w:r>
            <w:r>
              <w:rPr>
                <w:b/>
                <w:spacing w:val="-2"/>
                <w:lang w:eastAsia="en-US"/>
              </w:rPr>
              <w:t>, využití výrobních kapacit v průmyslu, vybrané bariéry růstu</w:t>
            </w:r>
            <w:r>
              <w:rPr>
                <w:spacing w:val="-2"/>
                <w:lang w:eastAsia="en-US"/>
              </w:rPr>
              <w:t xml:space="preserve">* (v %, pravá osa) </w:t>
            </w:r>
            <w:r>
              <w:rPr>
                <w:b/>
                <w:spacing w:val="-2"/>
                <w:lang w:eastAsia="en-US"/>
              </w:rPr>
              <w:t>a </w:t>
            </w:r>
            <w:r>
              <w:rPr>
                <w:b/>
                <w:lang w:eastAsia="en-US"/>
              </w:rPr>
              <w:t xml:space="preserve">saldo důvěry podnikatelů v průmyslu* </w:t>
            </w:r>
            <w:r>
              <w:rPr>
                <w:lang w:eastAsia="en-US"/>
              </w:rPr>
              <w:t>(v p. b., pravá osa)</w:t>
            </w:r>
          </w:p>
        </w:tc>
      </w:tr>
      <w:tr w:rsidR="004E7C6B" w14:paraId="7357BA3E" w14:textId="77777777" w:rsidTr="004E7C6B">
        <w:trPr>
          <w:trHeight w:val="133"/>
        </w:trPr>
        <w:tc>
          <w:tcPr>
            <w:tcW w:w="1814" w:type="dxa"/>
            <w:vMerge/>
            <w:vAlign w:val="center"/>
            <w:hideMark/>
          </w:tcPr>
          <w:p w14:paraId="6AFD0781" w14:textId="77777777" w:rsidR="004E7C6B" w:rsidRDefault="004E7C6B">
            <w:pPr>
              <w:spacing w:after="0" w:line="240" w:lineRule="auto"/>
              <w:jc w:val="left"/>
              <w:rPr>
                <w:spacing w:val="-2"/>
                <w:sz w:val="16"/>
                <w:szCs w:val="16"/>
                <w:lang w:eastAsia="en-US"/>
              </w:rPr>
            </w:pPr>
          </w:p>
        </w:tc>
        <w:tc>
          <w:tcPr>
            <w:tcW w:w="229" w:type="dxa"/>
            <w:vMerge/>
            <w:vAlign w:val="center"/>
            <w:hideMark/>
          </w:tcPr>
          <w:p w14:paraId="0815C685" w14:textId="77777777" w:rsidR="004E7C6B" w:rsidRDefault="004E7C6B">
            <w:pPr>
              <w:spacing w:after="0" w:line="240" w:lineRule="auto"/>
              <w:jc w:val="left"/>
              <w:rPr>
                <w:rFonts w:eastAsia="Calibri"/>
                <w:spacing w:val="-4"/>
                <w:szCs w:val="20"/>
                <w:lang w:eastAsia="en-US"/>
              </w:rPr>
            </w:pPr>
          </w:p>
        </w:tc>
        <w:tc>
          <w:tcPr>
            <w:tcW w:w="7596" w:type="dxa"/>
            <w:tcMar>
              <w:top w:w="0" w:type="dxa"/>
              <w:left w:w="70" w:type="dxa"/>
              <w:bottom w:w="0" w:type="dxa"/>
              <w:right w:w="70" w:type="dxa"/>
            </w:tcMar>
            <w:hideMark/>
          </w:tcPr>
          <w:p w14:paraId="466D8A19" w14:textId="160D7888" w:rsidR="004E7C6B" w:rsidRDefault="004E7C6B">
            <w:pPr>
              <w:spacing w:after="0"/>
              <w:rPr>
                <w:color w:val="0D0D0D" w:themeColor="text1" w:themeTint="F2"/>
                <w:spacing w:val="-5"/>
                <w:lang w:eastAsia="en-US"/>
              </w:rPr>
            </w:pPr>
            <w:r>
              <w:rPr>
                <w:noProof/>
              </w:rPr>
              <w:drawing>
                <wp:inline distT="0" distB="0" distL="0" distR="0" wp14:anchorId="6ADACB7C" wp14:editId="5F81EA7C">
                  <wp:extent cx="4752975" cy="3638550"/>
                  <wp:effectExtent l="0" t="0" r="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4E7C6B" w14:paraId="3D47B4F1" w14:textId="77777777" w:rsidTr="004E7C6B">
        <w:trPr>
          <w:trHeight w:val="133"/>
        </w:trPr>
        <w:tc>
          <w:tcPr>
            <w:tcW w:w="1814" w:type="dxa"/>
            <w:vMerge/>
            <w:vAlign w:val="center"/>
            <w:hideMark/>
          </w:tcPr>
          <w:p w14:paraId="0790E293" w14:textId="77777777" w:rsidR="004E7C6B" w:rsidRDefault="004E7C6B">
            <w:pPr>
              <w:spacing w:after="0" w:line="240" w:lineRule="auto"/>
              <w:jc w:val="left"/>
              <w:rPr>
                <w:spacing w:val="-2"/>
                <w:sz w:val="16"/>
                <w:szCs w:val="16"/>
                <w:lang w:eastAsia="en-US"/>
              </w:rPr>
            </w:pPr>
          </w:p>
        </w:tc>
        <w:tc>
          <w:tcPr>
            <w:tcW w:w="229" w:type="dxa"/>
            <w:vMerge/>
            <w:vAlign w:val="center"/>
            <w:hideMark/>
          </w:tcPr>
          <w:p w14:paraId="5C50D33A" w14:textId="77777777" w:rsidR="004E7C6B" w:rsidRDefault="004E7C6B">
            <w:pPr>
              <w:spacing w:after="0" w:line="240" w:lineRule="auto"/>
              <w:jc w:val="left"/>
              <w:rPr>
                <w:rFonts w:eastAsia="Calibri"/>
                <w:spacing w:val="-4"/>
                <w:szCs w:val="20"/>
                <w:lang w:eastAsia="en-US"/>
              </w:rPr>
            </w:pPr>
          </w:p>
        </w:tc>
        <w:tc>
          <w:tcPr>
            <w:tcW w:w="7596" w:type="dxa"/>
            <w:hideMark/>
          </w:tcPr>
          <w:p w14:paraId="23C45042" w14:textId="77777777" w:rsidR="004E7C6B" w:rsidRDefault="004E7C6B">
            <w:pPr>
              <w:spacing w:after="200" w:line="240" w:lineRule="auto"/>
              <w:rPr>
                <w:color w:val="0D0D0D" w:themeColor="text1" w:themeTint="F2"/>
                <w:spacing w:val="-5"/>
                <w:lang w:eastAsia="en-US"/>
              </w:rPr>
            </w:pPr>
            <w:r>
              <w:rPr>
                <w:color w:val="0D0D0D" w:themeColor="text1" w:themeTint="F2"/>
                <w:spacing w:val="-5"/>
                <w:sz w:val="14"/>
                <w:szCs w:val="14"/>
                <w:lang w:eastAsia="en-US"/>
              </w:rPr>
              <w:t>*</w:t>
            </w:r>
            <w:r>
              <w:rPr>
                <w:rFonts w:cs="Arial"/>
                <w:sz w:val="14"/>
                <w:szCs w:val="14"/>
                <w:lang w:eastAsia="en-US"/>
              </w:rPr>
              <w:t xml:space="preserve">Využití průmyslových kapacit i bariéry růstu vyjadřují stav v prvním měsíci daného čtvrtletí, saldo důvěry podnikatelů je vztaženo ke druhému měsíci čtvrtletí. Zakázky jsou očištěny o kalendářní vlivy, ostatní ukazatele jsou </w:t>
            </w:r>
            <w:r>
              <w:rPr>
                <w:rFonts w:cs="Arial"/>
                <w:spacing w:val="-2"/>
                <w:sz w:val="14"/>
                <w:szCs w:val="14"/>
                <w:lang w:eastAsia="en-US"/>
              </w:rPr>
              <w:t xml:space="preserve">sezónně očištěny. </w:t>
            </w:r>
            <w:r>
              <w:rPr>
                <w:rFonts w:cs="Arial"/>
                <w:sz w:val="14"/>
                <w:szCs w:val="14"/>
                <w:lang w:eastAsia="en-US"/>
              </w:rPr>
              <w:t>Podniky mohly uvést více hlavních růstových bariér současně.                                                                   Zdroj: ČSÚ, Eurostat</w:t>
            </w:r>
          </w:p>
        </w:tc>
      </w:tr>
      <w:tr w:rsidR="004E7C6B" w14:paraId="2DCB35D3" w14:textId="77777777" w:rsidTr="004E7C6B">
        <w:trPr>
          <w:trHeight w:val="170"/>
        </w:trPr>
        <w:tc>
          <w:tcPr>
            <w:tcW w:w="1814" w:type="dxa"/>
            <w:hideMark/>
          </w:tcPr>
          <w:p w14:paraId="02F5478A" w14:textId="77777777" w:rsidR="004E7C6B" w:rsidRDefault="004E7C6B">
            <w:pPr>
              <w:pStyle w:val="Marginlie"/>
              <w:rPr>
                <w:color w:val="0D0D0D" w:themeColor="text1" w:themeTint="F2"/>
                <w:spacing w:val="-4"/>
                <w:lang w:eastAsia="en-US"/>
              </w:rPr>
            </w:pPr>
            <w:r>
              <w:rPr>
                <w:color w:val="0D0D0D" w:themeColor="text1" w:themeTint="F2"/>
                <w:spacing w:val="-4"/>
                <w:lang w:eastAsia="en-US"/>
              </w:rPr>
              <w:t xml:space="preserve">Výkon stavebnictví stále ovlivňovaly významné nákladové tlaky i slabší investiční aktivita v soukromé i veřejné sféře. </w:t>
            </w:r>
          </w:p>
        </w:tc>
        <w:tc>
          <w:tcPr>
            <w:tcW w:w="229" w:type="dxa"/>
          </w:tcPr>
          <w:p w14:paraId="16C61F46" w14:textId="77777777" w:rsidR="004E7C6B" w:rsidRDefault="004E7C6B">
            <w:pPr>
              <w:pStyle w:val="Textpoznpodarou"/>
              <w:jc w:val="both"/>
              <w:rPr>
                <w:color w:val="0D0D0D" w:themeColor="text1" w:themeTint="F2"/>
                <w:spacing w:val="-4"/>
                <w:lang w:eastAsia="en-US"/>
              </w:rPr>
            </w:pPr>
          </w:p>
        </w:tc>
        <w:tc>
          <w:tcPr>
            <w:tcW w:w="7596" w:type="dxa"/>
            <w:hideMark/>
          </w:tcPr>
          <w:p w14:paraId="49AA855E" w14:textId="77777777" w:rsidR="004E7C6B" w:rsidRDefault="004E7C6B">
            <w:pPr>
              <w:spacing w:after="200"/>
              <w:rPr>
                <w:color w:val="0D0D0D" w:themeColor="text1" w:themeTint="F2"/>
                <w:spacing w:val="-6"/>
                <w:lang w:eastAsia="en-US"/>
              </w:rPr>
            </w:pPr>
            <w:r>
              <w:rPr>
                <w:color w:val="0D0D0D" w:themeColor="text1" w:themeTint="F2"/>
                <w:spacing w:val="-6"/>
                <w:lang w:eastAsia="en-US"/>
              </w:rPr>
              <w:t xml:space="preserve">Stavebnictví bylo letos, stejně jako po většinu loňského roku, v recesi. Nepříznivý dopad měly přetrvávající slabá poptávka i cenové tlaky. Ačkoliv ceny stavebních materiálů začaly po tříletém zvyšování od loňského podzimu meziročně mírně klesat, snižování realizovaných i očekávaných cen stavební výroby bránil svižný růst nákladů práce ovlivněný </w:t>
            </w:r>
            <w:r>
              <w:rPr>
                <w:color w:val="0D0D0D" w:themeColor="text1" w:themeTint="F2"/>
                <w:spacing w:val="-4"/>
                <w:lang w:eastAsia="en-US"/>
              </w:rPr>
              <w:t xml:space="preserve">chronickým nedostatkem především kvalifikované pracovní síly. Stále se projevovala i </w:t>
            </w:r>
            <w:r>
              <w:rPr>
                <w:color w:val="0D0D0D" w:themeColor="text1" w:themeTint="F2"/>
                <w:spacing w:val="-6"/>
                <w:lang w:eastAsia="en-US"/>
              </w:rPr>
              <w:t xml:space="preserve">utlumená </w:t>
            </w:r>
            <w:r>
              <w:rPr>
                <w:color w:val="0D0D0D" w:themeColor="text1" w:themeTint="F2"/>
                <w:spacing w:val="-6"/>
                <w:lang w:eastAsia="en-US"/>
              </w:rPr>
              <w:lastRenderedPageBreak/>
              <w:t>investiční aktivita v soukromé sféře související se slabší důvěrou podniků i domácností v ekonomiku a ztíženými možnostmi financování investic. K tomu přistoupil i očekávaný pokles veřejných investic související s přechodem na nové programové období EU</w:t>
            </w:r>
            <w:r>
              <w:rPr>
                <w:rStyle w:val="Znakapoznpodarou"/>
                <w:color w:val="0D0D0D" w:themeColor="text1" w:themeTint="F2"/>
                <w:spacing w:val="-6"/>
                <w:lang w:eastAsia="en-US"/>
              </w:rPr>
              <w:footnoteReference w:id="32"/>
            </w:r>
            <w:r>
              <w:rPr>
                <w:color w:val="0D0D0D" w:themeColor="text1" w:themeTint="F2"/>
                <w:spacing w:val="-6"/>
                <w:lang w:eastAsia="en-US"/>
              </w:rPr>
              <w:t>.</w:t>
            </w:r>
          </w:p>
        </w:tc>
      </w:tr>
      <w:tr w:rsidR="004E7C6B" w14:paraId="44ECCE45" w14:textId="77777777" w:rsidTr="004E7C6B">
        <w:trPr>
          <w:trHeight w:val="170"/>
        </w:trPr>
        <w:tc>
          <w:tcPr>
            <w:tcW w:w="1814" w:type="dxa"/>
            <w:hideMark/>
          </w:tcPr>
          <w:p w14:paraId="67DCAED9" w14:textId="77777777" w:rsidR="004E7C6B" w:rsidRDefault="004E7C6B">
            <w:pPr>
              <w:pStyle w:val="Marginlie"/>
              <w:rPr>
                <w:color w:val="0D0D0D" w:themeColor="text1" w:themeTint="F2"/>
                <w:spacing w:val="-4"/>
                <w:lang w:eastAsia="en-US"/>
              </w:rPr>
            </w:pPr>
            <w:r>
              <w:rPr>
                <w:color w:val="0D0D0D" w:themeColor="text1" w:themeTint="F2"/>
                <w:spacing w:val="-4"/>
                <w:lang w:eastAsia="en-US"/>
              </w:rPr>
              <w:lastRenderedPageBreak/>
              <w:t>Meziroční pokles stavební produkce pokračoval druhým rokem. Největší útlum letos postihl specializované stavební činnosti.</w:t>
            </w:r>
          </w:p>
        </w:tc>
        <w:tc>
          <w:tcPr>
            <w:tcW w:w="229" w:type="dxa"/>
          </w:tcPr>
          <w:p w14:paraId="182CBAD0" w14:textId="77777777" w:rsidR="004E7C6B" w:rsidRDefault="004E7C6B">
            <w:pPr>
              <w:pStyle w:val="Textpoznpodarou"/>
              <w:jc w:val="both"/>
              <w:rPr>
                <w:color w:val="0D0D0D" w:themeColor="text1" w:themeTint="F2"/>
                <w:spacing w:val="-4"/>
                <w:lang w:eastAsia="en-US"/>
              </w:rPr>
            </w:pPr>
          </w:p>
        </w:tc>
        <w:tc>
          <w:tcPr>
            <w:tcW w:w="7596" w:type="dxa"/>
            <w:hideMark/>
          </w:tcPr>
          <w:p w14:paraId="07077A55" w14:textId="77777777" w:rsidR="004E7C6B" w:rsidRDefault="004E7C6B">
            <w:pPr>
              <w:rPr>
                <w:rStyle w:val="normaltextrun"/>
                <w:spacing w:val="-5"/>
              </w:rPr>
            </w:pPr>
            <w:r>
              <w:rPr>
                <w:color w:val="0D0D0D" w:themeColor="text1" w:themeTint="F2"/>
                <w:spacing w:val="-5"/>
                <w:lang w:eastAsia="en-US"/>
              </w:rPr>
              <w:t>Stavební produkce</w:t>
            </w:r>
            <w:r>
              <w:rPr>
                <w:rStyle w:val="Znakapoznpodarou"/>
                <w:color w:val="0D0D0D" w:themeColor="text1" w:themeTint="F2"/>
                <w:spacing w:val="-5"/>
                <w:lang w:eastAsia="en-US"/>
              </w:rPr>
              <w:footnoteReference w:id="33"/>
            </w:r>
            <w:r>
              <w:rPr>
                <w:color w:val="0D0D0D" w:themeColor="text1" w:themeTint="F2"/>
                <w:spacing w:val="-5"/>
                <w:lang w:eastAsia="en-US"/>
              </w:rPr>
              <w:t xml:space="preserve"> sice na počátku roku 2024 primárně díky příznivému počasí mezikvartálně vzrostla o 0,7 % (a zastavila tak nepříznivý vývoj, jenž vyplnil většinu loňského roku), během 2. čtvrtletí se ovšem propadla o 3,4 %, když k citelnému poklesu došlo se srovnatelnou intenzitou ve všech jeho hlavních segmentech. Ačkoli další kvartál přinesl mírné zotavení (+1,0 %), jarní útlum v žádném z nich zdaleka nevykompenzoval. Ve 3.</w:t>
            </w:r>
            <w:r>
              <w:rPr>
                <w:rStyle w:val="normaltextrun"/>
                <w:rFonts w:cs="Arial"/>
                <w:color w:val="000000"/>
                <w:spacing w:val="-5"/>
                <w:szCs w:val="20"/>
                <w:lang w:eastAsia="en-US"/>
              </w:rPr>
              <w:t> </w:t>
            </w:r>
            <w:r>
              <w:rPr>
                <w:color w:val="0D0D0D" w:themeColor="text1" w:themeTint="F2"/>
                <w:spacing w:val="-5"/>
                <w:lang w:eastAsia="en-US"/>
              </w:rPr>
              <w:t>čtvrtletí 2024 i proto zaostával výkon celého odvětví za vrcholem z poslední konjunktury (3.</w:t>
            </w:r>
            <w:r>
              <w:rPr>
                <w:rStyle w:val="normaltextrun"/>
                <w:rFonts w:cs="Arial"/>
                <w:color w:val="000000"/>
                <w:spacing w:val="-5"/>
                <w:szCs w:val="20"/>
                <w:lang w:eastAsia="en-US"/>
              </w:rPr>
              <w:t> </w:t>
            </w:r>
            <w:r>
              <w:rPr>
                <w:color w:val="0D0D0D" w:themeColor="text1" w:themeTint="F2"/>
                <w:spacing w:val="-5"/>
                <w:lang w:eastAsia="en-US"/>
              </w:rPr>
              <w:t>čtvrtletí 2019) skoro o 8 %. Meziroční pokles produkce dosáhl letos za tři čtvrtletí 4,3 % (proti stejnému období předešlého roku se téměř zdvojnásobil). Celé odvětví táhlo dolů takřka výhradně pozemní stavitelství, kde se nedařilo jak výstavbě budov (</w:t>
            </w:r>
            <w:r>
              <w:rPr>
                <w:rStyle w:val="normaltextrun"/>
                <w:rFonts w:cs="Arial"/>
                <w:color w:val="000000"/>
                <w:spacing w:val="-5"/>
                <w:szCs w:val="20"/>
                <w:lang w:eastAsia="en-US"/>
              </w:rPr>
              <w:t>−</w:t>
            </w:r>
            <w:r>
              <w:rPr>
                <w:color w:val="0D0D0D" w:themeColor="text1" w:themeTint="F2"/>
                <w:spacing w:val="-5"/>
                <w:lang w:eastAsia="en-US"/>
              </w:rPr>
              <w:t xml:space="preserve">4,9 %), tak </w:t>
            </w:r>
            <w:r>
              <w:rPr>
                <w:rStyle w:val="normaltextrun"/>
                <w:rFonts w:cs="Arial"/>
                <w:color w:val="000000"/>
                <w:spacing w:val="-5"/>
                <w:szCs w:val="20"/>
                <w:lang w:eastAsia="en-US"/>
              </w:rPr>
              <w:t xml:space="preserve">specializovaným stavebním činnostem </w:t>
            </w:r>
            <w:r>
              <w:rPr>
                <w:color w:val="0D0D0D" w:themeColor="text1" w:themeTint="F2"/>
                <w:spacing w:val="-5"/>
                <w:lang w:eastAsia="en-US"/>
              </w:rPr>
              <w:t>(</w:t>
            </w:r>
            <w:r>
              <w:rPr>
                <w:rStyle w:val="normaltextrun"/>
                <w:rFonts w:cs="Arial"/>
                <w:color w:val="000000"/>
                <w:spacing w:val="-5"/>
                <w:szCs w:val="20"/>
                <w:lang w:eastAsia="en-US"/>
              </w:rPr>
              <w:t>−</w:t>
            </w:r>
            <w:r>
              <w:rPr>
                <w:color w:val="0D0D0D" w:themeColor="text1" w:themeTint="F2"/>
                <w:spacing w:val="-5"/>
                <w:lang w:eastAsia="en-US"/>
              </w:rPr>
              <w:t>7,3 %)</w:t>
            </w:r>
            <w:r>
              <w:rPr>
                <w:rStyle w:val="Znakapoznpodarou"/>
                <w:color w:val="0D0D0D" w:themeColor="text1" w:themeTint="F2"/>
                <w:spacing w:val="-5"/>
                <w:lang w:eastAsia="en-US"/>
              </w:rPr>
              <w:footnoteReference w:id="34"/>
            </w:r>
            <w:r>
              <w:rPr>
                <w:color w:val="0D0D0D" w:themeColor="text1" w:themeTint="F2"/>
                <w:spacing w:val="-5"/>
                <w:lang w:eastAsia="en-US"/>
              </w:rPr>
              <w:t>. Výkon i</w:t>
            </w:r>
            <w:r>
              <w:rPr>
                <w:rStyle w:val="normaltextrun"/>
                <w:rFonts w:cs="Arial"/>
                <w:color w:val="000000"/>
                <w:spacing w:val="-5"/>
                <w:szCs w:val="20"/>
                <w:lang w:eastAsia="en-US"/>
              </w:rPr>
              <w:t>nženýrského stavitelství i přes pomalejší náběh financování z evropských zdrojů naopak klesl jen mírně (−0,3 %).</w:t>
            </w:r>
          </w:p>
        </w:tc>
      </w:tr>
      <w:tr w:rsidR="004E7C6B" w14:paraId="46975BA9" w14:textId="77777777" w:rsidTr="004E7C6B">
        <w:trPr>
          <w:trHeight w:val="170"/>
        </w:trPr>
        <w:tc>
          <w:tcPr>
            <w:tcW w:w="1814" w:type="dxa"/>
            <w:hideMark/>
          </w:tcPr>
          <w:p w14:paraId="4BB1FA2B" w14:textId="77777777" w:rsidR="004E7C6B" w:rsidRDefault="004E7C6B">
            <w:pPr>
              <w:pStyle w:val="Marginlie"/>
              <w:rPr>
                <w:spacing w:val="-4"/>
              </w:rPr>
            </w:pPr>
            <w:r>
              <w:rPr>
                <w:color w:val="0D0D0D" w:themeColor="text1" w:themeTint="F2"/>
                <w:spacing w:val="-4"/>
                <w:lang w:eastAsia="en-US"/>
              </w:rPr>
              <w:t>Bytová výstavba byla celkově stále utlumená, k výraznějšímu oživení ale došlo v Praze.</w:t>
            </w:r>
          </w:p>
        </w:tc>
        <w:tc>
          <w:tcPr>
            <w:tcW w:w="229" w:type="dxa"/>
          </w:tcPr>
          <w:p w14:paraId="05D719F1" w14:textId="77777777" w:rsidR="004E7C6B" w:rsidRDefault="004E7C6B">
            <w:pPr>
              <w:pStyle w:val="Textpoznpodarou"/>
              <w:jc w:val="both"/>
              <w:rPr>
                <w:color w:val="0D0D0D" w:themeColor="text1" w:themeTint="F2"/>
                <w:spacing w:val="-4"/>
                <w:lang w:eastAsia="en-US"/>
              </w:rPr>
            </w:pPr>
          </w:p>
        </w:tc>
        <w:tc>
          <w:tcPr>
            <w:tcW w:w="7596" w:type="dxa"/>
            <w:hideMark/>
          </w:tcPr>
          <w:p w14:paraId="280AEF9E" w14:textId="77777777" w:rsidR="004E7C6B" w:rsidRDefault="004E7C6B">
            <w:pPr>
              <w:rPr>
                <w:color w:val="0D0D0D" w:themeColor="text1" w:themeTint="F2"/>
                <w:spacing w:val="-4"/>
                <w:lang w:eastAsia="en-US"/>
              </w:rPr>
            </w:pPr>
            <w:r>
              <w:rPr>
                <w:color w:val="0D0D0D" w:themeColor="text1" w:themeTint="F2"/>
                <w:spacing w:val="-4"/>
                <w:lang w:eastAsia="en-US"/>
              </w:rPr>
              <w:t xml:space="preserve">Výkon pozemního stavitelství v 1. až 3. čtvrtletí 2024 (stejně jako po celý loňský rok) ovlivňovala utlumená bytová výstavba. Počet zahájených bytů (27,3 tis.) </w:t>
            </w:r>
            <w:r>
              <w:rPr>
                <w:color w:val="0D0D0D" w:themeColor="text1" w:themeTint="F2"/>
                <w:spacing w:val="-6"/>
                <w:lang w:eastAsia="en-US"/>
              </w:rPr>
              <w:t xml:space="preserve">meziročně </w:t>
            </w:r>
            <w:r>
              <w:rPr>
                <w:color w:val="0D0D0D" w:themeColor="text1" w:themeTint="F2"/>
                <w:spacing w:val="-7"/>
                <w:lang w:eastAsia="en-US"/>
              </w:rPr>
              <w:t xml:space="preserve">stagnoval, když byl skoro </w:t>
            </w:r>
            <w:r>
              <w:rPr>
                <w:rStyle w:val="normaltextrun"/>
                <w:rFonts w:eastAsia="MS Gothic" w:cs="Arial"/>
                <w:color w:val="000000"/>
                <w:spacing w:val="-7"/>
                <w:szCs w:val="20"/>
                <w:lang w:eastAsia="en-US"/>
              </w:rPr>
              <w:t>o čtvrtinu vyšší růst výstavby v bytových domech kompenzován poklesem</w:t>
            </w:r>
            <w:r>
              <w:rPr>
                <w:rStyle w:val="normaltextrun"/>
                <w:rFonts w:eastAsia="MS Gothic" w:cs="Arial"/>
                <w:color w:val="000000"/>
                <w:szCs w:val="20"/>
                <w:lang w:eastAsia="en-US"/>
              </w:rPr>
              <w:t xml:space="preserve"> u rodinných domů (10 %) a dalších forem výstavby.</w:t>
            </w:r>
            <w:r>
              <w:rPr>
                <w:color w:val="0D0D0D" w:themeColor="text1" w:themeTint="F2"/>
                <w:spacing w:val="-4"/>
                <w:lang w:eastAsia="en-US"/>
              </w:rPr>
              <w:t xml:space="preserve"> Poslední oživení celkové výstavby přitom nastalo před třemi lety. Proti rekordní úrovni z roku 2008 ta letošní </w:t>
            </w:r>
            <w:r>
              <w:rPr>
                <w:color w:val="0D0D0D" w:themeColor="text1" w:themeTint="F2"/>
                <w:spacing w:val="-6"/>
                <w:lang w:eastAsia="en-US"/>
              </w:rPr>
              <w:t>zaostávala takřka o pětinu. Dokončených bytů letos vzniklo 24,2 tis. a jejich počet mírně</w:t>
            </w:r>
            <w:r>
              <w:rPr>
                <w:color w:val="0D0D0D" w:themeColor="text1" w:themeTint="F2"/>
                <w:spacing w:val="-4"/>
                <w:lang w:eastAsia="en-US"/>
              </w:rPr>
              <w:t xml:space="preserve"> klesl druhým rokem v řadě, aktuálně o 6,6 %. Pokles letos nastal ve všech formách výstavby </w:t>
            </w:r>
            <w:r>
              <w:rPr>
                <w:color w:val="0D0D0D" w:themeColor="text1" w:themeTint="F2"/>
                <w:spacing w:val="-4"/>
                <w:lang w:eastAsia="en-US"/>
              </w:rPr>
              <w:br/>
              <w:t>a také skoro ve třech čtvrtinách krajů. Stejně jako u zahájené výstavby je patrné oživení v Praze, dokončeno tu bylo 5,3 tis. bytů (v rámci 1. až 3. kvartálu šlo o rekordní výstavbu).</w:t>
            </w:r>
          </w:p>
        </w:tc>
      </w:tr>
      <w:tr w:rsidR="004E7C6B" w14:paraId="243355CA" w14:textId="77777777" w:rsidTr="004E7C6B">
        <w:trPr>
          <w:trHeight w:val="170"/>
        </w:trPr>
        <w:tc>
          <w:tcPr>
            <w:tcW w:w="1814" w:type="dxa"/>
          </w:tcPr>
          <w:p w14:paraId="37A44560" w14:textId="77777777" w:rsidR="004E7C6B" w:rsidRDefault="004E7C6B">
            <w:pPr>
              <w:pStyle w:val="Marginlie"/>
              <w:rPr>
                <w:color w:val="0D0D0D" w:themeColor="text1" w:themeTint="F2"/>
                <w:spacing w:val="-4"/>
                <w:lang w:eastAsia="en-US"/>
              </w:rPr>
            </w:pPr>
            <w:r>
              <w:rPr>
                <w:color w:val="0D0D0D" w:themeColor="text1" w:themeTint="F2"/>
                <w:spacing w:val="-4"/>
                <w:lang w:eastAsia="en-US"/>
              </w:rPr>
              <w:t xml:space="preserve">Hodnota povolených staveb nové dopravní infrastruktury se po silném loňském roce propadla. K oživení naopak došlo u nové bytové výstavby. </w:t>
            </w:r>
          </w:p>
          <w:p w14:paraId="34064BB1" w14:textId="77777777" w:rsidR="004E7C6B" w:rsidRDefault="004E7C6B">
            <w:pPr>
              <w:pStyle w:val="Marginlie"/>
              <w:rPr>
                <w:color w:val="0D0D0D" w:themeColor="text1" w:themeTint="F2"/>
                <w:spacing w:val="-4"/>
                <w:lang w:eastAsia="en-US"/>
              </w:rPr>
            </w:pPr>
          </w:p>
          <w:p w14:paraId="70929AA4" w14:textId="77777777" w:rsidR="004E7C6B" w:rsidRDefault="004E7C6B">
            <w:pPr>
              <w:pStyle w:val="Marginlie"/>
              <w:rPr>
                <w:color w:val="0D0D0D" w:themeColor="text1" w:themeTint="F2"/>
                <w:spacing w:val="-4"/>
                <w:lang w:eastAsia="en-US"/>
              </w:rPr>
            </w:pPr>
          </w:p>
          <w:p w14:paraId="43438182" w14:textId="77777777" w:rsidR="004E7C6B" w:rsidRDefault="004E7C6B">
            <w:pPr>
              <w:pStyle w:val="Marginlie"/>
              <w:rPr>
                <w:color w:val="0D0D0D" w:themeColor="text1" w:themeTint="F2"/>
                <w:spacing w:val="-4"/>
                <w:lang w:eastAsia="en-US"/>
              </w:rPr>
            </w:pPr>
          </w:p>
          <w:p w14:paraId="0FCC42DA" w14:textId="77777777" w:rsidR="004E7C6B" w:rsidRDefault="004E7C6B">
            <w:pPr>
              <w:pStyle w:val="Marginlie"/>
              <w:rPr>
                <w:color w:val="0D0D0D" w:themeColor="text1" w:themeTint="F2"/>
                <w:spacing w:val="-4"/>
                <w:lang w:eastAsia="en-US"/>
              </w:rPr>
            </w:pPr>
          </w:p>
          <w:p w14:paraId="2A2D6AE1" w14:textId="77777777" w:rsidR="004E7C6B" w:rsidRDefault="004E7C6B">
            <w:pPr>
              <w:pStyle w:val="Marginlie"/>
              <w:rPr>
                <w:color w:val="0D0D0D" w:themeColor="text1" w:themeTint="F2"/>
                <w:spacing w:val="-4"/>
                <w:lang w:eastAsia="en-US"/>
              </w:rPr>
            </w:pPr>
            <w:r>
              <w:rPr>
                <w:color w:val="0D0D0D" w:themeColor="text1" w:themeTint="F2"/>
                <w:spacing w:val="-4"/>
                <w:lang w:eastAsia="en-US"/>
              </w:rPr>
              <w:t>Růst hodnoty nových zakázek se ve 3. čtvrtletí zastavil, ale vlivem vyšší rozestavěnosti nadále svižně rostla celková zásoba práce.</w:t>
            </w:r>
          </w:p>
          <w:p w14:paraId="2B6A10BB" w14:textId="77777777" w:rsidR="004E7C6B" w:rsidRDefault="004E7C6B">
            <w:pPr>
              <w:pStyle w:val="Marginlie"/>
              <w:rPr>
                <w:color w:val="0D0D0D" w:themeColor="text1" w:themeTint="F2"/>
                <w:spacing w:val="-4"/>
                <w:lang w:eastAsia="en-US"/>
              </w:rPr>
            </w:pPr>
          </w:p>
        </w:tc>
        <w:tc>
          <w:tcPr>
            <w:tcW w:w="229" w:type="dxa"/>
          </w:tcPr>
          <w:p w14:paraId="1F10AB5B" w14:textId="77777777" w:rsidR="004E7C6B" w:rsidRDefault="004E7C6B">
            <w:pPr>
              <w:pStyle w:val="Textpoznpodarou"/>
              <w:jc w:val="both"/>
              <w:rPr>
                <w:color w:val="0D0D0D" w:themeColor="text1" w:themeTint="F2"/>
                <w:spacing w:val="-4"/>
                <w:lang w:eastAsia="en-US"/>
              </w:rPr>
            </w:pPr>
          </w:p>
        </w:tc>
        <w:tc>
          <w:tcPr>
            <w:tcW w:w="7596" w:type="dxa"/>
            <w:hideMark/>
          </w:tcPr>
          <w:p w14:paraId="5D8A783B" w14:textId="77777777" w:rsidR="004E7C6B" w:rsidRDefault="004E7C6B">
            <w:pPr>
              <w:rPr>
                <w:color w:val="0D0D0D" w:themeColor="text1" w:themeTint="F2"/>
                <w:spacing w:val="-6"/>
                <w:lang w:eastAsia="en-US"/>
              </w:rPr>
            </w:pPr>
            <w:r>
              <w:rPr>
                <w:color w:val="0D0D0D" w:themeColor="text1" w:themeTint="F2"/>
                <w:spacing w:val="-6"/>
                <w:lang w:eastAsia="en-US"/>
              </w:rPr>
              <w:t xml:space="preserve">Meziroční růst nominální hodnoty povolených staveb, trvající pět kvartálů v řadě, se letos ve 2. čtvrtletí zastavil, když ubylo hlavně velkých staveb (nad 1 mld. korun). Ani v následujícím období ke zlepšení nedošlo a v úhrnu od ledna do října tak hodnota klesla o 3,7 %, </w:t>
            </w:r>
            <w:r>
              <w:rPr>
                <w:rStyle w:val="normaltextrun"/>
                <w:rFonts w:eastAsia="MS Gothic" w:cs="Arial"/>
                <w:color w:val="000000"/>
                <w:szCs w:val="20"/>
                <w:lang w:eastAsia="en-US"/>
              </w:rPr>
              <w:t xml:space="preserve">což souviselo hlavně s očekávaným propadem u dopravní infrastruktury (o 26,4 %), naopak pozitivně působily ostatní inženýrské stavby (+9,2 %) a také bytová výstavba (1,8 %), u níž šlo ovšem o efekt rostoucích cen. Obecně letos u hodnoty povolení klesají hlavně rekonstrukce a modernizace. K obratu došlo letos i u nových tuzemských stavebních zakázek (uzavřených </w:t>
            </w:r>
            <w:r>
              <w:rPr>
                <w:color w:val="0D0D0D" w:themeColor="text1" w:themeTint="F2"/>
                <w:spacing w:val="-6"/>
                <w:lang w:eastAsia="en-US"/>
              </w:rPr>
              <w:t xml:space="preserve">podniky nad 50 zaměstnanců). </w:t>
            </w:r>
            <w:r>
              <w:rPr>
                <w:color w:val="0D0D0D" w:themeColor="text1" w:themeTint="F2"/>
                <w:spacing w:val="-2"/>
                <w:lang w:eastAsia="en-US"/>
              </w:rPr>
              <w:t xml:space="preserve">Jejich svižný meziroční růst </w:t>
            </w:r>
            <w:r>
              <w:rPr>
                <w:color w:val="0D0D0D" w:themeColor="text1" w:themeTint="F2"/>
                <w:spacing w:val="-2"/>
                <w:lang w:eastAsia="en-US"/>
              </w:rPr>
              <w:br/>
              <w:t>v 1. pololetí (+27,3 %) ve 3. kvartálu již nepokračoval (</w:t>
            </w:r>
            <w:r>
              <w:rPr>
                <w:rStyle w:val="normaltextrun"/>
                <w:rFonts w:cs="Arial"/>
                <w:color w:val="000000"/>
                <w:spacing w:val="-2"/>
                <w:szCs w:val="20"/>
                <w:lang w:eastAsia="en-US"/>
              </w:rPr>
              <w:t>−</w:t>
            </w:r>
            <w:r>
              <w:rPr>
                <w:color w:val="0D0D0D" w:themeColor="text1" w:themeTint="F2"/>
                <w:spacing w:val="-2"/>
                <w:lang w:eastAsia="en-US"/>
              </w:rPr>
              <w:t>2,2 %),</w:t>
            </w:r>
            <w:r>
              <w:rPr>
                <w:color w:val="0D0D0D" w:themeColor="text1" w:themeTint="F2"/>
                <w:spacing w:val="-6"/>
                <w:lang w:eastAsia="en-US"/>
              </w:rPr>
              <w:t xml:space="preserve"> k poklesu došlo </w:t>
            </w:r>
            <w:r>
              <w:rPr>
                <w:color w:val="0D0D0D" w:themeColor="text1" w:themeTint="F2"/>
                <w:spacing w:val="-6"/>
                <w:lang w:eastAsia="en-US"/>
              </w:rPr>
              <w:br/>
              <w:t xml:space="preserve">u inženýrských staveb, kde se projevil efekt vysoké loňské základny. </w:t>
            </w:r>
            <w:r>
              <w:rPr>
                <w:rStyle w:val="normaltextrun"/>
                <w:rFonts w:eastAsia="MS Gothic" w:cs="Arial"/>
                <w:color w:val="000000"/>
                <w:szCs w:val="20"/>
                <w:lang w:eastAsia="en-US"/>
              </w:rPr>
              <w:t>Pozitivní je, že stav zásoby práce (všechny dosud nerealizované zakázky) ve středních a větších stavebních firmách nadále meziročně roste (letos na konci září o rovných 20 %) vyjma zakázek v zahraničí ve všech segmentech. Oživení je patrné u soukromých zakázek v Česku (+32,4 %), ty se ovšem na celkové zásobě práce stále podílely necelou třetinou (stále totiž dlouhodobě převažuje poptávka od veřejných zadavatelů z tuzemska).</w:t>
            </w:r>
          </w:p>
        </w:tc>
      </w:tr>
      <w:tr w:rsidR="004E7C6B" w14:paraId="7F5AC977" w14:textId="77777777" w:rsidTr="004E7C6B">
        <w:trPr>
          <w:trHeight w:val="170"/>
        </w:trPr>
        <w:tc>
          <w:tcPr>
            <w:tcW w:w="1814" w:type="dxa"/>
            <w:hideMark/>
          </w:tcPr>
          <w:p w14:paraId="606EDE81" w14:textId="77777777" w:rsidR="004E7C6B" w:rsidRDefault="004E7C6B">
            <w:pPr>
              <w:pStyle w:val="Marginlie"/>
              <w:rPr>
                <w:color w:val="0D0D0D" w:themeColor="text1" w:themeTint="F2"/>
                <w:spacing w:val="-4"/>
                <w:lang w:eastAsia="en-US"/>
              </w:rPr>
            </w:pPr>
            <w:r>
              <w:rPr>
                <w:color w:val="0D0D0D" w:themeColor="text1" w:themeTint="F2"/>
                <w:spacing w:val="-4"/>
                <w:lang w:eastAsia="en-US"/>
              </w:rPr>
              <w:t>Důvěra podnikatelů ve stavebnictví se letos od září zlepšovala. Nadále zde však přetrvávají výrazné růstové bariéry.</w:t>
            </w:r>
          </w:p>
        </w:tc>
        <w:tc>
          <w:tcPr>
            <w:tcW w:w="229" w:type="dxa"/>
          </w:tcPr>
          <w:p w14:paraId="185AD694" w14:textId="77777777" w:rsidR="004E7C6B" w:rsidRDefault="004E7C6B">
            <w:pPr>
              <w:pStyle w:val="Textpoznpodarou"/>
              <w:jc w:val="both"/>
              <w:rPr>
                <w:color w:val="0D0D0D" w:themeColor="text1" w:themeTint="F2"/>
                <w:spacing w:val="-4"/>
                <w:lang w:eastAsia="en-US"/>
              </w:rPr>
            </w:pPr>
          </w:p>
        </w:tc>
        <w:tc>
          <w:tcPr>
            <w:tcW w:w="7596" w:type="dxa"/>
            <w:hideMark/>
          </w:tcPr>
          <w:p w14:paraId="6FE6ABD4" w14:textId="77777777" w:rsidR="004E7C6B" w:rsidRDefault="004E7C6B">
            <w:pPr>
              <w:rPr>
                <w:color w:val="0D0D0D" w:themeColor="text1" w:themeTint="F2"/>
                <w:spacing w:val="-6"/>
                <w:lang w:eastAsia="en-US"/>
              </w:rPr>
            </w:pPr>
            <w:r>
              <w:rPr>
                <w:color w:val="0D0D0D" w:themeColor="text1" w:themeTint="F2"/>
                <w:spacing w:val="-6"/>
                <w:lang w:eastAsia="en-US"/>
              </w:rPr>
              <w:t>Od letošního září se zmírňoval p</w:t>
            </w:r>
            <w:r>
              <w:rPr>
                <w:rStyle w:val="normaltextrun"/>
                <w:rFonts w:eastAsiaTheme="majorEastAsia" w:cs="Arial"/>
                <w:szCs w:val="20"/>
                <w:lang w:eastAsia="en-US"/>
              </w:rPr>
              <w:t xml:space="preserve">esimismus podnikatelů ve stavebnictví. V listopadu tak byla důvěra podnikatelů nejvyšší za poslední dva roky (saldo -5 bodů). Stálo za tím zlepšení očekávání zaměstnanosti (ubylo firem plánujících propouštění). Hodnocení </w:t>
            </w:r>
            <w:r>
              <w:rPr>
                <w:rStyle w:val="normaltextrun"/>
                <w:rFonts w:eastAsiaTheme="majorEastAsia" w:cs="Arial"/>
                <w:spacing w:val="-4"/>
                <w:szCs w:val="20"/>
                <w:lang w:eastAsia="en-US"/>
              </w:rPr>
              <w:t>současné poptávky bylo však stále nepříznivé (čtvrtina firem ji považuje za nedostatečnou).</w:t>
            </w:r>
            <w:r>
              <w:rPr>
                <w:rStyle w:val="normaltextrun"/>
                <w:rFonts w:eastAsiaTheme="majorEastAsia" w:cs="Arial"/>
                <w:szCs w:val="20"/>
                <w:lang w:eastAsia="en-US"/>
              </w:rPr>
              <w:t xml:space="preserve"> Klíčovou bariérou růstu odvětví ale s výrazným předstihem zůstává nedostatek </w:t>
            </w:r>
            <w:r>
              <w:rPr>
                <w:rStyle w:val="normaltextrun"/>
                <w:rFonts w:eastAsiaTheme="majorEastAsia" w:cs="Arial"/>
                <w:szCs w:val="20"/>
                <w:lang w:eastAsia="en-US"/>
              </w:rPr>
              <w:lastRenderedPageBreak/>
              <w:t>(zejména kvalifikovaných) pracovníků. Jeho role, stejně jako dalších bariér, se během letošního roku významně neměnila. Očekávání stavební činnosti na nejbližší 3 měsíce (i po zohlednění sezónních vlivů) zůstala na konci roku mírně pozitivní. To se promítá i do očekávání celkové ekonomické situace firem, jež je aktuálně ve stavebnictví příznivější než v průmyslu.</w:t>
            </w:r>
            <w:r>
              <w:rPr>
                <w:rStyle w:val="eop"/>
                <w:rFonts w:cs="Arial"/>
                <w:szCs w:val="20"/>
                <w:lang w:eastAsia="en-US"/>
              </w:rPr>
              <w:t> </w:t>
            </w:r>
          </w:p>
        </w:tc>
      </w:tr>
      <w:tr w:rsidR="004E7C6B" w14:paraId="44EDDBFB" w14:textId="77777777" w:rsidTr="004E7C6B">
        <w:trPr>
          <w:trHeight w:val="170"/>
        </w:trPr>
        <w:tc>
          <w:tcPr>
            <w:tcW w:w="1814" w:type="dxa"/>
            <w:vMerge w:val="restart"/>
          </w:tcPr>
          <w:p w14:paraId="58EFD855" w14:textId="77777777" w:rsidR="004E7C6B" w:rsidRDefault="004E7C6B">
            <w:pPr>
              <w:pStyle w:val="Marginlie"/>
              <w:rPr>
                <w:lang w:eastAsia="en-US"/>
              </w:rPr>
            </w:pPr>
          </w:p>
        </w:tc>
        <w:tc>
          <w:tcPr>
            <w:tcW w:w="229" w:type="dxa"/>
            <w:vMerge w:val="restart"/>
          </w:tcPr>
          <w:p w14:paraId="044B29B2" w14:textId="77777777" w:rsidR="004E7C6B" w:rsidRDefault="004E7C6B">
            <w:pPr>
              <w:pStyle w:val="Textpoznpodarou"/>
              <w:jc w:val="both"/>
              <w:rPr>
                <w:spacing w:val="-4"/>
                <w:lang w:eastAsia="en-US"/>
              </w:rPr>
            </w:pPr>
          </w:p>
        </w:tc>
        <w:tc>
          <w:tcPr>
            <w:tcW w:w="7596" w:type="dxa"/>
            <w:hideMark/>
          </w:tcPr>
          <w:p w14:paraId="528B4BF5" w14:textId="77777777" w:rsidR="004E7C6B" w:rsidRDefault="004E7C6B">
            <w:pPr>
              <w:spacing w:after="20"/>
              <w:rPr>
                <w:rFonts w:cs="Arial"/>
                <w:bCs/>
                <w:lang w:eastAsia="en-US"/>
              </w:rPr>
            </w:pPr>
            <w:r>
              <w:rPr>
                <w:b/>
                <w:spacing w:val="-5"/>
                <w:lang w:eastAsia="en-US"/>
              </w:rPr>
              <w:t xml:space="preserve">Graf č. 6 Příspěvky odvětví k meziroční změně stavební produkce </w:t>
            </w:r>
            <w:r>
              <w:rPr>
                <w:spacing w:val="-5"/>
                <w:lang w:eastAsia="en-US"/>
              </w:rPr>
              <w:t>(reálně, v p. b.)</w:t>
            </w:r>
            <w:r>
              <w:rPr>
                <w:b/>
                <w:bCs/>
                <w:spacing w:val="-5"/>
                <w:lang w:eastAsia="en-US"/>
              </w:rPr>
              <w:t>,</w:t>
            </w:r>
            <w:r>
              <w:rPr>
                <w:b/>
                <w:bCs/>
                <w:spacing w:val="-5"/>
                <w:lang w:eastAsia="en-US"/>
              </w:rPr>
              <w:br/>
            </w:r>
            <w:r>
              <w:rPr>
                <w:b/>
                <w:spacing w:val="-5"/>
                <w:lang w:eastAsia="en-US"/>
              </w:rPr>
              <w:t xml:space="preserve">nové stavební zakázky </w:t>
            </w:r>
            <w:r>
              <w:rPr>
                <w:spacing w:val="-5"/>
                <w:lang w:eastAsia="en-US"/>
              </w:rPr>
              <w:t>(</w:t>
            </w:r>
            <w:r>
              <w:rPr>
                <w:bCs/>
                <w:spacing w:val="-5"/>
                <w:lang w:eastAsia="en-US"/>
              </w:rPr>
              <w:t xml:space="preserve">nominálně, </w:t>
            </w:r>
            <w:r>
              <w:rPr>
                <w:spacing w:val="-5"/>
                <w:lang w:eastAsia="en-US"/>
              </w:rPr>
              <w:t>meziročně,</w:t>
            </w:r>
            <w:r>
              <w:rPr>
                <w:bCs/>
                <w:spacing w:val="-5"/>
                <w:lang w:eastAsia="en-US"/>
              </w:rPr>
              <w:t xml:space="preserve"> v %)</w:t>
            </w:r>
            <w:r>
              <w:rPr>
                <w:b/>
                <w:spacing w:val="-5"/>
                <w:lang w:eastAsia="en-US"/>
              </w:rPr>
              <w:t>, saldo důvěry podnikatelů ve stavebnictví*</w:t>
            </w:r>
            <w:r>
              <w:rPr>
                <w:spacing w:val="-5"/>
                <w:lang w:eastAsia="en-US"/>
              </w:rPr>
              <w:t xml:space="preserve"> (v p. b., pravá osa) </w:t>
            </w:r>
            <w:r>
              <w:rPr>
                <w:b/>
                <w:spacing w:val="-5"/>
                <w:lang w:eastAsia="en-US"/>
              </w:rPr>
              <w:t>a vybrané bariéry růstu</w:t>
            </w:r>
            <w:r>
              <w:rPr>
                <w:spacing w:val="-5"/>
                <w:lang w:eastAsia="en-US"/>
              </w:rPr>
              <w:t>* (v %, pravá osa)</w:t>
            </w:r>
          </w:p>
        </w:tc>
      </w:tr>
      <w:tr w:rsidR="004E7C6B" w14:paraId="6DE60FB0" w14:textId="77777777" w:rsidTr="004E7C6B">
        <w:trPr>
          <w:trHeight w:val="170"/>
        </w:trPr>
        <w:tc>
          <w:tcPr>
            <w:tcW w:w="1814" w:type="dxa"/>
            <w:vMerge/>
            <w:vAlign w:val="center"/>
            <w:hideMark/>
          </w:tcPr>
          <w:p w14:paraId="741D0E30" w14:textId="77777777" w:rsidR="004E7C6B" w:rsidRDefault="004E7C6B">
            <w:pPr>
              <w:spacing w:after="0" w:line="240" w:lineRule="auto"/>
              <w:jc w:val="left"/>
              <w:rPr>
                <w:spacing w:val="-2"/>
                <w:sz w:val="16"/>
                <w:szCs w:val="16"/>
                <w:lang w:eastAsia="en-US"/>
              </w:rPr>
            </w:pPr>
          </w:p>
        </w:tc>
        <w:tc>
          <w:tcPr>
            <w:tcW w:w="229" w:type="dxa"/>
            <w:vMerge/>
            <w:vAlign w:val="center"/>
            <w:hideMark/>
          </w:tcPr>
          <w:p w14:paraId="19B637C2" w14:textId="77777777" w:rsidR="004E7C6B" w:rsidRDefault="004E7C6B">
            <w:pPr>
              <w:spacing w:after="0" w:line="240" w:lineRule="auto"/>
              <w:jc w:val="left"/>
              <w:rPr>
                <w:rFonts w:eastAsia="Calibri"/>
                <w:spacing w:val="-4"/>
                <w:szCs w:val="20"/>
                <w:lang w:eastAsia="en-US"/>
              </w:rPr>
            </w:pPr>
          </w:p>
        </w:tc>
        <w:tc>
          <w:tcPr>
            <w:tcW w:w="7596" w:type="dxa"/>
            <w:tcMar>
              <w:top w:w="0" w:type="dxa"/>
              <w:left w:w="70" w:type="dxa"/>
              <w:bottom w:w="0" w:type="dxa"/>
              <w:right w:w="70" w:type="dxa"/>
            </w:tcMar>
            <w:hideMark/>
          </w:tcPr>
          <w:p w14:paraId="7E85CBBD" w14:textId="4671C67C" w:rsidR="004E7C6B" w:rsidRDefault="004E7C6B">
            <w:pPr>
              <w:spacing w:after="0"/>
              <w:rPr>
                <w:spacing w:val="-6"/>
                <w:lang w:eastAsia="en-US"/>
              </w:rPr>
            </w:pPr>
            <w:r>
              <w:rPr>
                <w:noProof/>
              </w:rPr>
              <w:drawing>
                <wp:inline distT="0" distB="0" distL="0" distR="0" wp14:anchorId="66BD4DCE" wp14:editId="4E1CEB0A">
                  <wp:extent cx="4714875" cy="3457575"/>
                  <wp:effectExtent l="0" t="0" r="0" b="0"/>
                  <wp:docPr id="40" name="Graf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4E7C6B" w14:paraId="2EA73542" w14:textId="77777777" w:rsidTr="004E7C6B">
        <w:trPr>
          <w:trHeight w:val="170"/>
        </w:trPr>
        <w:tc>
          <w:tcPr>
            <w:tcW w:w="1814" w:type="dxa"/>
            <w:vMerge/>
            <w:vAlign w:val="center"/>
            <w:hideMark/>
          </w:tcPr>
          <w:p w14:paraId="2DF4C0DC" w14:textId="77777777" w:rsidR="004E7C6B" w:rsidRDefault="004E7C6B">
            <w:pPr>
              <w:spacing w:after="0" w:line="240" w:lineRule="auto"/>
              <w:jc w:val="left"/>
              <w:rPr>
                <w:spacing w:val="-2"/>
                <w:sz w:val="16"/>
                <w:szCs w:val="16"/>
                <w:lang w:eastAsia="en-US"/>
              </w:rPr>
            </w:pPr>
          </w:p>
        </w:tc>
        <w:tc>
          <w:tcPr>
            <w:tcW w:w="229" w:type="dxa"/>
            <w:vMerge/>
            <w:vAlign w:val="center"/>
            <w:hideMark/>
          </w:tcPr>
          <w:p w14:paraId="21977D62" w14:textId="77777777" w:rsidR="004E7C6B" w:rsidRDefault="004E7C6B">
            <w:pPr>
              <w:spacing w:after="0" w:line="240" w:lineRule="auto"/>
              <w:jc w:val="left"/>
              <w:rPr>
                <w:rFonts w:eastAsia="Calibri"/>
                <w:spacing w:val="-4"/>
                <w:szCs w:val="20"/>
                <w:lang w:eastAsia="en-US"/>
              </w:rPr>
            </w:pPr>
          </w:p>
        </w:tc>
        <w:tc>
          <w:tcPr>
            <w:tcW w:w="7596" w:type="dxa"/>
            <w:hideMark/>
          </w:tcPr>
          <w:p w14:paraId="4BB1DAB0" w14:textId="77777777" w:rsidR="004E7C6B" w:rsidRDefault="004E7C6B">
            <w:pPr>
              <w:spacing w:after="0"/>
              <w:rPr>
                <w:rFonts w:cs="Arial"/>
                <w:sz w:val="14"/>
                <w:szCs w:val="14"/>
                <w:lang w:eastAsia="en-US"/>
              </w:rPr>
            </w:pPr>
            <w:r>
              <w:rPr>
                <w:rFonts w:cs="Arial"/>
                <w:sz w:val="14"/>
                <w:szCs w:val="14"/>
                <w:lang w:eastAsia="en-US"/>
              </w:rPr>
              <w:t>Poznámka: Údaje o stavební produkci jsou očištěny o kalendářní vlivy.</w:t>
            </w:r>
          </w:p>
          <w:p w14:paraId="011F73B9" w14:textId="77777777" w:rsidR="004E7C6B" w:rsidRDefault="004E7C6B">
            <w:pPr>
              <w:pStyle w:val="Textpoznpodarou"/>
              <w:spacing w:after="240"/>
              <w:jc w:val="both"/>
              <w:rPr>
                <w:rFonts w:cs="Arial"/>
                <w:sz w:val="14"/>
                <w:szCs w:val="14"/>
                <w:lang w:eastAsia="en-US"/>
              </w:rPr>
            </w:pPr>
            <w:r>
              <w:rPr>
                <w:rFonts w:cs="Arial"/>
                <w:sz w:val="14"/>
                <w:szCs w:val="14"/>
                <w:lang w:eastAsia="en-US"/>
              </w:rPr>
              <w:t>*</w:t>
            </w:r>
            <w:r>
              <w:rPr>
                <w:rFonts w:cs="Arial"/>
                <w:spacing w:val="-2"/>
                <w:sz w:val="14"/>
                <w:szCs w:val="14"/>
                <w:lang w:eastAsia="en-US"/>
              </w:rPr>
              <w:t>Saldo důvěry podnikatelů i bariéry růstu jsou sezónně očištěny a vyjadřují stav ve druhém měsíci daného čtvrtletí</w:t>
            </w:r>
            <w:r>
              <w:rPr>
                <w:rFonts w:cs="Arial"/>
                <w:sz w:val="14"/>
                <w:szCs w:val="14"/>
                <w:lang w:eastAsia="en-US"/>
              </w:rPr>
              <w:t>. Podniky mohly uvést více hlavních bariér současně.                                                                                                 Zdroj: ČSÚ, Eurostat</w:t>
            </w:r>
          </w:p>
        </w:tc>
      </w:tr>
      <w:tr w:rsidR="004E7C6B" w14:paraId="5C69A299" w14:textId="77777777" w:rsidTr="004E7C6B">
        <w:trPr>
          <w:trHeight w:val="170"/>
        </w:trPr>
        <w:tc>
          <w:tcPr>
            <w:tcW w:w="1814" w:type="dxa"/>
            <w:hideMark/>
          </w:tcPr>
          <w:p w14:paraId="5FB2EF88" w14:textId="77777777" w:rsidR="004E7C6B" w:rsidRDefault="004E7C6B">
            <w:pPr>
              <w:pStyle w:val="Marginlie"/>
              <w:rPr>
                <w:rFonts w:cs="Arial"/>
                <w:color w:val="0D0D0D" w:themeColor="text1" w:themeTint="F2"/>
                <w:spacing w:val="-4"/>
                <w:lang w:eastAsia="en-US"/>
              </w:rPr>
            </w:pPr>
            <w:r>
              <w:rPr>
                <w:rFonts w:cs="Arial"/>
                <w:color w:val="0D0D0D" w:themeColor="text1" w:themeTint="F2"/>
                <w:spacing w:val="-4"/>
                <w:lang w:eastAsia="en-US"/>
              </w:rPr>
              <w:t xml:space="preserve">Poptávka po službách na počátku roku 2024 mezikvartálně výrazně ožila. Poté se však do ní propisoval slabý výkon průmyslu prostřednictvím poptávky po nákladní dopravě. </w:t>
            </w:r>
          </w:p>
        </w:tc>
        <w:tc>
          <w:tcPr>
            <w:tcW w:w="229" w:type="dxa"/>
          </w:tcPr>
          <w:p w14:paraId="6E9C0F7B" w14:textId="77777777" w:rsidR="004E7C6B" w:rsidRDefault="004E7C6B">
            <w:pPr>
              <w:pStyle w:val="Textpoznpodarou"/>
              <w:jc w:val="both"/>
              <w:rPr>
                <w:rFonts w:eastAsia="Times New Roman" w:cs="Arial"/>
                <w:color w:val="0D0D0D" w:themeColor="text1" w:themeTint="F2"/>
                <w:spacing w:val="-4"/>
                <w:lang w:eastAsia="en-US"/>
              </w:rPr>
            </w:pPr>
          </w:p>
        </w:tc>
        <w:tc>
          <w:tcPr>
            <w:tcW w:w="7596" w:type="dxa"/>
            <w:hideMark/>
          </w:tcPr>
          <w:p w14:paraId="740AC662" w14:textId="77777777" w:rsidR="004E7C6B" w:rsidRDefault="004E7C6B">
            <w:pPr>
              <w:spacing w:after="220"/>
              <w:rPr>
                <w:color w:val="0D0D0D" w:themeColor="text1" w:themeTint="F2"/>
                <w:spacing w:val="-6"/>
                <w:lang w:eastAsia="en-US"/>
              </w:rPr>
            </w:pPr>
            <w:r>
              <w:rPr>
                <w:color w:val="0D0D0D" w:themeColor="text1" w:themeTint="F2"/>
                <w:spacing w:val="-6"/>
                <w:lang w:eastAsia="en-US"/>
              </w:rPr>
              <w:t xml:space="preserve">Na přelomu let 2023 a 2024 došlo k pozitivnímu obratu poptávky po službách. </w:t>
            </w:r>
            <w:r>
              <w:rPr>
                <w:color w:val="0D0D0D" w:themeColor="text1" w:themeTint="F2"/>
                <w:spacing w:val="-4"/>
                <w:lang w:eastAsia="en-US"/>
              </w:rPr>
              <w:t xml:space="preserve">Stabilizace hladiny spotřebitelských cen pomohla po delší době nastartovat růst reálných mezd zaměstnanců, což se odrazilo v příznivější finanční situaci domácností a následně stimulovalo jejich spotřebu. Na služby působila letos pozitivně i mírně rostoucí podniková poptávka, jež byla po většinu loňského roku ještě </w:t>
            </w:r>
            <w:r>
              <w:rPr>
                <w:color w:val="0D0D0D" w:themeColor="text1" w:themeTint="F2"/>
                <w:spacing w:val="-6"/>
                <w:lang w:eastAsia="en-US"/>
              </w:rPr>
              <w:t xml:space="preserve">dosti utlumená. </w:t>
            </w:r>
            <w:r>
              <w:rPr>
                <w:rFonts w:cs="Arial"/>
                <w:color w:val="0D0D0D" w:themeColor="text1" w:themeTint="F2"/>
                <w:spacing w:val="-6"/>
                <w:lang w:eastAsia="en-US"/>
              </w:rPr>
              <w:t>Tržby ve službách</w:t>
            </w:r>
            <w:r>
              <w:rPr>
                <w:color w:val="0D0D0D" w:themeColor="text1" w:themeTint="F2"/>
                <w:spacing w:val="-6"/>
                <w:vertAlign w:val="superscript"/>
                <w:lang w:eastAsia="en-US"/>
              </w:rPr>
              <w:footnoteReference w:id="35"/>
            </w:r>
            <w:r>
              <w:rPr>
                <w:rFonts w:cs="Arial"/>
                <w:color w:val="0D0D0D" w:themeColor="text1" w:themeTint="F2"/>
                <w:spacing w:val="-6"/>
                <w:lang w:eastAsia="en-US"/>
              </w:rPr>
              <w:t xml:space="preserve"> v poslední čtvrtině loňského roku hlavně díky oživené poptávce</w:t>
            </w:r>
            <w:r>
              <w:rPr>
                <w:rFonts w:cs="Arial"/>
                <w:color w:val="0D0D0D" w:themeColor="text1" w:themeTint="F2"/>
                <w:spacing w:val="-4"/>
                <w:lang w:eastAsia="en-US"/>
              </w:rPr>
              <w:t xml:space="preserve"> po podnikových službách mezikvartálně vzrostly o 0,6 % a zaznamenaly tak první posílení od 3. čtvrtletí 2022. Na počátku roku 2024 růst tržeb zrychlil na 2,3 %, nejvíce za poslední dva a půl roku. Na tomto oživení se podílela téměř všechna hlavní odvětví, klíčovou roli měla však doprava </w:t>
            </w:r>
            <w:r>
              <w:rPr>
                <w:rFonts w:cs="Arial"/>
                <w:color w:val="0D0D0D" w:themeColor="text1" w:themeTint="F2"/>
                <w:spacing w:val="-4"/>
                <w:lang w:eastAsia="en-US"/>
              </w:rPr>
              <w:br/>
              <w:t>a skladování (s růstem tržeb o 6,4 %). Během 2. i 3. čtvrtletí ovšem tržby fakticky pouze stagnovaly, neboť problémy průmyslu zastavily další posilování tržeb v pozemní dopravě. Celkové tržby ve službách se i tak nacházely lehce nad úrovní z vrcholu poslední konjunktury v předpandemickém období (oproti 2. čtvrtletí 2019 byly vyšší o necelá 2 %)</w:t>
            </w:r>
            <w:r>
              <w:rPr>
                <w:rStyle w:val="Znakapoznpodarou"/>
                <w:color w:val="0D0D0D" w:themeColor="text1" w:themeTint="F2"/>
                <w:spacing w:val="-4"/>
                <w:lang w:eastAsia="en-US"/>
              </w:rPr>
              <w:footnoteReference w:id="36"/>
            </w:r>
            <w:r>
              <w:rPr>
                <w:rFonts w:cs="Arial"/>
                <w:color w:val="0D0D0D" w:themeColor="text1" w:themeTint="F2"/>
                <w:spacing w:val="-4"/>
                <w:lang w:eastAsia="en-US"/>
              </w:rPr>
              <w:t>.</w:t>
            </w:r>
          </w:p>
        </w:tc>
      </w:tr>
      <w:tr w:rsidR="004E7C6B" w14:paraId="2D4E2DB3" w14:textId="77777777" w:rsidTr="004E7C6B">
        <w:trPr>
          <w:trHeight w:val="170"/>
        </w:trPr>
        <w:tc>
          <w:tcPr>
            <w:tcW w:w="1814" w:type="dxa"/>
            <w:hideMark/>
          </w:tcPr>
          <w:p w14:paraId="5B8FB14E" w14:textId="77777777" w:rsidR="004E7C6B" w:rsidRDefault="004E7C6B">
            <w:pPr>
              <w:pStyle w:val="Marginlie"/>
              <w:rPr>
                <w:rFonts w:cs="Arial"/>
                <w:color w:val="0D0D0D" w:themeColor="text1" w:themeTint="F2"/>
                <w:spacing w:val="-4"/>
                <w:lang w:eastAsia="en-US"/>
              </w:rPr>
            </w:pPr>
            <w:r>
              <w:rPr>
                <w:color w:val="0D0D0D" w:themeColor="text1" w:themeTint="F2"/>
                <w:spacing w:val="-6"/>
                <w:lang w:eastAsia="en-US"/>
              </w:rPr>
              <w:t xml:space="preserve">Meziroční růst tržeb nastal ve všech druzích dopravy. Pokračoval svižný růst </w:t>
            </w:r>
            <w:r>
              <w:rPr>
                <w:color w:val="0D0D0D" w:themeColor="text1" w:themeTint="F2"/>
                <w:spacing w:val="-6"/>
                <w:lang w:eastAsia="en-US"/>
              </w:rPr>
              <w:lastRenderedPageBreak/>
              <w:t>letecké dopravy, kde poptávka poprvé překonala úroveň z roku 2019.</w:t>
            </w:r>
          </w:p>
        </w:tc>
        <w:tc>
          <w:tcPr>
            <w:tcW w:w="229" w:type="dxa"/>
          </w:tcPr>
          <w:p w14:paraId="3291E27E" w14:textId="77777777" w:rsidR="004E7C6B" w:rsidRDefault="004E7C6B">
            <w:pPr>
              <w:pStyle w:val="Textpoznpodarou"/>
              <w:jc w:val="both"/>
              <w:rPr>
                <w:rFonts w:eastAsia="Times New Roman" w:cs="Arial"/>
                <w:color w:val="0D0D0D" w:themeColor="text1" w:themeTint="F2"/>
                <w:spacing w:val="-4"/>
                <w:lang w:eastAsia="en-US"/>
              </w:rPr>
            </w:pPr>
          </w:p>
        </w:tc>
        <w:tc>
          <w:tcPr>
            <w:tcW w:w="7596" w:type="dxa"/>
            <w:hideMark/>
          </w:tcPr>
          <w:p w14:paraId="21AAB77E" w14:textId="77777777" w:rsidR="004E7C6B" w:rsidRDefault="004E7C6B">
            <w:pPr>
              <w:spacing w:after="220"/>
              <w:rPr>
                <w:color w:val="0D0D0D" w:themeColor="text1" w:themeTint="F2"/>
                <w:spacing w:val="-6"/>
                <w:lang w:eastAsia="en-US"/>
              </w:rPr>
            </w:pPr>
            <w:r>
              <w:rPr>
                <w:rFonts w:cs="Arial"/>
                <w:color w:val="0D0D0D" w:themeColor="text1" w:themeTint="F2"/>
                <w:spacing w:val="-4"/>
                <w:lang w:eastAsia="en-US"/>
              </w:rPr>
              <w:t xml:space="preserve">Za 1. až 3. čtvrtletí 2024 se tržby ve službách meziročně mírně zvýšily o (+2,2 %). Na tomto výsledku se bezmála z poloviny podílelo odvětví dopravy a skladování, v němž se po výrazně slabém loňském roce tržby zvýšily o 4,1 %. </w:t>
            </w:r>
            <w:r>
              <w:rPr>
                <w:color w:val="0D0D0D" w:themeColor="text1" w:themeTint="F2"/>
                <w:spacing w:val="-4"/>
                <w:lang w:eastAsia="en-US"/>
              </w:rPr>
              <w:t xml:space="preserve">Díky rozvoji cestovního ruchu svižně </w:t>
            </w:r>
            <w:r>
              <w:rPr>
                <w:color w:val="0D0D0D" w:themeColor="text1" w:themeTint="F2"/>
                <w:spacing w:val="-4"/>
                <w:lang w:eastAsia="en-US"/>
              </w:rPr>
              <w:lastRenderedPageBreak/>
              <w:t>rostly zejména tržby leteckým dopravcům (+21,7 %) a mírně tak již překonaly úroveň z roku 2019. Alespoň pozvolný růst poptávky však pocítily téměř všechny druhy dopravy. V pozemní dopravě mírně rostly výkony silniční dopravy, jež kompenzovaly pokles v železniční nákladní dopravě. Nadále se dařilo skladování a vedlejším činnostem v dopravě (+4,1</w:t>
            </w:r>
            <w:r>
              <w:rPr>
                <w:rFonts w:cs="Arial"/>
                <w:color w:val="0D0D0D" w:themeColor="text1" w:themeTint="F2"/>
                <w:spacing w:val="-4"/>
                <w:lang w:eastAsia="en-US"/>
              </w:rPr>
              <w:t> </w:t>
            </w:r>
            <w:r>
              <w:rPr>
                <w:color w:val="0D0D0D" w:themeColor="text1" w:themeTint="F2"/>
                <w:spacing w:val="-4"/>
                <w:lang w:eastAsia="en-US"/>
              </w:rPr>
              <w:t>%). Po poklesu v letech 2022 i 2023 se opět zvýšily tržby v poštovních a kurýrních činnostech (+2,9 %), z velké části díky rychlejšímu oživení u internetových prodejů. Mírnější růst poptávky registrovaly i podniky ve vodní dopravě, jejich tržby však ve srovnání s rokem 2019 stále zaostávaly (podobně jako v pozemní dopravě).</w:t>
            </w:r>
          </w:p>
        </w:tc>
      </w:tr>
      <w:tr w:rsidR="004E7C6B" w14:paraId="52980249" w14:textId="77777777" w:rsidTr="004E7C6B">
        <w:trPr>
          <w:trHeight w:val="170"/>
        </w:trPr>
        <w:tc>
          <w:tcPr>
            <w:tcW w:w="1814" w:type="dxa"/>
          </w:tcPr>
          <w:p w14:paraId="2B3BE619" w14:textId="77777777" w:rsidR="004E7C6B" w:rsidRDefault="004E7C6B">
            <w:pPr>
              <w:pStyle w:val="Marginlie"/>
              <w:rPr>
                <w:color w:val="0D0D0D" w:themeColor="text1" w:themeTint="F2"/>
                <w:spacing w:val="-6"/>
                <w:lang w:eastAsia="en-US"/>
              </w:rPr>
            </w:pPr>
            <w:r>
              <w:rPr>
                <w:color w:val="0D0D0D" w:themeColor="text1" w:themeTint="F2"/>
                <w:spacing w:val="-6"/>
                <w:lang w:eastAsia="en-US"/>
              </w:rPr>
              <w:lastRenderedPageBreak/>
              <w:t>Růst poptávky v ubytování, stravování a pohostinství letos slábl a ve 3. čtvrtletí tržby v těchto segmentech meziročně mírně klesly.</w:t>
            </w:r>
          </w:p>
          <w:p w14:paraId="33F71E28" w14:textId="77777777" w:rsidR="004E7C6B" w:rsidRDefault="004E7C6B">
            <w:pPr>
              <w:pStyle w:val="Marginlie"/>
              <w:rPr>
                <w:color w:val="0D0D0D" w:themeColor="text1" w:themeTint="F2"/>
                <w:spacing w:val="-6"/>
                <w:lang w:eastAsia="en-US"/>
              </w:rPr>
            </w:pPr>
          </w:p>
          <w:p w14:paraId="2A4CAC8A" w14:textId="77777777" w:rsidR="004E7C6B" w:rsidRDefault="004E7C6B">
            <w:pPr>
              <w:pStyle w:val="Marginlie"/>
              <w:rPr>
                <w:color w:val="0D0D0D" w:themeColor="text1" w:themeTint="F2"/>
                <w:spacing w:val="-6"/>
                <w:lang w:eastAsia="en-US"/>
              </w:rPr>
            </w:pPr>
          </w:p>
          <w:p w14:paraId="5A83F2F6" w14:textId="77777777" w:rsidR="004E7C6B" w:rsidRDefault="004E7C6B">
            <w:pPr>
              <w:pStyle w:val="Marginlie"/>
              <w:rPr>
                <w:color w:val="0D0D0D" w:themeColor="text1" w:themeTint="F2"/>
                <w:spacing w:val="-6"/>
                <w:lang w:eastAsia="en-US"/>
              </w:rPr>
            </w:pPr>
          </w:p>
          <w:p w14:paraId="130CB67D" w14:textId="77777777" w:rsidR="004E7C6B" w:rsidRDefault="004E7C6B">
            <w:pPr>
              <w:pStyle w:val="Marginlie"/>
              <w:rPr>
                <w:color w:val="0D0D0D" w:themeColor="text1" w:themeTint="F2"/>
                <w:spacing w:val="-6"/>
                <w:lang w:eastAsia="en-US"/>
              </w:rPr>
            </w:pPr>
          </w:p>
          <w:p w14:paraId="69C19B32" w14:textId="77777777" w:rsidR="004E7C6B" w:rsidRDefault="004E7C6B">
            <w:pPr>
              <w:pStyle w:val="Marginlie"/>
              <w:rPr>
                <w:color w:val="0D0D0D" w:themeColor="text1" w:themeTint="F2"/>
                <w:spacing w:val="-6"/>
                <w:lang w:eastAsia="en-US"/>
              </w:rPr>
            </w:pPr>
          </w:p>
          <w:p w14:paraId="436BB970" w14:textId="77777777" w:rsidR="004E7C6B" w:rsidRDefault="004E7C6B">
            <w:pPr>
              <w:pStyle w:val="Marginlie"/>
              <w:rPr>
                <w:color w:val="0D0D0D" w:themeColor="text1" w:themeTint="F2"/>
                <w:spacing w:val="-6"/>
                <w:lang w:eastAsia="en-US"/>
              </w:rPr>
            </w:pPr>
          </w:p>
          <w:p w14:paraId="16B5C339" w14:textId="77777777" w:rsidR="004E7C6B" w:rsidRDefault="004E7C6B">
            <w:pPr>
              <w:pStyle w:val="Marginlie"/>
              <w:rPr>
                <w:color w:val="0D0D0D" w:themeColor="text1" w:themeTint="F2"/>
                <w:spacing w:val="-6"/>
                <w:lang w:eastAsia="en-US"/>
              </w:rPr>
            </w:pPr>
            <w:r>
              <w:rPr>
                <w:color w:val="0D0D0D" w:themeColor="text1" w:themeTint="F2"/>
                <w:spacing w:val="-6"/>
                <w:lang w:eastAsia="en-US"/>
              </w:rPr>
              <w:t xml:space="preserve">Za slabší letní turistickou sezónou stojí pokles přenocování rezidentů i mírnější úbytek hostů z Německa i Slovenska. </w:t>
            </w:r>
          </w:p>
        </w:tc>
        <w:tc>
          <w:tcPr>
            <w:tcW w:w="229" w:type="dxa"/>
          </w:tcPr>
          <w:p w14:paraId="560F2AC3" w14:textId="77777777" w:rsidR="004E7C6B" w:rsidRDefault="004E7C6B">
            <w:pPr>
              <w:pStyle w:val="Textpoznpodarou"/>
              <w:jc w:val="both"/>
              <w:rPr>
                <w:rFonts w:eastAsia="Times New Roman" w:cs="Arial"/>
                <w:color w:val="0D0D0D" w:themeColor="text1" w:themeTint="F2"/>
                <w:spacing w:val="-4"/>
                <w:lang w:eastAsia="en-US"/>
              </w:rPr>
            </w:pPr>
          </w:p>
        </w:tc>
        <w:tc>
          <w:tcPr>
            <w:tcW w:w="7596" w:type="dxa"/>
            <w:hideMark/>
          </w:tcPr>
          <w:p w14:paraId="1EE85881" w14:textId="77777777" w:rsidR="004E7C6B" w:rsidRDefault="004E7C6B">
            <w:pPr>
              <w:spacing w:after="220"/>
              <w:rPr>
                <w:rFonts w:cs="Arial"/>
                <w:color w:val="0D0D0D" w:themeColor="text1" w:themeTint="F2"/>
                <w:spacing w:val="-4"/>
                <w:lang w:eastAsia="en-US"/>
              </w:rPr>
            </w:pPr>
            <w:r>
              <w:rPr>
                <w:rFonts w:cs="Arial"/>
                <w:color w:val="0D0D0D" w:themeColor="text1" w:themeTint="F2"/>
                <w:spacing w:val="-4"/>
                <w:lang w:eastAsia="en-US"/>
              </w:rPr>
              <w:t>V ubytování, stravování a pohostinství se letos meziročně zvýšily tržby jen mírně (+1,1 %, nejméně za poslední tři roky) a během roku navíc jejich tempo sláblo</w:t>
            </w:r>
            <w:r>
              <w:rPr>
                <w:rStyle w:val="Znakapoznpodarou"/>
                <w:color w:val="0D0D0D" w:themeColor="text1" w:themeTint="F2"/>
                <w:spacing w:val="-4"/>
                <w:lang w:eastAsia="en-US"/>
              </w:rPr>
              <w:footnoteReference w:id="37"/>
            </w:r>
            <w:r>
              <w:rPr>
                <w:rFonts w:cs="Arial"/>
                <w:color w:val="0D0D0D" w:themeColor="text1" w:themeTint="F2"/>
                <w:spacing w:val="-4"/>
                <w:lang w:eastAsia="en-US"/>
              </w:rPr>
              <w:t xml:space="preserve">. Vyšší poptávku </w:t>
            </w:r>
            <w:r>
              <w:rPr>
                <w:rFonts w:cs="Arial"/>
                <w:color w:val="0D0D0D" w:themeColor="text1" w:themeTint="F2"/>
                <w:spacing w:val="-2"/>
                <w:lang w:eastAsia="en-US"/>
              </w:rPr>
              <w:t>registrovaly jen stravování a pohostinství, v segmentu ubytování se růst tržeb zastavil (</w:t>
            </w:r>
            <w:r>
              <w:rPr>
                <w:rStyle w:val="normaltextrun"/>
                <w:rFonts w:cs="Arial"/>
                <w:color w:val="000000"/>
                <w:spacing w:val="-2"/>
                <w:szCs w:val="20"/>
                <w:lang w:eastAsia="en-US"/>
              </w:rPr>
              <w:t>−</w:t>
            </w:r>
            <w:r>
              <w:rPr>
                <w:rFonts w:cs="Arial"/>
                <w:color w:val="0D0D0D" w:themeColor="text1" w:themeTint="F2"/>
                <w:spacing w:val="-2"/>
                <w:lang w:eastAsia="en-US"/>
              </w:rPr>
              <w:t>0,8 %).</w:t>
            </w:r>
            <w:r>
              <w:rPr>
                <w:rFonts w:cs="Arial"/>
                <w:color w:val="0D0D0D" w:themeColor="text1" w:themeTint="F2"/>
                <w:spacing w:val="-4"/>
                <w:lang w:eastAsia="en-US"/>
              </w:rPr>
              <w:t xml:space="preserve"> </w:t>
            </w:r>
            <w:r>
              <w:rPr>
                <w:rStyle w:val="normaltextrun"/>
                <w:rFonts w:eastAsia="MS Gothic" w:cs="Arial"/>
                <w:color w:val="000000"/>
                <w:szCs w:val="20"/>
                <w:lang w:eastAsia="en-US"/>
              </w:rPr>
              <w:t>Za prvních devět letošních měsíců přijelo do tuzemských hromadných ubytovacích zařízení (HUZ) meziročně o 2,8 % hostů více a počet jejich přenocování vzrostl pouze o 1,2 % (z toho u domácí klientely se dokonce snížil o 3,6 %).</w:t>
            </w:r>
            <w:r>
              <w:rPr>
                <w:rFonts w:cs="Arial"/>
                <w:color w:val="0D0D0D" w:themeColor="text1" w:themeTint="F2"/>
                <w:spacing w:val="-4"/>
                <w:lang w:eastAsia="en-US"/>
              </w:rPr>
              <w:t xml:space="preserve"> Celková poptávka zachycená počtem přenocování v HUZ významněji rostla jen u hotelů vyšší kategorie (4* a 5*) a v rámci regionů jen v Praze (+7,6 %). Z toho poptávka z tuzemska klesala ve všech krajích (o více než 5 % v Plzeňském, Libereckém a Olomouckém kraji). Návštěvnost v horských střediscích ve druhé polovině zimní sezóny (únor, březen) poznamenalo teplé počasí, naopak v 1. i 2. čtvrtletí se pozitivně promítlo pořádání významných sportovních akcí v Česku (zejména MS v hokeji). Ve 3. čtvrtletí celkový počet přenocování meziročně klesl (</w:t>
            </w:r>
            <w:r>
              <w:rPr>
                <w:rStyle w:val="normaltextrun"/>
                <w:rFonts w:cs="Arial"/>
                <w:color w:val="000000"/>
                <w:spacing w:val="-2"/>
                <w:szCs w:val="20"/>
                <w:lang w:eastAsia="en-US"/>
              </w:rPr>
              <w:t>−</w:t>
            </w:r>
            <w:r>
              <w:rPr>
                <w:rFonts w:cs="Arial"/>
                <w:color w:val="0D0D0D" w:themeColor="text1" w:themeTint="F2"/>
                <w:spacing w:val="-4"/>
                <w:lang w:eastAsia="en-US"/>
              </w:rPr>
              <w:t>1,7 %), poprvé od ústupu pandemie (na jaře 2021). Snížila se nejenom poptávka od tuzemských hostů (</w:t>
            </w:r>
            <w:r>
              <w:rPr>
                <w:rStyle w:val="normaltextrun"/>
                <w:rFonts w:cs="Arial"/>
                <w:color w:val="000000"/>
                <w:spacing w:val="-2"/>
                <w:szCs w:val="20"/>
                <w:lang w:eastAsia="en-US"/>
              </w:rPr>
              <w:t>−</w:t>
            </w:r>
            <w:r>
              <w:rPr>
                <w:rFonts w:cs="Arial"/>
                <w:color w:val="0D0D0D" w:themeColor="text1" w:themeTint="F2"/>
                <w:spacing w:val="-4"/>
                <w:lang w:eastAsia="en-US"/>
              </w:rPr>
              <w:t xml:space="preserve">5,3 %), ale i ze strany dvou nejpočetnějších </w:t>
            </w:r>
            <w:r>
              <w:rPr>
                <w:rFonts w:cs="Arial"/>
                <w:color w:val="0D0D0D" w:themeColor="text1" w:themeTint="F2"/>
                <w:spacing w:val="-6"/>
                <w:lang w:eastAsia="en-US"/>
              </w:rPr>
              <w:t>skupin nerezidentů</w:t>
            </w:r>
            <w:r>
              <w:rPr>
                <w:rStyle w:val="Znakapoznpodarou"/>
                <w:color w:val="0D0D0D" w:themeColor="text1" w:themeTint="F2"/>
                <w:spacing w:val="-6"/>
                <w:lang w:eastAsia="en-US"/>
              </w:rPr>
              <w:footnoteReference w:id="38"/>
            </w:r>
            <w:r>
              <w:rPr>
                <w:rFonts w:cs="Arial"/>
                <w:color w:val="0D0D0D" w:themeColor="text1" w:themeTint="F2"/>
                <w:spacing w:val="-6"/>
                <w:lang w:eastAsia="en-US"/>
              </w:rPr>
              <w:t xml:space="preserve"> – Němců (</w:t>
            </w:r>
            <w:r>
              <w:rPr>
                <w:rStyle w:val="normaltextrun"/>
                <w:rFonts w:cs="Arial"/>
                <w:color w:val="000000"/>
                <w:spacing w:val="-6"/>
                <w:szCs w:val="20"/>
                <w:lang w:eastAsia="en-US"/>
              </w:rPr>
              <w:t>−</w:t>
            </w:r>
            <w:r>
              <w:rPr>
                <w:rFonts w:cs="Arial"/>
                <w:color w:val="0D0D0D" w:themeColor="text1" w:themeTint="F2"/>
                <w:spacing w:val="-6"/>
                <w:lang w:eastAsia="en-US"/>
              </w:rPr>
              <w:t>0,8 %) a Slováků (</w:t>
            </w:r>
            <w:r>
              <w:rPr>
                <w:rStyle w:val="normaltextrun"/>
                <w:rFonts w:cs="Arial"/>
                <w:color w:val="000000"/>
                <w:spacing w:val="-6"/>
                <w:szCs w:val="20"/>
                <w:lang w:eastAsia="en-US"/>
              </w:rPr>
              <w:t>−</w:t>
            </w:r>
            <w:r>
              <w:rPr>
                <w:rFonts w:cs="Arial"/>
                <w:color w:val="0D0D0D" w:themeColor="text1" w:themeTint="F2"/>
                <w:spacing w:val="-6"/>
                <w:lang w:eastAsia="en-US"/>
              </w:rPr>
              <w:t xml:space="preserve">1,3 %). </w:t>
            </w:r>
            <w:r>
              <w:rPr>
                <w:color w:val="0D0D0D" w:themeColor="text1" w:themeTint="F2"/>
                <w:spacing w:val="-6"/>
                <w:lang w:eastAsia="en-US"/>
              </w:rPr>
              <w:t>Pokles poptávky může souviset</w:t>
            </w:r>
            <w:r>
              <w:rPr>
                <w:color w:val="0D0D0D" w:themeColor="text1" w:themeTint="F2"/>
                <w:spacing w:val="-4"/>
                <w:lang w:eastAsia="en-US"/>
              </w:rPr>
              <w:t xml:space="preserve"> se zhoršenou finanční situací části domácností (vlivem slabého růstu ekonomiky a poklesu </w:t>
            </w:r>
            <w:r>
              <w:rPr>
                <w:color w:val="0D0D0D" w:themeColor="text1" w:themeTint="F2"/>
                <w:spacing w:val="-6"/>
                <w:lang w:eastAsia="en-US"/>
              </w:rPr>
              <w:t xml:space="preserve">reálných mezd v předchozích letech). Roli patrně hraje i svižný tuzemský cenový růst – v říjnu </w:t>
            </w:r>
            <w:r>
              <w:rPr>
                <w:color w:val="0D0D0D" w:themeColor="text1" w:themeTint="F2"/>
                <w:spacing w:val="-4"/>
                <w:lang w:eastAsia="en-US"/>
              </w:rPr>
              <w:t>2024 činil meziročně v ubytovacích službách 9,0 %, ve stravování 6,9 %.</w:t>
            </w:r>
          </w:p>
        </w:tc>
      </w:tr>
      <w:tr w:rsidR="004E7C6B" w14:paraId="41457652" w14:textId="77777777" w:rsidTr="004E7C6B">
        <w:trPr>
          <w:trHeight w:val="170"/>
        </w:trPr>
        <w:tc>
          <w:tcPr>
            <w:tcW w:w="1814" w:type="dxa"/>
            <w:hideMark/>
          </w:tcPr>
          <w:p w14:paraId="2C9C97EB" w14:textId="77777777" w:rsidR="004E7C6B" w:rsidRDefault="004E7C6B">
            <w:pPr>
              <w:pStyle w:val="Marginlie"/>
              <w:rPr>
                <w:color w:val="0D0D0D" w:themeColor="text1" w:themeTint="F2"/>
                <w:spacing w:val="-6"/>
                <w:lang w:eastAsia="en-US"/>
              </w:rPr>
            </w:pPr>
            <w:r>
              <w:rPr>
                <w:color w:val="0D0D0D" w:themeColor="text1" w:themeTint="F2"/>
                <w:spacing w:val="-6"/>
                <w:lang w:eastAsia="en-US"/>
              </w:rPr>
              <w:t>Růst tržeb za činnosti v oblasti IT zrychlil, poptávka po informačních činnostech byla naopak druhým rokem utlumená.</w:t>
            </w:r>
          </w:p>
        </w:tc>
        <w:tc>
          <w:tcPr>
            <w:tcW w:w="229" w:type="dxa"/>
          </w:tcPr>
          <w:p w14:paraId="0E7CCD58" w14:textId="77777777" w:rsidR="004E7C6B" w:rsidRDefault="004E7C6B">
            <w:pPr>
              <w:pStyle w:val="Textpoznpodarou"/>
              <w:jc w:val="both"/>
              <w:rPr>
                <w:rFonts w:eastAsia="Times New Roman" w:cs="Arial"/>
                <w:color w:val="0D0D0D" w:themeColor="text1" w:themeTint="F2"/>
                <w:spacing w:val="-4"/>
                <w:lang w:eastAsia="en-US"/>
              </w:rPr>
            </w:pPr>
          </w:p>
        </w:tc>
        <w:tc>
          <w:tcPr>
            <w:tcW w:w="7596" w:type="dxa"/>
            <w:hideMark/>
          </w:tcPr>
          <w:p w14:paraId="64DE5A92" w14:textId="77777777" w:rsidR="004E7C6B" w:rsidRDefault="004E7C6B">
            <w:pPr>
              <w:spacing w:after="220"/>
              <w:rPr>
                <w:rFonts w:cs="Arial"/>
                <w:color w:val="0D0D0D" w:themeColor="text1" w:themeTint="F2"/>
                <w:spacing w:val="-4"/>
                <w:lang w:eastAsia="en-US"/>
              </w:rPr>
            </w:pPr>
            <w:r>
              <w:rPr>
                <w:rFonts w:cs="Arial"/>
                <w:color w:val="0D0D0D" w:themeColor="text1" w:themeTint="F2"/>
                <w:spacing w:val="-3"/>
                <w:szCs w:val="20"/>
                <w:lang w:eastAsia="en-US"/>
              </w:rPr>
              <w:t xml:space="preserve">Tržby v </w:t>
            </w:r>
            <w:r>
              <w:rPr>
                <w:rFonts w:cs="Arial"/>
                <w:color w:val="0D0D0D" w:themeColor="text1" w:themeTint="F2"/>
                <w:spacing w:val="-6"/>
                <w:lang w:eastAsia="en-US"/>
              </w:rPr>
              <w:t>tradičně dynamickém odvětví informační a komunikační činnosti po nevýrazných loňských výsledcích letos za tři čtvrtletí meziročně vzrostly o 2,1 %. V průběhu roku poptávka zvolna ožívala (což bylo patrné i z mezikvartálních temp). Ačkoliv se letos nejvíce zvýšily výkony v tvorbě rozhlasových a televizních programů a vysílání (+9,2 %), k růstu celého odvětví z drtivé části přispěly činnosti v oblasti IT</w:t>
            </w:r>
            <w:r>
              <w:rPr>
                <w:rStyle w:val="Znakapoznpodarou"/>
                <w:color w:val="0D0D0D" w:themeColor="text1" w:themeTint="F2"/>
                <w:spacing w:val="-6"/>
                <w:lang w:eastAsia="en-US"/>
              </w:rPr>
              <w:footnoteReference w:id="39"/>
            </w:r>
            <w:r>
              <w:rPr>
                <w:rFonts w:cs="Arial"/>
                <w:color w:val="0D0D0D" w:themeColor="text1" w:themeTint="F2"/>
                <w:spacing w:val="-6"/>
                <w:lang w:eastAsia="en-US"/>
              </w:rPr>
              <w:t xml:space="preserve">, kde tržby posílily o 5,2 %, </w:t>
            </w:r>
            <w:r>
              <w:rPr>
                <w:rFonts w:cs="Arial"/>
                <w:color w:val="0D0D0D" w:themeColor="text1" w:themeTint="F2"/>
                <w:spacing w:val="-6"/>
                <w:lang w:eastAsia="en-US"/>
              </w:rPr>
              <w:br/>
              <w:t>a odhlédneme-li od roku 2020, zvyšovaly se sedmým rokem v řadě. Po loňském útlumu (nejhlubším za posledních více než 10 let) letos tržby v</w:t>
            </w:r>
            <w:r>
              <w:rPr>
                <w:color w:val="0D0D0D" w:themeColor="text1" w:themeTint="F2"/>
                <w:spacing w:val="-4"/>
                <w:lang w:eastAsia="en-US"/>
              </w:rPr>
              <w:t> </w:t>
            </w:r>
            <w:r>
              <w:rPr>
                <w:rFonts w:cs="Arial"/>
                <w:color w:val="0D0D0D" w:themeColor="text1" w:themeTint="F2"/>
                <w:spacing w:val="-6"/>
                <w:lang w:eastAsia="en-US"/>
              </w:rPr>
              <w:t>informačních činnostech</w:t>
            </w:r>
            <w:r>
              <w:rPr>
                <w:rStyle w:val="Znakapoznpodarou"/>
                <w:color w:val="0D0D0D" w:themeColor="text1" w:themeTint="F2"/>
                <w:spacing w:val="-6"/>
                <w:lang w:eastAsia="en-US"/>
              </w:rPr>
              <w:footnoteReference w:id="40"/>
            </w:r>
            <w:r>
              <w:rPr>
                <w:rFonts w:cs="Arial"/>
                <w:color w:val="0D0D0D" w:themeColor="text1" w:themeTint="F2"/>
                <w:spacing w:val="-6"/>
                <w:lang w:eastAsia="en-US"/>
              </w:rPr>
              <w:t xml:space="preserve"> a také ve vydavatelských činnostech fakticky pouze stagnovaly. Pokračoval pokles v tzv. filmovém </w:t>
            </w:r>
            <w:r>
              <w:rPr>
                <w:rFonts w:cs="Arial"/>
                <w:color w:val="0D0D0D" w:themeColor="text1" w:themeTint="F2"/>
                <w:spacing w:val="-6"/>
                <w:lang w:eastAsia="en-US"/>
              </w:rPr>
              <w:br/>
              <w:t>a hudebním průmyslu, který se letos prohloubil bezmála na 30 %</w:t>
            </w:r>
            <w:r>
              <w:rPr>
                <w:rStyle w:val="Znakapoznpodarou"/>
                <w:color w:val="0D0D0D" w:themeColor="text1" w:themeTint="F2"/>
                <w:spacing w:val="-8"/>
                <w:lang w:eastAsia="en-US"/>
              </w:rPr>
              <w:footnoteReference w:id="41"/>
            </w:r>
            <w:r>
              <w:rPr>
                <w:rFonts w:cs="Arial"/>
                <w:color w:val="0D0D0D" w:themeColor="text1" w:themeTint="F2"/>
                <w:spacing w:val="-6"/>
                <w:lang w:eastAsia="en-US"/>
              </w:rPr>
              <w:t xml:space="preserve"> (srovnatelně jako v krizovém roce 2020). Aktuální vývoj v tomto malém oboru souvisel s nepravidelnou fakturací (mohl být ovlivněn také nepřímými dopady delší stávky v Hollywoodu z konce loňského roku).</w:t>
            </w:r>
          </w:p>
        </w:tc>
      </w:tr>
      <w:tr w:rsidR="004E7C6B" w14:paraId="409AB9E2" w14:textId="77777777" w:rsidTr="004E7C6B">
        <w:trPr>
          <w:trHeight w:val="170"/>
        </w:trPr>
        <w:tc>
          <w:tcPr>
            <w:tcW w:w="1814" w:type="dxa"/>
            <w:hideMark/>
          </w:tcPr>
          <w:p w14:paraId="20D8F51E" w14:textId="77777777" w:rsidR="004E7C6B" w:rsidRDefault="004E7C6B">
            <w:pPr>
              <w:pStyle w:val="Marginlie"/>
              <w:rPr>
                <w:color w:val="0D0D0D" w:themeColor="text1" w:themeTint="F2"/>
                <w:spacing w:val="-6"/>
                <w:lang w:eastAsia="en-US"/>
              </w:rPr>
            </w:pPr>
            <w:r>
              <w:rPr>
                <w:color w:val="0D0D0D" w:themeColor="text1" w:themeTint="F2"/>
                <w:spacing w:val="-6"/>
                <w:lang w:eastAsia="en-US"/>
              </w:rPr>
              <w:t xml:space="preserve">Navzdory slabšímu výkonu stavebnictví přispěly k růstu profesních, vědeckých a technických činností </w:t>
            </w:r>
            <w:r>
              <w:rPr>
                <w:color w:val="0D0D0D" w:themeColor="text1" w:themeTint="F2"/>
                <w:spacing w:val="-6"/>
                <w:lang w:eastAsia="en-US"/>
              </w:rPr>
              <w:lastRenderedPageBreak/>
              <w:t>nejvíce architektonické a inženýrské práce.</w:t>
            </w:r>
          </w:p>
        </w:tc>
        <w:tc>
          <w:tcPr>
            <w:tcW w:w="229" w:type="dxa"/>
          </w:tcPr>
          <w:p w14:paraId="3E4044C2" w14:textId="77777777" w:rsidR="004E7C6B" w:rsidRDefault="004E7C6B">
            <w:pPr>
              <w:pStyle w:val="Textpoznpodarou"/>
              <w:jc w:val="both"/>
              <w:rPr>
                <w:rFonts w:eastAsia="Times New Roman" w:cs="Arial"/>
                <w:color w:val="0D0D0D" w:themeColor="text1" w:themeTint="F2"/>
                <w:spacing w:val="-4"/>
                <w:lang w:eastAsia="en-US"/>
              </w:rPr>
            </w:pPr>
          </w:p>
        </w:tc>
        <w:tc>
          <w:tcPr>
            <w:tcW w:w="7596" w:type="dxa"/>
            <w:hideMark/>
          </w:tcPr>
          <w:p w14:paraId="429A9D8B" w14:textId="77777777" w:rsidR="004E7C6B" w:rsidRDefault="004E7C6B">
            <w:pPr>
              <w:spacing w:after="220"/>
              <w:rPr>
                <w:rFonts w:cs="Arial"/>
                <w:color w:val="0D0D0D" w:themeColor="text1" w:themeTint="F2"/>
                <w:spacing w:val="-3"/>
                <w:szCs w:val="20"/>
                <w:lang w:eastAsia="en-US"/>
              </w:rPr>
            </w:pPr>
            <w:r>
              <w:rPr>
                <w:rFonts w:cs="Arial"/>
                <w:color w:val="0D0D0D" w:themeColor="text1" w:themeTint="F2"/>
                <w:spacing w:val="-3"/>
                <w:szCs w:val="20"/>
                <w:lang w:eastAsia="en-US"/>
              </w:rPr>
              <w:t xml:space="preserve">Stejně jako loni pokračoval mírný růst poptávky po podnikových službách. V odvětví </w:t>
            </w:r>
            <w:r>
              <w:rPr>
                <w:color w:val="0D0D0D" w:themeColor="text1" w:themeTint="F2"/>
                <w:spacing w:val="-4"/>
                <w:lang w:eastAsia="en-US"/>
              </w:rPr>
              <w:t xml:space="preserve">profesní, vědecké a technické činnosti se letos </w:t>
            </w:r>
            <w:r>
              <w:rPr>
                <w:rFonts w:cs="Arial"/>
                <w:color w:val="0D0D0D" w:themeColor="text1" w:themeTint="F2"/>
                <w:spacing w:val="-3"/>
                <w:szCs w:val="20"/>
                <w:lang w:eastAsia="en-US"/>
              </w:rPr>
              <w:t xml:space="preserve">za tři kvartály jejich tržby meziročně zvýšily o 1,5 %. Zatímco ve stejném období vloni přispívaly k jejich růstu nejvíce vyšší </w:t>
            </w:r>
            <w:r>
              <w:rPr>
                <w:rFonts w:cs="Arial"/>
                <w:color w:val="0D0D0D" w:themeColor="text1" w:themeTint="F2"/>
                <w:spacing w:val="-4"/>
                <w:szCs w:val="20"/>
                <w:lang w:eastAsia="en-US"/>
              </w:rPr>
              <w:t xml:space="preserve">výkony </w:t>
            </w:r>
            <w:r>
              <w:rPr>
                <w:rFonts w:cs="Arial"/>
                <w:color w:val="0D0D0D" w:themeColor="text1" w:themeTint="F2"/>
                <w:spacing w:val="-4"/>
                <w:szCs w:val="20"/>
                <w:lang w:eastAsia="en-US"/>
              </w:rPr>
              <w:br/>
              <w:t>v oblasti reklamy, letos navzdory poklesu ve stavebnictví převzaly vedoucí roli</w:t>
            </w:r>
            <w:r>
              <w:rPr>
                <w:rFonts w:cs="Arial"/>
                <w:color w:val="0D0D0D" w:themeColor="text1" w:themeTint="F2"/>
                <w:spacing w:val="-3"/>
                <w:szCs w:val="20"/>
                <w:lang w:eastAsia="en-US"/>
              </w:rPr>
              <w:t xml:space="preserve"> </w:t>
            </w:r>
            <w:r>
              <w:rPr>
                <w:rFonts w:cs="Arial"/>
                <w:color w:val="0D0D0D" w:themeColor="text1" w:themeTint="F2"/>
                <w:spacing w:val="-3"/>
                <w:szCs w:val="20"/>
                <w:lang w:eastAsia="en-US"/>
              </w:rPr>
              <w:lastRenderedPageBreak/>
              <w:t xml:space="preserve">architektonické a inženýrské činnosti, v nichž poptávka vzrostla o 3,4 %. </w:t>
            </w:r>
            <w:r>
              <w:rPr>
                <w:spacing w:val="-4"/>
                <w:lang w:eastAsia="en-US"/>
              </w:rPr>
              <w:t>Mírně posílily tržby i v ostatních profesních, vědeckých a technických činnostech</w:t>
            </w:r>
            <w:r>
              <w:rPr>
                <w:rStyle w:val="Znakapoznpodarou"/>
                <w:spacing w:val="-4"/>
                <w:lang w:eastAsia="en-US"/>
              </w:rPr>
              <w:footnoteReference w:id="42"/>
            </w:r>
            <w:r>
              <w:rPr>
                <w:spacing w:val="-4"/>
                <w:lang w:eastAsia="en-US"/>
              </w:rPr>
              <w:t xml:space="preserve"> (</w:t>
            </w:r>
            <w:r>
              <w:rPr>
                <w:color w:val="0D0D0D" w:themeColor="text1" w:themeTint="F2"/>
                <w:spacing w:val="-4"/>
                <w:lang w:eastAsia="en-US"/>
              </w:rPr>
              <w:t>+2,5</w:t>
            </w:r>
            <w:r>
              <w:rPr>
                <w:spacing w:val="-4"/>
                <w:lang w:eastAsia="en-US"/>
              </w:rPr>
              <w:t xml:space="preserve"> %, oproti roku 2019 však byla poptávka stále o více než 6 % nižší).</w:t>
            </w:r>
            <w:r>
              <w:rPr>
                <w:rFonts w:cs="Arial"/>
                <w:color w:val="0D0D0D" w:themeColor="text1" w:themeTint="F2"/>
                <w:spacing w:val="-3"/>
                <w:szCs w:val="20"/>
                <w:lang w:eastAsia="en-US"/>
              </w:rPr>
              <w:t xml:space="preserve"> Alespoň mírný růst</w:t>
            </w:r>
            <w:r>
              <w:rPr>
                <w:rStyle w:val="Znakapoznpodarou"/>
                <w:color w:val="0D0D0D" w:themeColor="text1" w:themeTint="F2"/>
                <w:spacing w:val="-3"/>
                <w:szCs w:val="20"/>
                <w:lang w:eastAsia="en-US"/>
              </w:rPr>
              <w:footnoteReference w:id="43"/>
            </w:r>
            <w:r>
              <w:rPr>
                <w:rFonts w:cs="Arial"/>
                <w:color w:val="0D0D0D" w:themeColor="text1" w:themeTint="F2"/>
                <w:spacing w:val="-3"/>
                <w:szCs w:val="20"/>
                <w:lang w:eastAsia="en-US"/>
              </w:rPr>
              <w:t xml:space="preserve"> přetrvával ve všech segmentech odvětví, vyjma účetnických a auditorských činností, a daňového poradenství a reklamy. Citelné oživení pak nastalo u právních činností (+9 %) a poprvé od roku 2021 </w:t>
            </w:r>
            <w:r>
              <w:rPr>
                <w:spacing w:val="-4"/>
                <w:lang w:eastAsia="en-US"/>
              </w:rPr>
              <w:t xml:space="preserve">vzrostla poptávka v oblasti průzkumu trhu a veřejného mínění. </w:t>
            </w:r>
          </w:p>
        </w:tc>
      </w:tr>
      <w:tr w:rsidR="004E7C6B" w14:paraId="25843075" w14:textId="77777777" w:rsidTr="004E7C6B">
        <w:trPr>
          <w:trHeight w:val="170"/>
        </w:trPr>
        <w:tc>
          <w:tcPr>
            <w:tcW w:w="1814" w:type="dxa"/>
            <w:hideMark/>
          </w:tcPr>
          <w:p w14:paraId="0AD9EB85" w14:textId="77777777" w:rsidR="004E7C6B" w:rsidRDefault="004E7C6B">
            <w:pPr>
              <w:pStyle w:val="Marginlie"/>
              <w:rPr>
                <w:color w:val="0D0D0D" w:themeColor="text1" w:themeTint="F2"/>
                <w:spacing w:val="-6"/>
                <w:lang w:eastAsia="en-US"/>
              </w:rPr>
            </w:pPr>
            <w:r>
              <w:rPr>
                <w:color w:val="0D0D0D" w:themeColor="text1" w:themeTint="F2"/>
                <w:spacing w:val="-4"/>
                <w:lang w:eastAsia="en-US"/>
              </w:rPr>
              <w:lastRenderedPageBreak/>
              <w:t xml:space="preserve">Za mírným růstem tržeb v administrativních </w:t>
            </w:r>
            <w:r>
              <w:rPr>
                <w:color w:val="0D0D0D" w:themeColor="text1" w:themeTint="F2"/>
                <w:spacing w:val="-4"/>
                <w:lang w:eastAsia="en-US"/>
              </w:rPr>
              <w:br/>
              <w:t xml:space="preserve">a podpůrných činnostech stály hlavně cestovní agentury a též pronájem </w:t>
            </w:r>
            <w:r>
              <w:rPr>
                <w:color w:val="0D0D0D" w:themeColor="text1" w:themeTint="F2"/>
                <w:spacing w:val="-4"/>
                <w:lang w:eastAsia="en-US"/>
              </w:rPr>
              <w:br/>
              <w:t>a operativní leasing. Opačně působila hlavně slabá poptávka po službách pracovních agentur.</w:t>
            </w:r>
          </w:p>
        </w:tc>
        <w:tc>
          <w:tcPr>
            <w:tcW w:w="229" w:type="dxa"/>
          </w:tcPr>
          <w:p w14:paraId="652D0DAE" w14:textId="77777777" w:rsidR="004E7C6B" w:rsidRDefault="004E7C6B">
            <w:pPr>
              <w:pStyle w:val="Textpoznpodarou"/>
              <w:jc w:val="both"/>
              <w:rPr>
                <w:rFonts w:eastAsia="Times New Roman" w:cs="Arial"/>
                <w:color w:val="0D0D0D" w:themeColor="text1" w:themeTint="F2"/>
                <w:spacing w:val="-4"/>
                <w:lang w:eastAsia="en-US"/>
              </w:rPr>
            </w:pPr>
          </w:p>
        </w:tc>
        <w:tc>
          <w:tcPr>
            <w:tcW w:w="7596" w:type="dxa"/>
            <w:hideMark/>
          </w:tcPr>
          <w:p w14:paraId="0C72A72D" w14:textId="77777777" w:rsidR="004E7C6B" w:rsidRDefault="004E7C6B">
            <w:pPr>
              <w:spacing w:after="220"/>
              <w:rPr>
                <w:rFonts w:cs="Arial"/>
                <w:color w:val="0D0D0D" w:themeColor="text1" w:themeTint="F2"/>
                <w:spacing w:val="-3"/>
                <w:szCs w:val="20"/>
                <w:lang w:eastAsia="en-US"/>
              </w:rPr>
            </w:pPr>
            <w:r>
              <w:rPr>
                <w:color w:val="0D0D0D" w:themeColor="text1" w:themeTint="F2"/>
                <w:spacing w:val="-4"/>
                <w:lang w:eastAsia="en-US"/>
              </w:rPr>
              <w:t>V odvětví administrativní a podpůrné činnosti se letos tržby meziročně zvýšily o 2,1 %, když byly poháněny zejména svižně rostoucími výkony cestovních agentur a kanceláří (ty přitom již loni překonaly úroveň z roku 2019). Projevují se v nich především častější výjezdy tuzemských domácností do zahraničí. Rostla však i poptávka po převážně podnikových službách – zejména pronájmu a operativním leasingu (+5,3 %, např. za stroje, zařízení či za výrobky pro osobní potřebu a převážně pro domácnost, např. rekreačních a sportovních potřeb</w:t>
            </w:r>
            <w:r>
              <w:rPr>
                <w:rStyle w:val="Znakapoznpodarou"/>
                <w:color w:val="0D0D0D" w:themeColor="text1" w:themeTint="F2"/>
                <w:spacing w:val="-4"/>
                <w:lang w:eastAsia="en-US"/>
              </w:rPr>
              <w:footnoteReference w:id="44"/>
            </w:r>
            <w:r>
              <w:rPr>
                <w:color w:val="0D0D0D" w:themeColor="text1" w:themeTint="F2"/>
                <w:spacing w:val="-4"/>
                <w:lang w:eastAsia="en-US"/>
              </w:rPr>
              <w:t>). Naopak u řady méně sofistikovaných podnikových služeb přetrvávala slabší poptávka. Citelný pokles u pracovních agentur pokračoval, jejich tržby se snižovaly dvojciferným tempem třetím rokem v řadě (letos o 11,1 %, v porovnání s rokem 2021 o 31,6 %)</w:t>
            </w:r>
            <w:r>
              <w:rPr>
                <w:rStyle w:val="Znakapoznpodarou"/>
                <w:color w:val="0D0D0D" w:themeColor="text1" w:themeTint="F2"/>
                <w:spacing w:val="-2"/>
                <w:lang w:eastAsia="en-US"/>
              </w:rPr>
              <w:footnoteReference w:id="45"/>
            </w:r>
            <w:r>
              <w:rPr>
                <w:color w:val="0D0D0D" w:themeColor="text1" w:themeTint="F2"/>
                <w:spacing w:val="-4"/>
                <w:lang w:eastAsia="en-US"/>
              </w:rPr>
              <w:t>. Tlak na snižování nákladů i rozvoj digitalizace se odrazily ve faktické stagnaci tržeb v oblasti úklidových či bezpečnostních a pátracích činností.</w:t>
            </w:r>
          </w:p>
        </w:tc>
      </w:tr>
      <w:tr w:rsidR="004E7C6B" w14:paraId="7D4526A2" w14:textId="77777777" w:rsidTr="004E7C6B">
        <w:trPr>
          <w:trHeight w:val="170"/>
        </w:trPr>
        <w:tc>
          <w:tcPr>
            <w:tcW w:w="1814" w:type="dxa"/>
          </w:tcPr>
          <w:p w14:paraId="5B43BA71" w14:textId="77777777" w:rsidR="004E7C6B" w:rsidRDefault="004E7C6B">
            <w:pPr>
              <w:pStyle w:val="Marginlie"/>
              <w:rPr>
                <w:lang w:eastAsia="en-US"/>
              </w:rPr>
            </w:pPr>
          </w:p>
        </w:tc>
        <w:tc>
          <w:tcPr>
            <w:tcW w:w="229" w:type="dxa"/>
          </w:tcPr>
          <w:p w14:paraId="505454E5" w14:textId="77777777" w:rsidR="004E7C6B" w:rsidRDefault="004E7C6B">
            <w:pPr>
              <w:pStyle w:val="Textpoznpodarou"/>
              <w:jc w:val="both"/>
              <w:rPr>
                <w:spacing w:val="-4"/>
                <w:lang w:eastAsia="en-US"/>
              </w:rPr>
            </w:pPr>
          </w:p>
        </w:tc>
        <w:tc>
          <w:tcPr>
            <w:tcW w:w="7596" w:type="dxa"/>
            <w:hideMark/>
          </w:tcPr>
          <w:p w14:paraId="4E49B8D8" w14:textId="77777777" w:rsidR="004E7C6B" w:rsidRDefault="004E7C6B">
            <w:pPr>
              <w:spacing w:after="40"/>
              <w:rPr>
                <w:b/>
                <w:spacing w:val="-4"/>
                <w:lang w:eastAsia="en-US"/>
              </w:rPr>
            </w:pPr>
            <w:r>
              <w:rPr>
                <w:b/>
                <w:spacing w:val="-4"/>
                <w:lang w:eastAsia="en-US"/>
              </w:rPr>
              <w:t xml:space="preserve">Graf č. 7 </w:t>
            </w:r>
            <w:r>
              <w:rPr>
                <w:b/>
                <w:bCs/>
                <w:spacing w:val="-4"/>
                <w:lang w:eastAsia="en-US"/>
              </w:rPr>
              <w:t>Příspěvky dílčích odvětví k meziroční změně tržeb ve službách*</w:t>
            </w:r>
            <w:r>
              <w:rPr>
                <w:b/>
                <w:spacing w:val="-4"/>
                <w:lang w:eastAsia="en-US"/>
              </w:rPr>
              <w:br/>
            </w:r>
            <w:r>
              <w:rPr>
                <w:spacing w:val="-4"/>
                <w:lang w:eastAsia="en-US"/>
              </w:rPr>
              <w:t>(reálně, v p. b),</w:t>
            </w:r>
            <w:r>
              <w:rPr>
                <w:b/>
                <w:spacing w:val="-4"/>
                <w:lang w:eastAsia="en-US"/>
              </w:rPr>
              <w:t xml:space="preserve"> </w:t>
            </w:r>
            <w:r>
              <w:rPr>
                <w:b/>
                <w:bCs/>
                <w:spacing w:val="-4"/>
                <w:lang w:eastAsia="en-US"/>
              </w:rPr>
              <w:t xml:space="preserve">celkové tržby ve službách* </w:t>
            </w:r>
            <w:r>
              <w:rPr>
                <w:spacing w:val="-4"/>
                <w:lang w:eastAsia="en-US"/>
              </w:rPr>
              <w:t>(báze 2021=100, pravá osa),</w:t>
            </w:r>
            <w:r>
              <w:rPr>
                <w:b/>
                <w:spacing w:val="-4"/>
                <w:lang w:eastAsia="en-US"/>
              </w:rPr>
              <w:t xml:space="preserve"> </w:t>
            </w:r>
            <w:r>
              <w:rPr>
                <w:b/>
                <w:bCs/>
                <w:spacing w:val="-4"/>
                <w:lang w:eastAsia="en-US"/>
              </w:rPr>
              <w:t>saldo důvěry podnikatelů ve službách**</w:t>
            </w:r>
            <w:r>
              <w:rPr>
                <w:b/>
                <w:spacing w:val="-4"/>
                <w:lang w:eastAsia="en-US"/>
              </w:rPr>
              <w:t xml:space="preserve"> </w:t>
            </w:r>
            <w:r>
              <w:rPr>
                <w:spacing w:val="-4"/>
                <w:lang w:eastAsia="en-US"/>
              </w:rPr>
              <w:t>(v p. b., pravá osa)</w:t>
            </w:r>
            <w:r>
              <w:rPr>
                <w:b/>
                <w:bCs/>
                <w:spacing w:val="-4"/>
                <w:lang w:eastAsia="en-US"/>
              </w:rPr>
              <w:t xml:space="preserve"> a bariéry růstu**</w:t>
            </w:r>
            <w:r>
              <w:rPr>
                <w:b/>
                <w:spacing w:val="-4"/>
                <w:lang w:eastAsia="en-US"/>
              </w:rPr>
              <w:t xml:space="preserve"> </w:t>
            </w:r>
            <w:r>
              <w:rPr>
                <w:spacing w:val="-4"/>
                <w:lang w:eastAsia="en-US"/>
              </w:rPr>
              <w:t xml:space="preserve">(v %, pravá osa) </w:t>
            </w:r>
          </w:p>
        </w:tc>
      </w:tr>
      <w:tr w:rsidR="004E7C6B" w14:paraId="7FE11C27" w14:textId="77777777" w:rsidTr="004E7C6B">
        <w:trPr>
          <w:trHeight w:val="170"/>
        </w:trPr>
        <w:tc>
          <w:tcPr>
            <w:tcW w:w="1814" w:type="dxa"/>
            <w:tcMar>
              <w:top w:w="0" w:type="dxa"/>
              <w:left w:w="70" w:type="dxa"/>
              <w:bottom w:w="0" w:type="dxa"/>
              <w:right w:w="70" w:type="dxa"/>
            </w:tcMar>
          </w:tcPr>
          <w:p w14:paraId="60E811D5" w14:textId="77777777" w:rsidR="004E7C6B" w:rsidRDefault="004E7C6B">
            <w:pPr>
              <w:pStyle w:val="Marginlie"/>
              <w:rPr>
                <w:lang w:eastAsia="en-US"/>
              </w:rPr>
            </w:pPr>
          </w:p>
        </w:tc>
        <w:tc>
          <w:tcPr>
            <w:tcW w:w="229" w:type="dxa"/>
            <w:tcMar>
              <w:top w:w="0" w:type="dxa"/>
              <w:left w:w="70" w:type="dxa"/>
              <w:bottom w:w="0" w:type="dxa"/>
              <w:right w:w="70" w:type="dxa"/>
            </w:tcMar>
          </w:tcPr>
          <w:p w14:paraId="4200F152" w14:textId="77777777" w:rsidR="004E7C6B" w:rsidRDefault="004E7C6B">
            <w:pPr>
              <w:pStyle w:val="Textpoznpodarou"/>
              <w:jc w:val="both"/>
              <w:rPr>
                <w:spacing w:val="-4"/>
                <w:lang w:eastAsia="en-US"/>
              </w:rPr>
            </w:pPr>
          </w:p>
        </w:tc>
        <w:tc>
          <w:tcPr>
            <w:tcW w:w="7596" w:type="dxa"/>
            <w:tcMar>
              <w:top w:w="0" w:type="dxa"/>
              <w:left w:w="70" w:type="dxa"/>
              <w:bottom w:w="0" w:type="dxa"/>
              <w:right w:w="70" w:type="dxa"/>
            </w:tcMar>
            <w:hideMark/>
          </w:tcPr>
          <w:p w14:paraId="3936A191" w14:textId="7074EBB5" w:rsidR="004E7C6B" w:rsidRDefault="004E7C6B">
            <w:pPr>
              <w:spacing w:after="0"/>
              <w:rPr>
                <w:rFonts w:cs="Arial"/>
                <w:sz w:val="14"/>
                <w:szCs w:val="14"/>
                <w:lang w:eastAsia="en-US"/>
              </w:rPr>
            </w:pPr>
            <w:r>
              <w:rPr>
                <w:noProof/>
              </w:rPr>
              <w:drawing>
                <wp:inline distT="0" distB="0" distL="0" distR="0" wp14:anchorId="075EB81F" wp14:editId="703D0851">
                  <wp:extent cx="4752975" cy="3638550"/>
                  <wp:effectExtent l="0" t="0" r="0" b="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4E7C6B" w14:paraId="196BE446" w14:textId="77777777" w:rsidTr="004E7C6B">
        <w:trPr>
          <w:trHeight w:val="170"/>
        </w:trPr>
        <w:tc>
          <w:tcPr>
            <w:tcW w:w="1814" w:type="dxa"/>
          </w:tcPr>
          <w:p w14:paraId="7A01F442" w14:textId="77777777" w:rsidR="004E7C6B" w:rsidRDefault="004E7C6B">
            <w:pPr>
              <w:pStyle w:val="Marginlie"/>
              <w:rPr>
                <w:lang w:eastAsia="en-US"/>
              </w:rPr>
            </w:pPr>
          </w:p>
        </w:tc>
        <w:tc>
          <w:tcPr>
            <w:tcW w:w="229" w:type="dxa"/>
          </w:tcPr>
          <w:p w14:paraId="38047DFD" w14:textId="77777777" w:rsidR="004E7C6B" w:rsidRDefault="004E7C6B">
            <w:pPr>
              <w:pStyle w:val="Textpoznpodarou"/>
              <w:jc w:val="both"/>
              <w:rPr>
                <w:spacing w:val="-4"/>
                <w:lang w:eastAsia="en-US"/>
              </w:rPr>
            </w:pPr>
          </w:p>
        </w:tc>
        <w:tc>
          <w:tcPr>
            <w:tcW w:w="7596" w:type="dxa"/>
            <w:hideMark/>
          </w:tcPr>
          <w:p w14:paraId="1F62300C" w14:textId="77777777" w:rsidR="004E7C6B" w:rsidRDefault="004E7C6B">
            <w:pPr>
              <w:spacing w:after="0" w:line="240" w:lineRule="auto"/>
              <w:rPr>
                <w:rFonts w:cs="Arial"/>
                <w:spacing w:val="-4"/>
                <w:sz w:val="14"/>
                <w:szCs w:val="14"/>
                <w:lang w:eastAsia="en-US"/>
              </w:rPr>
            </w:pPr>
            <w:r>
              <w:rPr>
                <w:rFonts w:cs="Arial"/>
                <w:spacing w:val="-4"/>
                <w:sz w:val="14"/>
                <w:szCs w:val="14"/>
                <w:lang w:eastAsia="en-US"/>
              </w:rPr>
              <w:t>Poznámka: všechny údaje jsou sezónně očištěny, pouze příspěvky dílčích odvětví k růstu tržeb jsou očištěny jen o kalendářní vlivy.</w:t>
            </w:r>
          </w:p>
          <w:p w14:paraId="14DA0DBC" w14:textId="77777777" w:rsidR="004E7C6B" w:rsidRDefault="004E7C6B">
            <w:pPr>
              <w:spacing w:after="0" w:line="240" w:lineRule="auto"/>
              <w:rPr>
                <w:rFonts w:cs="Arial"/>
                <w:sz w:val="14"/>
                <w:szCs w:val="14"/>
                <w:lang w:eastAsia="en-US"/>
              </w:rPr>
            </w:pPr>
            <w:r>
              <w:rPr>
                <w:rFonts w:cs="Arial"/>
                <w:sz w:val="14"/>
                <w:szCs w:val="14"/>
                <w:lang w:eastAsia="en-US"/>
              </w:rPr>
              <w:t>*Bez odvětví obchodu, peněžnictví, pojišťovnictví, vědy, výzkumu a veřejných služeb.</w:t>
            </w:r>
          </w:p>
          <w:p w14:paraId="0C4DA2D1" w14:textId="77777777" w:rsidR="004E7C6B" w:rsidRDefault="004E7C6B">
            <w:pPr>
              <w:spacing w:after="0" w:line="240" w:lineRule="auto"/>
              <w:rPr>
                <w:rFonts w:cs="Arial"/>
                <w:sz w:val="14"/>
                <w:szCs w:val="14"/>
                <w:lang w:eastAsia="en-US"/>
              </w:rPr>
            </w:pPr>
            <w:r>
              <w:rPr>
                <w:rFonts w:cs="Arial"/>
                <w:sz w:val="14"/>
                <w:szCs w:val="14"/>
                <w:lang w:eastAsia="en-US"/>
              </w:rPr>
              <w:t>.**</w:t>
            </w:r>
            <w:r>
              <w:rPr>
                <w:rFonts w:cs="Arial"/>
                <w:spacing w:val="-2"/>
                <w:sz w:val="14"/>
                <w:szCs w:val="14"/>
                <w:lang w:eastAsia="en-US"/>
              </w:rPr>
              <w:t xml:space="preserve">Zahrnuje i finanční sektor. Saldo důvěry podnikatelů i bariéry růstu vyjadřují stav v prvním (bariéry růstu), resp. ve druhém měsíci daného čtvrtletí (saldo důvěry). </w:t>
            </w:r>
            <w:r>
              <w:rPr>
                <w:rFonts w:cs="Arial"/>
                <w:sz w:val="14"/>
                <w:szCs w:val="14"/>
                <w:lang w:eastAsia="en-US"/>
              </w:rPr>
              <w:t>Podniky mohly uvést více hlavních bariér současně.                        Zdroj: ČSÚ, Eurostat</w:t>
            </w:r>
          </w:p>
        </w:tc>
      </w:tr>
      <w:tr w:rsidR="004E7C6B" w14:paraId="3F7ED1C6" w14:textId="77777777" w:rsidTr="004E7C6B">
        <w:trPr>
          <w:trHeight w:val="170"/>
        </w:trPr>
        <w:tc>
          <w:tcPr>
            <w:tcW w:w="1814" w:type="dxa"/>
            <w:hideMark/>
          </w:tcPr>
          <w:p w14:paraId="5B211BAF" w14:textId="77777777" w:rsidR="004E7C6B" w:rsidRDefault="004E7C6B">
            <w:pPr>
              <w:pStyle w:val="Marginlie"/>
              <w:rPr>
                <w:color w:val="0D0D0D" w:themeColor="text1" w:themeTint="F2"/>
                <w:spacing w:val="-6"/>
                <w:lang w:eastAsia="en-US"/>
              </w:rPr>
            </w:pPr>
            <w:r>
              <w:rPr>
                <w:color w:val="0D0D0D" w:themeColor="text1" w:themeTint="F2"/>
                <w:spacing w:val="0"/>
                <w:lang w:eastAsia="en-US"/>
              </w:rPr>
              <w:lastRenderedPageBreak/>
              <w:t>Cenová stabilizace v ekonomice vedla k rychlému zlepšení spotřebitelské důvěry. Posílila i důvěra obchodníků.</w:t>
            </w:r>
          </w:p>
        </w:tc>
        <w:tc>
          <w:tcPr>
            <w:tcW w:w="229" w:type="dxa"/>
          </w:tcPr>
          <w:p w14:paraId="202FE2A4" w14:textId="77777777" w:rsidR="004E7C6B" w:rsidRDefault="004E7C6B">
            <w:pPr>
              <w:pStyle w:val="Textpoznpodarou"/>
              <w:jc w:val="both"/>
              <w:rPr>
                <w:color w:val="0D0D0D" w:themeColor="text1" w:themeTint="F2"/>
                <w:spacing w:val="-4"/>
                <w:lang w:eastAsia="en-US"/>
              </w:rPr>
            </w:pPr>
          </w:p>
        </w:tc>
        <w:tc>
          <w:tcPr>
            <w:tcW w:w="7596" w:type="dxa"/>
            <w:hideMark/>
          </w:tcPr>
          <w:p w14:paraId="68166DCA" w14:textId="77777777" w:rsidR="004E7C6B" w:rsidRDefault="004E7C6B">
            <w:pPr>
              <w:spacing w:after="200"/>
              <w:rPr>
                <w:color w:val="0D0D0D" w:themeColor="text1" w:themeTint="F2"/>
                <w:spacing w:val="-4"/>
                <w:lang w:eastAsia="en-US"/>
              </w:rPr>
            </w:pPr>
            <w:r>
              <w:rPr>
                <w:rFonts w:cs="Arial"/>
                <w:color w:val="0D0D0D" w:themeColor="text1" w:themeTint="F2"/>
                <w:spacing w:val="-4"/>
                <w:lang w:eastAsia="en-US"/>
              </w:rPr>
              <w:t xml:space="preserve">Také maloobchod zažil v posledních čtvrtletích pozitivní posun. Jeho předpokladem byl návrat spotřebitelských cen do běžných růstových pásem spojený navíc s patrně dočasným, avšak relativně významným poklesem cen potravin. To spolu s dobrou kondicí trhu práce rychle nastartovalo růst kupní síly domácností a zlepšilo jejich celkovou důvěru v ekonomiku, která proto vystoupala letos v dubnu nejvýše za poslední dva a půl roku. Následně sice došlo k mírnému zhoršení, i tak však byl v listopadu pesimismus spotřebitelů nižší než v kterýkoli měsíc z období let 2022 až 2023. Lidé ovšem stále deklarují vyšší úmysl spořit a zároveň dosud nepovažují aktuální dobu za příliš vhodnou k velkým nákupům (investic či zboží dlouhodobé spotřeby). To zčásti působí proti rychlejšímu oživení poptávky po určitých sortimentních skupinách nepotravinářského zboží. Souběžně ale také posiloval optimismus obchodníků, úroveň jejich důvěry v ekonomiku patřila </w:t>
            </w:r>
            <w:r>
              <w:rPr>
                <w:rFonts w:cs="Arial"/>
                <w:color w:val="0D0D0D" w:themeColor="text1" w:themeTint="F2"/>
                <w:spacing w:val="-4"/>
                <w:lang w:eastAsia="en-US"/>
              </w:rPr>
              <w:br/>
              <w:t xml:space="preserve">v listopadu k nejvyšším od loňského léta. K oživení maloobchodu přispěl i rozvoj příjezdového cestovního ruchu. </w:t>
            </w:r>
          </w:p>
        </w:tc>
      </w:tr>
      <w:tr w:rsidR="004E7C6B" w14:paraId="42CC44CD" w14:textId="77777777" w:rsidTr="004E7C6B">
        <w:trPr>
          <w:trHeight w:val="155"/>
        </w:trPr>
        <w:tc>
          <w:tcPr>
            <w:tcW w:w="1814" w:type="dxa"/>
            <w:vMerge w:val="restart"/>
          </w:tcPr>
          <w:p w14:paraId="7F426846" w14:textId="77777777" w:rsidR="004E7C6B" w:rsidRDefault="004E7C6B">
            <w:pPr>
              <w:pStyle w:val="Marginlie"/>
              <w:rPr>
                <w:lang w:eastAsia="en-US"/>
              </w:rPr>
            </w:pPr>
          </w:p>
        </w:tc>
        <w:tc>
          <w:tcPr>
            <w:tcW w:w="229" w:type="dxa"/>
            <w:vMerge w:val="restart"/>
          </w:tcPr>
          <w:p w14:paraId="31A75358" w14:textId="77777777" w:rsidR="004E7C6B" w:rsidRDefault="004E7C6B">
            <w:pPr>
              <w:pStyle w:val="Textpoznpodarou"/>
              <w:jc w:val="both"/>
              <w:rPr>
                <w:spacing w:val="-4"/>
                <w:lang w:eastAsia="en-US"/>
              </w:rPr>
            </w:pPr>
          </w:p>
        </w:tc>
        <w:tc>
          <w:tcPr>
            <w:tcW w:w="7596" w:type="dxa"/>
            <w:hideMark/>
          </w:tcPr>
          <w:p w14:paraId="7B353201" w14:textId="77777777" w:rsidR="004E7C6B" w:rsidRDefault="004E7C6B">
            <w:pPr>
              <w:spacing w:after="0"/>
              <w:rPr>
                <w:rFonts w:cs="Arial"/>
                <w:color w:val="0D0D0D" w:themeColor="text1" w:themeTint="F2"/>
                <w:spacing w:val="-4"/>
                <w:szCs w:val="20"/>
                <w:lang w:eastAsia="en-US"/>
              </w:rPr>
            </w:pPr>
            <w:r>
              <w:rPr>
                <w:b/>
                <w:lang w:eastAsia="en-US"/>
              </w:rPr>
              <w:t xml:space="preserve">Graf č. 8 </w:t>
            </w:r>
            <w:r>
              <w:rPr>
                <w:rFonts w:cs="Arial"/>
                <w:b/>
                <w:bCs/>
                <w:color w:val="0D0D0D" w:themeColor="text1" w:themeTint="F2"/>
                <w:spacing w:val="-6"/>
                <w:lang w:eastAsia="en-US"/>
              </w:rPr>
              <w:t xml:space="preserve">Příspěvky dílčích odvětví k meziroční změně tržeb v maloobchodu* </w:t>
            </w:r>
            <w:r>
              <w:rPr>
                <w:rFonts w:cs="Arial"/>
                <w:color w:val="0D0D0D" w:themeColor="text1" w:themeTint="F2"/>
                <w:spacing w:val="-6"/>
                <w:lang w:eastAsia="en-US"/>
              </w:rPr>
              <w:t xml:space="preserve">(reálně, v p. b.), </w:t>
            </w:r>
            <w:r>
              <w:rPr>
                <w:rFonts w:cs="Arial"/>
                <w:b/>
                <w:bCs/>
                <w:color w:val="0D0D0D" w:themeColor="text1" w:themeTint="F2"/>
                <w:spacing w:val="-6"/>
                <w:lang w:eastAsia="en-US"/>
              </w:rPr>
              <w:t xml:space="preserve">tržby v maloobchodu a v motoristickém segmentu obchodu** </w:t>
            </w:r>
            <w:r>
              <w:rPr>
                <w:rFonts w:cs="Arial"/>
                <w:color w:val="0D0D0D" w:themeColor="text1" w:themeTint="F2"/>
                <w:spacing w:val="-6"/>
                <w:lang w:eastAsia="en-US"/>
              </w:rPr>
              <w:t xml:space="preserve">(reálně, úroveň roku 2021=100, pravá osa), </w:t>
            </w:r>
            <w:r>
              <w:rPr>
                <w:rFonts w:cs="Arial"/>
                <w:b/>
                <w:bCs/>
                <w:color w:val="0D0D0D" w:themeColor="text1" w:themeTint="F2"/>
                <w:spacing w:val="-6"/>
                <w:lang w:eastAsia="en-US"/>
              </w:rPr>
              <w:t xml:space="preserve">saldo důvěry spotřebitelů i obchodníků*** </w:t>
            </w:r>
            <w:r>
              <w:rPr>
                <w:rFonts w:cs="Arial"/>
                <w:color w:val="0D0D0D" w:themeColor="text1" w:themeTint="F2"/>
                <w:spacing w:val="-6"/>
                <w:lang w:eastAsia="en-US"/>
              </w:rPr>
              <w:t>(v p. b., pravá osa)</w:t>
            </w:r>
          </w:p>
        </w:tc>
      </w:tr>
      <w:tr w:rsidR="004E7C6B" w14:paraId="4620F7A0" w14:textId="77777777" w:rsidTr="004E7C6B">
        <w:trPr>
          <w:trHeight w:val="155"/>
        </w:trPr>
        <w:tc>
          <w:tcPr>
            <w:tcW w:w="1814" w:type="dxa"/>
            <w:vMerge/>
            <w:vAlign w:val="center"/>
            <w:hideMark/>
          </w:tcPr>
          <w:p w14:paraId="317850CE" w14:textId="77777777" w:rsidR="004E7C6B" w:rsidRDefault="004E7C6B">
            <w:pPr>
              <w:spacing w:after="0" w:line="240" w:lineRule="auto"/>
              <w:jc w:val="left"/>
              <w:rPr>
                <w:spacing w:val="-2"/>
                <w:sz w:val="16"/>
                <w:szCs w:val="16"/>
                <w:lang w:eastAsia="en-US"/>
              </w:rPr>
            </w:pPr>
          </w:p>
        </w:tc>
        <w:tc>
          <w:tcPr>
            <w:tcW w:w="229" w:type="dxa"/>
            <w:vMerge/>
            <w:vAlign w:val="center"/>
            <w:hideMark/>
          </w:tcPr>
          <w:p w14:paraId="6FC0AAA0" w14:textId="77777777" w:rsidR="004E7C6B" w:rsidRDefault="004E7C6B">
            <w:pPr>
              <w:spacing w:after="0" w:line="240" w:lineRule="auto"/>
              <w:jc w:val="left"/>
              <w:rPr>
                <w:rFonts w:eastAsia="Calibri"/>
                <w:spacing w:val="-4"/>
                <w:szCs w:val="20"/>
                <w:lang w:eastAsia="en-US"/>
              </w:rPr>
            </w:pPr>
          </w:p>
        </w:tc>
        <w:tc>
          <w:tcPr>
            <w:tcW w:w="7596" w:type="dxa"/>
            <w:tcMar>
              <w:top w:w="0" w:type="dxa"/>
              <w:left w:w="70" w:type="dxa"/>
              <w:bottom w:w="0" w:type="dxa"/>
              <w:right w:w="70" w:type="dxa"/>
            </w:tcMar>
            <w:hideMark/>
          </w:tcPr>
          <w:p w14:paraId="4D5EBA61" w14:textId="1529C6B8" w:rsidR="004E7C6B" w:rsidRDefault="004E7C6B">
            <w:pPr>
              <w:spacing w:after="0"/>
              <w:rPr>
                <w:rFonts w:cs="Arial"/>
                <w:color w:val="0D0D0D" w:themeColor="text1" w:themeTint="F2"/>
                <w:spacing w:val="-4"/>
                <w:szCs w:val="20"/>
                <w:lang w:eastAsia="en-US"/>
              </w:rPr>
            </w:pPr>
            <w:r>
              <w:rPr>
                <w:noProof/>
              </w:rPr>
              <w:drawing>
                <wp:inline distT="0" distB="0" distL="0" distR="0" wp14:anchorId="57CA4065" wp14:editId="4894F28C">
                  <wp:extent cx="4733925" cy="3676650"/>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4E7C6B" w14:paraId="314CD53B" w14:textId="77777777" w:rsidTr="004E7C6B">
        <w:trPr>
          <w:trHeight w:val="155"/>
        </w:trPr>
        <w:tc>
          <w:tcPr>
            <w:tcW w:w="1814" w:type="dxa"/>
            <w:vMerge/>
            <w:vAlign w:val="center"/>
            <w:hideMark/>
          </w:tcPr>
          <w:p w14:paraId="79C88D8A" w14:textId="77777777" w:rsidR="004E7C6B" w:rsidRDefault="004E7C6B">
            <w:pPr>
              <w:spacing w:after="0" w:line="240" w:lineRule="auto"/>
              <w:jc w:val="left"/>
              <w:rPr>
                <w:spacing w:val="-2"/>
                <w:sz w:val="16"/>
                <w:szCs w:val="16"/>
                <w:lang w:eastAsia="en-US"/>
              </w:rPr>
            </w:pPr>
          </w:p>
        </w:tc>
        <w:tc>
          <w:tcPr>
            <w:tcW w:w="229" w:type="dxa"/>
            <w:vMerge/>
            <w:vAlign w:val="center"/>
            <w:hideMark/>
          </w:tcPr>
          <w:p w14:paraId="1DEACDDD" w14:textId="77777777" w:rsidR="004E7C6B" w:rsidRDefault="004E7C6B">
            <w:pPr>
              <w:spacing w:after="0" w:line="240" w:lineRule="auto"/>
              <w:jc w:val="left"/>
              <w:rPr>
                <w:rFonts w:eastAsia="Calibri"/>
                <w:spacing w:val="-4"/>
                <w:szCs w:val="20"/>
                <w:lang w:eastAsia="en-US"/>
              </w:rPr>
            </w:pPr>
          </w:p>
        </w:tc>
        <w:tc>
          <w:tcPr>
            <w:tcW w:w="7596" w:type="dxa"/>
            <w:hideMark/>
          </w:tcPr>
          <w:p w14:paraId="53E84BF5" w14:textId="77777777" w:rsidR="004E7C6B" w:rsidRDefault="004E7C6B">
            <w:pPr>
              <w:spacing w:after="0" w:line="240" w:lineRule="auto"/>
              <w:rPr>
                <w:rFonts w:cs="Arial"/>
                <w:sz w:val="14"/>
                <w:szCs w:val="14"/>
                <w:lang w:eastAsia="en-US"/>
              </w:rPr>
            </w:pPr>
            <w:r>
              <w:rPr>
                <w:rFonts w:cs="Arial"/>
                <w:color w:val="0D0D0D" w:themeColor="text1" w:themeTint="F2"/>
                <w:spacing w:val="-6"/>
                <w:lang w:eastAsia="en-US"/>
              </w:rPr>
              <w:t>*</w:t>
            </w:r>
            <w:r>
              <w:rPr>
                <w:rFonts w:cs="Arial"/>
                <w:sz w:val="14"/>
                <w:szCs w:val="14"/>
                <w:lang w:eastAsia="en-US"/>
              </w:rPr>
              <w:t xml:space="preserve"> Tržby jsou očištěny o kalendářní vlivy.       ** Tržby jsou sezónně i kalendářně očištěny.</w:t>
            </w:r>
          </w:p>
          <w:p w14:paraId="11B6EA72" w14:textId="77777777" w:rsidR="004E7C6B" w:rsidRDefault="004E7C6B">
            <w:pPr>
              <w:spacing w:after="200"/>
              <w:rPr>
                <w:rFonts w:cs="Arial"/>
                <w:color w:val="0D0D0D" w:themeColor="text1" w:themeTint="F2"/>
                <w:spacing w:val="-4"/>
                <w:szCs w:val="20"/>
                <w:lang w:eastAsia="en-US"/>
              </w:rPr>
            </w:pPr>
            <w:r>
              <w:rPr>
                <w:rFonts w:cs="Arial"/>
                <w:color w:val="0D0D0D" w:themeColor="text1" w:themeTint="F2"/>
                <w:spacing w:val="-4"/>
                <w:sz w:val="14"/>
                <w:szCs w:val="14"/>
                <w:lang w:eastAsia="en-US"/>
              </w:rPr>
              <w:t>*** Salda důvěry jsou sezónně očištěna a vyjadřují stav ve druhém měsíci daného čtvrtletí.</w:t>
            </w:r>
            <w:r>
              <w:rPr>
                <w:rFonts w:cs="Arial"/>
                <w:color w:val="0D0D0D" w:themeColor="text1" w:themeTint="F2"/>
                <w:spacing w:val="-4"/>
                <w:sz w:val="14"/>
                <w:szCs w:val="14"/>
                <w:lang w:eastAsia="en-US"/>
              </w:rPr>
              <w:tab/>
              <w:t xml:space="preserve">                                    Zdroj: ČSÚ</w:t>
            </w:r>
          </w:p>
        </w:tc>
      </w:tr>
      <w:tr w:rsidR="004E7C6B" w14:paraId="0BC04370" w14:textId="77777777" w:rsidTr="004E7C6B">
        <w:trPr>
          <w:trHeight w:val="170"/>
        </w:trPr>
        <w:tc>
          <w:tcPr>
            <w:tcW w:w="1814" w:type="dxa"/>
          </w:tcPr>
          <w:p w14:paraId="6B9D0CA7" w14:textId="77777777" w:rsidR="004E7C6B" w:rsidRDefault="004E7C6B">
            <w:pPr>
              <w:pStyle w:val="Marginlie"/>
              <w:rPr>
                <w:color w:val="0D0D0D" w:themeColor="text1" w:themeTint="F2"/>
                <w:spacing w:val="0"/>
                <w:lang w:eastAsia="en-US"/>
              </w:rPr>
            </w:pPr>
            <w:r>
              <w:rPr>
                <w:color w:val="0D0D0D" w:themeColor="text1" w:themeTint="F2"/>
                <w:spacing w:val="0"/>
                <w:lang w:eastAsia="en-US"/>
              </w:rPr>
              <w:t>Meziroční růst maloobchodních tržeb byl ve 3. čtvrtletí nejvyšší za poslední dva a půl roku.</w:t>
            </w:r>
          </w:p>
          <w:p w14:paraId="02FB42CE" w14:textId="77777777" w:rsidR="004E7C6B" w:rsidRDefault="004E7C6B">
            <w:pPr>
              <w:pStyle w:val="Marginlie"/>
              <w:rPr>
                <w:color w:val="0D0D0D" w:themeColor="text1" w:themeTint="F2"/>
                <w:spacing w:val="0"/>
                <w:lang w:eastAsia="en-US"/>
              </w:rPr>
            </w:pPr>
          </w:p>
          <w:p w14:paraId="7C3E8E1B" w14:textId="77777777" w:rsidR="004E7C6B" w:rsidRDefault="004E7C6B">
            <w:pPr>
              <w:pStyle w:val="Marginlie"/>
              <w:rPr>
                <w:color w:val="0D0D0D" w:themeColor="text1" w:themeTint="F2"/>
                <w:spacing w:val="0"/>
                <w:lang w:eastAsia="en-US"/>
              </w:rPr>
            </w:pPr>
          </w:p>
          <w:p w14:paraId="06DEA7A3" w14:textId="77777777" w:rsidR="004E7C6B" w:rsidRDefault="004E7C6B">
            <w:pPr>
              <w:pStyle w:val="Marginlie"/>
              <w:rPr>
                <w:color w:val="0D0D0D" w:themeColor="text1" w:themeTint="F2"/>
                <w:spacing w:val="0"/>
                <w:lang w:eastAsia="en-US"/>
              </w:rPr>
            </w:pPr>
          </w:p>
          <w:p w14:paraId="26D1CC24" w14:textId="77777777" w:rsidR="004E7C6B" w:rsidRDefault="004E7C6B">
            <w:pPr>
              <w:pStyle w:val="Marginlie"/>
              <w:rPr>
                <w:color w:val="0D0D0D" w:themeColor="text1" w:themeTint="F2"/>
                <w:spacing w:val="0"/>
                <w:lang w:eastAsia="en-US"/>
              </w:rPr>
            </w:pPr>
          </w:p>
          <w:p w14:paraId="59915632" w14:textId="77777777" w:rsidR="004E7C6B" w:rsidRDefault="004E7C6B">
            <w:pPr>
              <w:pStyle w:val="Marginlie"/>
              <w:rPr>
                <w:color w:val="0D0D0D" w:themeColor="text1" w:themeTint="F2"/>
                <w:spacing w:val="0"/>
                <w:lang w:eastAsia="en-US"/>
              </w:rPr>
            </w:pPr>
          </w:p>
          <w:p w14:paraId="37A4A331" w14:textId="77777777" w:rsidR="004E7C6B" w:rsidRDefault="004E7C6B">
            <w:pPr>
              <w:pStyle w:val="Marginlie"/>
              <w:rPr>
                <w:color w:val="0D0D0D" w:themeColor="text1" w:themeTint="F2"/>
                <w:spacing w:val="0"/>
                <w:lang w:eastAsia="en-US"/>
              </w:rPr>
            </w:pPr>
            <w:r>
              <w:rPr>
                <w:color w:val="0D0D0D" w:themeColor="text1" w:themeTint="F2"/>
                <w:spacing w:val="0"/>
                <w:lang w:eastAsia="en-US"/>
              </w:rPr>
              <w:lastRenderedPageBreak/>
              <w:t>Kromě specializovaných prodejen potravin rostla poptávka ve všech segmentech maloobchodu.</w:t>
            </w:r>
          </w:p>
          <w:p w14:paraId="42155F46" w14:textId="77777777" w:rsidR="004E7C6B" w:rsidRDefault="004E7C6B">
            <w:pPr>
              <w:pStyle w:val="Marginlie"/>
              <w:rPr>
                <w:color w:val="0D0D0D" w:themeColor="text1" w:themeTint="F2"/>
                <w:spacing w:val="0"/>
                <w:lang w:eastAsia="en-US"/>
              </w:rPr>
            </w:pPr>
          </w:p>
          <w:p w14:paraId="48F4DD6A" w14:textId="77777777" w:rsidR="004E7C6B" w:rsidRDefault="004E7C6B">
            <w:pPr>
              <w:pStyle w:val="Marginlie"/>
              <w:rPr>
                <w:color w:val="0D0D0D" w:themeColor="text1" w:themeTint="F2"/>
                <w:spacing w:val="0"/>
                <w:lang w:eastAsia="en-US"/>
              </w:rPr>
            </w:pPr>
          </w:p>
          <w:p w14:paraId="74DF154E" w14:textId="77777777" w:rsidR="004E7C6B" w:rsidRDefault="004E7C6B">
            <w:pPr>
              <w:pStyle w:val="Marginlie"/>
              <w:rPr>
                <w:color w:val="0D0D0D" w:themeColor="text1" w:themeTint="F2"/>
                <w:spacing w:val="0"/>
                <w:lang w:eastAsia="en-US"/>
              </w:rPr>
            </w:pPr>
            <w:r>
              <w:rPr>
                <w:color w:val="0D0D0D" w:themeColor="text1" w:themeTint="F2"/>
                <w:spacing w:val="0"/>
                <w:lang w:eastAsia="en-US"/>
              </w:rPr>
              <w:t xml:space="preserve">Postupující digitalizace i modernizace v logistice vedly k silnému růstu internetového prodeje. </w:t>
            </w:r>
          </w:p>
          <w:p w14:paraId="2D413D75" w14:textId="77777777" w:rsidR="004E7C6B" w:rsidRDefault="004E7C6B">
            <w:pPr>
              <w:pStyle w:val="Marginlie"/>
              <w:rPr>
                <w:color w:val="0D0D0D" w:themeColor="text1" w:themeTint="F2"/>
                <w:spacing w:val="0"/>
                <w:lang w:eastAsia="en-US"/>
              </w:rPr>
            </w:pPr>
          </w:p>
          <w:p w14:paraId="3ADF8F8A" w14:textId="77777777" w:rsidR="004E7C6B" w:rsidRDefault="004E7C6B">
            <w:pPr>
              <w:pStyle w:val="Marginlie"/>
              <w:rPr>
                <w:color w:val="0D0D0D" w:themeColor="text1" w:themeTint="F2"/>
                <w:spacing w:val="0"/>
                <w:lang w:eastAsia="en-US"/>
              </w:rPr>
            </w:pPr>
          </w:p>
          <w:p w14:paraId="2D927966" w14:textId="77777777" w:rsidR="004E7C6B" w:rsidRDefault="004E7C6B">
            <w:pPr>
              <w:pStyle w:val="Marginlie"/>
              <w:rPr>
                <w:color w:val="0D0D0D" w:themeColor="text1" w:themeTint="F2"/>
                <w:spacing w:val="0"/>
                <w:lang w:eastAsia="en-US"/>
              </w:rPr>
            </w:pPr>
          </w:p>
          <w:p w14:paraId="674816D8" w14:textId="77777777" w:rsidR="004E7C6B" w:rsidRDefault="004E7C6B">
            <w:pPr>
              <w:pStyle w:val="Marginlie"/>
              <w:rPr>
                <w:color w:val="0D0D0D" w:themeColor="text1" w:themeTint="F2"/>
                <w:spacing w:val="0"/>
                <w:lang w:eastAsia="en-US"/>
              </w:rPr>
            </w:pPr>
          </w:p>
          <w:p w14:paraId="53A13FAC" w14:textId="77777777" w:rsidR="004E7C6B" w:rsidRDefault="004E7C6B">
            <w:pPr>
              <w:pStyle w:val="Marginlie"/>
              <w:rPr>
                <w:color w:val="0D0D0D" w:themeColor="text1" w:themeTint="F2"/>
                <w:spacing w:val="0"/>
                <w:lang w:eastAsia="en-US"/>
              </w:rPr>
            </w:pPr>
          </w:p>
          <w:p w14:paraId="6C149634" w14:textId="77777777" w:rsidR="004E7C6B" w:rsidRDefault="004E7C6B">
            <w:pPr>
              <w:pStyle w:val="Marginlie"/>
              <w:rPr>
                <w:color w:val="0D0D0D" w:themeColor="text1" w:themeTint="F2"/>
                <w:spacing w:val="0"/>
                <w:lang w:eastAsia="en-US"/>
              </w:rPr>
            </w:pPr>
            <w:r>
              <w:rPr>
                <w:color w:val="0D0D0D" w:themeColor="text1" w:themeTint="F2"/>
                <w:spacing w:val="0"/>
                <w:lang w:eastAsia="en-US"/>
              </w:rPr>
              <w:t>Poptávka po PHM svižně rostla druhým rokem v řadě, a to i díky příznivému vývoji jejich spotřebitelských cen.</w:t>
            </w:r>
          </w:p>
          <w:p w14:paraId="6CD3383B" w14:textId="77777777" w:rsidR="004E7C6B" w:rsidRDefault="004E7C6B">
            <w:pPr>
              <w:pStyle w:val="Marginlie"/>
              <w:rPr>
                <w:spacing w:val="0"/>
                <w:lang w:eastAsia="en-US"/>
              </w:rPr>
            </w:pPr>
          </w:p>
        </w:tc>
        <w:tc>
          <w:tcPr>
            <w:tcW w:w="229" w:type="dxa"/>
          </w:tcPr>
          <w:p w14:paraId="7E212CA3" w14:textId="77777777" w:rsidR="004E7C6B" w:rsidRDefault="004E7C6B">
            <w:pPr>
              <w:pStyle w:val="Textpoznpodarou"/>
              <w:jc w:val="both"/>
              <w:rPr>
                <w:spacing w:val="-4"/>
                <w:lang w:eastAsia="en-US"/>
              </w:rPr>
            </w:pPr>
          </w:p>
        </w:tc>
        <w:tc>
          <w:tcPr>
            <w:tcW w:w="7596" w:type="dxa"/>
          </w:tcPr>
          <w:p w14:paraId="59BA5722" w14:textId="77777777" w:rsidR="004E7C6B" w:rsidRDefault="004E7C6B">
            <w:pPr>
              <w:spacing w:after="0"/>
              <w:rPr>
                <w:rFonts w:cs="Arial"/>
                <w:color w:val="0D0D0D" w:themeColor="text1" w:themeTint="F2"/>
                <w:spacing w:val="-4"/>
                <w:szCs w:val="20"/>
                <w:lang w:eastAsia="en-US"/>
              </w:rPr>
            </w:pPr>
            <w:r>
              <w:rPr>
                <w:rFonts w:cs="Arial"/>
                <w:color w:val="0D0D0D" w:themeColor="text1" w:themeTint="F2"/>
                <w:spacing w:val="-4"/>
                <w:szCs w:val="20"/>
                <w:lang w:eastAsia="en-US"/>
              </w:rPr>
              <w:t>Tržby v maloobchodu</w:t>
            </w:r>
            <w:r>
              <w:rPr>
                <w:rStyle w:val="Znakapoznpodarou"/>
                <w:color w:val="0D0D0D" w:themeColor="text1" w:themeTint="F2"/>
                <w:spacing w:val="-4"/>
                <w:lang w:eastAsia="en-US"/>
              </w:rPr>
              <w:footnoteReference w:id="46"/>
            </w:r>
            <w:r>
              <w:rPr>
                <w:rFonts w:cs="Arial"/>
                <w:color w:val="0D0D0D" w:themeColor="text1" w:themeTint="F2"/>
                <w:spacing w:val="-4"/>
                <w:szCs w:val="20"/>
                <w:lang w:eastAsia="en-US"/>
              </w:rPr>
              <w:t xml:space="preserve"> po sedmi čtvrtletích nepříznivého vývoje vykázaly již ve 3. čtvrtletí 2023 mírný mezikvartální růst (+0,5</w:t>
            </w:r>
            <w:r>
              <w:rPr>
                <w:rFonts w:cs="Arial"/>
                <w:color w:val="0D0D0D" w:themeColor="text1" w:themeTint="F2"/>
                <w:spacing w:val="-4"/>
                <w:lang w:eastAsia="en-US"/>
              </w:rPr>
              <w:t> </w:t>
            </w:r>
            <w:r>
              <w:rPr>
                <w:rFonts w:cs="Arial"/>
                <w:color w:val="0D0D0D" w:themeColor="text1" w:themeTint="F2"/>
                <w:spacing w:val="-4"/>
                <w:szCs w:val="20"/>
                <w:lang w:eastAsia="en-US"/>
              </w:rPr>
              <w:t>%), jenž následně posiloval a na počátku letošního roku již přesáhl 2 % (v další části roku zotavování pokračovalo, byť mírnějšími tempy). Přesto aktuální úroveň tržeb zaostávala za svým předkrizovým maximem (ze 4. čtvrtletí 2019) o 2,1 %</w:t>
            </w:r>
            <w:r>
              <w:rPr>
                <w:rStyle w:val="Znakapoznpodarou"/>
                <w:color w:val="0D0D0D" w:themeColor="text1" w:themeTint="F2"/>
                <w:spacing w:val="-4"/>
                <w:szCs w:val="20"/>
                <w:lang w:eastAsia="en-US"/>
              </w:rPr>
              <w:footnoteReference w:id="47"/>
            </w:r>
            <w:r>
              <w:rPr>
                <w:rFonts w:cs="Arial"/>
                <w:color w:val="0D0D0D" w:themeColor="text1" w:themeTint="F2"/>
                <w:spacing w:val="-4"/>
                <w:szCs w:val="20"/>
                <w:lang w:eastAsia="en-US"/>
              </w:rPr>
              <w:t xml:space="preserve">. Meziroční růst tržeb od počátku letošního roku posiloval a ve 3. čtvrtletí vystoupal na 4,9 % (nejvíce za poslední dva a půl roku). Vyšší poptávka se objevila ve všech významnějších segmentech, vyjma maloobchodu s potravinami, realizovaných </w:t>
            </w:r>
            <w:r>
              <w:rPr>
                <w:rFonts w:cs="Arial"/>
                <w:color w:val="0D0D0D" w:themeColor="text1" w:themeTint="F2"/>
                <w:spacing w:val="-4"/>
                <w:szCs w:val="20"/>
                <w:lang w:eastAsia="en-US"/>
              </w:rPr>
              <w:lastRenderedPageBreak/>
              <w:t>ve specializovaných prodejnách (-3,2 %)</w:t>
            </w:r>
            <w:r>
              <w:rPr>
                <w:rStyle w:val="Znakapoznpodarou"/>
                <w:color w:val="0D0D0D" w:themeColor="text1" w:themeTint="F2"/>
                <w:spacing w:val="-4"/>
                <w:szCs w:val="20"/>
                <w:lang w:eastAsia="en-US"/>
              </w:rPr>
              <w:footnoteReference w:id="48"/>
            </w:r>
            <w:r>
              <w:rPr>
                <w:rFonts w:cs="Arial"/>
                <w:color w:val="0D0D0D" w:themeColor="text1" w:themeTint="F2"/>
                <w:spacing w:val="-4"/>
                <w:szCs w:val="20"/>
                <w:lang w:eastAsia="en-US"/>
              </w:rPr>
              <w:t xml:space="preserve">. Tržby v ostatních prodejnách s potravinami, mezi něž patří zejména velké řetězce, vzrostly o 3,1 % (přestože šlo spolu s letošním 2. čtvrtletím o nejvyšší tempo po roce 2019). Mnohem svižněji rostla poptávka po nepotravinářském zboží, tržby v tomto segmentu překonaly úroveň z loňského 3. čtvrtletí o 7,1 % (zvyšovaly se nejvíce za posledních deset kvartálů). Zásadní vliv zde měly rychle rostoucí tržby v internetovém prodeji (+18,4 %), jež samy o sobě zajistily téměř polovinu růstu celého maloobchodu. Impulsem k rozvoji tohoto prodeje byla postupující digitalizace </w:t>
            </w:r>
            <w:r>
              <w:rPr>
                <w:rFonts w:cs="Arial"/>
                <w:color w:val="0D0D0D" w:themeColor="text1" w:themeTint="F2"/>
                <w:spacing w:val="-4"/>
                <w:szCs w:val="20"/>
                <w:lang w:eastAsia="en-US"/>
              </w:rPr>
              <w:br/>
              <w:t>i modernizace v oblasti logistiky. V rámci specializovaných obchodů se (stejně jako loni v létě) zvýšila nejvíce poptávka po kosmetických a toaletních výrobcích (+10,8 %), svižně rostly i tržby za farmaceutické a zdravotnické zboží (+8,8 %). V ostatních segmentech se však tržby zvyšovaly střídměji (do 2 %), zčásti patrně i proto, že část jejich poptávky absorbují internetové a zásilkové obchody (např. u počítačového a komunikačního zařízení). V rámci nespecializovaných prodejen výrazně zrychlil růst tržeb v malém segmentu s převahou nepotravinářského zboží (na 14,5 %), zaměřeném typicky na nabídku různorodého zboží ve slevových akcích. Cenové vlivy</w:t>
            </w:r>
            <w:r>
              <w:rPr>
                <w:rStyle w:val="Znakapoznpodarou"/>
                <w:color w:val="0D0D0D" w:themeColor="text1" w:themeTint="F2"/>
                <w:spacing w:val="-4"/>
                <w:szCs w:val="20"/>
                <w:lang w:eastAsia="en-US"/>
              </w:rPr>
              <w:footnoteReference w:id="49"/>
            </w:r>
            <w:r>
              <w:rPr>
                <w:rFonts w:cs="Arial"/>
                <w:color w:val="0D0D0D" w:themeColor="text1" w:themeTint="F2"/>
                <w:spacing w:val="-4"/>
                <w:szCs w:val="20"/>
                <w:lang w:eastAsia="en-US"/>
              </w:rPr>
              <w:t xml:space="preserve"> měly pozitivní dopad také na poptávku po pohonných hmotách. Jejich tržby ve 3. čtvrtletí meziročně vzrostly o 3,5 % (k růstu celého maloobchodu přispěly +0,5 p. b.). Na rozdíl od většiny ostatních oblastí maloobchodu nelze jejich současný růst přičíst efektu slabší loňské základny.</w:t>
            </w:r>
          </w:p>
          <w:p w14:paraId="5CAD9F2C" w14:textId="77777777" w:rsidR="004E7C6B" w:rsidRDefault="004E7C6B">
            <w:pPr>
              <w:spacing w:after="0"/>
              <w:rPr>
                <w:rFonts w:cs="Arial"/>
                <w:color w:val="0D0D0D" w:themeColor="text1" w:themeTint="F2"/>
                <w:spacing w:val="-4"/>
                <w:szCs w:val="20"/>
                <w:lang w:eastAsia="en-US"/>
              </w:rPr>
            </w:pPr>
          </w:p>
        </w:tc>
      </w:tr>
      <w:tr w:rsidR="004E7C6B" w14:paraId="65E460FD" w14:textId="77777777" w:rsidTr="004E7C6B">
        <w:trPr>
          <w:trHeight w:val="170"/>
        </w:trPr>
        <w:tc>
          <w:tcPr>
            <w:tcW w:w="1814" w:type="dxa"/>
            <w:hideMark/>
          </w:tcPr>
          <w:p w14:paraId="69E7DB1A" w14:textId="77777777" w:rsidR="004E7C6B" w:rsidRDefault="004E7C6B">
            <w:pPr>
              <w:pStyle w:val="Marginlie"/>
              <w:rPr>
                <w:spacing w:val="-4"/>
                <w:lang w:eastAsia="en-US"/>
              </w:rPr>
            </w:pPr>
            <w:r>
              <w:rPr>
                <w:spacing w:val="-4"/>
                <w:lang w:eastAsia="en-US"/>
              </w:rPr>
              <w:lastRenderedPageBreak/>
              <w:t>Mírný růst tržeb v</w:t>
            </w:r>
            <w:r>
              <w:rPr>
                <w:rFonts w:cs="Arial"/>
                <w:color w:val="0D0D0D" w:themeColor="text1" w:themeTint="F2"/>
                <w:szCs w:val="20"/>
                <w:lang w:eastAsia="en-US"/>
              </w:rPr>
              <w:t> </w:t>
            </w:r>
            <w:r>
              <w:rPr>
                <w:spacing w:val="-4"/>
                <w:lang w:eastAsia="en-US"/>
              </w:rPr>
              <w:t>motoristickém segmentu obchodu se ve 3. čtvrtletí zastavil.</w:t>
            </w:r>
          </w:p>
        </w:tc>
        <w:tc>
          <w:tcPr>
            <w:tcW w:w="229" w:type="dxa"/>
          </w:tcPr>
          <w:p w14:paraId="7ECD7638" w14:textId="77777777" w:rsidR="004E7C6B" w:rsidRDefault="004E7C6B">
            <w:pPr>
              <w:pStyle w:val="Textpoznpodarou"/>
              <w:jc w:val="both"/>
              <w:rPr>
                <w:color w:val="0D0D0D" w:themeColor="text1" w:themeTint="F2"/>
                <w:spacing w:val="-4"/>
                <w:lang w:eastAsia="en-US"/>
              </w:rPr>
            </w:pPr>
          </w:p>
        </w:tc>
        <w:tc>
          <w:tcPr>
            <w:tcW w:w="7596" w:type="dxa"/>
            <w:hideMark/>
          </w:tcPr>
          <w:p w14:paraId="2B3D3343" w14:textId="77777777" w:rsidR="004E7C6B" w:rsidRDefault="004E7C6B">
            <w:pPr>
              <w:spacing w:after="0"/>
              <w:rPr>
                <w:rFonts w:cs="Arial"/>
                <w:color w:val="0D0D0D" w:themeColor="text1" w:themeTint="F2"/>
                <w:szCs w:val="20"/>
                <w:lang w:eastAsia="en-US"/>
              </w:rPr>
            </w:pPr>
            <w:r>
              <w:rPr>
                <w:rFonts w:cs="Arial"/>
                <w:color w:val="0D0D0D" w:themeColor="text1" w:themeTint="F2"/>
                <w:szCs w:val="20"/>
                <w:lang w:eastAsia="en-US"/>
              </w:rPr>
              <w:t xml:space="preserve">Po mírném meziročním růstu v první polovině letošního roku se tržby v motoristickém segmentu obchodu ve 3. čtvrtletí snížily o 0,8 %, a to vlivem slabší poptávky v obchodu s motorovými vozidly, jejich díly i příslušenstvím. Naopak se mírně zvýšily tržby za prodej motocyklů, stejně jako za opravy a údržby vozidel. </w:t>
            </w:r>
            <w:r>
              <w:rPr>
                <w:rFonts w:cs="Arial"/>
                <w:color w:val="0D0D0D" w:themeColor="text1" w:themeTint="F2"/>
                <w:spacing w:val="-6"/>
                <w:szCs w:val="20"/>
                <w:lang w:eastAsia="en-US"/>
              </w:rPr>
              <w:t>Oproti 4. čtvrtletí 2017, kdy byl celý motoristický segment na svém vrcholu, byly letos jeho tržby nižší o 8 %.</w:t>
            </w:r>
          </w:p>
        </w:tc>
      </w:tr>
      <w:bookmarkEnd w:id="15"/>
      <w:bookmarkEnd w:id="16"/>
    </w:tbl>
    <w:p w14:paraId="0569A6FA" w14:textId="77777777" w:rsidR="004E7C6B" w:rsidRDefault="004E7C6B" w:rsidP="004E7C6B">
      <w:pPr>
        <w:rPr>
          <w:rFonts w:eastAsia="MS Gothic"/>
        </w:rPr>
      </w:pPr>
    </w:p>
    <w:p w14:paraId="03F8F231" w14:textId="77777777" w:rsidR="004E7C6B" w:rsidRDefault="004E7C6B">
      <w:pPr>
        <w:spacing w:after="0" w:line="240" w:lineRule="auto"/>
        <w:jc w:val="left"/>
        <w:rPr>
          <w:rFonts w:eastAsia="MS Gothic"/>
          <w:b/>
          <w:bCs/>
          <w:color w:val="86BF5E"/>
          <w:sz w:val="32"/>
          <w:szCs w:val="28"/>
        </w:rPr>
      </w:pPr>
      <w:r>
        <w:br w:type="page"/>
      </w:r>
    </w:p>
    <w:p w14:paraId="277ED595" w14:textId="00597C0F" w:rsidR="00FB4423" w:rsidRPr="00F204DA" w:rsidRDefault="00FB4423" w:rsidP="00FB4423">
      <w:pPr>
        <w:pStyle w:val="Nadpis1"/>
      </w:pPr>
      <w:bookmarkStart w:id="19" w:name="_Toc185241004"/>
      <w:r>
        <w:lastRenderedPageBreak/>
        <w:t>4</w:t>
      </w:r>
      <w:bookmarkStart w:id="20" w:name="_Toc19090679"/>
      <w:bookmarkStart w:id="21" w:name="_Toc74643856"/>
      <w:bookmarkStart w:id="22" w:name="_Toc42852411"/>
      <w:bookmarkStart w:id="23" w:name="_Toc74643857"/>
      <w:bookmarkEnd w:id="20"/>
      <w:r>
        <w:t>. Vnější vztahy</w:t>
      </w:r>
      <w:bookmarkEnd w:id="19"/>
    </w:p>
    <w:tbl>
      <w:tblPr>
        <w:tblW w:w="9677" w:type="dxa"/>
        <w:tblInd w:w="-15" w:type="dxa"/>
        <w:tblLayout w:type="fixed"/>
        <w:tblCellMar>
          <w:left w:w="0" w:type="dxa"/>
          <w:right w:w="0" w:type="dxa"/>
        </w:tblCellMar>
        <w:tblLook w:val="00A0" w:firstRow="1" w:lastRow="0" w:firstColumn="1" w:lastColumn="0" w:noHBand="0" w:noVBand="0"/>
      </w:tblPr>
      <w:tblGrid>
        <w:gridCol w:w="1748"/>
        <w:gridCol w:w="252"/>
        <w:gridCol w:w="2811"/>
        <w:gridCol w:w="57"/>
        <w:gridCol w:w="4809"/>
      </w:tblGrid>
      <w:tr w:rsidR="00FB4423" w14:paraId="363C85A2" w14:textId="77777777" w:rsidTr="0083516C">
        <w:trPr>
          <w:trHeight w:val="145"/>
        </w:trPr>
        <w:tc>
          <w:tcPr>
            <w:tcW w:w="1748" w:type="dxa"/>
            <w:hideMark/>
          </w:tcPr>
          <w:p w14:paraId="47D48EAB" w14:textId="77777777" w:rsidR="00FB4423" w:rsidRDefault="00FB4423" w:rsidP="0083516C">
            <w:pPr>
              <w:pStyle w:val="Marginlie"/>
              <w:rPr>
                <w:lang w:eastAsia="en-US"/>
              </w:rPr>
            </w:pPr>
            <w:r>
              <w:rPr>
                <w:lang w:eastAsia="en-US"/>
              </w:rPr>
              <w:t xml:space="preserve">Vývoz zboží ve </w:t>
            </w:r>
            <w:r>
              <w:rPr>
                <w:lang w:eastAsia="en-US"/>
              </w:rPr>
              <w:br/>
              <w:t>3. čtvrtletí mohutně meziročně rostl.</w:t>
            </w:r>
          </w:p>
        </w:tc>
        <w:tc>
          <w:tcPr>
            <w:tcW w:w="252" w:type="dxa"/>
          </w:tcPr>
          <w:p w14:paraId="40721248" w14:textId="77777777" w:rsidR="00FB4423" w:rsidRDefault="00FB4423" w:rsidP="0083516C">
            <w:pPr>
              <w:pStyle w:val="Textpoznpodarou"/>
              <w:jc w:val="both"/>
              <w:rPr>
                <w:spacing w:val="-4"/>
                <w:lang w:eastAsia="en-US"/>
              </w:rPr>
            </w:pPr>
          </w:p>
        </w:tc>
        <w:tc>
          <w:tcPr>
            <w:tcW w:w="7677" w:type="dxa"/>
            <w:gridSpan w:val="3"/>
            <w:hideMark/>
          </w:tcPr>
          <w:p w14:paraId="73343E07" w14:textId="2AEC4DED" w:rsidR="00FB4423" w:rsidRDefault="00FB4423" w:rsidP="003E62A5">
            <w:pPr>
              <w:spacing w:after="180"/>
              <w:rPr>
                <w:spacing w:val="-4"/>
                <w:lang w:eastAsia="en-US"/>
              </w:rPr>
            </w:pPr>
            <w:r>
              <w:rPr>
                <w:spacing w:val="-4"/>
                <w:lang w:eastAsia="en-US"/>
              </w:rPr>
              <w:t>Celková hodnota vývozu zboží</w:t>
            </w:r>
            <w:r>
              <w:rPr>
                <w:rStyle w:val="Znakapoznpodarou"/>
                <w:spacing w:val="-4"/>
                <w:lang w:eastAsia="en-US"/>
              </w:rPr>
              <w:footnoteReference w:id="50"/>
            </w:r>
            <w:r>
              <w:rPr>
                <w:spacing w:val="-4"/>
                <w:lang w:eastAsia="en-US"/>
              </w:rPr>
              <w:t xml:space="preserve"> v 1. až 3. čtvrtletí dosáhla 3 471,8 mld. korun a meziročně tak byla vyšší o 162,3 mld. (4,9 %). Výraznou většinu z tohoto nárůstu lze přičíst vývoji ve 3. čtvrtletí, kdy export zboží meziročně vzrostl o 108,2 mld. korun (10,6 %) a dosáhl celkem 1 128,2 mld. Na vývoji ve 3. čtvrtletí 2024 se projevila slabá základna předchozího roku a za částí mohutného růstu hodnoty exportu stál i růst cen</w:t>
            </w:r>
            <w:r>
              <w:rPr>
                <w:rStyle w:val="Znakapoznpodarou"/>
                <w:spacing w:val="-4"/>
                <w:lang w:eastAsia="en-US"/>
              </w:rPr>
              <w:footnoteReference w:id="51"/>
            </w:r>
            <w:r>
              <w:rPr>
                <w:spacing w:val="-4"/>
                <w:lang w:eastAsia="en-US"/>
              </w:rPr>
              <w:t>. Podle sezónně očištěných údajů se hodnota vývozu zboží ve 3. čtvrtletí mezičtvrtletně zvýšila o 0,5 % a nominální přírůstek se tak nezměnil ve srovnání s předchozím kvartálem.</w:t>
            </w:r>
          </w:p>
        </w:tc>
      </w:tr>
      <w:tr w:rsidR="00FB4423" w14:paraId="5E3FBC21" w14:textId="77777777" w:rsidTr="0083516C">
        <w:trPr>
          <w:trHeight w:val="150"/>
        </w:trPr>
        <w:tc>
          <w:tcPr>
            <w:tcW w:w="1748" w:type="dxa"/>
            <w:vMerge w:val="restart"/>
          </w:tcPr>
          <w:p w14:paraId="4ADF71B1" w14:textId="77777777" w:rsidR="00FB4423" w:rsidRDefault="00FB4423" w:rsidP="0083516C">
            <w:pPr>
              <w:pStyle w:val="Marginlie"/>
              <w:rPr>
                <w:lang w:eastAsia="en-US"/>
              </w:rPr>
            </w:pPr>
          </w:p>
        </w:tc>
        <w:tc>
          <w:tcPr>
            <w:tcW w:w="252" w:type="dxa"/>
            <w:vMerge w:val="restart"/>
          </w:tcPr>
          <w:p w14:paraId="791964F8" w14:textId="77777777" w:rsidR="00FB4423" w:rsidRDefault="00FB4423" w:rsidP="0083516C">
            <w:pPr>
              <w:pStyle w:val="Textpoznpodarou"/>
              <w:jc w:val="both"/>
              <w:rPr>
                <w:spacing w:val="-4"/>
                <w:lang w:eastAsia="en-US"/>
              </w:rPr>
            </w:pPr>
          </w:p>
        </w:tc>
        <w:tc>
          <w:tcPr>
            <w:tcW w:w="7677" w:type="dxa"/>
            <w:gridSpan w:val="3"/>
          </w:tcPr>
          <w:p w14:paraId="5E437DD8" w14:textId="77777777" w:rsidR="00FB4423" w:rsidRDefault="00FB4423" w:rsidP="0083516C">
            <w:pPr>
              <w:spacing w:after="0"/>
              <w:rPr>
                <w:spacing w:val="-4"/>
                <w:lang w:eastAsia="en-US"/>
              </w:rPr>
            </w:pPr>
            <w:r>
              <w:rPr>
                <w:rFonts w:cs="Arial"/>
                <w:b/>
                <w:bCs/>
                <w:color w:val="000000"/>
                <w:szCs w:val="20"/>
                <w:lang w:eastAsia="en-US"/>
              </w:rPr>
              <w:t xml:space="preserve">Graf č. 9 Vývoz a dovoz zboží </w:t>
            </w:r>
            <w:r>
              <w:rPr>
                <w:rFonts w:cs="Arial"/>
                <w:bCs/>
                <w:color w:val="000000"/>
                <w:szCs w:val="20"/>
                <w:lang w:eastAsia="en-US"/>
              </w:rPr>
              <w:t>(meziročně v %)</w:t>
            </w:r>
            <w:r>
              <w:rPr>
                <w:rFonts w:cs="Arial"/>
                <w:b/>
                <w:bCs/>
                <w:color w:val="000000"/>
                <w:szCs w:val="20"/>
                <w:lang w:eastAsia="en-US"/>
              </w:rPr>
              <w:t xml:space="preserve"> a bilance zahraničního obchodu se zbožím </w:t>
            </w:r>
            <w:r>
              <w:rPr>
                <w:rFonts w:cs="Arial"/>
                <w:bCs/>
                <w:color w:val="000000"/>
                <w:szCs w:val="20"/>
                <w:lang w:eastAsia="en-US"/>
              </w:rPr>
              <w:t>(v mld. korun, pravá osa)</w:t>
            </w:r>
            <w:r>
              <w:rPr>
                <w:rFonts w:cs="Arial"/>
                <w:b/>
                <w:bCs/>
                <w:color w:val="000000"/>
                <w:szCs w:val="20"/>
                <w:lang w:eastAsia="en-US"/>
              </w:rPr>
              <w:t xml:space="preserve"> </w:t>
            </w:r>
          </w:p>
        </w:tc>
      </w:tr>
      <w:tr w:rsidR="00FB4423" w14:paraId="2A7AF772" w14:textId="77777777" w:rsidTr="0083516C">
        <w:tblPrEx>
          <w:tblCellMar>
            <w:left w:w="70" w:type="dxa"/>
            <w:right w:w="70" w:type="dxa"/>
          </w:tblCellMar>
        </w:tblPrEx>
        <w:trPr>
          <w:trHeight w:val="150"/>
        </w:trPr>
        <w:tc>
          <w:tcPr>
            <w:tcW w:w="1748" w:type="dxa"/>
            <w:vMerge/>
          </w:tcPr>
          <w:p w14:paraId="4E213712" w14:textId="77777777" w:rsidR="00FB4423" w:rsidRDefault="00FB4423" w:rsidP="0083516C">
            <w:pPr>
              <w:pStyle w:val="Marginlie"/>
              <w:rPr>
                <w:lang w:eastAsia="en-US"/>
              </w:rPr>
            </w:pPr>
          </w:p>
        </w:tc>
        <w:tc>
          <w:tcPr>
            <w:tcW w:w="252" w:type="dxa"/>
            <w:vMerge/>
          </w:tcPr>
          <w:p w14:paraId="6B4A9BC2" w14:textId="77777777" w:rsidR="00FB4423" w:rsidRDefault="00FB4423" w:rsidP="0083516C">
            <w:pPr>
              <w:pStyle w:val="Textpoznpodarou"/>
              <w:jc w:val="both"/>
              <w:rPr>
                <w:spacing w:val="-4"/>
                <w:lang w:eastAsia="en-US"/>
              </w:rPr>
            </w:pPr>
          </w:p>
        </w:tc>
        <w:tc>
          <w:tcPr>
            <w:tcW w:w="7677" w:type="dxa"/>
            <w:gridSpan w:val="3"/>
          </w:tcPr>
          <w:p w14:paraId="284642BC" w14:textId="77777777" w:rsidR="00FB4423" w:rsidRDefault="00FB4423" w:rsidP="0083516C">
            <w:pPr>
              <w:spacing w:after="0"/>
              <w:rPr>
                <w:spacing w:val="-4"/>
                <w:lang w:eastAsia="en-US"/>
              </w:rPr>
            </w:pPr>
            <w:r>
              <w:rPr>
                <w:noProof/>
              </w:rPr>
              <w:drawing>
                <wp:inline distT="0" distB="0" distL="0" distR="0" wp14:anchorId="60DA5A3F" wp14:editId="33C51827">
                  <wp:extent cx="4752000" cy="349200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FB4423" w14:paraId="28CBE978" w14:textId="77777777" w:rsidTr="0083516C">
        <w:trPr>
          <w:trHeight w:val="150"/>
        </w:trPr>
        <w:tc>
          <w:tcPr>
            <w:tcW w:w="1748" w:type="dxa"/>
            <w:vMerge/>
          </w:tcPr>
          <w:p w14:paraId="4A739F63" w14:textId="77777777" w:rsidR="00FB4423" w:rsidRDefault="00FB4423" w:rsidP="0083516C">
            <w:pPr>
              <w:pStyle w:val="Marginlie"/>
              <w:rPr>
                <w:lang w:eastAsia="en-US"/>
              </w:rPr>
            </w:pPr>
          </w:p>
        </w:tc>
        <w:tc>
          <w:tcPr>
            <w:tcW w:w="252" w:type="dxa"/>
            <w:vMerge/>
          </w:tcPr>
          <w:p w14:paraId="50B68409" w14:textId="77777777" w:rsidR="00FB4423" w:rsidRDefault="00FB4423" w:rsidP="0083516C">
            <w:pPr>
              <w:pStyle w:val="Textpoznpodarou"/>
              <w:jc w:val="both"/>
              <w:rPr>
                <w:spacing w:val="-4"/>
                <w:lang w:eastAsia="en-US"/>
              </w:rPr>
            </w:pPr>
          </w:p>
        </w:tc>
        <w:tc>
          <w:tcPr>
            <w:tcW w:w="7677" w:type="dxa"/>
            <w:gridSpan w:val="3"/>
          </w:tcPr>
          <w:p w14:paraId="04F43CC4" w14:textId="77777777" w:rsidR="00FB4423" w:rsidRDefault="00FB4423" w:rsidP="0083516C">
            <w:pPr>
              <w:spacing w:after="180"/>
              <w:jc w:val="right"/>
              <w:rPr>
                <w:spacing w:val="-4"/>
                <w:lang w:eastAsia="en-US"/>
              </w:rPr>
            </w:pPr>
            <w:r>
              <w:rPr>
                <w:sz w:val="16"/>
                <w:szCs w:val="16"/>
                <w:lang w:eastAsia="en-US"/>
              </w:rPr>
              <w:t>Zdroj: ČSÚ</w:t>
            </w:r>
          </w:p>
        </w:tc>
      </w:tr>
      <w:tr w:rsidR="00FB4423" w14:paraId="2C9641E4" w14:textId="77777777" w:rsidTr="0083516C">
        <w:trPr>
          <w:trHeight w:val="145"/>
        </w:trPr>
        <w:tc>
          <w:tcPr>
            <w:tcW w:w="1748" w:type="dxa"/>
          </w:tcPr>
          <w:p w14:paraId="31C87843" w14:textId="77777777" w:rsidR="00FB4423" w:rsidRDefault="00FB4423" w:rsidP="0083516C">
            <w:pPr>
              <w:pStyle w:val="Marginlie"/>
              <w:rPr>
                <w:lang w:eastAsia="en-US"/>
              </w:rPr>
            </w:pPr>
            <w:r>
              <w:rPr>
                <w:lang w:eastAsia="en-US"/>
              </w:rPr>
              <w:t>Od začátku roku se výrazně zvyšuje export do Velké Británie.</w:t>
            </w:r>
          </w:p>
        </w:tc>
        <w:tc>
          <w:tcPr>
            <w:tcW w:w="252" w:type="dxa"/>
          </w:tcPr>
          <w:p w14:paraId="72BA69BE" w14:textId="77777777" w:rsidR="00FB4423" w:rsidRDefault="00FB4423" w:rsidP="0083516C">
            <w:pPr>
              <w:pStyle w:val="Textpoznpodarou"/>
              <w:jc w:val="both"/>
              <w:rPr>
                <w:spacing w:val="-4"/>
                <w:lang w:eastAsia="en-US"/>
              </w:rPr>
            </w:pPr>
          </w:p>
        </w:tc>
        <w:tc>
          <w:tcPr>
            <w:tcW w:w="7677" w:type="dxa"/>
            <w:gridSpan w:val="3"/>
          </w:tcPr>
          <w:p w14:paraId="7477A232" w14:textId="77777777" w:rsidR="00FB4423" w:rsidRDefault="00FB4423" w:rsidP="00622275">
            <w:pPr>
              <w:spacing w:after="220"/>
              <w:rPr>
                <w:spacing w:val="-4"/>
                <w:lang w:eastAsia="en-US"/>
              </w:rPr>
            </w:pPr>
            <w:r>
              <w:rPr>
                <w:spacing w:val="-4"/>
                <w:lang w:eastAsia="en-US"/>
              </w:rPr>
              <w:t xml:space="preserve">V kumulaci za 1. až 3. čtvrtletí meziročně rostl zejména vývoz do zemí mimo EU (+105,8 mld. korun, 16,4 %), zatímco vývoz do EU byl vyšší o 56,3 mld. (2,1 %). Nejvíce rostl export do Velké Británie (+33,6 mld. korun, 25,3 %), Polska (+18,8 mld., 8,0 %), Spojených států amerických (+16,0 mld., 19,2 %) a Německa (14,6 mld. 1,4 %). V samotném 3. čtvrtletí se vývoz do EU meziročně zvýšil o 61,2 mld. korun (7,6 %) </w:t>
            </w:r>
            <w:r>
              <w:rPr>
                <w:spacing w:val="-4"/>
                <w:lang w:eastAsia="en-US"/>
              </w:rPr>
              <w:br/>
              <w:t>a přírůstek tak zrychlil. Export do zemí mimo EU byl vyšší o 47,1 mld. (22,4 %). Ve 3. čtvrtletí nejvíce rostl export do Německa a pokračoval výrazný meziroční růst vývozu do Velké Británie</w:t>
            </w:r>
            <w:r>
              <w:rPr>
                <w:rStyle w:val="Znakapoznpodarou"/>
                <w:spacing w:val="-4"/>
                <w:lang w:eastAsia="en-US"/>
              </w:rPr>
              <w:footnoteReference w:id="52"/>
            </w:r>
            <w:r>
              <w:rPr>
                <w:spacing w:val="-4"/>
                <w:lang w:eastAsia="en-US"/>
              </w:rPr>
              <w:t xml:space="preserve"> (viz Tabulka č. 2). Silné bylo také navýšení vývozu do Spojených států amerických i na Slovensko, do Francie, Polska a Itálie. V seznamu zemí, kam ve 3. čtvrtletí ve větší míře směřoval český export, figuruje i několik východních destinací, jako je Singapur, Čína </w:t>
            </w:r>
            <w:r>
              <w:rPr>
                <w:spacing w:val="-4"/>
                <w:lang w:eastAsia="en-US"/>
              </w:rPr>
              <w:br/>
              <w:t xml:space="preserve">a Turecko, a přetrvávalo také oživení vývozu do Japonska. Kromě toho mezi destinace, kam ve 3. čtvrtletí vývoz významněji vzrostl, patřily také Dánsko, Rakousko nebo Nizozemsko. Zaznamenaných meziročních poklesů bylo ve 3. čtvrtletí málo a hranici miliardy korun </w:t>
            </w:r>
            <w:r>
              <w:rPr>
                <w:spacing w:val="-4"/>
                <w:lang w:eastAsia="en-US"/>
              </w:rPr>
              <w:lastRenderedPageBreak/>
              <w:t xml:space="preserve">překročilo jen snížení exportu do Španělska (−1,2 mld. korun, −4,4 %) a Mexika (−1,1 mld., −16,1 %).    </w:t>
            </w:r>
          </w:p>
        </w:tc>
      </w:tr>
      <w:tr w:rsidR="00FB4423" w14:paraId="4E3032F2" w14:textId="77777777" w:rsidTr="0083516C">
        <w:trPr>
          <w:trHeight w:val="145"/>
        </w:trPr>
        <w:tc>
          <w:tcPr>
            <w:tcW w:w="1748" w:type="dxa"/>
          </w:tcPr>
          <w:p w14:paraId="1B6A86B2" w14:textId="77777777" w:rsidR="00FB4423" w:rsidRDefault="00FB4423" w:rsidP="0083516C">
            <w:pPr>
              <w:pStyle w:val="Marginlie"/>
              <w:rPr>
                <w:lang w:eastAsia="en-US"/>
              </w:rPr>
            </w:pPr>
            <w:r>
              <w:rPr>
                <w:lang w:eastAsia="en-US"/>
              </w:rPr>
              <w:lastRenderedPageBreak/>
              <w:t>Motorová vozidla stojí v popředí růstu exportu.</w:t>
            </w:r>
          </w:p>
        </w:tc>
        <w:tc>
          <w:tcPr>
            <w:tcW w:w="252" w:type="dxa"/>
          </w:tcPr>
          <w:p w14:paraId="60BE1D59" w14:textId="77777777" w:rsidR="00FB4423" w:rsidRDefault="00FB4423" w:rsidP="0083516C">
            <w:pPr>
              <w:pStyle w:val="Textpoznpodarou"/>
              <w:jc w:val="both"/>
              <w:rPr>
                <w:spacing w:val="-4"/>
                <w:lang w:eastAsia="en-US"/>
              </w:rPr>
            </w:pPr>
          </w:p>
        </w:tc>
        <w:tc>
          <w:tcPr>
            <w:tcW w:w="7677" w:type="dxa"/>
            <w:gridSpan w:val="3"/>
          </w:tcPr>
          <w:p w14:paraId="7878D27E" w14:textId="77777777" w:rsidR="00FB4423" w:rsidRDefault="00FB4423" w:rsidP="0083516C">
            <w:pPr>
              <w:spacing w:after="180"/>
              <w:rPr>
                <w:spacing w:val="-4"/>
                <w:lang w:eastAsia="en-US"/>
              </w:rPr>
            </w:pPr>
            <w:r>
              <w:rPr>
                <w:spacing w:val="-4"/>
                <w:lang w:eastAsia="en-US"/>
              </w:rPr>
              <w:t>V kumulaci od začátku roku nejvíce vzrostl export motorových vozidel a jejich dílů (+73,0 mld. korun, 8,1 %), počítačů, elektronických a optických přístrojů a zařízení (+42,4 mld., 15,8 %), potravinářských výrobků (+15,8 mld., 12,9 %), pryžových a plastových výrobků (+12,0 mld., 7,4 %) a chemických látek a přípravků (+11,3 mld., 7,4 %). Významné poklesy byly zaznamenány u vývozu strojů a zařízení (−10,4 mld. korun, −2,6 %) a elektřiny, plynu, páry a klimatizovaného vzduchu (−10,3 mld., −26,4 %). Také v samotném 3. čtvrtletí nejvíce meziročně rostl vývoz motorových vozidel a počítačů, elektronických a optických přístrojů a zařízení (viz Tabulka č. 1). Další významné přírůstky byly zaznamenány u elektrických zařízení, potravinářských výrobků, pryžových a plastových výrobků, chemických látek a přípravků nebo kovodělných výrobků. Meziroční pokles byl ve 3. čtvrtletí zaznamenán u menšiny výrobků, významněji se snižoval jen export koksu a rafinovaných ropných výrobků.</w:t>
            </w:r>
          </w:p>
        </w:tc>
      </w:tr>
      <w:tr w:rsidR="00FB4423" w14:paraId="4B5291C0" w14:textId="77777777" w:rsidTr="0083516C">
        <w:trPr>
          <w:trHeight w:val="170"/>
        </w:trPr>
        <w:tc>
          <w:tcPr>
            <w:tcW w:w="4811" w:type="dxa"/>
            <w:gridSpan w:val="3"/>
            <w:hideMark/>
          </w:tcPr>
          <w:p w14:paraId="2A1F3B77" w14:textId="77777777" w:rsidR="00FB4423" w:rsidRDefault="00FB4423" w:rsidP="0083516C">
            <w:pPr>
              <w:spacing w:after="0"/>
              <w:rPr>
                <w:rFonts w:cs="Arial"/>
                <w:b/>
                <w:bCs/>
                <w:color w:val="000000"/>
                <w:sz w:val="18"/>
                <w:szCs w:val="18"/>
                <w:lang w:eastAsia="en-US"/>
              </w:rPr>
            </w:pPr>
            <w:r>
              <w:rPr>
                <w:rFonts w:cs="Arial"/>
                <w:b/>
                <w:bCs/>
                <w:color w:val="000000"/>
                <w:sz w:val="18"/>
                <w:szCs w:val="18"/>
                <w:lang w:eastAsia="en-US"/>
              </w:rPr>
              <w:t xml:space="preserve">Tabulka č. 1 Oddíly klasifikace CPA s největším </w:t>
            </w:r>
          </w:p>
          <w:p w14:paraId="0B391E00" w14:textId="77777777" w:rsidR="00FB4423" w:rsidRDefault="00FB4423" w:rsidP="0083516C">
            <w:pPr>
              <w:spacing w:after="0"/>
              <w:jc w:val="left"/>
              <w:rPr>
                <w:spacing w:val="-4"/>
                <w:lang w:eastAsia="en-US"/>
              </w:rPr>
            </w:pPr>
            <w:r>
              <w:rPr>
                <w:rFonts w:cs="Arial"/>
                <w:b/>
                <w:bCs/>
                <w:color w:val="000000"/>
                <w:sz w:val="18"/>
                <w:szCs w:val="18"/>
                <w:lang w:eastAsia="en-US"/>
              </w:rPr>
              <w:t xml:space="preserve">vlivem na vývoj vývozu zboží ve 3. čtvrtletí 2024 </w:t>
            </w:r>
            <w:r>
              <w:rPr>
                <w:rFonts w:cs="Arial"/>
                <w:bCs/>
                <w:color w:val="000000"/>
                <w:sz w:val="18"/>
                <w:szCs w:val="18"/>
                <w:lang w:eastAsia="en-US"/>
              </w:rPr>
              <w:t>(meziročně)</w:t>
            </w:r>
          </w:p>
        </w:tc>
        <w:tc>
          <w:tcPr>
            <w:tcW w:w="57" w:type="dxa"/>
          </w:tcPr>
          <w:p w14:paraId="29408A58" w14:textId="77777777" w:rsidR="00FB4423" w:rsidRDefault="00FB4423" w:rsidP="0083516C">
            <w:pPr>
              <w:spacing w:after="0"/>
              <w:rPr>
                <w:spacing w:val="-4"/>
                <w:lang w:eastAsia="en-US"/>
              </w:rPr>
            </w:pPr>
          </w:p>
        </w:tc>
        <w:tc>
          <w:tcPr>
            <w:tcW w:w="4809" w:type="dxa"/>
            <w:hideMark/>
          </w:tcPr>
          <w:p w14:paraId="2C08091E" w14:textId="77777777" w:rsidR="00FB4423" w:rsidRDefault="00FB4423" w:rsidP="0083516C">
            <w:pPr>
              <w:spacing w:after="0"/>
              <w:jc w:val="left"/>
              <w:rPr>
                <w:spacing w:val="-4"/>
                <w:sz w:val="18"/>
                <w:szCs w:val="18"/>
                <w:lang w:eastAsia="en-US"/>
              </w:rPr>
            </w:pPr>
            <w:r>
              <w:rPr>
                <w:rFonts w:cs="Arial"/>
                <w:b/>
                <w:bCs/>
                <w:color w:val="000000"/>
                <w:sz w:val="18"/>
                <w:szCs w:val="18"/>
                <w:lang w:eastAsia="en-US"/>
              </w:rPr>
              <w:t xml:space="preserve">Tabulka č. 2 Země s největším vlivem na vývoj vývozu zboží ve 3. čtvrtletí 2024 </w:t>
            </w:r>
            <w:r>
              <w:rPr>
                <w:rFonts w:cs="Arial"/>
                <w:bCs/>
                <w:color w:val="000000"/>
                <w:sz w:val="18"/>
                <w:szCs w:val="18"/>
                <w:lang w:eastAsia="en-US"/>
              </w:rPr>
              <w:t>(meziročně)</w:t>
            </w:r>
          </w:p>
        </w:tc>
      </w:tr>
      <w:tr w:rsidR="00FB4423" w14:paraId="52E1E60C" w14:textId="77777777" w:rsidTr="0083516C">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FB4423" w:rsidRPr="00F17A98" w14:paraId="05D785F7" w14:textId="77777777" w:rsidTr="0083516C">
              <w:trPr>
                <w:trHeight w:val="255"/>
              </w:trPr>
              <w:tc>
                <w:tcPr>
                  <w:tcW w:w="3417" w:type="dxa"/>
                  <w:tcBorders>
                    <w:top w:val="nil"/>
                    <w:left w:val="nil"/>
                    <w:bottom w:val="nil"/>
                    <w:right w:val="nil"/>
                  </w:tcBorders>
                  <w:shd w:val="clear" w:color="auto" w:fill="auto"/>
                  <w:noWrap/>
                  <w:vAlign w:val="bottom"/>
                  <w:hideMark/>
                </w:tcPr>
                <w:p w14:paraId="39AE4206" w14:textId="77777777" w:rsidR="00FB4423" w:rsidRPr="00F17A98" w:rsidRDefault="00FB4423" w:rsidP="0083516C">
                  <w:pPr>
                    <w:spacing w:after="0" w:line="240" w:lineRule="auto"/>
                    <w:jc w:val="left"/>
                    <w:rPr>
                      <w:rFonts w:ascii="Times New Roman" w:hAnsi="Times New Roman"/>
                      <w:sz w:val="24"/>
                      <w:szCs w:val="20"/>
                    </w:rPr>
                  </w:pPr>
                </w:p>
              </w:tc>
              <w:tc>
                <w:tcPr>
                  <w:tcW w:w="700" w:type="dxa"/>
                  <w:tcBorders>
                    <w:top w:val="nil"/>
                    <w:left w:val="nil"/>
                    <w:bottom w:val="nil"/>
                    <w:right w:val="nil"/>
                  </w:tcBorders>
                  <w:shd w:val="clear" w:color="auto" w:fill="auto"/>
                  <w:noWrap/>
                  <w:vAlign w:val="bottom"/>
                  <w:hideMark/>
                </w:tcPr>
                <w:p w14:paraId="6D27C0C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mld. Kč</w:t>
                  </w:r>
                </w:p>
              </w:tc>
              <w:tc>
                <w:tcPr>
                  <w:tcW w:w="700" w:type="dxa"/>
                  <w:tcBorders>
                    <w:top w:val="nil"/>
                    <w:left w:val="nil"/>
                    <w:bottom w:val="nil"/>
                    <w:right w:val="nil"/>
                  </w:tcBorders>
                  <w:shd w:val="clear" w:color="auto" w:fill="auto"/>
                  <w:noWrap/>
                  <w:vAlign w:val="bottom"/>
                  <w:hideMark/>
                </w:tcPr>
                <w:p w14:paraId="291AD7DA"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w:t>
                  </w:r>
                </w:p>
              </w:tc>
            </w:tr>
            <w:tr w:rsidR="00FB4423" w:rsidRPr="00F17A98" w14:paraId="01BCD0A4" w14:textId="77777777" w:rsidTr="0083516C">
              <w:trPr>
                <w:trHeight w:val="255"/>
              </w:trPr>
              <w:tc>
                <w:tcPr>
                  <w:tcW w:w="3417" w:type="dxa"/>
                  <w:tcBorders>
                    <w:top w:val="single" w:sz="4" w:space="0" w:color="auto"/>
                    <w:left w:val="nil"/>
                    <w:bottom w:val="nil"/>
                    <w:right w:val="nil"/>
                  </w:tcBorders>
                  <w:shd w:val="clear" w:color="auto" w:fill="auto"/>
                  <w:noWrap/>
                  <w:vAlign w:val="bottom"/>
                  <w:hideMark/>
                </w:tcPr>
                <w:p w14:paraId="383AF7F3"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Motorová vozidla (kromě motocyklů) a díly</w:t>
                  </w:r>
                </w:p>
              </w:tc>
              <w:tc>
                <w:tcPr>
                  <w:tcW w:w="700" w:type="dxa"/>
                  <w:tcBorders>
                    <w:top w:val="single" w:sz="4" w:space="0" w:color="auto"/>
                    <w:left w:val="nil"/>
                    <w:bottom w:val="nil"/>
                    <w:right w:val="nil"/>
                  </w:tcBorders>
                  <w:shd w:val="clear" w:color="auto" w:fill="auto"/>
                  <w:noWrap/>
                  <w:vAlign w:val="bottom"/>
                  <w:hideMark/>
                </w:tcPr>
                <w:p w14:paraId="4946E6FD"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+33,7</w:t>
                  </w:r>
                </w:p>
              </w:tc>
              <w:tc>
                <w:tcPr>
                  <w:tcW w:w="700" w:type="dxa"/>
                  <w:tcBorders>
                    <w:top w:val="single" w:sz="4" w:space="0" w:color="auto"/>
                    <w:left w:val="nil"/>
                    <w:bottom w:val="nil"/>
                    <w:right w:val="nil"/>
                  </w:tcBorders>
                  <w:shd w:val="clear" w:color="auto" w:fill="auto"/>
                  <w:noWrap/>
                  <w:vAlign w:val="bottom"/>
                  <w:hideMark/>
                </w:tcPr>
                <w:p w14:paraId="40185D37"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+12,5</w:t>
                  </w:r>
                </w:p>
              </w:tc>
            </w:tr>
            <w:tr w:rsidR="00FB4423" w:rsidRPr="00F17A98" w14:paraId="28F918D0" w14:textId="77777777" w:rsidTr="0083516C">
              <w:trPr>
                <w:trHeight w:val="255"/>
              </w:trPr>
              <w:tc>
                <w:tcPr>
                  <w:tcW w:w="3417" w:type="dxa"/>
                  <w:tcBorders>
                    <w:top w:val="nil"/>
                    <w:left w:val="nil"/>
                    <w:bottom w:val="nil"/>
                    <w:right w:val="nil"/>
                  </w:tcBorders>
                  <w:shd w:val="clear" w:color="auto" w:fill="auto"/>
                  <w:noWrap/>
                  <w:vAlign w:val="bottom"/>
                  <w:hideMark/>
                </w:tcPr>
                <w:p w14:paraId="439CC5E5" w14:textId="77777777" w:rsidR="00FB4423" w:rsidRPr="00F17A98" w:rsidRDefault="00FB4423" w:rsidP="0083516C">
                  <w:pPr>
                    <w:spacing w:after="0" w:line="240" w:lineRule="auto"/>
                    <w:jc w:val="left"/>
                    <w:rPr>
                      <w:rFonts w:cs="Arial"/>
                      <w:color w:val="000000"/>
                      <w:sz w:val="16"/>
                      <w:szCs w:val="16"/>
                    </w:rPr>
                  </w:pPr>
                  <w:r>
                    <w:rPr>
                      <w:rFonts w:cs="Arial"/>
                      <w:color w:val="000000"/>
                      <w:sz w:val="16"/>
                      <w:szCs w:val="16"/>
                    </w:rPr>
                    <w:t>Počítače, elektron. a opt.</w:t>
                  </w:r>
                  <w:r w:rsidRPr="00F17A98">
                    <w:rPr>
                      <w:rFonts w:cs="Arial"/>
                      <w:color w:val="000000"/>
                      <w:sz w:val="16"/>
                      <w:szCs w:val="16"/>
                    </w:rPr>
                    <w:t xml:space="preserve"> přístroje a zařízení</w:t>
                  </w:r>
                </w:p>
              </w:tc>
              <w:tc>
                <w:tcPr>
                  <w:tcW w:w="700" w:type="dxa"/>
                  <w:tcBorders>
                    <w:top w:val="nil"/>
                    <w:left w:val="nil"/>
                    <w:bottom w:val="nil"/>
                    <w:right w:val="nil"/>
                  </w:tcBorders>
                  <w:shd w:val="clear" w:color="auto" w:fill="auto"/>
                  <w:noWrap/>
                  <w:vAlign w:val="bottom"/>
                  <w:hideMark/>
                </w:tcPr>
                <w:p w14:paraId="7060C360"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+25,6</w:t>
                  </w:r>
                </w:p>
              </w:tc>
              <w:tc>
                <w:tcPr>
                  <w:tcW w:w="700" w:type="dxa"/>
                  <w:tcBorders>
                    <w:top w:val="nil"/>
                    <w:left w:val="nil"/>
                    <w:bottom w:val="nil"/>
                    <w:right w:val="nil"/>
                  </w:tcBorders>
                  <w:shd w:val="clear" w:color="auto" w:fill="auto"/>
                  <w:noWrap/>
                  <w:vAlign w:val="bottom"/>
                  <w:hideMark/>
                </w:tcPr>
                <w:p w14:paraId="4B341AE8"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+29,4</w:t>
                  </w:r>
                </w:p>
              </w:tc>
            </w:tr>
            <w:tr w:rsidR="00FB4423" w:rsidRPr="00F17A98" w14:paraId="456B67C1" w14:textId="77777777" w:rsidTr="0083516C">
              <w:trPr>
                <w:trHeight w:val="255"/>
              </w:trPr>
              <w:tc>
                <w:tcPr>
                  <w:tcW w:w="3417" w:type="dxa"/>
                  <w:tcBorders>
                    <w:top w:val="nil"/>
                    <w:left w:val="nil"/>
                    <w:bottom w:val="nil"/>
                    <w:right w:val="nil"/>
                  </w:tcBorders>
                  <w:shd w:val="clear" w:color="auto" w:fill="auto"/>
                  <w:noWrap/>
                  <w:vAlign w:val="bottom"/>
                  <w:hideMark/>
                </w:tcPr>
                <w:p w14:paraId="7739B7EE"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Elektrická zařízení</w:t>
                  </w:r>
                </w:p>
              </w:tc>
              <w:tc>
                <w:tcPr>
                  <w:tcW w:w="700" w:type="dxa"/>
                  <w:tcBorders>
                    <w:top w:val="nil"/>
                    <w:left w:val="nil"/>
                    <w:bottom w:val="nil"/>
                    <w:right w:val="nil"/>
                  </w:tcBorders>
                  <w:shd w:val="clear" w:color="auto" w:fill="auto"/>
                  <w:noWrap/>
                  <w:vAlign w:val="bottom"/>
                  <w:hideMark/>
                </w:tcPr>
                <w:p w14:paraId="7C521387"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+11,6</w:t>
                  </w:r>
                </w:p>
              </w:tc>
              <w:tc>
                <w:tcPr>
                  <w:tcW w:w="700" w:type="dxa"/>
                  <w:tcBorders>
                    <w:top w:val="nil"/>
                    <w:left w:val="nil"/>
                    <w:bottom w:val="nil"/>
                    <w:right w:val="nil"/>
                  </w:tcBorders>
                  <w:shd w:val="clear" w:color="auto" w:fill="auto"/>
                  <w:noWrap/>
                  <w:vAlign w:val="bottom"/>
                  <w:hideMark/>
                </w:tcPr>
                <w:p w14:paraId="73C41BCC"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+11,0</w:t>
                  </w:r>
                </w:p>
              </w:tc>
            </w:tr>
            <w:tr w:rsidR="00FB4423" w:rsidRPr="00F17A98" w14:paraId="107A9AF3" w14:textId="77777777" w:rsidTr="0083516C">
              <w:trPr>
                <w:trHeight w:val="255"/>
              </w:trPr>
              <w:tc>
                <w:tcPr>
                  <w:tcW w:w="3417" w:type="dxa"/>
                  <w:tcBorders>
                    <w:top w:val="nil"/>
                    <w:left w:val="nil"/>
                    <w:bottom w:val="nil"/>
                    <w:right w:val="nil"/>
                  </w:tcBorders>
                  <w:shd w:val="clear" w:color="auto" w:fill="auto"/>
                  <w:noWrap/>
                  <w:vAlign w:val="bottom"/>
                  <w:hideMark/>
                </w:tcPr>
                <w:p w14:paraId="447840B0"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Potravinářské výrobky</w:t>
                  </w:r>
                </w:p>
              </w:tc>
              <w:tc>
                <w:tcPr>
                  <w:tcW w:w="700" w:type="dxa"/>
                  <w:tcBorders>
                    <w:top w:val="nil"/>
                    <w:left w:val="nil"/>
                    <w:bottom w:val="nil"/>
                    <w:right w:val="nil"/>
                  </w:tcBorders>
                  <w:shd w:val="clear" w:color="auto" w:fill="auto"/>
                  <w:noWrap/>
                  <w:vAlign w:val="bottom"/>
                  <w:hideMark/>
                </w:tcPr>
                <w:p w14:paraId="54567727"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+6,7</w:t>
                  </w:r>
                </w:p>
              </w:tc>
              <w:tc>
                <w:tcPr>
                  <w:tcW w:w="700" w:type="dxa"/>
                  <w:tcBorders>
                    <w:top w:val="nil"/>
                    <w:left w:val="nil"/>
                    <w:bottom w:val="nil"/>
                    <w:right w:val="nil"/>
                  </w:tcBorders>
                  <w:shd w:val="clear" w:color="auto" w:fill="auto"/>
                  <w:noWrap/>
                  <w:vAlign w:val="bottom"/>
                  <w:hideMark/>
                </w:tcPr>
                <w:p w14:paraId="1425FD7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+16,6</w:t>
                  </w:r>
                </w:p>
              </w:tc>
            </w:tr>
            <w:tr w:rsidR="00FB4423" w:rsidRPr="00F17A98" w14:paraId="2FC35746" w14:textId="77777777" w:rsidTr="0083516C">
              <w:trPr>
                <w:trHeight w:val="255"/>
              </w:trPr>
              <w:tc>
                <w:tcPr>
                  <w:tcW w:w="3417" w:type="dxa"/>
                  <w:tcBorders>
                    <w:top w:val="nil"/>
                    <w:left w:val="nil"/>
                    <w:bottom w:val="nil"/>
                    <w:right w:val="nil"/>
                  </w:tcBorders>
                  <w:shd w:val="clear" w:color="auto" w:fill="auto"/>
                  <w:noWrap/>
                  <w:vAlign w:val="bottom"/>
                  <w:hideMark/>
                </w:tcPr>
                <w:p w14:paraId="4A971D64"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Pryžové a plastové výrobky</w:t>
                  </w:r>
                </w:p>
              </w:tc>
              <w:tc>
                <w:tcPr>
                  <w:tcW w:w="700" w:type="dxa"/>
                  <w:tcBorders>
                    <w:top w:val="nil"/>
                    <w:left w:val="nil"/>
                    <w:bottom w:val="nil"/>
                    <w:right w:val="nil"/>
                  </w:tcBorders>
                  <w:shd w:val="clear" w:color="auto" w:fill="auto"/>
                  <w:noWrap/>
                  <w:vAlign w:val="bottom"/>
                  <w:hideMark/>
                </w:tcPr>
                <w:p w14:paraId="224F5940"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+6,2</w:t>
                  </w:r>
                </w:p>
              </w:tc>
              <w:tc>
                <w:tcPr>
                  <w:tcW w:w="700" w:type="dxa"/>
                  <w:tcBorders>
                    <w:top w:val="nil"/>
                    <w:left w:val="nil"/>
                    <w:bottom w:val="nil"/>
                    <w:right w:val="nil"/>
                  </w:tcBorders>
                  <w:shd w:val="clear" w:color="auto" w:fill="auto"/>
                  <w:noWrap/>
                  <w:vAlign w:val="bottom"/>
                  <w:hideMark/>
                </w:tcPr>
                <w:p w14:paraId="591FB082"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+12,3</w:t>
                  </w:r>
                </w:p>
              </w:tc>
            </w:tr>
            <w:tr w:rsidR="00FB4423" w:rsidRPr="00F17A98" w14:paraId="3CD5F73E" w14:textId="77777777" w:rsidTr="0083516C">
              <w:trPr>
                <w:trHeight w:val="255"/>
              </w:trPr>
              <w:tc>
                <w:tcPr>
                  <w:tcW w:w="3417" w:type="dxa"/>
                  <w:tcBorders>
                    <w:top w:val="nil"/>
                    <w:left w:val="nil"/>
                    <w:bottom w:val="nil"/>
                    <w:right w:val="nil"/>
                  </w:tcBorders>
                  <w:shd w:val="clear" w:color="auto" w:fill="auto"/>
                  <w:noWrap/>
                  <w:vAlign w:val="bottom"/>
                  <w:hideMark/>
                </w:tcPr>
                <w:p w14:paraId="73F7EF6B"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Chemické látky a přípravky</w:t>
                  </w:r>
                </w:p>
              </w:tc>
              <w:tc>
                <w:tcPr>
                  <w:tcW w:w="700" w:type="dxa"/>
                  <w:tcBorders>
                    <w:top w:val="nil"/>
                    <w:left w:val="nil"/>
                    <w:bottom w:val="nil"/>
                    <w:right w:val="nil"/>
                  </w:tcBorders>
                  <w:shd w:val="clear" w:color="auto" w:fill="auto"/>
                  <w:noWrap/>
                  <w:vAlign w:val="bottom"/>
                  <w:hideMark/>
                </w:tcPr>
                <w:p w14:paraId="09A8D7A8"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+5,2</w:t>
                  </w:r>
                </w:p>
              </w:tc>
              <w:tc>
                <w:tcPr>
                  <w:tcW w:w="700" w:type="dxa"/>
                  <w:tcBorders>
                    <w:top w:val="nil"/>
                    <w:left w:val="nil"/>
                    <w:bottom w:val="nil"/>
                    <w:right w:val="nil"/>
                  </w:tcBorders>
                  <w:shd w:val="clear" w:color="auto" w:fill="auto"/>
                  <w:noWrap/>
                  <w:vAlign w:val="bottom"/>
                  <w:hideMark/>
                </w:tcPr>
                <w:p w14:paraId="2D65FE35"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+11,0</w:t>
                  </w:r>
                </w:p>
              </w:tc>
            </w:tr>
            <w:tr w:rsidR="00FB4423" w:rsidRPr="00F17A98" w14:paraId="6C36ACFC" w14:textId="77777777" w:rsidTr="0083516C">
              <w:trPr>
                <w:trHeight w:val="255"/>
              </w:trPr>
              <w:tc>
                <w:tcPr>
                  <w:tcW w:w="3417" w:type="dxa"/>
                  <w:tcBorders>
                    <w:top w:val="nil"/>
                    <w:left w:val="nil"/>
                    <w:bottom w:val="nil"/>
                    <w:right w:val="nil"/>
                  </w:tcBorders>
                  <w:shd w:val="clear" w:color="auto" w:fill="auto"/>
                  <w:noWrap/>
                  <w:vAlign w:val="bottom"/>
                  <w:hideMark/>
                </w:tcPr>
                <w:p w14:paraId="777AE401"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Kovodělné výrobky kromě strojů a zařízení</w:t>
                  </w:r>
                </w:p>
              </w:tc>
              <w:tc>
                <w:tcPr>
                  <w:tcW w:w="700" w:type="dxa"/>
                  <w:tcBorders>
                    <w:top w:val="nil"/>
                    <w:left w:val="nil"/>
                    <w:bottom w:val="nil"/>
                    <w:right w:val="nil"/>
                  </w:tcBorders>
                  <w:shd w:val="clear" w:color="auto" w:fill="auto"/>
                  <w:noWrap/>
                  <w:vAlign w:val="bottom"/>
                  <w:hideMark/>
                </w:tcPr>
                <w:p w14:paraId="4089FC70"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+4,8</w:t>
                  </w:r>
                </w:p>
              </w:tc>
              <w:tc>
                <w:tcPr>
                  <w:tcW w:w="700" w:type="dxa"/>
                  <w:tcBorders>
                    <w:top w:val="nil"/>
                    <w:left w:val="nil"/>
                    <w:bottom w:val="nil"/>
                    <w:right w:val="nil"/>
                  </w:tcBorders>
                  <w:shd w:val="clear" w:color="auto" w:fill="auto"/>
                  <w:noWrap/>
                  <w:vAlign w:val="bottom"/>
                  <w:hideMark/>
                </w:tcPr>
                <w:p w14:paraId="08A63B1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+7,7</w:t>
                  </w:r>
                </w:p>
              </w:tc>
            </w:tr>
            <w:tr w:rsidR="00FB4423" w:rsidRPr="00F17A98" w14:paraId="41847E28" w14:textId="77777777" w:rsidTr="0083516C">
              <w:trPr>
                <w:trHeight w:val="255"/>
              </w:trPr>
              <w:tc>
                <w:tcPr>
                  <w:tcW w:w="3417" w:type="dxa"/>
                  <w:tcBorders>
                    <w:top w:val="nil"/>
                    <w:left w:val="nil"/>
                    <w:bottom w:val="nil"/>
                    <w:right w:val="nil"/>
                  </w:tcBorders>
                  <w:shd w:val="clear" w:color="auto" w:fill="auto"/>
                  <w:noWrap/>
                  <w:vAlign w:val="bottom"/>
                  <w:hideMark/>
                </w:tcPr>
                <w:p w14:paraId="08973D81"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Ostatní výrobky zpracovatelského průmyslu</w:t>
                  </w:r>
                </w:p>
              </w:tc>
              <w:tc>
                <w:tcPr>
                  <w:tcW w:w="700" w:type="dxa"/>
                  <w:tcBorders>
                    <w:top w:val="nil"/>
                    <w:left w:val="nil"/>
                    <w:bottom w:val="nil"/>
                    <w:right w:val="nil"/>
                  </w:tcBorders>
                  <w:shd w:val="clear" w:color="auto" w:fill="auto"/>
                  <w:noWrap/>
                  <w:vAlign w:val="bottom"/>
                  <w:hideMark/>
                </w:tcPr>
                <w:p w14:paraId="2D1F3E61"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+3,2</w:t>
                  </w:r>
                </w:p>
              </w:tc>
              <w:tc>
                <w:tcPr>
                  <w:tcW w:w="700" w:type="dxa"/>
                  <w:tcBorders>
                    <w:top w:val="nil"/>
                    <w:left w:val="nil"/>
                    <w:bottom w:val="nil"/>
                    <w:right w:val="nil"/>
                  </w:tcBorders>
                  <w:shd w:val="clear" w:color="auto" w:fill="auto"/>
                  <w:noWrap/>
                  <w:vAlign w:val="bottom"/>
                  <w:hideMark/>
                </w:tcPr>
                <w:p w14:paraId="22A8D1C7"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+13,9</w:t>
                  </w:r>
                </w:p>
              </w:tc>
            </w:tr>
            <w:tr w:rsidR="00FB4423" w:rsidRPr="00F17A98" w14:paraId="0A43249F" w14:textId="77777777" w:rsidTr="0083516C">
              <w:trPr>
                <w:trHeight w:val="255"/>
              </w:trPr>
              <w:tc>
                <w:tcPr>
                  <w:tcW w:w="3417" w:type="dxa"/>
                  <w:tcBorders>
                    <w:top w:val="nil"/>
                    <w:left w:val="nil"/>
                    <w:bottom w:val="nil"/>
                    <w:right w:val="nil"/>
                  </w:tcBorders>
                  <w:shd w:val="clear" w:color="auto" w:fill="auto"/>
                  <w:noWrap/>
                  <w:vAlign w:val="bottom"/>
                  <w:hideMark/>
                </w:tcPr>
                <w:p w14:paraId="12E8AD95"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Základní farmaceutické výrobky a přípravky</w:t>
                  </w:r>
                </w:p>
              </w:tc>
              <w:tc>
                <w:tcPr>
                  <w:tcW w:w="700" w:type="dxa"/>
                  <w:tcBorders>
                    <w:top w:val="nil"/>
                    <w:left w:val="nil"/>
                    <w:bottom w:val="nil"/>
                    <w:right w:val="nil"/>
                  </w:tcBorders>
                  <w:shd w:val="clear" w:color="auto" w:fill="auto"/>
                  <w:noWrap/>
                  <w:vAlign w:val="bottom"/>
                  <w:hideMark/>
                </w:tcPr>
                <w:p w14:paraId="0357F9E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+2,9</w:t>
                  </w:r>
                </w:p>
              </w:tc>
              <w:tc>
                <w:tcPr>
                  <w:tcW w:w="700" w:type="dxa"/>
                  <w:tcBorders>
                    <w:top w:val="nil"/>
                    <w:left w:val="nil"/>
                    <w:bottom w:val="nil"/>
                    <w:right w:val="nil"/>
                  </w:tcBorders>
                  <w:shd w:val="clear" w:color="auto" w:fill="auto"/>
                  <w:noWrap/>
                  <w:vAlign w:val="bottom"/>
                  <w:hideMark/>
                </w:tcPr>
                <w:p w14:paraId="611C004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+18,2</w:t>
                  </w:r>
                </w:p>
              </w:tc>
            </w:tr>
            <w:tr w:rsidR="00FB4423" w:rsidRPr="00F17A98" w14:paraId="1BD29B97" w14:textId="77777777" w:rsidTr="0083516C">
              <w:trPr>
                <w:trHeight w:val="255"/>
              </w:trPr>
              <w:tc>
                <w:tcPr>
                  <w:tcW w:w="3417" w:type="dxa"/>
                  <w:tcBorders>
                    <w:top w:val="nil"/>
                    <w:left w:val="nil"/>
                    <w:bottom w:val="nil"/>
                    <w:right w:val="nil"/>
                  </w:tcBorders>
                  <w:shd w:val="clear" w:color="auto" w:fill="auto"/>
                  <w:noWrap/>
                  <w:vAlign w:val="bottom"/>
                  <w:hideMark/>
                </w:tcPr>
                <w:p w14:paraId="4CE09B29"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Sběr, příprava, likvidace a zpracování odpadu</w:t>
                  </w:r>
                </w:p>
              </w:tc>
              <w:tc>
                <w:tcPr>
                  <w:tcW w:w="700" w:type="dxa"/>
                  <w:tcBorders>
                    <w:top w:val="nil"/>
                    <w:left w:val="nil"/>
                    <w:bottom w:val="nil"/>
                    <w:right w:val="nil"/>
                  </w:tcBorders>
                  <w:shd w:val="clear" w:color="auto" w:fill="auto"/>
                  <w:noWrap/>
                  <w:vAlign w:val="bottom"/>
                  <w:hideMark/>
                </w:tcPr>
                <w:p w14:paraId="5FAD64F6"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+2,8</w:t>
                  </w:r>
                </w:p>
              </w:tc>
              <w:tc>
                <w:tcPr>
                  <w:tcW w:w="700" w:type="dxa"/>
                  <w:tcBorders>
                    <w:top w:val="nil"/>
                    <w:left w:val="nil"/>
                    <w:bottom w:val="nil"/>
                    <w:right w:val="nil"/>
                  </w:tcBorders>
                  <w:shd w:val="clear" w:color="auto" w:fill="auto"/>
                  <w:noWrap/>
                  <w:vAlign w:val="bottom"/>
                  <w:hideMark/>
                </w:tcPr>
                <w:p w14:paraId="1A070EE1"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+32,8</w:t>
                  </w:r>
                </w:p>
              </w:tc>
            </w:tr>
            <w:tr w:rsidR="00FB4423" w:rsidRPr="00F17A98" w14:paraId="10B7EF5C" w14:textId="77777777" w:rsidTr="0083516C">
              <w:trPr>
                <w:trHeight w:val="255"/>
              </w:trPr>
              <w:tc>
                <w:tcPr>
                  <w:tcW w:w="3417" w:type="dxa"/>
                  <w:tcBorders>
                    <w:top w:val="nil"/>
                    <w:left w:val="nil"/>
                    <w:bottom w:val="nil"/>
                    <w:right w:val="nil"/>
                  </w:tcBorders>
                  <w:shd w:val="clear" w:color="auto" w:fill="auto"/>
                  <w:noWrap/>
                  <w:vAlign w:val="bottom"/>
                  <w:hideMark/>
                </w:tcPr>
                <w:p w14:paraId="79A7BF20"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Papír a výrobky z papíru</w:t>
                  </w:r>
                </w:p>
              </w:tc>
              <w:tc>
                <w:tcPr>
                  <w:tcW w:w="700" w:type="dxa"/>
                  <w:tcBorders>
                    <w:top w:val="nil"/>
                    <w:left w:val="nil"/>
                    <w:bottom w:val="nil"/>
                    <w:right w:val="nil"/>
                  </w:tcBorders>
                  <w:shd w:val="clear" w:color="auto" w:fill="auto"/>
                  <w:noWrap/>
                  <w:vAlign w:val="bottom"/>
                  <w:hideMark/>
                </w:tcPr>
                <w:p w14:paraId="335C3592"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+1,7</w:t>
                  </w:r>
                </w:p>
              </w:tc>
              <w:tc>
                <w:tcPr>
                  <w:tcW w:w="700" w:type="dxa"/>
                  <w:tcBorders>
                    <w:top w:val="nil"/>
                    <w:left w:val="nil"/>
                    <w:bottom w:val="nil"/>
                    <w:right w:val="nil"/>
                  </w:tcBorders>
                  <w:shd w:val="clear" w:color="auto" w:fill="auto"/>
                  <w:noWrap/>
                  <w:vAlign w:val="bottom"/>
                  <w:hideMark/>
                </w:tcPr>
                <w:p w14:paraId="7380011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+9,1</w:t>
                  </w:r>
                </w:p>
              </w:tc>
            </w:tr>
            <w:tr w:rsidR="00FB4423" w:rsidRPr="00F17A98" w14:paraId="67BB6B7F" w14:textId="77777777" w:rsidTr="0083516C">
              <w:trPr>
                <w:trHeight w:val="255"/>
              </w:trPr>
              <w:tc>
                <w:tcPr>
                  <w:tcW w:w="3417" w:type="dxa"/>
                  <w:tcBorders>
                    <w:top w:val="nil"/>
                    <w:left w:val="nil"/>
                    <w:bottom w:val="nil"/>
                    <w:right w:val="nil"/>
                  </w:tcBorders>
                  <w:shd w:val="clear" w:color="auto" w:fill="auto"/>
                  <w:noWrap/>
                  <w:vAlign w:val="bottom"/>
                  <w:hideMark/>
                </w:tcPr>
                <w:p w14:paraId="7B6661E1"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Nábytek</w:t>
                  </w:r>
                </w:p>
              </w:tc>
              <w:tc>
                <w:tcPr>
                  <w:tcW w:w="700" w:type="dxa"/>
                  <w:tcBorders>
                    <w:top w:val="nil"/>
                    <w:left w:val="nil"/>
                    <w:bottom w:val="nil"/>
                    <w:right w:val="nil"/>
                  </w:tcBorders>
                  <w:shd w:val="clear" w:color="auto" w:fill="auto"/>
                  <w:noWrap/>
                  <w:vAlign w:val="bottom"/>
                  <w:hideMark/>
                </w:tcPr>
                <w:p w14:paraId="21C5DD31"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+1,6</w:t>
                  </w:r>
                </w:p>
              </w:tc>
              <w:tc>
                <w:tcPr>
                  <w:tcW w:w="700" w:type="dxa"/>
                  <w:tcBorders>
                    <w:top w:val="nil"/>
                    <w:left w:val="nil"/>
                    <w:bottom w:val="nil"/>
                    <w:right w:val="nil"/>
                  </w:tcBorders>
                  <w:shd w:val="clear" w:color="auto" w:fill="auto"/>
                  <w:noWrap/>
                  <w:vAlign w:val="bottom"/>
                  <w:hideMark/>
                </w:tcPr>
                <w:p w14:paraId="3EC35C5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+21,7</w:t>
                  </w:r>
                </w:p>
              </w:tc>
            </w:tr>
            <w:tr w:rsidR="00FB4423" w:rsidRPr="00F17A98" w14:paraId="447B58A1" w14:textId="77777777" w:rsidTr="0083516C">
              <w:trPr>
                <w:trHeight w:val="255"/>
              </w:trPr>
              <w:tc>
                <w:tcPr>
                  <w:tcW w:w="3417" w:type="dxa"/>
                  <w:tcBorders>
                    <w:top w:val="nil"/>
                    <w:left w:val="nil"/>
                    <w:bottom w:val="nil"/>
                    <w:right w:val="nil"/>
                  </w:tcBorders>
                  <w:shd w:val="clear" w:color="auto" w:fill="auto"/>
                  <w:noWrap/>
                  <w:vAlign w:val="bottom"/>
                  <w:hideMark/>
                </w:tcPr>
                <w:p w14:paraId="1C17CFD0"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Produkty zemědělství a myslivosti</w:t>
                  </w:r>
                </w:p>
              </w:tc>
              <w:tc>
                <w:tcPr>
                  <w:tcW w:w="700" w:type="dxa"/>
                  <w:tcBorders>
                    <w:top w:val="nil"/>
                    <w:left w:val="nil"/>
                    <w:bottom w:val="nil"/>
                    <w:right w:val="nil"/>
                  </w:tcBorders>
                  <w:shd w:val="clear" w:color="auto" w:fill="auto"/>
                  <w:noWrap/>
                  <w:vAlign w:val="bottom"/>
                  <w:hideMark/>
                </w:tcPr>
                <w:p w14:paraId="588C2EE2"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+1,1</w:t>
                  </w:r>
                </w:p>
              </w:tc>
              <w:tc>
                <w:tcPr>
                  <w:tcW w:w="700" w:type="dxa"/>
                  <w:tcBorders>
                    <w:top w:val="nil"/>
                    <w:left w:val="nil"/>
                    <w:bottom w:val="nil"/>
                    <w:right w:val="nil"/>
                  </w:tcBorders>
                  <w:shd w:val="clear" w:color="auto" w:fill="auto"/>
                  <w:noWrap/>
                  <w:vAlign w:val="bottom"/>
                  <w:hideMark/>
                </w:tcPr>
                <w:p w14:paraId="14EF898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+9,0</w:t>
                  </w:r>
                </w:p>
              </w:tc>
            </w:tr>
            <w:tr w:rsidR="00FB4423" w:rsidRPr="00F17A98" w14:paraId="118FE6C4" w14:textId="77777777" w:rsidTr="0083516C">
              <w:trPr>
                <w:trHeight w:val="255"/>
              </w:trPr>
              <w:tc>
                <w:tcPr>
                  <w:tcW w:w="3417" w:type="dxa"/>
                  <w:tcBorders>
                    <w:top w:val="nil"/>
                    <w:left w:val="nil"/>
                    <w:bottom w:val="nil"/>
                    <w:right w:val="nil"/>
                  </w:tcBorders>
                  <w:shd w:val="clear" w:color="auto" w:fill="auto"/>
                  <w:noWrap/>
                  <w:vAlign w:val="bottom"/>
                  <w:hideMark/>
                </w:tcPr>
                <w:p w14:paraId="4B0403DC"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Nápoje</w:t>
                  </w:r>
                </w:p>
              </w:tc>
              <w:tc>
                <w:tcPr>
                  <w:tcW w:w="700" w:type="dxa"/>
                  <w:tcBorders>
                    <w:top w:val="nil"/>
                    <w:left w:val="nil"/>
                    <w:bottom w:val="nil"/>
                    <w:right w:val="nil"/>
                  </w:tcBorders>
                  <w:shd w:val="clear" w:color="auto" w:fill="auto"/>
                  <w:noWrap/>
                  <w:vAlign w:val="bottom"/>
                  <w:hideMark/>
                </w:tcPr>
                <w:p w14:paraId="7414F3EC"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+1,0</w:t>
                  </w:r>
                </w:p>
              </w:tc>
              <w:tc>
                <w:tcPr>
                  <w:tcW w:w="700" w:type="dxa"/>
                  <w:tcBorders>
                    <w:top w:val="nil"/>
                    <w:left w:val="nil"/>
                    <w:bottom w:val="nil"/>
                    <w:right w:val="nil"/>
                  </w:tcBorders>
                  <w:shd w:val="clear" w:color="auto" w:fill="auto"/>
                  <w:noWrap/>
                  <w:vAlign w:val="bottom"/>
                  <w:hideMark/>
                </w:tcPr>
                <w:p w14:paraId="62DE9F3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+17,0</w:t>
                  </w:r>
                </w:p>
              </w:tc>
            </w:tr>
            <w:tr w:rsidR="00FB4423" w:rsidRPr="00F17A98" w14:paraId="79FFE1AB" w14:textId="77777777" w:rsidTr="0083516C">
              <w:trPr>
                <w:trHeight w:val="255"/>
              </w:trPr>
              <w:tc>
                <w:tcPr>
                  <w:tcW w:w="3417" w:type="dxa"/>
                  <w:tcBorders>
                    <w:top w:val="nil"/>
                    <w:left w:val="nil"/>
                    <w:bottom w:val="nil"/>
                    <w:right w:val="nil"/>
                  </w:tcBorders>
                  <w:shd w:val="clear" w:color="auto" w:fill="auto"/>
                  <w:noWrap/>
                  <w:vAlign w:val="bottom"/>
                  <w:hideMark/>
                </w:tcPr>
                <w:p w14:paraId="5894AD7E"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Koks a rafinované ropné produkty</w:t>
                  </w:r>
                </w:p>
              </w:tc>
              <w:tc>
                <w:tcPr>
                  <w:tcW w:w="700" w:type="dxa"/>
                  <w:tcBorders>
                    <w:top w:val="nil"/>
                    <w:left w:val="nil"/>
                    <w:bottom w:val="nil"/>
                    <w:right w:val="nil"/>
                  </w:tcBorders>
                  <w:shd w:val="clear" w:color="auto" w:fill="auto"/>
                  <w:noWrap/>
                  <w:vAlign w:val="bottom"/>
                  <w:hideMark/>
                </w:tcPr>
                <w:p w14:paraId="5AD08EC4"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3,9</w:t>
                  </w:r>
                </w:p>
              </w:tc>
              <w:tc>
                <w:tcPr>
                  <w:tcW w:w="700" w:type="dxa"/>
                  <w:tcBorders>
                    <w:top w:val="nil"/>
                    <w:left w:val="nil"/>
                    <w:bottom w:val="nil"/>
                    <w:right w:val="nil"/>
                  </w:tcBorders>
                  <w:shd w:val="clear" w:color="auto" w:fill="auto"/>
                  <w:noWrap/>
                  <w:vAlign w:val="bottom"/>
                  <w:hideMark/>
                </w:tcPr>
                <w:p w14:paraId="0E01E6CC"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28,7</w:t>
                  </w:r>
                </w:p>
              </w:tc>
            </w:tr>
          </w:tbl>
          <w:p w14:paraId="68815AD9" w14:textId="77777777" w:rsidR="00FB4423" w:rsidRDefault="00FB4423" w:rsidP="0083516C">
            <w:pPr>
              <w:spacing w:after="0"/>
              <w:rPr>
                <w:spacing w:val="-4"/>
                <w:lang w:eastAsia="en-US"/>
              </w:rPr>
            </w:pPr>
          </w:p>
        </w:tc>
        <w:tc>
          <w:tcPr>
            <w:tcW w:w="57" w:type="dxa"/>
          </w:tcPr>
          <w:p w14:paraId="45872F3E" w14:textId="77777777" w:rsidR="00FB4423" w:rsidRDefault="00FB4423" w:rsidP="0083516C">
            <w:pPr>
              <w:spacing w:after="0"/>
              <w:rPr>
                <w:spacing w:val="-4"/>
                <w:lang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FB4423" w:rsidRPr="00F17A98" w14:paraId="57283D8A" w14:textId="77777777" w:rsidTr="0083516C">
              <w:trPr>
                <w:trHeight w:val="255"/>
              </w:trPr>
              <w:tc>
                <w:tcPr>
                  <w:tcW w:w="3362" w:type="dxa"/>
                  <w:tcBorders>
                    <w:top w:val="nil"/>
                    <w:left w:val="nil"/>
                    <w:bottom w:val="nil"/>
                    <w:right w:val="nil"/>
                  </w:tcBorders>
                  <w:shd w:val="clear" w:color="auto" w:fill="auto"/>
                  <w:noWrap/>
                  <w:vAlign w:val="bottom"/>
                  <w:hideMark/>
                </w:tcPr>
                <w:p w14:paraId="6E2C3364" w14:textId="77777777" w:rsidR="00FB4423" w:rsidRPr="00F17A98" w:rsidRDefault="00FB4423" w:rsidP="0083516C">
                  <w:pPr>
                    <w:spacing w:after="0" w:line="240" w:lineRule="auto"/>
                    <w:jc w:val="left"/>
                    <w:rPr>
                      <w:rFonts w:ascii="Times New Roman" w:hAnsi="Times New Roman"/>
                      <w:sz w:val="24"/>
                      <w:szCs w:val="20"/>
                    </w:rPr>
                  </w:pPr>
                </w:p>
              </w:tc>
              <w:tc>
                <w:tcPr>
                  <w:tcW w:w="700" w:type="dxa"/>
                  <w:tcBorders>
                    <w:top w:val="nil"/>
                    <w:left w:val="nil"/>
                    <w:bottom w:val="nil"/>
                    <w:right w:val="nil"/>
                  </w:tcBorders>
                  <w:shd w:val="clear" w:color="auto" w:fill="auto"/>
                  <w:noWrap/>
                  <w:vAlign w:val="bottom"/>
                  <w:hideMark/>
                </w:tcPr>
                <w:p w14:paraId="30BC6350"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mld. Kč</w:t>
                  </w:r>
                </w:p>
              </w:tc>
              <w:tc>
                <w:tcPr>
                  <w:tcW w:w="700" w:type="dxa"/>
                  <w:tcBorders>
                    <w:top w:val="nil"/>
                    <w:left w:val="nil"/>
                    <w:bottom w:val="nil"/>
                    <w:right w:val="nil"/>
                  </w:tcBorders>
                  <w:shd w:val="clear" w:color="auto" w:fill="auto"/>
                  <w:noWrap/>
                  <w:vAlign w:val="bottom"/>
                  <w:hideMark/>
                </w:tcPr>
                <w:p w14:paraId="463AC1C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w:t>
                  </w:r>
                </w:p>
              </w:tc>
            </w:tr>
            <w:tr w:rsidR="00FB4423" w:rsidRPr="00F17A98" w14:paraId="5A4DE104" w14:textId="77777777" w:rsidTr="0083516C">
              <w:trPr>
                <w:trHeight w:val="255"/>
              </w:trPr>
              <w:tc>
                <w:tcPr>
                  <w:tcW w:w="3362" w:type="dxa"/>
                  <w:tcBorders>
                    <w:top w:val="single" w:sz="4" w:space="0" w:color="auto"/>
                    <w:left w:val="nil"/>
                    <w:bottom w:val="nil"/>
                    <w:right w:val="nil"/>
                  </w:tcBorders>
                  <w:shd w:val="clear" w:color="auto" w:fill="auto"/>
                  <w:noWrap/>
                  <w:vAlign w:val="bottom"/>
                  <w:hideMark/>
                </w:tcPr>
                <w:p w14:paraId="3DCDBFF5"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Německo</w:t>
                  </w:r>
                </w:p>
              </w:tc>
              <w:tc>
                <w:tcPr>
                  <w:tcW w:w="700" w:type="dxa"/>
                  <w:tcBorders>
                    <w:top w:val="single" w:sz="4" w:space="0" w:color="auto"/>
                    <w:left w:val="nil"/>
                    <w:bottom w:val="nil"/>
                    <w:right w:val="nil"/>
                  </w:tcBorders>
                  <w:shd w:val="clear" w:color="auto" w:fill="auto"/>
                  <w:noWrap/>
                  <w:vAlign w:val="bottom"/>
                  <w:hideMark/>
                </w:tcPr>
                <w:p w14:paraId="1949F84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+22,3</w:t>
                  </w:r>
                </w:p>
              </w:tc>
              <w:tc>
                <w:tcPr>
                  <w:tcW w:w="700" w:type="dxa"/>
                  <w:tcBorders>
                    <w:top w:val="single" w:sz="4" w:space="0" w:color="auto"/>
                    <w:left w:val="nil"/>
                    <w:bottom w:val="nil"/>
                    <w:right w:val="nil"/>
                  </w:tcBorders>
                  <w:shd w:val="clear" w:color="auto" w:fill="auto"/>
                  <w:noWrap/>
                  <w:vAlign w:val="bottom"/>
                  <w:hideMark/>
                </w:tcPr>
                <w:p w14:paraId="45C60F8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+7,2</w:t>
                  </w:r>
                </w:p>
              </w:tc>
            </w:tr>
            <w:tr w:rsidR="00FB4423" w:rsidRPr="00F17A98" w14:paraId="67316131" w14:textId="77777777" w:rsidTr="0083516C">
              <w:trPr>
                <w:trHeight w:val="255"/>
              </w:trPr>
              <w:tc>
                <w:tcPr>
                  <w:tcW w:w="3362" w:type="dxa"/>
                  <w:tcBorders>
                    <w:top w:val="nil"/>
                    <w:left w:val="nil"/>
                    <w:bottom w:val="nil"/>
                    <w:right w:val="nil"/>
                  </w:tcBorders>
                  <w:shd w:val="clear" w:color="auto" w:fill="auto"/>
                  <w:noWrap/>
                  <w:vAlign w:val="bottom"/>
                  <w:hideMark/>
                </w:tcPr>
                <w:p w14:paraId="78BE3AC7"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Velká Británie</w:t>
                  </w:r>
                </w:p>
              </w:tc>
              <w:tc>
                <w:tcPr>
                  <w:tcW w:w="700" w:type="dxa"/>
                  <w:tcBorders>
                    <w:top w:val="nil"/>
                    <w:left w:val="nil"/>
                    <w:bottom w:val="nil"/>
                    <w:right w:val="nil"/>
                  </w:tcBorders>
                  <w:shd w:val="clear" w:color="auto" w:fill="auto"/>
                  <w:noWrap/>
                  <w:vAlign w:val="bottom"/>
                  <w:hideMark/>
                </w:tcPr>
                <w:p w14:paraId="34E1ECD0"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+13,8</w:t>
                  </w:r>
                </w:p>
              </w:tc>
              <w:tc>
                <w:tcPr>
                  <w:tcW w:w="700" w:type="dxa"/>
                  <w:tcBorders>
                    <w:top w:val="nil"/>
                    <w:left w:val="nil"/>
                    <w:bottom w:val="nil"/>
                    <w:right w:val="nil"/>
                  </w:tcBorders>
                  <w:shd w:val="clear" w:color="auto" w:fill="auto"/>
                  <w:noWrap/>
                  <w:vAlign w:val="bottom"/>
                  <w:hideMark/>
                </w:tcPr>
                <w:p w14:paraId="5A46BF9A"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+32,1</w:t>
                  </w:r>
                </w:p>
              </w:tc>
            </w:tr>
            <w:tr w:rsidR="00FB4423" w:rsidRPr="00F17A98" w14:paraId="38505F9B" w14:textId="77777777" w:rsidTr="0083516C">
              <w:trPr>
                <w:trHeight w:val="255"/>
              </w:trPr>
              <w:tc>
                <w:tcPr>
                  <w:tcW w:w="3362" w:type="dxa"/>
                  <w:tcBorders>
                    <w:top w:val="nil"/>
                    <w:left w:val="nil"/>
                    <w:bottom w:val="nil"/>
                    <w:right w:val="nil"/>
                  </w:tcBorders>
                  <w:shd w:val="clear" w:color="auto" w:fill="auto"/>
                  <w:noWrap/>
                  <w:vAlign w:val="bottom"/>
                  <w:hideMark/>
                </w:tcPr>
                <w:p w14:paraId="6C6A845E"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shd w:val="clear" w:color="auto" w:fill="auto"/>
                  <w:noWrap/>
                  <w:vAlign w:val="bottom"/>
                  <w:hideMark/>
                </w:tcPr>
                <w:p w14:paraId="4D64F5B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+8,0</w:t>
                  </w:r>
                </w:p>
              </w:tc>
              <w:tc>
                <w:tcPr>
                  <w:tcW w:w="700" w:type="dxa"/>
                  <w:tcBorders>
                    <w:top w:val="nil"/>
                    <w:left w:val="nil"/>
                    <w:bottom w:val="nil"/>
                    <w:right w:val="nil"/>
                  </w:tcBorders>
                  <w:shd w:val="clear" w:color="auto" w:fill="auto"/>
                  <w:noWrap/>
                  <w:vAlign w:val="bottom"/>
                  <w:hideMark/>
                </w:tcPr>
                <w:p w14:paraId="353473E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+29,1</w:t>
                  </w:r>
                </w:p>
              </w:tc>
            </w:tr>
            <w:tr w:rsidR="00FB4423" w:rsidRPr="00F17A98" w14:paraId="3491C08F" w14:textId="77777777" w:rsidTr="0083516C">
              <w:trPr>
                <w:trHeight w:val="255"/>
              </w:trPr>
              <w:tc>
                <w:tcPr>
                  <w:tcW w:w="3362" w:type="dxa"/>
                  <w:tcBorders>
                    <w:top w:val="nil"/>
                    <w:left w:val="nil"/>
                    <w:bottom w:val="nil"/>
                    <w:right w:val="nil"/>
                  </w:tcBorders>
                  <w:shd w:val="clear" w:color="auto" w:fill="auto"/>
                  <w:noWrap/>
                  <w:vAlign w:val="bottom"/>
                  <w:hideMark/>
                </w:tcPr>
                <w:p w14:paraId="7E709798"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Slovensko</w:t>
                  </w:r>
                </w:p>
              </w:tc>
              <w:tc>
                <w:tcPr>
                  <w:tcW w:w="700" w:type="dxa"/>
                  <w:tcBorders>
                    <w:top w:val="nil"/>
                    <w:left w:val="nil"/>
                    <w:bottom w:val="nil"/>
                    <w:right w:val="nil"/>
                  </w:tcBorders>
                  <w:shd w:val="clear" w:color="auto" w:fill="auto"/>
                  <w:noWrap/>
                  <w:vAlign w:val="bottom"/>
                  <w:hideMark/>
                </w:tcPr>
                <w:p w14:paraId="40749DB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+6,7</w:t>
                  </w:r>
                </w:p>
              </w:tc>
              <w:tc>
                <w:tcPr>
                  <w:tcW w:w="700" w:type="dxa"/>
                  <w:tcBorders>
                    <w:top w:val="nil"/>
                    <w:left w:val="nil"/>
                    <w:bottom w:val="nil"/>
                    <w:right w:val="nil"/>
                  </w:tcBorders>
                  <w:shd w:val="clear" w:color="auto" w:fill="auto"/>
                  <w:noWrap/>
                  <w:vAlign w:val="bottom"/>
                  <w:hideMark/>
                </w:tcPr>
                <w:p w14:paraId="54D2C30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+7,0</w:t>
                  </w:r>
                </w:p>
              </w:tc>
            </w:tr>
            <w:tr w:rsidR="00FB4423" w:rsidRPr="00F17A98" w14:paraId="632F5B0F" w14:textId="77777777" w:rsidTr="0083516C">
              <w:trPr>
                <w:trHeight w:val="255"/>
              </w:trPr>
              <w:tc>
                <w:tcPr>
                  <w:tcW w:w="3362" w:type="dxa"/>
                  <w:tcBorders>
                    <w:top w:val="nil"/>
                    <w:left w:val="nil"/>
                    <w:bottom w:val="nil"/>
                    <w:right w:val="nil"/>
                  </w:tcBorders>
                  <w:shd w:val="clear" w:color="auto" w:fill="auto"/>
                  <w:noWrap/>
                  <w:vAlign w:val="bottom"/>
                  <w:hideMark/>
                </w:tcPr>
                <w:p w14:paraId="56950AEF"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Francie</w:t>
                  </w:r>
                </w:p>
              </w:tc>
              <w:tc>
                <w:tcPr>
                  <w:tcW w:w="700" w:type="dxa"/>
                  <w:tcBorders>
                    <w:top w:val="nil"/>
                    <w:left w:val="nil"/>
                    <w:bottom w:val="nil"/>
                    <w:right w:val="nil"/>
                  </w:tcBorders>
                  <w:shd w:val="clear" w:color="auto" w:fill="auto"/>
                  <w:noWrap/>
                  <w:vAlign w:val="bottom"/>
                  <w:hideMark/>
                </w:tcPr>
                <w:p w14:paraId="2ED15CA0"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+6,6</w:t>
                  </w:r>
                </w:p>
              </w:tc>
              <w:tc>
                <w:tcPr>
                  <w:tcW w:w="700" w:type="dxa"/>
                  <w:tcBorders>
                    <w:top w:val="nil"/>
                    <w:left w:val="nil"/>
                    <w:bottom w:val="nil"/>
                    <w:right w:val="nil"/>
                  </w:tcBorders>
                  <w:shd w:val="clear" w:color="auto" w:fill="auto"/>
                  <w:noWrap/>
                  <w:vAlign w:val="bottom"/>
                  <w:hideMark/>
                </w:tcPr>
                <w:p w14:paraId="30DB2BE2"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+14,3</w:t>
                  </w:r>
                </w:p>
              </w:tc>
            </w:tr>
            <w:tr w:rsidR="00FB4423" w:rsidRPr="00F17A98" w14:paraId="012385D3" w14:textId="77777777" w:rsidTr="0083516C">
              <w:trPr>
                <w:trHeight w:val="255"/>
              </w:trPr>
              <w:tc>
                <w:tcPr>
                  <w:tcW w:w="3362" w:type="dxa"/>
                  <w:tcBorders>
                    <w:top w:val="nil"/>
                    <w:left w:val="nil"/>
                    <w:bottom w:val="nil"/>
                    <w:right w:val="nil"/>
                  </w:tcBorders>
                  <w:shd w:val="clear" w:color="auto" w:fill="auto"/>
                  <w:noWrap/>
                  <w:vAlign w:val="bottom"/>
                  <w:hideMark/>
                </w:tcPr>
                <w:p w14:paraId="2AC5461C"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Polsko</w:t>
                  </w:r>
                </w:p>
              </w:tc>
              <w:tc>
                <w:tcPr>
                  <w:tcW w:w="700" w:type="dxa"/>
                  <w:tcBorders>
                    <w:top w:val="nil"/>
                    <w:left w:val="nil"/>
                    <w:bottom w:val="nil"/>
                    <w:right w:val="nil"/>
                  </w:tcBorders>
                  <w:shd w:val="clear" w:color="auto" w:fill="auto"/>
                  <w:noWrap/>
                  <w:vAlign w:val="bottom"/>
                  <w:hideMark/>
                </w:tcPr>
                <w:p w14:paraId="6D1F7D15"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+5,7</w:t>
                  </w:r>
                </w:p>
              </w:tc>
              <w:tc>
                <w:tcPr>
                  <w:tcW w:w="700" w:type="dxa"/>
                  <w:tcBorders>
                    <w:top w:val="nil"/>
                    <w:left w:val="nil"/>
                    <w:bottom w:val="nil"/>
                    <w:right w:val="nil"/>
                  </w:tcBorders>
                  <w:shd w:val="clear" w:color="auto" w:fill="auto"/>
                  <w:noWrap/>
                  <w:vAlign w:val="bottom"/>
                  <w:hideMark/>
                </w:tcPr>
                <w:p w14:paraId="6C0E7175"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+7,6</w:t>
                  </w:r>
                </w:p>
              </w:tc>
            </w:tr>
            <w:tr w:rsidR="00FB4423" w:rsidRPr="00F17A98" w14:paraId="708F1CA7" w14:textId="77777777" w:rsidTr="0083516C">
              <w:trPr>
                <w:trHeight w:val="255"/>
              </w:trPr>
              <w:tc>
                <w:tcPr>
                  <w:tcW w:w="3362" w:type="dxa"/>
                  <w:tcBorders>
                    <w:top w:val="nil"/>
                    <w:left w:val="nil"/>
                    <w:bottom w:val="nil"/>
                    <w:right w:val="nil"/>
                  </w:tcBorders>
                  <w:shd w:val="clear" w:color="auto" w:fill="auto"/>
                  <w:noWrap/>
                  <w:vAlign w:val="bottom"/>
                  <w:hideMark/>
                </w:tcPr>
                <w:p w14:paraId="4AD1ADEB"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Itálie</w:t>
                  </w:r>
                </w:p>
              </w:tc>
              <w:tc>
                <w:tcPr>
                  <w:tcW w:w="700" w:type="dxa"/>
                  <w:tcBorders>
                    <w:top w:val="nil"/>
                    <w:left w:val="nil"/>
                    <w:bottom w:val="nil"/>
                    <w:right w:val="nil"/>
                  </w:tcBorders>
                  <w:shd w:val="clear" w:color="auto" w:fill="auto"/>
                  <w:noWrap/>
                  <w:vAlign w:val="bottom"/>
                  <w:hideMark/>
                </w:tcPr>
                <w:p w14:paraId="6909E809"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+5,1</w:t>
                  </w:r>
                </w:p>
              </w:tc>
              <w:tc>
                <w:tcPr>
                  <w:tcW w:w="700" w:type="dxa"/>
                  <w:tcBorders>
                    <w:top w:val="nil"/>
                    <w:left w:val="nil"/>
                    <w:bottom w:val="nil"/>
                    <w:right w:val="nil"/>
                  </w:tcBorders>
                  <w:shd w:val="clear" w:color="auto" w:fill="auto"/>
                  <w:noWrap/>
                  <w:vAlign w:val="bottom"/>
                  <w:hideMark/>
                </w:tcPr>
                <w:p w14:paraId="3C179A81"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+12,8</w:t>
                  </w:r>
                </w:p>
              </w:tc>
            </w:tr>
            <w:tr w:rsidR="00FB4423" w:rsidRPr="00F17A98" w14:paraId="05E8FFBB" w14:textId="77777777" w:rsidTr="0083516C">
              <w:trPr>
                <w:trHeight w:val="255"/>
              </w:trPr>
              <w:tc>
                <w:tcPr>
                  <w:tcW w:w="3362" w:type="dxa"/>
                  <w:tcBorders>
                    <w:top w:val="nil"/>
                    <w:left w:val="nil"/>
                    <w:bottom w:val="nil"/>
                    <w:right w:val="nil"/>
                  </w:tcBorders>
                  <w:shd w:val="clear" w:color="auto" w:fill="auto"/>
                  <w:noWrap/>
                  <w:vAlign w:val="bottom"/>
                  <w:hideMark/>
                </w:tcPr>
                <w:p w14:paraId="3D4B320C"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Singapur</w:t>
                  </w:r>
                </w:p>
              </w:tc>
              <w:tc>
                <w:tcPr>
                  <w:tcW w:w="700" w:type="dxa"/>
                  <w:tcBorders>
                    <w:top w:val="nil"/>
                    <w:left w:val="nil"/>
                    <w:bottom w:val="nil"/>
                    <w:right w:val="nil"/>
                  </w:tcBorders>
                  <w:shd w:val="clear" w:color="auto" w:fill="auto"/>
                  <w:noWrap/>
                  <w:vAlign w:val="bottom"/>
                  <w:hideMark/>
                </w:tcPr>
                <w:p w14:paraId="08CBC81C"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+4,8</w:t>
                  </w:r>
                </w:p>
              </w:tc>
              <w:tc>
                <w:tcPr>
                  <w:tcW w:w="700" w:type="dxa"/>
                  <w:tcBorders>
                    <w:top w:val="nil"/>
                    <w:left w:val="nil"/>
                    <w:bottom w:val="nil"/>
                    <w:right w:val="nil"/>
                  </w:tcBorders>
                  <w:shd w:val="clear" w:color="auto" w:fill="auto"/>
                  <w:noWrap/>
                  <w:vAlign w:val="bottom"/>
                  <w:hideMark/>
                </w:tcPr>
                <w:p w14:paraId="0CC8942B"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+236,5</w:t>
                  </w:r>
                </w:p>
              </w:tc>
            </w:tr>
            <w:tr w:rsidR="00FB4423" w:rsidRPr="00F17A98" w14:paraId="02A1BCB3" w14:textId="77777777" w:rsidTr="0083516C">
              <w:trPr>
                <w:trHeight w:val="255"/>
              </w:trPr>
              <w:tc>
                <w:tcPr>
                  <w:tcW w:w="3362" w:type="dxa"/>
                  <w:tcBorders>
                    <w:top w:val="nil"/>
                    <w:left w:val="nil"/>
                    <w:bottom w:val="nil"/>
                    <w:right w:val="nil"/>
                  </w:tcBorders>
                  <w:shd w:val="clear" w:color="auto" w:fill="auto"/>
                  <w:noWrap/>
                  <w:vAlign w:val="bottom"/>
                  <w:hideMark/>
                </w:tcPr>
                <w:p w14:paraId="56A74EB2"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Čína</w:t>
                  </w:r>
                </w:p>
              </w:tc>
              <w:tc>
                <w:tcPr>
                  <w:tcW w:w="700" w:type="dxa"/>
                  <w:tcBorders>
                    <w:top w:val="nil"/>
                    <w:left w:val="nil"/>
                    <w:bottom w:val="nil"/>
                    <w:right w:val="nil"/>
                  </w:tcBorders>
                  <w:shd w:val="clear" w:color="auto" w:fill="auto"/>
                  <w:noWrap/>
                  <w:vAlign w:val="bottom"/>
                  <w:hideMark/>
                </w:tcPr>
                <w:p w14:paraId="6B82F17B"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+2,9</w:t>
                  </w:r>
                </w:p>
              </w:tc>
              <w:tc>
                <w:tcPr>
                  <w:tcW w:w="700" w:type="dxa"/>
                  <w:tcBorders>
                    <w:top w:val="nil"/>
                    <w:left w:val="nil"/>
                    <w:bottom w:val="nil"/>
                    <w:right w:val="nil"/>
                  </w:tcBorders>
                  <w:shd w:val="clear" w:color="auto" w:fill="auto"/>
                  <w:noWrap/>
                  <w:vAlign w:val="bottom"/>
                  <w:hideMark/>
                </w:tcPr>
                <w:p w14:paraId="1976EE5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+28,7</w:t>
                  </w:r>
                </w:p>
              </w:tc>
            </w:tr>
            <w:tr w:rsidR="00FB4423" w:rsidRPr="00F17A98" w14:paraId="092EB321" w14:textId="77777777" w:rsidTr="0083516C">
              <w:trPr>
                <w:trHeight w:val="255"/>
              </w:trPr>
              <w:tc>
                <w:tcPr>
                  <w:tcW w:w="3362" w:type="dxa"/>
                  <w:tcBorders>
                    <w:top w:val="nil"/>
                    <w:left w:val="nil"/>
                    <w:bottom w:val="nil"/>
                    <w:right w:val="nil"/>
                  </w:tcBorders>
                  <w:shd w:val="clear" w:color="auto" w:fill="auto"/>
                  <w:noWrap/>
                  <w:vAlign w:val="bottom"/>
                  <w:hideMark/>
                </w:tcPr>
                <w:p w14:paraId="11D0CAA4"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Turecko</w:t>
                  </w:r>
                </w:p>
              </w:tc>
              <w:tc>
                <w:tcPr>
                  <w:tcW w:w="700" w:type="dxa"/>
                  <w:tcBorders>
                    <w:top w:val="nil"/>
                    <w:left w:val="nil"/>
                    <w:bottom w:val="nil"/>
                    <w:right w:val="nil"/>
                  </w:tcBorders>
                  <w:shd w:val="clear" w:color="auto" w:fill="auto"/>
                  <w:noWrap/>
                  <w:vAlign w:val="bottom"/>
                  <w:hideMark/>
                </w:tcPr>
                <w:p w14:paraId="11FA9E1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+2,8</w:t>
                  </w:r>
                </w:p>
              </w:tc>
              <w:tc>
                <w:tcPr>
                  <w:tcW w:w="700" w:type="dxa"/>
                  <w:tcBorders>
                    <w:top w:val="nil"/>
                    <w:left w:val="nil"/>
                    <w:bottom w:val="nil"/>
                    <w:right w:val="nil"/>
                  </w:tcBorders>
                  <w:shd w:val="clear" w:color="auto" w:fill="auto"/>
                  <w:noWrap/>
                  <w:vAlign w:val="bottom"/>
                  <w:hideMark/>
                </w:tcPr>
                <w:p w14:paraId="5690B9A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+18,6</w:t>
                  </w:r>
                </w:p>
              </w:tc>
            </w:tr>
            <w:tr w:rsidR="00FB4423" w:rsidRPr="00F17A98" w14:paraId="33BB9057" w14:textId="77777777" w:rsidTr="0083516C">
              <w:trPr>
                <w:trHeight w:val="255"/>
              </w:trPr>
              <w:tc>
                <w:tcPr>
                  <w:tcW w:w="3362" w:type="dxa"/>
                  <w:tcBorders>
                    <w:top w:val="nil"/>
                    <w:left w:val="nil"/>
                    <w:bottom w:val="nil"/>
                    <w:right w:val="nil"/>
                  </w:tcBorders>
                  <w:shd w:val="clear" w:color="auto" w:fill="auto"/>
                  <w:noWrap/>
                  <w:vAlign w:val="bottom"/>
                  <w:hideMark/>
                </w:tcPr>
                <w:p w14:paraId="5F9AB7B4"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Dánsko</w:t>
                  </w:r>
                </w:p>
              </w:tc>
              <w:tc>
                <w:tcPr>
                  <w:tcW w:w="700" w:type="dxa"/>
                  <w:tcBorders>
                    <w:top w:val="nil"/>
                    <w:left w:val="nil"/>
                    <w:bottom w:val="nil"/>
                    <w:right w:val="nil"/>
                  </w:tcBorders>
                  <w:shd w:val="clear" w:color="auto" w:fill="auto"/>
                  <w:noWrap/>
                  <w:vAlign w:val="bottom"/>
                  <w:hideMark/>
                </w:tcPr>
                <w:p w14:paraId="4D864F81"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+2,5</w:t>
                  </w:r>
                </w:p>
              </w:tc>
              <w:tc>
                <w:tcPr>
                  <w:tcW w:w="700" w:type="dxa"/>
                  <w:tcBorders>
                    <w:top w:val="nil"/>
                    <w:left w:val="nil"/>
                    <w:bottom w:val="nil"/>
                    <w:right w:val="nil"/>
                  </w:tcBorders>
                  <w:shd w:val="clear" w:color="auto" w:fill="auto"/>
                  <w:noWrap/>
                  <w:vAlign w:val="bottom"/>
                  <w:hideMark/>
                </w:tcPr>
                <w:p w14:paraId="34A4DCE8"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+31,5</w:t>
                  </w:r>
                </w:p>
              </w:tc>
            </w:tr>
            <w:tr w:rsidR="00FB4423" w:rsidRPr="00F17A98" w14:paraId="32885EA2" w14:textId="77777777" w:rsidTr="0083516C">
              <w:trPr>
                <w:trHeight w:val="255"/>
              </w:trPr>
              <w:tc>
                <w:tcPr>
                  <w:tcW w:w="3362" w:type="dxa"/>
                  <w:tcBorders>
                    <w:top w:val="nil"/>
                    <w:left w:val="nil"/>
                    <w:bottom w:val="nil"/>
                    <w:right w:val="nil"/>
                  </w:tcBorders>
                  <w:shd w:val="clear" w:color="auto" w:fill="auto"/>
                  <w:noWrap/>
                  <w:vAlign w:val="bottom"/>
                  <w:hideMark/>
                </w:tcPr>
                <w:p w14:paraId="3D9D2E33"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Nizozemsko</w:t>
                  </w:r>
                </w:p>
              </w:tc>
              <w:tc>
                <w:tcPr>
                  <w:tcW w:w="700" w:type="dxa"/>
                  <w:tcBorders>
                    <w:top w:val="nil"/>
                    <w:left w:val="nil"/>
                    <w:bottom w:val="nil"/>
                    <w:right w:val="nil"/>
                  </w:tcBorders>
                  <w:shd w:val="clear" w:color="auto" w:fill="auto"/>
                  <w:noWrap/>
                  <w:vAlign w:val="bottom"/>
                  <w:hideMark/>
                </w:tcPr>
                <w:p w14:paraId="5202372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+2,4</w:t>
                  </w:r>
                </w:p>
              </w:tc>
              <w:tc>
                <w:tcPr>
                  <w:tcW w:w="700" w:type="dxa"/>
                  <w:tcBorders>
                    <w:top w:val="nil"/>
                    <w:left w:val="nil"/>
                    <w:bottom w:val="nil"/>
                    <w:right w:val="nil"/>
                  </w:tcBorders>
                  <w:shd w:val="clear" w:color="auto" w:fill="auto"/>
                  <w:noWrap/>
                  <w:vAlign w:val="bottom"/>
                  <w:hideMark/>
                </w:tcPr>
                <w:p w14:paraId="3A0A2709"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+7,1</w:t>
                  </w:r>
                </w:p>
              </w:tc>
            </w:tr>
            <w:tr w:rsidR="00FB4423" w:rsidRPr="00F17A98" w14:paraId="5F6C4B37" w14:textId="77777777" w:rsidTr="0083516C">
              <w:trPr>
                <w:trHeight w:val="255"/>
              </w:trPr>
              <w:tc>
                <w:tcPr>
                  <w:tcW w:w="3362" w:type="dxa"/>
                  <w:tcBorders>
                    <w:top w:val="nil"/>
                    <w:left w:val="nil"/>
                    <w:bottom w:val="nil"/>
                    <w:right w:val="nil"/>
                  </w:tcBorders>
                  <w:shd w:val="clear" w:color="auto" w:fill="auto"/>
                  <w:noWrap/>
                  <w:vAlign w:val="bottom"/>
                  <w:hideMark/>
                </w:tcPr>
                <w:p w14:paraId="34A348F0"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Rakousko</w:t>
                  </w:r>
                </w:p>
              </w:tc>
              <w:tc>
                <w:tcPr>
                  <w:tcW w:w="700" w:type="dxa"/>
                  <w:tcBorders>
                    <w:top w:val="nil"/>
                    <w:left w:val="nil"/>
                    <w:bottom w:val="nil"/>
                    <w:right w:val="nil"/>
                  </w:tcBorders>
                  <w:shd w:val="clear" w:color="auto" w:fill="auto"/>
                  <w:noWrap/>
                  <w:vAlign w:val="bottom"/>
                  <w:hideMark/>
                </w:tcPr>
                <w:p w14:paraId="77320217"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+2,2</w:t>
                  </w:r>
                </w:p>
              </w:tc>
              <w:tc>
                <w:tcPr>
                  <w:tcW w:w="700" w:type="dxa"/>
                  <w:tcBorders>
                    <w:top w:val="nil"/>
                    <w:left w:val="nil"/>
                    <w:bottom w:val="nil"/>
                    <w:right w:val="nil"/>
                  </w:tcBorders>
                  <w:shd w:val="clear" w:color="auto" w:fill="auto"/>
                  <w:noWrap/>
                  <w:vAlign w:val="bottom"/>
                  <w:hideMark/>
                </w:tcPr>
                <w:p w14:paraId="54872391"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+5,2</w:t>
                  </w:r>
                </w:p>
              </w:tc>
            </w:tr>
            <w:tr w:rsidR="00FB4423" w:rsidRPr="00F17A98" w14:paraId="121CB3FE" w14:textId="77777777" w:rsidTr="0083516C">
              <w:trPr>
                <w:trHeight w:val="255"/>
              </w:trPr>
              <w:tc>
                <w:tcPr>
                  <w:tcW w:w="3362" w:type="dxa"/>
                  <w:tcBorders>
                    <w:top w:val="nil"/>
                    <w:left w:val="nil"/>
                    <w:bottom w:val="nil"/>
                    <w:right w:val="nil"/>
                  </w:tcBorders>
                  <w:shd w:val="clear" w:color="auto" w:fill="auto"/>
                  <w:noWrap/>
                  <w:vAlign w:val="bottom"/>
                  <w:hideMark/>
                </w:tcPr>
                <w:p w14:paraId="588E5924"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Ukrajina</w:t>
                  </w:r>
                </w:p>
              </w:tc>
              <w:tc>
                <w:tcPr>
                  <w:tcW w:w="700" w:type="dxa"/>
                  <w:tcBorders>
                    <w:top w:val="nil"/>
                    <w:left w:val="nil"/>
                    <w:bottom w:val="nil"/>
                    <w:right w:val="nil"/>
                  </w:tcBorders>
                  <w:shd w:val="clear" w:color="auto" w:fill="auto"/>
                  <w:noWrap/>
                  <w:vAlign w:val="bottom"/>
                  <w:hideMark/>
                </w:tcPr>
                <w:p w14:paraId="67FEA3F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+1,7</w:t>
                  </w:r>
                </w:p>
              </w:tc>
              <w:tc>
                <w:tcPr>
                  <w:tcW w:w="700" w:type="dxa"/>
                  <w:tcBorders>
                    <w:top w:val="nil"/>
                    <w:left w:val="nil"/>
                    <w:bottom w:val="nil"/>
                    <w:right w:val="nil"/>
                  </w:tcBorders>
                  <w:shd w:val="clear" w:color="auto" w:fill="auto"/>
                  <w:noWrap/>
                  <w:vAlign w:val="bottom"/>
                  <w:hideMark/>
                </w:tcPr>
                <w:p w14:paraId="2EE4945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+18,0</w:t>
                  </w:r>
                </w:p>
              </w:tc>
            </w:tr>
            <w:tr w:rsidR="00FB4423" w:rsidRPr="00F17A98" w14:paraId="2C50EB32" w14:textId="77777777" w:rsidTr="0083516C">
              <w:trPr>
                <w:trHeight w:val="255"/>
              </w:trPr>
              <w:tc>
                <w:tcPr>
                  <w:tcW w:w="3362" w:type="dxa"/>
                  <w:tcBorders>
                    <w:top w:val="nil"/>
                    <w:left w:val="nil"/>
                    <w:bottom w:val="nil"/>
                    <w:right w:val="nil"/>
                  </w:tcBorders>
                  <w:shd w:val="clear" w:color="auto" w:fill="auto"/>
                  <w:noWrap/>
                  <w:vAlign w:val="bottom"/>
                  <w:hideMark/>
                </w:tcPr>
                <w:p w14:paraId="7231C294"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Švédsko</w:t>
                  </w:r>
                </w:p>
              </w:tc>
              <w:tc>
                <w:tcPr>
                  <w:tcW w:w="700" w:type="dxa"/>
                  <w:tcBorders>
                    <w:top w:val="nil"/>
                    <w:left w:val="nil"/>
                    <w:bottom w:val="nil"/>
                    <w:right w:val="nil"/>
                  </w:tcBorders>
                  <w:shd w:val="clear" w:color="auto" w:fill="auto"/>
                  <w:noWrap/>
                  <w:vAlign w:val="bottom"/>
                  <w:hideMark/>
                </w:tcPr>
                <w:p w14:paraId="7A02A78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+1,7</w:t>
                  </w:r>
                </w:p>
              </w:tc>
              <w:tc>
                <w:tcPr>
                  <w:tcW w:w="700" w:type="dxa"/>
                  <w:tcBorders>
                    <w:top w:val="nil"/>
                    <w:left w:val="nil"/>
                    <w:bottom w:val="nil"/>
                    <w:right w:val="nil"/>
                  </w:tcBorders>
                  <w:shd w:val="clear" w:color="auto" w:fill="auto"/>
                  <w:noWrap/>
                  <w:vAlign w:val="bottom"/>
                  <w:hideMark/>
                </w:tcPr>
                <w:p w14:paraId="52E1679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+11,4</w:t>
                  </w:r>
                </w:p>
              </w:tc>
            </w:tr>
          </w:tbl>
          <w:p w14:paraId="375BABFD" w14:textId="77777777" w:rsidR="00FB4423" w:rsidRDefault="00FB4423" w:rsidP="0083516C">
            <w:pPr>
              <w:spacing w:after="0"/>
              <w:rPr>
                <w:spacing w:val="-4"/>
                <w:lang w:eastAsia="en-US"/>
              </w:rPr>
            </w:pPr>
          </w:p>
        </w:tc>
      </w:tr>
      <w:tr w:rsidR="00FB4423" w14:paraId="089EB1B0" w14:textId="77777777" w:rsidTr="0083516C">
        <w:trPr>
          <w:trHeight w:val="170"/>
        </w:trPr>
        <w:tc>
          <w:tcPr>
            <w:tcW w:w="4811" w:type="dxa"/>
            <w:gridSpan w:val="3"/>
            <w:hideMark/>
          </w:tcPr>
          <w:p w14:paraId="3F432BBB" w14:textId="77777777" w:rsidR="00FB4423" w:rsidRDefault="00FB4423" w:rsidP="0083516C">
            <w:pPr>
              <w:jc w:val="right"/>
              <w:rPr>
                <w:spacing w:val="-4"/>
                <w:sz w:val="16"/>
                <w:szCs w:val="16"/>
                <w:lang w:eastAsia="en-US"/>
              </w:rPr>
            </w:pPr>
            <w:r>
              <w:rPr>
                <w:spacing w:val="-4"/>
                <w:sz w:val="16"/>
                <w:szCs w:val="16"/>
                <w:lang w:eastAsia="en-US"/>
              </w:rPr>
              <w:t>Zdroj: ČSÚ</w:t>
            </w:r>
          </w:p>
        </w:tc>
        <w:tc>
          <w:tcPr>
            <w:tcW w:w="57" w:type="dxa"/>
          </w:tcPr>
          <w:p w14:paraId="0EF188D1" w14:textId="77777777" w:rsidR="00FB4423" w:rsidRDefault="00FB4423" w:rsidP="0083516C">
            <w:pPr>
              <w:spacing w:after="0"/>
              <w:rPr>
                <w:spacing w:val="-4"/>
                <w:lang w:eastAsia="en-US"/>
              </w:rPr>
            </w:pPr>
          </w:p>
        </w:tc>
        <w:tc>
          <w:tcPr>
            <w:tcW w:w="4809" w:type="dxa"/>
            <w:hideMark/>
          </w:tcPr>
          <w:p w14:paraId="631A7245" w14:textId="77777777" w:rsidR="00FB4423" w:rsidRDefault="00FB4423" w:rsidP="0083516C">
            <w:pPr>
              <w:spacing w:after="0"/>
              <w:jc w:val="right"/>
              <w:rPr>
                <w:spacing w:val="-4"/>
                <w:lang w:eastAsia="en-US"/>
              </w:rPr>
            </w:pPr>
            <w:r>
              <w:rPr>
                <w:spacing w:val="-4"/>
                <w:sz w:val="16"/>
                <w:szCs w:val="16"/>
                <w:lang w:eastAsia="en-US"/>
              </w:rPr>
              <w:t>Zdroj: ČSÚ</w:t>
            </w:r>
          </w:p>
        </w:tc>
      </w:tr>
      <w:tr w:rsidR="00FB4423" w14:paraId="6A23DE47" w14:textId="77777777" w:rsidTr="0083516C">
        <w:trPr>
          <w:trHeight w:val="145"/>
        </w:trPr>
        <w:tc>
          <w:tcPr>
            <w:tcW w:w="1748" w:type="dxa"/>
            <w:hideMark/>
          </w:tcPr>
          <w:p w14:paraId="4B1360A3" w14:textId="77777777" w:rsidR="00FB4423" w:rsidRDefault="00FB4423" w:rsidP="0083516C">
            <w:pPr>
              <w:pStyle w:val="Marginlie"/>
              <w:rPr>
                <w:lang w:eastAsia="en-US"/>
              </w:rPr>
            </w:pPr>
            <w:r>
              <w:rPr>
                <w:lang w:eastAsia="en-US"/>
              </w:rPr>
              <w:t>Růst importu je výrazně slabší než růst exportu.</w:t>
            </w:r>
          </w:p>
        </w:tc>
        <w:tc>
          <w:tcPr>
            <w:tcW w:w="252" w:type="dxa"/>
          </w:tcPr>
          <w:p w14:paraId="416F33CB" w14:textId="77777777" w:rsidR="00FB4423" w:rsidRDefault="00FB4423" w:rsidP="0083516C">
            <w:pPr>
              <w:pStyle w:val="Textpoznpodarou"/>
              <w:jc w:val="both"/>
              <w:rPr>
                <w:spacing w:val="-4"/>
                <w:lang w:eastAsia="en-US"/>
              </w:rPr>
            </w:pPr>
          </w:p>
        </w:tc>
        <w:tc>
          <w:tcPr>
            <w:tcW w:w="7677" w:type="dxa"/>
            <w:gridSpan w:val="3"/>
            <w:hideMark/>
          </w:tcPr>
          <w:p w14:paraId="6222BFC5" w14:textId="553E1F20" w:rsidR="00FB4423" w:rsidRDefault="00FB4423" w:rsidP="003E62A5">
            <w:pPr>
              <w:spacing w:after="180"/>
              <w:rPr>
                <w:spacing w:val="-4"/>
                <w:lang w:eastAsia="en-US"/>
              </w:rPr>
            </w:pPr>
            <w:r>
              <w:rPr>
                <w:spacing w:val="-4"/>
                <w:lang w:eastAsia="en-US"/>
              </w:rPr>
              <w:t xml:space="preserve">Celková hodnota </w:t>
            </w:r>
            <w:r w:rsidR="003E62A5">
              <w:rPr>
                <w:spacing w:val="-4"/>
                <w:lang w:eastAsia="en-US"/>
              </w:rPr>
              <w:t>dovozu</w:t>
            </w:r>
            <w:r>
              <w:rPr>
                <w:spacing w:val="-4"/>
                <w:lang w:eastAsia="en-US"/>
              </w:rPr>
              <w:t xml:space="preserve"> zboží od začátku roku 2024 dosáhla 3 2987,8 mld. korun a byla meziročně vyšší o 54,1 mld. (1,7 %). Také v případě importu přineslo 3. čtvrtletí roku výrazný meziroční nárůst (77,6 mld. korun, 7,6 %). Ve srovnání s vývozem ale dynamika dovozu od počátku roku stagnuje, čímž se projevuje oslabená spotřební i podniková poptávka </w:t>
            </w:r>
            <w:r>
              <w:rPr>
                <w:spacing w:val="-4"/>
                <w:lang w:eastAsia="en-US"/>
              </w:rPr>
              <w:br/>
              <w:t>i meziroční pokles cen surovin, které mají v dovozu výraznější roli. Zároveň byl celkový nárůst nezanedbatelně ovlivněn vývojem cen</w:t>
            </w:r>
            <w:r>
              <w:rPr>
                <w:rStyle w:val="Znakapoznpodarou"/>
                <w:spacing w:val="-4"/>
                <w:lang w:eastAsia="en-US"/>
              </w:rPr>
              <w:footnoteReference w:id="53"/>
            </w:r>
            <w:r>
              <w:rPr>
                <w:spacing w:val="-4"/>
                <w:lang w:eastAsia="en-US"/>
              </w:rPr>
              <w:t>. Mezičtvrtletně se dovoz zboží podle sezónně očištěných dat ve 3. čtvrtletí zvýšil o 0,9 %. V kumulaci od začátku roku meziročně vzrostl import ze zemí EU o 40,7 mld. korun</w:t>
            </w:r>
            <w:r w:rsidR="003E62A5">
              <w:rPr>
                <w:spacing w:val="-4"/>
                <w:lang w:eastAsia="en-US"/>
              </w:rPr>
              <w:t xml:space="preserve"> (2,0 %) a z mimounijních zemí o 12,8 mld. </w:t>
            </w:r>
            <w:r>
              <w:rPr>
                <w:spacing w:val="-4"/>
                <w:lang w:eastAsia="en-US"/>
              </w:rPr>
              <w:t>(1,1 %). Významně zatím letos vzrostl import zboží z Polska (+19,4 ml</w:t>
            </w:r>
            <w:r w:rsidR="003E62A5">
              <w:rPr>
                <w:spacing w:val="-4"/>
                <w:lang w:eastAsia="en-US"/>
              </w:rPr>
              <w:t xml:space="preserve">d. korun, </w:t>
            </w:r>
            <w:r>
              <w:rPr>
                <w:spacing w:val="-4"/>
                <w:lang w:eastAsia="en-US"/>
              </w:rPr>
              <w:t>6,7 %), Tchaj-wanu (+14,1 mld., 65,8 %)</w:t>
            </w:r>
            <w:r>
              <w:rPr>
                <w:rStyle w:val="Znakapoznpodarou"/>
                <w:spacing w:val="-4"/>
                <w:lang w:eastAsia="en-US"/>
              </w:rPr>
              <w:footnoteReference w:id="54"/>
            </w:r>
            <w:r>
              <w:rPr>
                <w:spacing w:val="-4"/>
                <w:lang w:eastAsia="en-US"/>
              </w:rPr>
              <w:t>, Ázerbájdžán</w:t>
            </w:r>
            <w:r w:rsidR="003E62A5">
              <w:rPr>
                <w:spacing w:val="-4"/>
                <w:lang w:eastAsia="en-US"/>
              </w:rPr>
              <w:t xml:space="preserve">u (+9,2 mld., 44,4 %) a Německa </w:t>
            </w:r>
            <w:r>
              <w:rPr>
                <w:spacing w:val="-4"/>
                <w:lang w:eastAsia="en-US"/>
              </w:rPr>
              <w:t>(+9,1 mld., 1,2 %). Vlivem poklesu cen ropy a zemníh</w:t>
            </w:r>
            <w:r w:rsidR="003E62A5">
              <w:rPr>
                <w:spacing w:val="-4"/>
                <w:lang w:eastAsia="en-US"/>
              </w:rPr>
              <w:t xml:space="preserve">o plynu se naopak propadl dovoz </w:t>
            </w:r>
            <w:r>
              <w:rPr>
                <w:spacing w:val="-4"/>
                <w:lang w:eastAsia="en-US"/>
              </w:rPr>
              <w:t>z Norska (−21,1 mld. korun, −31,6 %). V samotném 3. čtvrtletí se import z EU meziročně zvýšil o 48,4 mld. korun (7,7 %) a ze zemí mimo EU o 29,4 ml</w:t>
            </w:r>
            <w:r w:rsidR="003E62A5">
              <w:rPr>
                <w:spacing w:val="-4"/>
                <w:lang w:eastAsia="en-US"/>
              </w:rPr>
              <w:t xml:space="preserve">d. (7,7 %). Nejvíce rostl dovoz </w:t>
            </w:r>
            <w:r>
              <w:rPr>
                <w:spacing w:val="-4"/>
                <w:lang w:eastAsia="en-US"/>
              </w:rPr>
              <w:t>z Číny a Polska (viz Tabulka č. 4). S odstupem následoval me</w:t>
            </w:r>
            <w:r w:rsidR="003E62A5">
              <w:rPr>
                <w:spacing w:val="-4"/>
                <w:lang w:eastAsia="en-US"/>
              </w:rPr>
              <w:t xml:space="preserve">ziroční přírůstek importu zboží </w:t>
            </w:r>
            <w:r>
              <w:rPr>
                <w:spacing w:val="-4"/>
                <w:lang w:eastAsia="en-US"/>
              </w:rPr>
              <w:t xml:space="preserve">z Německa a Slovenska. Relativně velký byl ve 3. čtvrtletí přírůstek dovozu z Ázerbájdžánu, </w:t>
            </w:r>
            <w:r>
              <w:rPr>
                <w:spacing w:val="-4"/>
                <w:lang w:eastAsia="en-US"/>
              </w:rPr>
              <w:lastRenderedPageBreak/>
              <w:t>Nizozemska a také z Tchaj-wanu. Nejvíce se meziročně snižoval dovoz z Ruska, Velké Británie a Spojených států amerických.</w:t>
            </w:r>
          </w:p>
        </w:tc>
      </w:tr>
      <w:tr w:rsidR="00FB4423" w14:paraId="0D79B2BF" w14:textId="77777777" w:rsidTr="0083516C">
        <w:trPr>
          <w:trHeight w:val="145"/>
        </w:trPr>
        <w:tc>
          <w:tcPr>
            <w:tcW w:w="1748" w:type="dxa"/>
          </w:tcPr>
          <w:p w14:paraId="7D133157" w14:textId="77777777" w:rsidR="00FB4423" w:rsidRDefault="00FB4423" w:rsidP="0083516C">
            <w:pPr>
              <w:pStyle w:val="Marginlie"/>
              <w:rPr>
                <w:lang w:eastAsia="en-US"/>
              </w:rPr>
            </w:pPr>
            <w:r>
              <w:rPr>
                <w:lang w:eastAsia="en-US"/>
              </w:rPr>
              <w:lastRenderedPageBreak/>
              <w:t>Ve 3. čtvrtletí vyprchal vliv vysoké srovnávací základny u elektrických zařízení a jejich dovoz tak meziročně vzrostl.</w:t>
            </w:r>
          </w:p>
        </w:tc>
        <w:tc>
          <w:tcPr>
            <w:tcW w:w="252" w:type="dxa"/>
          </w:tcPr>
          <w:p w14:paraId="6458D7DB" w14:textId="77777777" w:rsidR="00FB4423" w:rsidRDefault="00FB4423" w:rsidP="0083516C">
            <w:pPr>
              <w:pStyle w:val="Textpoznpodarou"/>
              <w:jc w:val="both"/>
              <w:rPr>
                <w:spacing w:val="-4"/>
                <w:lang w:eastAsia="en-US"/>
              </w:rPr>
            </w:pPr>
          </w:p>
        </w:tc>
        <w:tc>
          <w:tcPr>
            <w:tcW w:w="7677" w:type="dxa"/>
            <w:gridSpan w:val="3"/>
          </w:tcPr>
          <w:p w14:paraId="3F5DD323" w14:textId="4D78FAB4" w:rsidR="00FB4423" w:rsidRDefault="00FB4423" w:rsidP="00FB4423">
            <w:pPr>
              <w:spacing w:after="180"/>
              <w:rPr>
                <w:spacing w:val="-4"/>
                <w:lang w:eastAsia="en-US"/>
              </w:rPr>
            </w:pPr>
            <w:r>
              <w:rPr>
                <w:spacing w:val="-4"/>
                <w:lang w:eastAsia="en-US"/>
              </w:rPr>
              <w:t>V kumulaci od začátku roku nejvíce meziročně vzrostl dovoz počítačů, elektronických a optických přístrojů a zařízení (37,1 mld. korun, 11,0 %), potravinářských výrobků (+19,1 mld., 11,9 %) a motorových vozidel (15,9 mld., 3,3 %). Kromě toho napomohly celkovému růstu dovozu i menší přírůstky (mírně pod 10 mld. korun) u položek, jako jsou koks a rafinované ropné produkty, základní farmaceutické výrobky a chemické látky a přípravky. Silná srovnávací základna se projevila na poklesu dovozu elektrických zařízení</w:t>
            </w:r>
            <w:r>
              <w:rPr>
                <w:rStyle w:val="Znakapoznpodarou"/>
                <w:spacing w:val="-4"/>
                <w:lang w:eastAsia="en-US"/>
              </w:rPr>
              <w:footnoteReference w:id="55"/>
            </w:r>
            <w:r>
              <w:rPr>
                <w:spacing w:val="-4"/>
                <w:lang w:eastAsia="en-US"/>
              </w:rPr>
              <w:t xml:space="preserve"> (−23,9 mld. korun, −6,9 %), slabší investiční poptávka zasáhla import strojů a zařízení (−16,8 mld., −5,5 %). U ropy a zemního plynu (−14,1 mld., −10,7 %) se projevil pokles cen. V samotném 3. čtvrtletí dovoz většiny druhů zboží meziročně rostl. Vyšší byl import počítačů, elektronických přístrojů a zařízení (viz Tabulka č. 3), vliv snížené srovnávací základny napomohl také růstu dovozu elektrických zařízení a podobně také motorovým vozidlům. Solidní přírůstky byly zjištěny také v případě importu chemických látek </w:t>
            </w:r>
            <w:r>
              <w:rPr>
                <w:spacing w:val="-4"/>
                <w:lang w:eastAsia="en-US"/>
              </w:rPr>
              <w:br/>
              <w:t>a přípravků, potravinářských výrobků, základních kovů, základních farmaceutických výrobků nebo kovodělných výrobků. Mezi nemnoha zaznamenanými meziročními poklesy dovozu zboží byly významnější zejména ropa a zemní plyn a rudy.</w:t>
            </w:r>
          </w:p>
        </w:tc>
      </w:tr>
      <w:tr w:rsidR="00FB4423" w14:paraId="381BF788" w14:textId="77777777" w:rsidTr="0083516C">
        <w:trPr>
          <w:trHeight w:val="170"/>
        </w:trPr>
        <w:tc>
          <w:tcPr>
            <w:tcW w:w="4811" w:type="dxa"/>
            <w:gridSpan w:val="3"/>
            <w:hideMark/>
          </w:tcPr>
          <w:p w14:paraId="10CAF260" w14:textId="77777777" w:rsidR="00FB4423" w:rsidRDefault="00FB4423" w:rsidP="0083516C">
            <w:pPr>
              <w:spacing w:after="0"/>
              <w:jc w:val="left"/>
              <w:rPr>
                <w:spacing w:val="-4"/>
                <w:lang w:eastAsia="en-US"/>
              </w:rPr>
            </w:pPr>
            <w:r>
              <w:rPr>
                <w:rFonts w:cs="Arial"/>
                <w:b/>
                <w:bCs/>
                <w:color w:val="000000"/>
                <w:sz w:val="18"/>
                <w:szCs w:val="18"/>
                <w:lang w:eastAsia="en-US"/>
              </w:rPr>
              <w:t xml:space="preserve">Tabulka č. 3 Oddíly klasifikace CPA s největším vlivem na vývoj dovozu zboží ve 3. čtvrtletí 2024 </w:t>
            </w:r>
            <w:r>
              <w:rPr>
                <w:rFonts w:cs="Arial"/>
                <w:bCs/>
                <w:color w:val="000000"/>
                <w:sz w:val="18"/>
                <w:szCs w:val="18"/>
                <w:lang w:eastAsia="en-US"/>
              </w:rPr>
              <w:t>(meziročně)</w:t>
            </w:r>
          </w:p>
        </w:tc>
        <w:tc>
          <w:tcPr>
            <w:tcW w:w="57" w:type="dxa"/>
          </w:tcPr>
          <w:p w14:paraId="54C10E10" w14:textId="77777777" w:rsidR="00FB4423" w:rsidRDefault="00FB4423" w:rsidP="0083516C">
            <w:pPr>
              <w:spacing w:after="0"/>
              <w:rPr>
                <w:spacing w:val="-4"/>
                <w:lang w:eastAsia="en-US"/>
              </w:rPr>
            </w:pPr>
          </w:p>
        </w:tc>
        <w:tc>
          <w:tcPr>
            <w:tcW w:w="4809" w:type="dxa"/>
            <w:hideMark/>
          </w:tcPr>
          <w:p w14:paraId="0D4556B4" w14:textId="77777777" w:rsidR="00FB4423" w:rsidRDefault="00FB4423" w:rsidP="0083516C">
            <w:pPr>
              <w:spacing w:after="0"/>
              <w:jc w:val="left"/>
              <w:rPr>
                <w:spacing w:val="-4"/>
                <w:sz w:val="18"/>
                <w:szCs w:val="18"/>
                <w:lang w:eastAsia="en-US"/>
              </w:rPr>
            </w:pPr>
            <w:r>
              <w:rPr>
                <w:rFonts w:cs="Arial"/>
                <w:b/>
                <w:bCs/>
                <w:color w:val="000000"/>
                <w:sz w:val="18"/>
                <w:szCs w:val="18"/>
                <w:lang w:eastAsia="en-US"/>
              </w:rPr>
              <w:t xml:space="preserve">Tabulka č. 4 Země s největším vlivem na vývoj dovozu zboží ve 3. čtvrtletí 2024 </w:t>
            </w:r>
            <w:r>
              <w:rPr>
                <w:rFonts w:cs="Arial"/>
                <w:bCs/>
                <w:color w:val="000000"/>
                <w:sz w:val="18"/>
                <w:szCs w:val="18"/>
                <w:lang w:eastAsia="en-US"/>
              </w:rPr>
              <w:t>(meziročně)</w:t>
            </w:r>
          </w:p>
        </w:tc>
      </w:tr>
      <w:tr w:rsidR="00FB4423" w:rsidRPr="005A40B7" w14:paraId="5881A45A" w14:textId="77777777" w:rsidTr="0083516C">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FB4423" w:rsidRPr="00F17A98" w14:paraId="258C8D4D" w14:textId="77777777" w:rsidTr="0083516C">
              <w:trPr>
                <w:trHeight w:val="255"/>
              </w:trPr>
              <w:tc>
                <w:tcPr>
                  <w:tcW w:w="3417" w:type="dxa"/>
                  <w:tcBorders>
                    <w:top w:val="nil"/>
                    <w:left w:val="nil"/>
                    <w:bottom w:val="single" w:sz="4" w:space="0" w:color="auto"/>
                    <w:right w:val="nil"/>
                  </w:tcBorders>
                  <w:shd w:val="clear" w:color="auto" w:fill="auto"/>
                  <w:noWrap/>
                  <w:vAlign w:val="bottom"/>
                  <w:hideMark/>
                </w:tcPr>
                <w:p w14:paraId="23F3E277"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 </w:t>
                  </w:r>
                </w:p>
              </w:tc>
              <w:tc>
                <w:tcPr>
                  <w:tcW w:w="700" w:type="dxa"/>
                  <w:tcBorders>
                    <w:top w:val="nil"/>
                    <w:left w:val="nil"/>
                    <w:bottom w:val="single" w:sz="4" w:space="0" w:color="auto"/>
                    <w:right w:val="nil"/>
                  </w:tcBorders>
                  <w:shd w:val="clear" w:color="auto" w:fill="auto"/>
                  <w:noWrap/>
                  <w:vAlign w:val="bottom"/>
                  <w:hideMark/>
                </w:tcPr>
                <w:p w14:paraId="5E43C2B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mld. Kč</w:t>
                  </w:r>
                </w:p>
              </w:tc>
              <w:tc>
                <w:tcPr>
                  <w:tcW w:w="700" w:type="dxa"/>
                  <w:tcBorders>
                    <w:top w:val="nil"/>
                    <w:left w:val="nil"/>
                    <w:bottom w:val="single" w:sz="4" w:space="0" w:color="auto"/>
                    <w:right w:val="nil"/>
                  </w:tcBorders>
                  <w:shd w:val="clear" w:color="auto" w:fill="auto"/>
                  <w:noWrap/>
                  <w:vAlign w:val="bottom"/>
                  <w:hideMark/>
                </w:tcPr>
                <w:p w14:paraId="6891343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w:t>
                  </w:r>
                </w:p>
              </w:tc>
            </w:tr>
            <w:tr w:rsidR="00FB4423" w:rsidRPr="00F17A98" w14:paraId="64467DDF" w14:textId="77777777" w:rsidTr="0083516C">
              <w:trPr>
                <w:trHeight w:val="255"/>
              </w:trPr>
              <w:tc>
                <w:tcPr>
                  <w:tcW w:w="3417" w:type="dxa"/>
                  <w:tcBorders>
                    <w:top w:val="nil"/>
                    <w:left w:val="nil"/>
                    <w:bottom w:val="nil"/>
                    <w:right w:val="nil"/>
                  </w:tcBorders>
                  <w:shd w:val="clear" w:color="auto" w:fill="auto"/>
                  <w:noWrap/>
                  <w:vAlign w:val="bottom"/>
                  <w:hideMark/>
                </w:tcPr>
                <w:p w14:paraId="1C1597B8"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Počítače, elektron</w:t>
                  </w:r>
                  <w:r>
                    <w:rPr>
                      <w:rFonts w:cs="Arial"/>
                      <w:color w:val="000000"/>
                      <w:sz w:val="16"/>
                      <w:szCs w:val="16"/>
                    </w:rPr>
                    <w:t>.</w:t>
                  </w:r>
                  <w:r w:rsidRPr="00F17A98">
                    <w:rPr>
                      <w:rFonts w:cs="Arial"/>
                      <w:color w:val="000000"/>
                      <w:sz w:val="16"/>
                      <w:szCs w:val="16"/>
                    </w:rPr>
                    <w:t xml:space="preserve"> a opt</w:t>
                  </w:r>
                  <w:r>
                    <w:rPr>
                      <w:rFonts w:cs="Arial"/>
                      <w:color w:val="000000"/>
                      <w:sz w:val="16"/>
                      <w:szCs w:val="16"/>
                    </w:rPr>
                    <w:t xml:space="preserve">. </w:t>
                  </w:r>
                  <w:r w:rsidRPr="00F17A98">
                    <w:rPr>
                      <w:rFonts w:cs="Arial"/>
                      <w:color w:val="000000"/>
                      <w:sz w:val="16"/>
                      <w:szCs w:val="16"/>
                    </w:rPr>
                    <w:t>přístroje a zařízení</w:t>
                  </w:r>
                </w:p>
              </w:tc>
              <w:tc>
                <w:tcPr>
                  <w:tcW w:w="700" w:type="dxa"/>
                  <w:tcBorders>
                    <w:top w:val="nil"/>
                    <w:left w:val="nil"/>
                    <w:bottom w:val="nil"/>
                    <w:right w:val="nil"/>
                  </w:tcBorders>
                  <w:shd w:val="clear" w:color="auto" w:fill="auto"/>
                  <w:noWrap/>
                  <w:vAlign w:val="bottom"/>
                  <w:hideMark/>
                </w:tcPr>
                <w:p w14:paraId="036A3208"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+11,8</w:t>
                  </w:r>
                </w:p>
              </w:tc>
              <w:tc>
                <w:tcPr>
                  <w:tcW w:w="700" w:type="dxa"/>
                  <w:tcBorders>
                    <w:top w:val="nil"/>
                    <w:left w:val="nil"/>
                    <w:bottom w:val="nil"/>
                    <w:right w:val="nil"/>
                  </w:tcBorders>
                  <w:shd w:val="clear" w:color="auto" w:fill="auto"/>
                  <w:noWrap/>
                  <w:vAlign w:val="bottom"/>
                  <w:hideMark/>
                </w:tcPr>
                <w:p w14:paraId="1C0E1BA0"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+10,5</w:t>
                  </w:r>
                </w:p>
              </w:tc>
            </w:tr>
            <w:tr w:rsidR="00FB4423" w:rsidRPr="00F17A98" w14:paraId="1AF60B71" w14:textId="77777777" w:rsidTr="0083516C">
              <w:trPr>
                <w:trHeight w:val="255"/>
              </w:trPr>
              <w:tc>
                <w:tcPr>
                  <w:tcW w:w="3417" w:type="dxa"/>
                  <w:tcBorders>
                    <w:top w:val="nil"/>
                    <w:left w:val="nil"/>
                    <w:bottom w:val="nil"/>
                    <w:right w:val="nil"/>
                  </w:tcBorders>
                  <w:shd w:val="clear" w:color="auto" w:fill="auto"/>
                  <w:noWrap/>
                  <w:vAlign w:val="bottom"/>
                  <w:hideMark/>
                </w:tcPr>
                <w:p w14:paraId="7F57CF6A"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Elektrická zařízení</w:t>
                  </w:r>
                </w:p>
              </w:tc>
              <w:tc>
                <w:tcPr>
                  <w:tcW w:w="700" w:type="dxa"/>
                  <w:tcBorders>
                    <w:top w:val="nil"/>
                    <w:left w:val="nil"/>
                    <w:bottom w:val="nil"/>
                    <w:right w:val="nil"/>
                  </w:tcBorders>
                  <w:shd w:val="clear" w:color="auto" w:fill="auto"/>
                  <w:noWrap/>
                  <w:vAlign w:val="bottom"/>
                  <w:hideMark/>
                </w:tcPr>
                <w:p w14:paraId="66BD1BED"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+11,3</w:t>
                  </w:r>
                </w:p>
              </w:tc>
              <w:tc>
                <w:tcPr>
                  <w:tcW w:w="700" w:type="dxa"/>
                  <w:tcBorders>
                    <w:top w:val="nil"/>
                    <w:left w:val="nil"/>
                    <w:bottom w:val="nil"/>
                    <w:right w:val="nil"/>
                  </w:tcBorders>
                  <w:shd w:val="clear" w:color="auto" w:fill="auto"/>
                  <w:noWrap/>
                  <w:vAlign w:val="bottom"/>
                  <w:hideMark/>
                </w:tcPr>
                <w:p w14:paraId="7FE54E3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+10,7</w:t>
                  </w:r>
                </w:p>
              </w:tc>
            </w:tr>
            <w:tr w:rsidR="00FB4423" w:rsidRPr="00F17A98" w14:paraId="24A139CD" w14:textId="77777777" w:rsidTr="0083516C">
              <w:trPr>
                <w:trHeight w:val="255"/>
              </w:trPr>
              <w:tc>
                <w:tcPr>
                  <w:tcW w:w="3417" w:type="dxa"/>
                  <w:tcBorders>
                    <w:top w:val="nil"/>
                    <w:left w:val="nil"/>
                    <w:bottom w:val="nil"/>
                    <w:right w:val="nil"/>
                  </w:tcBorders>
                  <w:shd w:val="clear" w:color="auto" w:fill="auto"/>
                  <w:noWrap/>
                  <w:vAlign w:val="bottom"/>
                  <w:hideMark/>
                </w:tcPr>
                <w:p w14:paraId="6C21ACEA"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Motorová vozidla (kromě motocyklů) a díly</w:t>
                  </w:r>
                </w:p>
              </w:tc>
              <w:tc>
                <w:tcPr>
                  <w:tcW w:w="700" w:type="dxa"/>
                  <w:tcBorders>
                    <w:top w:val="nil"/>
                    <w:left w:val="nil"/>
                    <w:bottom w:val="nil"/>
                    <w:right w:val="nil"/>
                  </w:tcBorders>
                  <w:shd w:val="clear" w:color="auto" w:fill="auto"/>
                  <w:noWrap/>
                  <w:vAlign w:val="bottom"/>
                  <w:hideMark/>
                </w:tcPr>
                <w:p w14:paraId="62F3760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+9,4</w:t>
                  </w:r>
                </w:p>
              </w:tc>
              <w:tc>
                <w:tcPr>
                  <w:tcW w:w="700" w:type="dxa"/>
                  <w:tcBorders>
                    <w:top w:val="nil"/>
                    <w:left w:val="nil"/>
                    <w:bottom w:val="nil"/>
                    <w:right w:val="nil"/>
                  </w:tcBorders>
                  <w:shd w:val="clear" w:color="auto" w:fill="auto"/>
                  <w:noWrap/>
                  <w:vAlign w:val="bottom"/>
                  <w:hideMark/>
                </w:tcPr>
                <w:p w14:paraId="3104EA67"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+6,5</w:t>
                  </w:r>
                </w:p>
              </w:tc>
            </w:tr>
            <w:tr w:rsidR="00FB4423" w:rsidRPr="00F17A98" w14:paraId="1E26489B" w14:textId="77777777" w:rsidTr="0083516C">
              <w:trPr>
                <w:trHeight w:val="255"/>
              </w:trPr>
              <w:tc>
                <w:tcPr>
                  <w:tcW w:w="3417" w:type="dxa"/>
                  <w:tcBorders>
                    <w:top w:val="nil"/>
                    <w:left w:val="nil"/>
                    <w:bottom w:val="nil"/>
                    <w:right w:val="nil"/>
                  </w:tcBorders>
                  <w:shd w:val="clear" w:color="auto" w:fill="auto"/>
                  <w:noWrap/>
                  <w:vAlign w:val="bottom"/>
                  <w:hideMark/>
                </w:tcPr>
                <w:p w14:paraId="583332C8"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Chemické látky a přípravky</w:t>
                  </w:r>
                </w:p>
              </w:tc>
              <w:tc>
                <w:tcPr>
                  <w:tcW w:w="700" w:type="dxa"/>
                  <w:tcBorders>
                    <w:top w:val="nil"/>
                    <w:left w:val="nil"/>
                    <w:bottom w:val="nil"/>
                    <w:right w:val="nil"/>
                  </w:tcBorders>
                  <w:shd w:val="clear" w:color="auto" w:fill="auto"/>
                  <w:noWrap/>
                  <w:vAlign w:val="bottom"/>
                  <w:hideMark/>
                </w:tcPr>
                <w:p w14:paraId="3F2FFD2C"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+7,8</w:t>
                  </w:r>
                </w:p>
              </w:tc>
              <w:tc>
                <w:tcPr>
                  <w:tcW w:w="700" w:type="dxa"/>
                  <w:tcBorders>
                    <w:top w:val="nil"/>
                    <w:left w:val="nil"/>
                    <w:bottom w:val="nil"/>
                    <w:right w:val="nil"/>
                  </w:tcBorders>
                  <w:shd w:val="clear" w:color="auto" w:fill="auto"/>
                  <w:noWrap/>
                  <w:vAlign w:val="bottom"/>
                  <w:hideMark/>
                </w:tcPr>
                <w:p w14:paraId="2F1044A5"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+9,6</w:t>
                  </w:r>
                </w:p>
              </w:tc>
            </w:tr>
            <w:tr w:rsidR="00FB4423" w:rsidRPr="00F17A98" w14:paraId="0A5FA21E" w14:textId="77777777" w:rsidTr="0083516C">
              <w:trPr>
                <w:trHeight w:val="255"/>
              </w:trPr>
              <w:tc>
                <w:tcPr>
                  <w:tcW w:w="3417" w:type="dxa"/>
                  <w:tcBorders>
                    <w:top w:val="nil"/>
                    <w:left w:val="nil"/>
                    <w:bottom w:val="nil"/>
                    <w:right w:val="nil"/>
                  </w:tcBorders>
                  <w:shd w:val="clear" w:color="auto" w:fill="auto"/>
                  <w:noWrap/>
                  <w:vAlign w:val="bottom"/>
                  <w:hideMark/>
                </w:tcPr>
                <w:p w14:paraId="3DBC33E8"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Potravinářské výrobky</w:t>
                  </w:r>
                </w:p>
              </w:tc>
              <w:tc>
                <w:tcPr>
                  <w:tcW w:w="700" w:type="dxa"/>
                  <w:tcBorders>
                    <w:top w:val="nil"/>
                    <w:left w:val="nil"/>
                    <w:bottom w:val="nil"/>
                    <w:right w:val="nil"/>
                  </w:tcBorders>
                  <w:shd w:val="clear" w:color="auto" w:fill="auto"/>
                  <w:noWrap/>
                  <w:vAlign w:val="bottom"/>
                  <w:hideMark/>
                </w:tcPr>
                <w:p w14:paraId="78201DB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+7,8</w:t>
                  </w:r>
                </w:p>
              </w:tc>
              <w:tc>
                <w:tcPr>
                  <w:tcW w:w="700" w:type="dxa"/>
                  <w:tcBorders>
                    <w:top w:val="nil"/>
                    <w:left w:val="nil"/>
                    <w:bottom w:val="nil"/>
                    <w:right w:val="nil"/>
                  </w:tcBorders>
                  <w:shd w:val="clear" w:color="auto" w:fill="auto"/>
                  <w:noWrap/>
                  <w:vAlign w:val="bottom"/>
                  <w:hideMark/>
                </w:tcPr>
                <w:p w14:paraId="032054B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+14,5</w:t>
                  </w:r>
                </w:p>
              </w:tc>
            </w:tr>
            <w:tr w:rsidR="00FB4423" w:rsidRPr="00F17A98" w14:paraId="207DEB89" w14:textId="77777777" w:rsidTr="0083516C">
              <w:trPr>
                <w:trHeight w:val="255"/>
              </w:trPr>
              <w:tc>
                <w:tcPr>
                  <w:tcW w:w="3417" w:type="dxa"/>
                  <w:tcBorders>
                    <w:top w:val="nil"/>
                    <w:left w:val="nil"/>
                    <w:bottom w:val="nil"/>
                    <w:right w:val="nil"/>
                  </w:tcBorders>
                  <w:shd w:val="clear" w:color="auto" w:fill="auto"/>
                  <w:noWrap/>
                  <w:vAlign w:val="bottom"/>
                  <w:hideMark/>
                </w:tcPr>
                <w:p w14:paraId="11DB0902"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Základní kovy</w:t>
                  </w:r>
                </w:p>
              </w:tc>
              <w:tc>
                <w:tcPr>
                  <w:tcW w:w="700" w:type="dxa"/>
                  <w:tcBorders>
                    <w:top w:val="nil"/>
                    <w:left w:val="nil"/>
                    <w:bottom w:val="nil"/>
                    <w:right w:val="nil"/>
                  </w:tcBorders>
                  <w:shd w:val="clear" w:color="auto" w:fill="auto"/>
                  <w:noWrap/>
                  <w:vAlign w:val="bottom"/>
                  <w:hideMark/>
                </w:tcPr>
                <w:p w14:paraId="1AF54D5D"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+6,0</w:t>
                  </w:r>
                </w:p>
              </w:tc>
              <w:tc>
                <w:tcPr>
                  <w:tcW w:w="700" w:type="dxa"/>
                  <w:tcBorders>
                    <w:top w:val="nil"/>
                    <w:left w:val="nil"/>
                    <w:bottom w:val="nil"/>
                    <w:right w:val="nil"/>
                  </w:tcBorders>
                  <w:shd w:val="clear" w:color="auto" w:fill="auto"/>
                  <w:noWrap/>
                  <w:vAlign w:val="bottom"/>
                  <w:hideMark/>
                </w:tcPr>
                <w:p w14:paraId="4FA5A37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+8,3</w:t>
                  </w:r>
                </w:p>
              </w:tc>
            </w:tr>
            <w:tr w:rsidR="00FB4423" w:rsidRPr="00F17A98" w14:paraId="7D2B339A" w14:textId="77777777" w:rsidTr="0083516C">
              <w:trPr>
                <w:trHeight w:val="255"/>
              </w:trPr>
              <w:tc>
                <w:tcPr>
                  <w:tcW w:w="3417" w:type="dxa"/>
                  <w:tcBorders>
                    <w:top w:val="nil"/>
                    <w:left w:val="nil"/>
                    <w:bottom w:val="nil"/>
                    <w:right w:val="nil"/>
                  </w:tcBorders>
                  <w:shd w:val="clear" w:color="auto" w:fill="auto"/>
                  <w:noWrap/>
                  <w:vAlign w:val="bottom"/>
                  <w:hideMark/>
                </w:tcPr>
                <w:p w14:paraId="19C19EF8"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Základní farmaceutické výrobky a přípravky</w:t>
                  </w:r>
                </w:p>
              </w:tc>
              <w:tc>
                <w:tcPr>
                  <w:tcW w:w="700" w:type="dxa"/>
                  <w:tcBorders>
                    <w:top w:val="nil"/>
                    <w:left w:val="nil"/>
                    <w:bottom w:val="nil"/>
                    <w:right w:val="nil"/>
                  </w:tcBorders>
                  <w:shd w:val="clear" w:color="auto" w:fill="auto"/>
                  <w:noWrap/>
                  <w:vAlign w:val="bottom"/>
                  <w:hideMark/>
                </w:tcPr>
                <w:p w14:paraId="33FC4C69"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+5,3</w:t>
                  </w:r>
                </w:p>
              </w:tc>
              <w:tc>
                <w:tcPr>
                  <w:tcW w:w="700" w:type="dxa"/>
                  <w:tcBorders>
                    <w:top w:val="nil"/>
                    <w:left w:val="nil"/>
                    <w:bottom w:val="nil"/>
                    <w:right w:val="nil"/>
                  </w:tcBorders>
                  <w:shd w:val="clear" w:color="auto" w:fill="auto"/>
                  <w:noWrap/>
                  <w:vAlign w:val="bottom"/>
                  <w:hideMark/>
                </w:tcPr>
                <w:p w14:paraId="710C3A7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+16,7</w:t>
                  </w:r>
                </w:p>
              </w:tc>
            </w:tr>
            <w:tr w:rsidR="00FB4423" w:rsidRPr="00F17A98" w14:paraId="565C6DB1" w14:textId="77777777" w:rsidTr="0083516C">
              <w:trPr>
                <w:trHeight w:val="255"/>
              </w:trPr>
              <w:tc>
                <w:tcPr>
                  <w:tcW w:w="3417" w:type="dxa"/>
                  <w:tcBorders>
                    <w:top w:val="nil"/>
                    <w:left w:val="nil"/>
                    <w:bottom w:val="nil"/>
                    <w:right w:val="nil"/>
                  </w:tcBorders>
                  <w:shd w:val="clear" w:color="auto" w:fill="auto"/>
                  <w:noWrap/>
                  <w:vAlign w:val="bottom"/>
                  <w:hideMark/>
                </w:tcPr>
                <w:p w14:paraId="7D679573"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Kovodělné výrobky kromě strojů a zařízení</w:t>
                  </w:r>
                </w:p>
              </w:tc>
              <w:tc>
                <w:tcPr>
                  <w:tcW w:w="700" w:type="dxa"/>
                  <w:tcBorders>
                    <w:top w:val="nil"/>
                    <w:left w:val="nil"/>
                    <w:bottom w:val="nil"/>
                    <w:right w:val="nil"/>
                  </w:tcBorders>
                  <w:shd w:val="clear" w:color="auto" w:fill="auto"/>
                  <w:noWrap/>
                  <w:vAlign w:val="bottom"/>
                  <w:hideMark/>
                </w:tcPr>
                <w:p w14:paraId="09DD5C62"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+5,0</w:t>
                  </w:r>
                </w:p>
              </w:tc>
              <w:tc>
                <w:tcPr>
                  <w:tcW w:w="700" w:type="dxa"/>
                  <w:tcBorders>
                    <w:top w:val="nil"/>
                    <w:left w:val="nil"/>
                    <w:bottom w:val="nil"/>
                    <w:right w:val="nil"/>
                  </w:tcBorders>
                  <w:shd w:val="clear" w:color="auto" w:fill="auto"/>
                  <w:noWrap/>
                  <w:vAlign w:val="bottom"/>
                  <w:hideMark/>
                </w:tcPr>
                <w:p w14:paraId="0C2DDBF8"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+10,6</w:t>
                  </w:r>
                </w:p>
              </w:tc>
            </w:tr>
            <w:tr w:rsidR="00FB4423" w:rsidRPr="00F17A98" w14:paraId="40244E6E" w14:textId="77777777" w:rsidTr="0083516C">
              <w:trPr>
                <w:trHeight w:val="255"/>
              </w:trPr>
              <w:tc>
                <w:tcPr>
                  <w:tcW w:w="3417" w:type="dxa"/>
                  <w:tcBorders>
                    <w:top w:val="nil"/>
                    <w:left w:val="nil"/>
                    <w:bottom w:val="nil"/>
                    <w:right w:val="nil"/>
                  </w:tcBorders>
                  <w:shd w:val="clear" w:color="auto" w:fill="auto"/>
                  <w:noWrap/>
                  <w:vAlign w:val="bottom"/>
                  <w:hideMark/>
                </w:tcPr>
                <w:p w14:paraId="32E90CC6"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Pryžové a plastové výrobky</w:t>
                  </w:r>
                </w:p>
              </w:tc>
              <w:tc>
                <w:tcPr>
                  <w:tcW w:w="700" w:type="dxa"/>
                  <w:tcBorders>
                    <w:top w:val="nil"/>
                    <w:left w:val="nil"/>
                    <w:bottom w:val="nil"/>
                    <w:right w:val="nil"/>
                  </w:tcBorders>
                  <w:shd w:val="clear" w:color="auto" w:fill="auto"/>
                  <w:noWrap/>
                  <w:vAlign w:val="bottom"/>
                  <w:hideMark/>
                </w:tcPr>
                <w:p w14:paraId="319BC9D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+4,4</w:t>
                  </w:r>
                </w:p>
              </w:tc>
              <w:tc>
                <w:tcPr>
                  <w:tcW w:w="700" w:type="dxa"/>
                  <w:tcBorders>
                    <w:top w:val="nil"/>
                    <w:left w:val="nil"/>
                    <w:bottom w:val="nil"/>
                    <w:right w:val="nil"/>
                  </w:tcBorders>
                  <w:shd w:val="clear" w:color="auto" w:fill="auto"/>
                  <w:noWrap/>
                  <w:vAlign w:val="bottom"/>
                  <w:hideMark/>
                </w:tcPr>
                <w:p w14:paraId="409C1D7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+9,5</w:t>
                  </w:r>
                </w:p>
              </w:tc>
            </w:tr>
            <w:tr w:rsidR="00FB4423" w:rsidRPr="00F17A98" w14:paraId="13F9B337" w14:textId="77777777" w:rsidTr="0083516C">
              <w:trPr>
                <w:trHeight w:val="255"/>
              </w:trPr>
              <w:tc>
                <w:tcPr>
                  <w:tcW w:w="3417" w:type="dxa"/>
                  <w:tcBorders>
                    <w:top w:val="nil"/>
                    <w:left w:val="nil"/>
                    <w:bottom w:val="nil"/>
                    <w:right w:val="nil"/>
                  </w:tcBorders>
                  <w:shd w:val="clear" w:color="auto" w:fill="auto"/>
                  <w:noWrap/>
                  <w:vAlign w:val="bottom"/>
                  <w:hideMark/>
                </w:tcPr>
                <w:p w14:paraId="4BE19BC4"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Ostatní výrobky zpracovatelského průmyslu</w:t>
                  </w:r>
                </w:p>
              </w:tc>
              <w:tc>
                <w:tcPr>
                  <w:tcW w:w="700" w:type="dxa"/>
                  <w:tcBorders>
                    <w:top w:val="nil"/>
                    <w:left w:val="nil"/>
                    <w:bottom w:val="nil"/>
                    <w:right w:val="nil"/>
                  </w:tcBorders>
                  <w:shd w:val="clear" w:color="auto" w:fill="auto"/>
                  <w:noWrap/>
                  <w:vAlign w:val="bottom"/>
                  <w:hideMark/>
                </w:tcPr>
                <w:p w14:paraId="292184D2"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+2,9</w:t>
                  </w:r>
                </w:p>
              </w:tc>
              <w:tc>
                <w:tcPr>
                  <w:tcW w:w="700" w:type="dxa"/>
                  <w:tcBorders>
                    <w:top w:val="nil"/>
                    <w:left w:val="nil"/>
                    <w:bottom w:val="nil"/>
                    <w:right w:val="nil"/>
                  </w:tcBorders>
                  <w:shd w:val="clear" w:color="auto" w:fill="auto"/>
                  <w:noWrap/>
                  <w:vAlign w:val="bottom"/>
                  <w:hideMark/>
                </w:tcPr>
                <w:p w14:paraId="05F1453C"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+13,5</w:t>
                  </w:r>
                </w:p>
              </w:tc>
            </w:tr>
            <w:tr w:rsidR="00FB4423" w:rsidRPr="00F17A98" w14:paraId="33DCFAAE" w14:textId="77777777" w:rsidTr="0083516C">
              <w:trPr>
                <w:trHeight w:val="255"/>
              </w:trPr>
              <w:tc>
                <w:tcPr>
                  <w:tcW w:w="3417" w:type="dxa"/>
                  <w:tcBorders>
                    <w:top w:val="nil"/>
                    <w:left w:val="nil"/>
                    <w:bottom w:val="nil"/>
                    <w:right w:val="nil"/>
                  </w:tcBorders>
                  <w:shd w:val="clear" w:color="auto" w:fill="auto"/>
                  <w:noWrap/>
                  <w:vAlign w:val="bottom"/>
                  <w:hideMark/>
                </w:tcPr>
                <w:p w14:paraId="6D5D0318"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Papír a výrobky z papíru</w:t>
                  </w:r>
                </w:p>
              </w:tc>
              <w:tc>
                <w:tcPr>
                  <w:tcW w:w="700" w:type="dxa"/>
                  <w:tcBorders>
                    <w:top w:val="nil"/>
                    <w:left w:val="nil"/>
                    <w:bottom w:val="nil"/>
                    <w:right w:val="nil"/>
                  </w:tcBorders>
                  <w:shd w:val="clear" w:color="auto" w:fill="auto"/>
                  <w:noWrap/>
                  <w:vAlign w:val="bottom"/>
                  <w:hideMark/>
                </w:tcPr>
                <w:p w14:paraId="244C9FD0"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+2,5</w:t>
                  </w:r>
                </w:p>
              </w:tc>
              <w:tc>
                <w:tcPr>
                  <w:tcW w:w="700" w:type="dxa"/>
                  <w:tcBorders>
                    <w:top w:val="nil"/>
                    <w:left w:val="nil"/>
                    <w:bottom w:val="nil"/>
                    <w:right w:val="nil"/>
                  </w:tcBorders>
                  <w:shd w:val="clear" w:color="auto" w:fill="auto"/>
                  <w:noWrap/>
                  <w:vAlign w:val="bottom"/>
                  <w:hideMark/>
                </w:tcPr>
                <w:p w14:paraId="2A9BBE37"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+17,1</w:t>
                  </w:r>
                </w:p>
              </w:tc>
            </w:tr>
            <w:tr w:rsidR="00FB4423" w:rsidRPr="00F17A98" w14:paraId="1D6E9516" w14:textId="77777777" w:rsidTr="0083516C">
              <w:trPr>
                <w:trHeight w:val="255"/>
              </w:trPr>
              <w:tc>
                <w:tcPr>
                  <w:tcW w:w="3417" w:type="dxa"/>
                  <w:tcBorders>
                    <w:top w:val="nil"/>
                    <w:left w:val="nil"/>
                    <w:bottom w:val="nil"/>
                    <w:right w:val="nil"/>
                  </w:tcBorders>
                  <w:shd w:val="clear" w:color="auto" w:fill="auto"/>
                  <w:noWrap/>
                  <w:vAlign w:val="bottom"/>
                  <w:hideMark/>
                </w:tcPr>
                <w:p w14:paraId="3F89AF9D"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Nábytek</w:t>
                  </w:r>
                </w:p>
              </w:tc>
              <w:tc>
                <w:tcPr>
                  <w:tcW w:w="700" w:type="dxa"/>
                  <w:tcBorders>
                    <w:top w:val="nil"/>
                    <w:left w:val="nil"/>
                    <w:bottom w:val="nil"/>
                    <w:right w:val="nil"/>
                  </w:tcBorders>
                  <w:shd w:val="clear" w:color="auto" w:fill="auto"/>
                  <w:noWrap/>
                  <w:vAlign w:val="bottom"/>
                  <w:hideMark/>
                </w:tcPr>
                <w:p w14:paraId="2023020A"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+1,8</w:t>
                  </w:r>
                </w:p>
              </w:tc>
              <w:tc>
                <w:tcPr>
                  <w:tcW w:w="700" w:type="dxa"/>
                  <w:tcBorders>
                    <w:top w:val="nil"/>
                    <w:left w:val="nil"/>
                    <w:bottom w:val="nil"/>
                    <w:right w:val="nil"/>
                  </w:tcBorders>
                  <w:shd w:val="clear" w:color="auto" w:fill="auto"/>
                  <w:noWrap/>
                  <w:vAlign w:val="bottom"/>
                  <w:hideMark/>
                </w:tcPr>
                <w:p w14:paraId="7A11F19A"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+25,8</w:t>
                  </w:r>
                </w:p>
              </w:tc>
            </w:tr>
            <w:tr w:rsidR="00FB4423" w:rsidRPr="00F17A98" w14:paraId="4DAD56B8" w14:textId="77777777" w:rsidTr="0083516C">
              <w:trPr>
                <w:trHeight w:val="255"/>
              </w:trPr>
              <w:tc>
                <w:tcPr>
                  <w:tcW w:w="3417" w:type="dxa"/>
                  <w:tcBorders>
                    <w:top w:val="nil"/>
                    <w:left w:val="nil"/>
                    <w:bottom w:val="nil"/>
                    <w:right w:val="nil"/>
                  </w:tcBorders>
                  <w:shd w:val="clear" w:color="auto" w:fill="auto"/>
                  <w:noWrap/>
                  <w:vAlign w:val="bottom"/>
                  <w:hideMark/>
                </w:tcPr>
                <w:p w14:paraId="365A3573"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Produkty zemědělství a myslivosti</w:t>
                  </w:r>
                </w:p>
              </w:tc>
              <w:tc>
                <w:tcPr>
                  <w:tcW w:w="700" w:type="dxa"/>
                  <w:tcBorders>
                    <w:top w:val="nil"/>
                    <w:left w:val="nil"/>
                    <w:bottom w:val="nil"/>
                    <w:right w:val="nil"/>
                  </w:tcBorders>
                  <w:shd w:val="clear" w:color="auto" w:fill="auto"/>
                  <w:noWrap/>
                  <w:vAlign w:val="bottom"/>
                  <w:hideMark/>
                </w:tcPr>
                <w:p w14:paraId="3DC1490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+1,5</w:t>
                  </w:r>
                </w:p>
              </w:tc>
              <w:tc>
                <w:tcPr>
                  <w:tcW w:w="700" w:type="dxa"/>
                  <w:tcBorders>
                    <w:top w:val="nil"/>
                    <w:left w:val="nil"/>
                    <w:bottom w:val="nil"/>
                    <w:right w:val="nil"/>
                  </w:tcBorders>
                  <w:shd w:val="clear" w:color="auto" w:fill="auto"/>
                  <w:noWrap/>
                  <w:vAlign w:val="bottom"/>
                  <w:hideMark/>
                </w:tcPr>
                <w:p w14:paraId="3B1C747B"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+10,9</w:t>
                  </w:r>
                </w:p>
              </w:tc>
            </w:tr>
            <w:tr w:rsidR="00FB4423" w:rsidRPr="00F17A98" w14:paraId="2C7F01B8" w14:textId="77777777" w:rsidTr="0083516C">
              <w:trPr>
                <w:trHeight w:val="255"/>
              </w:trPr>
              <w:tc>
                <w:tcPr>
                  <w:tcW w:w="3417" w:type="dxa"/>
                  <w:tcBorders>
                    <w:top w:val="nil"/>
                    <w:left w:val="nil"/>
                    <w:bottom w:val="nil"/>
                    <w:right w:val="nil"/>
                  </w:tcBorders>
                  <w:shd w:val="clear" w:color="auto" w:fill="auto"/>
                  <w:noWrap/>
                  <w:vAlign w:val="bottom"/>
                  <w:hideMark/>
                </w:tcPr>
                <w:p w14:paraId="0DE4A7FD"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Rudy</w:t>
                  </w:r>
                </w:p>
              </w:tc>
              <w:tc>
                <w:tcPr>
                  <w:tcW w:w="700" w:type="dxa"/>
                  <w:tcBorders>
                    <w:top w:val="nil"/>
                    <w:left w:val="nil"/>
                    <w:bottom w:val="nil"/>
                    <w:right w:val="nil"/>
                  </w:tcBorders>
                  <w:shd w:val="clear" w:color="auto" w:fill="auto"/>
                  <w:noWrap/>
                  <w:vAlign w:val="bottom"/>
                  <w:hideMark/>
                </w:tcPr>
                <w:p w14:paraId="180D51E8"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2,2</w:t>
                  </w:r>
                </w:p>
              </w:tc>
              <w:tc>
                <w:tcPr>
                  <w:tcW w:w="700" w:type="dxa"/>
                  <w:tcBorders>
                    <w:top w:val="nil"/>
                    <w:left w:val="nil"/>
                    <w:bottom w:val="nil"/>
                    <w:right w:val="nil"/>
                  </w:tcBorders>
                  <w:shd w:val="clear" w:color="auto" w:fill="auto"/>
                  <w:noWrap/>
                  <w:vAlign w:val="bottom"/>
                  <w:hideMark/>
                </w:tcPr>
                <w:p w14:paraId="520BDF36"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53,2</w:t>
                  </w:r>
                </w:p>
              </w:tc>
            </w:tr>
            <w:tr w:rsidR="00FB4423" w:rsidRPr="00F17A98" w14:paraId="5EA9DD9A" w14:textId="77777777" w:rsidTr="0083516C">
              <w:trPr>
                <w:trHeight w:val="255"/>
              </w:trPr>
              <w:tc>
                <w:tcPr>
                  <w:tcW w:w="3417" w:type="dxa"/>
                  <w:tcBorders>
                    <w:top w:val="nil"/>
                    <w:left w:val="nil"/>
                    <w:bottom w:val="nil"/>
                    <w:right w:val="nil"/>
                  </w:tcBorders>
                  <w:shd w:val="clear" w:color="auto" w:fill="auto"/>
                  <w:noWrap/>
                  <w:vAlign w:val="bottom"/>
                  <w:hideMark/>
                </w:tcPr>
                <w:p w14:paraId="1F71C74A"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Ropa a zemní plyn</w:t>
                  </w:r>
                </w:p>
              </w:tc>
              <w:tc>
                <w:tcPr>
                  <w:tcW w:w="700" w:type="dxa"/>
                  <w:tcBorders>
                    <w:top w:val="nil"/>
                    <w:left w:val="nil"/>
                    <w:bottom w:val="nil"/>
                    <w:right w:val="nil"/>
                  </w:tcBorders>
                  <w:shd w:val="clear" w:color="auto" w:fill="auto"/>
                  <w:noWrap/>
                  <w:vAlign w:val="bottom"/>
                  <w:hideMark/>
                </w:tcPr>
                <w:p w14:paraId="6AF71462"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2,8</w:t>
                  </w:r>
                </w:p>
              </w:tc>
              <w:tc>
                <w:tcPr>
                  <w:tcW w:w="700" w:type="dxa"/>
                  <w:tcBorders>
                    <w:top w:val="nil"/>
                    <w:left w:val="nil"/>
                    <w:bottom w:val="nil"/>
                    <w:right w:val="nil"/>
                  </w:tcBorders>
                  <w:shd w:val="clear" w:color="auto" w:fill="auto"/>
                  <w:noWrap/>
                  <w:vAlign w:val="bottom"/>
                  <w:hideMark/>
                </w:tcPr>
                <w:p w14:paraId="23D5DDC7"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6,4</w:t>
                  </w:r>
                </w:p>
              </w:tc>
            </w:tr>
          </w:tbl>
          <w:p w14:paraId="35A753A2" w14:textId="77777777" w:rsidR="00FB4423" w:rsidRPr="005A40B7" w:rsidRDefault="00FB4423" w:rsidP="0083516C">
            <w:pPr>
              <w:spacing w:after="0"/>
              <w:rPr>
                <w:spacing w:val="-4"/>
                <w:sz w:val="16"/>
                <w:szCs w:val="16"/>
                <w:lang w:eastAsia="en-US"/>
              </w:rPr>
            </w:pPr>
          </w:p>
        </w:tc>
        <w:tc>
          <w:tcPr>
            <w:tcW w:w="57" w:type="dxa"/>
          </w:tcPr>
          <w:p w14:paraId="6F403CE6" w14:textId="77777777" w:rsidR="00FB4423" w:rsidRPr="005A40B7" w:rsidRDefault="00FB4423" w:rsidP="0083516C">
            <w:pPr>
              <w:spacing w:after="0"/>
              <w:rPr>
                <w:spacing w:val="-4"/>
                <w:sz w:val="16"/>
                <w:szCs w:val="16"/>
                <w:lang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FB4423" w:rsidRPr="00F17A98" w14:paraId="595ABBD9" w14:textId="77777777" w:rsidTr="0083516C">
              <w:trPr>
                <w:trHeight w:val="255"/>
              </w:trPr>
              <w:tc>
                <w:tcPr>
                  <w:tcW w:w="3362" w:type="dxa"/>
                  <w:tcBorders>
                    <w:top w:val="nil"/>
                    <w:left w:val="nil"/>
                    <w:bottom w:val="single" w:sz="4" w:space="0" w:color="auto"/>
                    <w:right w:val="nil"/>
                  </w:tcBorders>
                  <w:shd w:val="clear" w:color="auto" w:fill="auto"/>
                  <w:noWrap/>
                  <w:vAlign w:val="bottom"/>
                  <w:hideMark/>
                </w:tcPr>
                <w:p w14:paraId="0E6D3599" w14:textId="77777777" w:rsidR="00FB4423" w:rsidRPr="00F17A98" w:rsidRDefault="00FB4423" w:rsidP="0083516C">
                  <w:pPr>
                    <w:spacing w:after="0" w:line="240" w:lineRule="auto"/>
                    <w:jc w:val="left"/>
                    <w:rPr>
                      <w:rFonts w:ascii="Calibri" w:hAnsi="Calibri" w:cs="Calibri"/>
                      <w:color w:val="000000"/>
                      <w:sz w:val="16"/>
                      <w:szCs w:val="16"/>
                    </w:rPr>
                  </w:pPr>
                </w:p>
              </w:tc>
              <w:tc>
                <w:tcPr>
                  <w:tcW w:w="700" w:type="dxa"/>
                  <w:tcBorders>
                    <w:top w:val="nil"/>
                    <w:left w:val="nil"/>
                    <w:bottom w:val="single" w:sz="4" w:space="0" w:color="auto"/>
                    <w:right w:val="nil"/>
                  </w:tcBorders>
                  <w:shd w:val="clear" w:color="auto" w:fill="auto"/>
                  <w:noWrap/>
                  <w:vAlign w:val="bottom"/>
                  <w:hideMark/>
                </w:tcPr>
                <w:p w14:paraId="0EADF3B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mld. Kč</w:t>
                  </w:r>
                </w:p>
              </w:tc>
              <w:tc>
                <w:tcPr>
                  <w:tcW w:w="700" w:type="dxa"/>
                  <w:tcBorders>
                    <w:top w:val="nil"/>
                    <w:left w:val="nil"/>
                    <w:bottom w:val="single" w:sz="4" w:space="0" w:color="auto"/>
                    <w:right w:val="nil"/>
                  </w:tcBorders>
                  <w:shd w:val="clear" w:color="auto" w:fill="auto"/>
                  <w:noWrap/>
                  <w:vAlign w:val="bottom"/>
                  <w:hideMark/>
                </w:tcPr>
                <w:p w14:paraId="426C8C9A"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w:t>
                  </w:r>
                </w:p>
              </w:tc>
            </w:tr>
            <w:tr w:rsidR="00FB4423" w:rsidRPr="00F17A98" w14:paraId="3F66702A" w14:textId="77777777" w:rsidTr="0083516C">
              <w:trPr>
                <w:trHeight w:val="255"/>
              </w:trPr>
              <w:tc>
                <w:tcPr>
                  <w:tcW w:w="3362" w:type="dxa"/>
                  <w:tcBorders>
                    <w:top w:val="nil"/>
                    <w:left w:val="nil"/>
                    <w:bottom w:val="nil"/>
                    <w:right w:val="nil"/>
                  </w:tcBorders>
                  <w:shd w:val="clear" w:color="auto" w:fill="auto"/>
                  <w:noWrap/>
                  <w:vAlign w:val="bottom"/>
                  <w:hideMark/>
                </w:tcPr>
                <w:p w14:paraId="08E54DC0"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Čína</w:t>
                  </w:r>
                </w:p>
              </w:tc>
              <w:tc>
                <w:tcPr>
                  <w:tcW w:w="700" w:type="dxa"/>
                  <w:tcBorders>
                    <w:top w:val="nil"/>
                    <w:left w:val="nil"/>
                    <w:bottom w:val="nil"/>
                    <w:right w:val="nil"/>
                  </w:tcBorders>
                  <w:shd w:val="clear" w:color="auto" w:fill="auto"/>
                  <w:noWrap/>
                  <w:vAlign w:val="bottom"/>
                  <w:hideMark/>
                </w:tcPr>
                <w:p w14:paraId="5FE47106"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+19,1</w:t>
                  </w:r>
                </w:p>
              </w:tc>
              <w:tc>
                <w:tcPr>
                  <w:tcW w:w="700" w:type="dxa"/>
                  <w:tcBorders>
                    <w:top w:val="nil"/>
                    <w:left w:val="nil"/>
                    <w:bottom w:val="nil"/>
                    <w:right w:val="nil"/>
                  </w:tcBorders>
                  <w:shd w:val="clear" w:color="auto" w:fill="auto"/>
                  <w:noWrap/>
                  <w:vAlign w:val="bottom"/>
                  <w:hideMark/>
                </w:tcPr>
                <w:p w14:paraId="59D0EEC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+15,3</w:t>
                  </w:r>
                </w:p>
              </w:tc>
            </w:tr>
            <w:tr w:rsidR="00FB4423" w:rsidRPr="00F17A98" w14:paraId="04C74D71" w14:textId="77777777" w:rsidTr="0083516C">
              <w:trPr>
                <w:trHeight w:val="255"/>
              </w:trPr>
              <w:tc>
                <w:tcPr>
                  <w:tcW w:w="3362" w:type="dxa"/>
                  <w:tcBorders>
                    <w:top w:val="nil"/>
                    <w:left w:val="nil"/>
                    <w:bottom w:val="nil"/>
                    <w:right w:val="nil"/>
                  </w:tcBorders>
                  <w:shd w:val="clear" w:color="auto" w:fill="auto"/>
                  <w:noWrap/>
                  <w:vAlign w:val="bottom"/>
                  <w:hideMark/>
                </w:tcPr>
                <w:p w14:paraId="57E9C37D"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Polsko</w:t>
                  </w:r>
                </w:p>
              </w:tc>
              <w:tc>
                <w:tcPr>
                  <w:tcW w:w="700" w:type="dxa"/>
                  <w:tcBorders>
                    <w:top w:val="nil"/>
                    <w:left w:val="nil"/>
                    <w:bottom w:val="nil"/>
                    <w:right w:val="nil"/>
                  </w:tcBorders>
                  <w:shd w:val="clear" w:color="auto" w:fill="auto"/>
                  <w:noWrap/>
                  <w:vAlign w:val="bottom"/>
                  <w:hideMark/>
                </w:tcPr>
                <w:p w14:paraId="3DFD7025"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+17,3</w:t>
                  </w:r>
                </w:p>
              </w:tc>
              <w:tc>
                <w:tcPr>
                  <w:tcW w:w="700" w:type="dxa"/>
                  <w:tcBorders>
                    <w:top w:val="nil"/>
                    <w:left w:val="nil"/>
                    <w:bottom w:val="nil"/>
                    <w:right w:val="nil"/>
                  </w:tcBorders>
                  <w:shd w:val="clear" w:color="auto" w:fill="auto"/>
                  <w:noWrap/>
                  <w:vAlign w:val="bottom"/>
                  <w:hideMark/>
                </w:tcPr>
                <w:p w14:paraId="3EC41E3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+19,6</w:t>
                  </w:r>
                </w:p>
              </w:tc>
            </w:tr>
            <w:tr w:rsidR="00FB4423" w:rsidRPr="00F17A98" w14:paraId="5F008265" w14:textId="77777777" w:rsidTr="0083516C">
              <w:trPr>
                <w:trHeight w:val="255"/>
              </w:trPr>
              <w:tc>
                <w:tcPr>
                  <w:tcW w:w="3362" w:type="dxa"/>
                  <w:tcBorders>
                    <w:top w:val="nil"/>
                    <w:left w:val="nil"/>
                    <w:bottom w:val="nil"/>
                    <w:right w:val="nil"/>
                  </w:tcBorders>
                  <w:shd w:val="clear" w:color="auto" w:fill="auto"/>
                  <w:noWrap/>
                  <w:vAlign w:val="bottom"/>
                  <w:hideMark/>
                </w:tcPr>
                <w:p w14:paraId="6CF2A364"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Německo</w:t>
                  </w:r>
                </w:p>
              </w:tc>
              <w:tc>
                <w:tcPr>
                  <w:tcW w:w="700" w:type="dxa"/>
                  <w:tcBorders>
                    <w:top w:val="nil"/>
                    <w:left w:val="nil"/>
                    <w:bottom w:val="nil"/>
                    <w:right w:val="nil"/>
                  </w:tcBorders>
                  <w:shd w:val="clear" w:color="auto" w:fill="auto"/>
                  <w:noWrap/>
                  <w:vAlign w:val="bottom"/>
                  <w:hideMark/>
                </w:tcPr>
                <w:p w14:paraId="33732E23"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+9,0</w:t>
                  </w:r>
                </w:p>
              </w:tc>
              <w:tc>
                <w:tcPr>
                  <w:tcW w:w="700" w:type="dxa"/>
                  <w:tcBorders>
                    <w:top w:val="nil"/>
                    <w:left w:val="nil"/>
                    <w:bottom w:val="nil"/>
                    <w:right w:val="nil"/>
                  </w:tcBorders>
                  <w:shd w:val="clear" w:color="auto" w:fill="auto"/>
                  <w:noWrap/>
                  <w:vAlign w:val="bottom"/>
                  <w:hideMark/>
                </w:tcPr>
                <w:p w14:paraId="64BDC376"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+3,8</w:t>
                  </w:r>
                </w:p>
              </w:tc>
            </w:tr>
            <w:tr w:rsidR="00FB4423" w:rsidRPr="00F17A98" w14:paraId="1C29C851" w14:textId="77777777" w:rsidTr="0083516C">
              <w:trPr>
                <w:trHeight w:val="255"/>
              </w:trPr>
              <w:tc>
                <w:tcPr>
                  <w:tcW w:w="3362" w:type="dxa"/>
                  <w:tcBorders>
                    <w:top w:val="nil"/>
                    <w:left w:val="nil"/>
                    <w:bottom w:val="nil"/>
                    <w:right w:val="nil"/>
                  </w:tcBorders>
                  <w:shd w:val="clear" w:color="auto" w:fill="auto"/>
                  <w:noWrap/>
                  <w:vAlign w:val="bottom"/>
                  <w:hideMark/>
                </w:tcPr>
                <w:p w14:paraId="3197588D"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Slovensko</w:t>
                  </w:r>
                </w:p>
              </w:tc>
              <w:tc>
                <w:tcPr>
                  <w:tcW w:w="700" w:type="dxa"/>
                  <w:tcBorders>
                    <w:top w:val="nil"/>
                    <w:left w:val="nil"/>
                    <w:bottom w:val="nil"/>
                    <w:right w:val="nil"/>
                  </w:tcBorders>
                  <w:shd w:val="clear" w:color="auto" w:fill="auto"/>
                  <w:noWrap/>
                  <w:vAlign w:val="bottom"/>
                  <w:hideMark/>
                </w:tcPr>
                <w:p w14:paraId="162CD65E"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+4,9</w:t>
                  </w:r>
                </w:p>
              </w:tc>
              <w:tc>
                <w:tcPr>
                  <w:tcW w:w="700" w:type="dxa"/>
                  <w:tcBorders>
                    <w:top w:val="nil"/>
                    <w:left w:val="nil"/>
                    <w:bottom w:val="nil"/>
                    <w:right w:val="nil"/>
                  </w:tcBorders>
                  <w:shd w:val="clear" w:color="auto" w:fill="auto"/>
                  <w:noWrap/>
                  <w:vAlign w:val="bottom"/>
                  <w:hideMark/>
                </w:tcPr>
                <w:p w14:paraId="5128900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+9,4</w:t>
                  </w:r>
                </w:p>
              </w:tc>
            </w:tr>
            <w:tr w:rsidR="00FB4423" w:rsidRPr="00F17A98" w14:paraId="3EF849A7" w14:textId="77777777" w:rsidTr="0083516C">
              <w:trPr>
                <w:trHeight w:val="255"/>
              </w:trPr>
              <w:tc>
                <w:tcPr>
                  <w:tcW w:w="3362" w:type="dxa"/>
                  <w:tcBorders>
                    <w:top w:val="nil"/>
                    <w:left w:val="nil"/>
                    <w:bottom w:val="nil"/>
                    <w:right w:val="nil"/>
                  </w:tcBorders>
                  <w:shd w:val="clear" w:color="auto" w:fill="auto"/>
                  <w:noWrap/>
                  <w:vAlign w:val="bottom"/>
                  <w:hideMark/>
                </w:tcPr>
                <w:p w14:paraId="09F67D42"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Ázerbájdžán</w:t>
                  </w:r>
                </w:p>
              </w:tc>
              <w:tc>
                <w:tcPr>
                  <w:tcW w:w="700" w:type="dxa"/>
                  <w:tcBorders>
                    <w:top w:val="nil"/>
                    <w:left w:val="nil"/>
                    <w:bottom w:val="nil"/>
                    <w:right w:val="nil"/>
                  </w:tcBorders>
                  <w:shd w:val="clear" w:color="auto" w:fill="auto"/>
                  <w:noWrap/>
                  <w:vAlign w:val="bottom"/>
                  <w:hideMark/>
                </w:tcPr>
                <w:p w14:paraId="502FF86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+3,4</w:t>
                  </w:r>
                </w:p>
              </w:tc>
              <w:tc>
                <w:tcPr>
                  <w:tcW w:w="700" w:type="dxa"/>
                  <w:tcBorders>
                    <w:top w:val="nil"/>
                    <w:left w:val="nil"/>
                    <w:bottom w:val="nil"/>
                    <w:right w:val="nil"/>
                  </w:tcBorders>
                  <w:shd w:val="clear" w:color="auto" w:fill="auto"/>
                  <w:noWrap/>
                  <w:vAlign w:val="bottom"/>
                  <w:hideMark/>
                </w:tcPr>
                <w:p w14:paraId="5B5AA1A6"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+49,3</w:t>
                  </w:r>
                </w:p>
              </w:tc>
            </w:tr>
            <w:tr w:rsidR="00FB4423" w:rsidRPr="00F17A98" w14:paraId="3B79030C" w14:textId="77777777" w:rsidTr="0083516C">
              <w:trPr>
                <w:trHeight w:val="255"/>
              </w:trPr>
              <w:tc>
                <w:tcPr>
                  <w:tcW w:w="3362" w:type="dxa"/>
                  <w:tcBorders>
                    <w:top w:val="nil"/>
                    <w:left w:val="nil"/>
                    <w:bottom w:val="nil"/>
                    <w:right w:val="nil"/>
                  </w:tcBorders>
                  <w:shd w:val="clear" w:color="auto" w:fill="auto"/>
                  <w:noWrap/>
                  <w:vAlign w:val="bottom"/>
                  <w:hideMark/>
                </w:tcPr>
                <w:p w14:paraId="562E582B"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Nizozemsko</w:t>
                  </w:r>
                </w:p>
              </w:tc>
              <w:tc>
                <w:tcPr>
                  <w:tcW w:w="700" w:type="dxa"/>
                  <w:tcBorders>
                    <w:top w:val="nil"/>
                    <w:left w:val="nil"/>
                    <w:bottom w:val="nil"/>
                    <w:right w:val="nil"/>
                  </w:tcBorders>
                  <w:shd w:val="clear" w:color="auto" w:fill="auto"/>
                  <w:noWrap/>
                  <w:vAlign w:val="bottom"/>
                  <w:hideMark/>
                </w:tcPr>
                <w:p w14:paraId="4AF954EB"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+2,8</w:t>
                  </w:r>
                </w:p>
              </w:tc>
              <w:tc>
                <w:tcPr>
                  <w:tcW w:w="700" w:type="dxa"/>
                  <w:tcBorders>
                    <w:top w:val="nil"/>
                    <w:left w:val="nil"/>
                    <w:bottom w:val="nil"/>
                    <w:right w:val="nil"/>
                  </w:tcBorders>
                  <w:shd w:val="clear" w:color="auto" w:fill="auto"/>
                  <w:noWrap/>
                  <w:vAlign w:val="bottom"/>
                  <w:hideMark/>
                </w:tcPr>
                <w:p w14:paraId="5A3B9968"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+11,2</w:t>
                  </w:r>
                </w:p>
              </w:tc>
            </w:tr>
            <w:tr w:rsidR="00FB4423" w:rsidRPr="00F17A98" w14:paraId="1F2B62C3" w14:textId="77777777" w:rsidTr="0083516C">
              <w:trPr>
                <w:trHeight w:val="255"/>
              </w:trPr>
              <w:tc>
                <w:tcPr>
                  <w:tcW w:w="3362" w:type="dxa"/>
                  <w:tcBorders>
                    <w:top w:val="nil"/>
                    <w:left w:val="nil"/>
                    <w:bottom w:val="nil"/>
                    <w:right w:val="nil"/>
                  </w:tcBorders>
                  <w:shd w:val="clear" w:color="auto" w:fill="auto"/>
                  <w:noWrap/>
                  <w:vAlign w:val="bottom"/>
                  <w:hideMark/>
                </w:tcPr>
                <w:p w14:paraId="2C76BC27"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Tchaj-wan</w:t>
                  </w:r>
                </w:p>
              </w:tc>
              <w:tc>
                <w:tcPr>
                  <w:tcW w:w="700" w:type="dxa"/>
                  <w:tcBorders>
                    <w:top w:val="nil"/>
                    <w:left w:val="nil"/>
                    <w:bottom w:val="nil"/>
                    <w:right w:val="nil"/>
                  </w:tcBorders>
                  <w:shd w:val="clear" w:color="auto" w:fill="auto"/>
                  <w:noWrap/>
                  <w:vAlign w:val="bottom"/>
                  <w:hideMark/>
                </w:tcPr>
                <w:p w14:paraId="621CE102"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+2,7</w:t>
                  </w:r>
                </w:p>
              </w:tc>
              <w:tc>
                <w:tcPr>
                  <w:tcW w:w="700" w:type="dxa"/>
                  <w:tcBorders>
                    <w:top w:val="nil"/>
                    <w:left w:val="nil"/>
                    <w:bottom w:val="nil"/>
                    <w:right w:val="nil"/>
                  </w:tcBorders>
                  <w:shd w:val="clear" w:color="auto" w:fill="auto"/>
                  <w:noWrap/>
                  <w:vAlign w:val="bottom"/>
                  <w:hideMark/>
                </w:tcPr>
                <w:p w14:paraId="08F0F674"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+40,1</w:t>
                  </w:r>
                </w:p>
              </w:tc>
            </w:tr>
            <w:tr w:rsidR="00FB4423" w:rsidRPr="00F17A98" w14:paraId="4DB4FAAA" w14:textId="77777777" w:rsidTr="0083516C">
              <w:trPr>
                <w:trHeight w:val="255"/>
              </w:trPr>
              <w:tc>
                <w:tcPr>
                  <w:tcW w:w="3362" w:type="dxa"/>
                  <w:tcBorders>
                    <w:top w:val="nil"/>
                    <w:left w:val="nil"/>
                    <w:bottom w:val="nil"/>
                    <w:right w:val="nil"/>
                  </w:tcBorders>
                  <w:shd w:val="clear" w:color="auto" w:fill="auto"/>
                  <w:noWrap/>
                  <w:vAlign w:val="bottom"/>
                  <w:hideMark/>
                </w:tcPr>
                <w:p w14:paraId="5E78832B"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Španělsko</w:t>
                  </w:r>
                </w:p>
              </w:tc>
              <w:tc>
                <w:tcPr>
                  <w:tcW w:w="700" w:type="dxa"/>
                  <w:tcBorders>
                    <w:top w:val="nil"/>
                    <w:left w:val="nil"/>
                    <w:bottom w:val="nil"/>
                    <w:right w:val="nil"/>
                  </w:tcBorders>
                  <w:shd w:val="clear" w:color="auto" w:fill="auto"/>
                  <w:noWrap/>
                  <w:vAlign w:val="bottom"/>
                  <w:hideMark/>
                </w:tcPr>
                <w:p w14:paraId="504CE887"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+2,7</w:t>
                  </w:r>
                </w:p>
              </w:tc>
              <w:tc>
                <w:tcPr>
                  <w:tcW w:w="700" w:type="dxa"/>
                  <w:tcBorders>
                    <w:top w:val="nil"/>
                    <w:left w:val="nil"/>
                    <w:bottom w:val="nil"/>
                    <w:right w:val="nil"/>
                  </w:tcBorders>
                  <w:shd w:val="clear" w:color="auto" w:fill="auto"/>
                  <w:noWrap/>
                  <w:vAlign w:val="bottom"/>
                  <w:hideMark/>
                </w:tcPr>
                <w:p w14:paraId="31817011"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+13,9</w:t>
                  </w:r>
                </w:p>
              </w:tc>
            </w:tr>
            <w:tr w:rsidR="00FB4423" w:rsidRPr="00F17A98" w14:paraId="1C33D248" w14:textId="77777777" w:rsidTr="0083516C">
              <w:trPr>
                <w:trHeight w:val="255"/>
              </w:trPr>
              <w:tc>
                <w:tcPr>
                  <w:tcW w:w="3362" w:type="dxa"/>
                  <w:tcBorders>
                    <w:top w:val="nil"/>
                    <w:left w:val="nil"/>
                    <w:bottom w:val="nil"/>
                    <w:right w:val="nil"/>
                  </w:tcBorders>
                  <w:shd w:val="clear" w:color="auto" w:fill="auto"/>
                  <w:noWrap/>
                  <w:vAlign w:val="bottom"/>
                  <w:hideMark/>
                </w:tcPr>
                <w:p w14:paraId="33013854"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Švýcarsko</w:t>
                  </w:r>
                </w:p>
              </w:tc>
              <w:tc>
                <w:tcPr>
                  <w:tcW w:w="700" w:type="dxa"/>
                  <w:tcBorders>
                    <w:top w:val="nil"/>
                    <w:left w:val="nil"/>
                    <w:bottom w:val="nil"/>
                    <w:right w:val="nil"/>
                  </w:tcBorders>
                  <w:shd w:val="clear" w:color="auto" w:fill="auto"/>
                  <w:noWrap/>
                  <w:vAlign w:val="bottom"/>
                  <w:hideMark/>
                </w:tcPr>
                <w:p w14:paraId="50DACFEC"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+2,0</w:t>
                  </w:r>
                </w:p>
              </w:tc>
              <w:tc>
                <w:tcPr>
                  <w:tcW w:w="700" w:type="dxa"/>
                  <w:tcBorders>
                    <w:top w:val="nil"/>
                    <w:left w:val="nil"/>
                    <w:bottom w:val="nil"/>
                    <w:right w:val="nil"/>
                  </w:tcBorders>
                  <w:shd w:val="clear" w:color="auto" w:fill="auto"/>
                  <w:noWrap/>
                  <w:vAlign w:val="bottom"/>
                  <w:hideMark/>
                </w:tcPr>
                <w:p w14:paraId="75676FAA"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+18,9</w:t>
                  </w:r>
                </w:p>
              </w:tc>
            </w:tr>
            <w:tr w:rsidR="00FB4423" w:rsidRPr="00F17A98" w14:paraId="0509F924" w14:textId="77777777" w:rsidTr="0083516C">
              <w:trPr>
                <w:trHeight w:val="255"/>
              </w:trPr>
              <w:tc>
                <w:tcPr>
                  <w:tcW w:w="3362" w:type="dxa"/>
                  <w:tcBorders>
                    <w:top w:val="nil"/>
                    <w:left w:val="nil"/>
                    <w:bottom w:val="nil"/>
                    <w:right w:val="nil"/>
                  </w:tcBorders>
                  <w:shd w:val="clear" w:color="auto" w:fill="auto"/>
                  <w:noWrap/>
                  <w:vAlign w:val="bottom"/>
                  <w:hideMark/>
                </w:tcPr>
                <w:p w14:paraId="0B16E203"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Francie</w:t>
                  </w:r>
                </w:p>
              </w:tc>
              <w:tc>
                <w:tcPr>
                  <w:tcW w:w="700" w:type="dxa"/>
                  <w:tcBorders>
                    <w:top w:val="nil"/>
                    <w:left w:val="nil"/>
                    <w:bottom w:val="nil"/>
                    <w:right w:val="nil"/>
                  </w:tcBorders>
                  <w:shd w:val="clear" w:color="auto" w:fill="auto"/>
                  <w:noWrap/>
                  <w:vAlign w:val="bottom"/>
                  <w:hideMark/>
                </w:tcPr>
                <w:p w14:paraId="07E93601"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+1,9</w:t>
                  </w:r>
                </w:p>
              </w:tc>
              <w:tc>
                <w:tcPr>
                  <w:tcW w:w="700" w:type="dxa"/>
                  <w:tcBorders>
                    <w:top w:val="nil"/>
                    <w:left w:val="nil"/>
                    <w:bottom w:val="nil"/>
                    <w:right w:val="nil"/>
                  </w:tcBorders>
                  <w:shd w:val="clear" w:color="auto" w:fill="auto"/>
                  <w:noWrap/>
                  <w:vAlign w:val="bottom"/>
                  <w:hideMark/>
                </w:tcPr>
                <w:p w14:paraId="18C97E96"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+6,1</w:t>
                  </w:r>
                </w:p>
              </w:tc>
            </w:tr>
            <w:tr w:rsidR="00FB4423" w:rsidRPr="00F17A98" w14:paraId="42F750A1" w14:textId="77777777" w:rsidTr="0083516C">
              <w:trPr>
                <w:trHeight w:val="255"/>
              </w:trPr>
              <w:tc>
                <w:tcPr>
                  <w:tcW w:w="3362" w:type="dxa"/>
                  <w:tcBorders>
                    <w:top w:val="nil"/>
                    <w:left w:val="nil"/>
                    <w:bottom w:val="nil"/>
                    <w:right w:val="nil"/>
                  </w:tcBorders>
                  <w:shd w:val="clear" w:color="auto" w:fill="auto"/>
                  <w:noWrap/>
                  <w:vAlign w:val="bottom"/>
                  <w:hideMark/>
                </w:tcPr>
                <w:p w14:paraId="6AA799D7"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Itálie</w:t>
                  </w:r>
                </w:p>
              </w:tc>
              <w:tc>
                <w:tcPr>
                  <w:tcW w:w="700" w:type="dxa"/>
                  <w:tcBorders>
                    <w:top w:val="nil"/>
                    <w:left w:val="nil"/>
                    <w:bottom w:val="nil"/>
                    <w:right w:val="nil"/>
                  </w:tcBorders>
                  <w:shd w:val="clear" w:color="auto" w:fill="auto"/>
                  <w:noWrap/>
                  <w:vAlign w:val="bottom"/>
                  <w:hideMark/>
                </w:tcPr>
                <w:p w14:paraId="3AC5BD0D"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+1,8</w:t>
                  </w:r>
                </w:p>
              </w:tc>
              <w:tc>
                <w:tcPr>
                  <w:tcW w:w="700" w:type="dxa"/>
                  <w:tcBorders>
                    <w:top w:val="nil"/>
                    <w:left w:val="nil"/>
                    <w:bottom w:val="nil"/>
                    <w:right w:val="nil"/>
                  </w:tcBorders>
                  <w:shd w:val="clear" w:color="auto" w:fill="auto"/>
                  <w:noWrap/>
                  <w:vAlign w:val="bottom"/>
                  <w:hideMark/>
                </w:tcPr>
                <w:p w14:paraId="4EF25D6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+4,1</w:t>
                  </w:r>
                </w:p>
              </w:tc>
            </w:tr>
            <w:tr w:rsidR="00FB4423" w:rsidRPr="00F17A98" w14:paraId="69686371" w14:textId="77777777" w:rsidTr="0083516C">
              <w:trPr>
                <w:trHeight w:val="255"/>
              </w:trPr>
              <w:tc>
                <w:tcPr>
                  <w:tcW w:w="3362" w:type="dxa"/>
                  <w:tcBorders>
                    <w:top w:val="nil"/>
                    <w:left w:val="nil"/>
                    <w:bottom w:val="nil"/>
                    <w:right w:val="nil"/>
                  </w:tcBorders>
                  <w:shd w:val="clear" w:color="auto" w:fill="auto"/>
                  <w:noWrap/>
                  <w:vAlign w:val="bottom"/>
                  <w:hideMark/>
                </w:tcPr>
                <w:p w14:paraId="24DCFA25"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Rumunsko</w:t>
                  </w:r>
                </w:p>
              </w:tc>
              <w:tc>
                <w:tcPr>
                  <w:tcW w:w="700" w:type="dxa"/>
                  <w:tcBorders>
                    <w:top w:val="nil"/>
                    <w:left w:val="nil"/>
                    <w:bottom w:val="nil"/>
                    <w:right w:val="nil"/>
                  </w:tcBorders>
                  <w:shd w:val="clear" w:color="auto" w:fill="auto"/>
                  <w:noWrap/>
                  <w:vAlign w:val="bottom"/>
                  <w:hideMark/>
                </w:tcPr>
                <w:p w14:paraId="4C75261F"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+1,5</w:t>
                  </w:r>
                </w:p>
              </w:tc>
              <w:tc>
                <w:tcPr>
                  <w:tcW w:w="700" w:type="dxa"/>
                  <w:tcBorders>
                    <w:top w:val="nil"/>
                    <w:left w:val="nil"/>
                    <w:bottom w:val="nil"/>
                    <w:right w:val="nil"/>
                  </w:tcBorders>
                  <w:shd w:val="clear" w:color="auto" w:fill="auto"/>
                  <w:noWrap/>
                  <w:vAlign w:val="bottom"/>
                  <w:hideMark/>
                </w:tcPr>
                <w:p w14:paraId="45445472" w14:textId="77777777" w:rsidR="00FB4423" w:rsidRPr="00F17A98" w:rsidRDefault="00FB4423" w:rsidP="0083516C">
                  <w:pPr>
                    <w:spacing w:after="0" w:line="240" w:lineRule="auto"/>
                    <w:jc w:val="right"/>
                    <w:rPr>
                      <w:rFonts w:cs="Arial"/>
                      <w:color w:val="000000"/>
                      <w:sz w:val="16"/>
                      <w:szCs w:val="16"/>
                    </w:rPr>
                  </w:pPr>
                  <w:r w:rsidRPr="00F17A98">
                    <w:rPr>
                      <w:rFonts w:cs="Arial"/>
                      <w:color w:val="000000"/>
                      <w:sz w:val="16"/>
                      <w:szCs w:val="16"/>
                    </w:rPr>
                    <w:t>+10,9</w:t>
                  </w:r>
                </w:p>
              </w:tc>
            </w:tr>
            <w:tr w:rsidR="00FB4423" w:rsidRPr="00F17A98" w14:paraId="5F080AE8" w14:textId="77777777" w:rsidTr="0083516C">
              <w:trPr>
                <w:trHeight w:val="255"/>
              </w:trPr>
              <w:tc>
                <w:tcPr>
                  <w:tcW w:w="3362" w:type="dxa"/>
                  <w:tcBorders>
                    <w:top w:val="nil"/>
                    <w:left w:val="nil"/>
                    <w:bottom w:val="nil"/>
                    <w:right w:val="nil"/>
                  </w:tcBorders>
                  <w:shd w:val="clear" w:color="auto" w:fill="auto"/>
                  <w:noWrap/>
                  <w:vAlign w:val="bottom"/>
                  <w:hideMark/>
                </w:tcPr>
                <w:p w14:paraId="64BBD192"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shd w:val="clear" w:color="auto" w:fill="auto"/>
                  <w:noWrap/>
                  <w:vAlign w:val="bottom"/>
                  <w:hideMark/>
                </w:tcPr>
                <w:p w14:paraId="1463C0FB"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1,6</w:t>
                  </w:r>
                </w:p>
              </w:tc>
              <w:tc>
                <w:tcPr>
                  <w:tcW w:w="700" w:type="dxa"/>
                  <w:tcBorders>
                    <w:top w:val="nil"/>
                    <w:left w:val="nil"/>
                    <w:bottom w:val="nil"/>
                    <w:right w:val="nil"/>
                  </w:tcBorders>
                  <w:shd w:val="clear" w:color="auto" w:fill="auto"/>
                  <w:noWrap/>
                  <w:vAlign w:val="bottom"/>
                  <w:hideMark/>
                </w:tcPr>
                <w:p w14:paraId="51EF2916"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5,0</w:t>
                  </w:r>
                </w:p>
              </w:tc>
            </w:tr>
            <w:tr w:rsidR="00FB4423" w:rsidRPr="00F17A98" w14:paraId="3601B0F6" w14:textId="77777777" w:rsidTr="0083516C">
              <w:trPr>
                <w:trHeight w:val="255"/>
              </w:trPr>
              <w:tc>
                <w:tcPr>
                  <w:tcW w:w="3362" w:type="dxa"/>
                  <w:tcBorders>
                    <w:top w:val="nil"/>
                    <w:left w:val="nil"/>
                    <w:bottom w:val="nil"/>
                    <w:right w:val="nil"/>
                  </w:tcBorders>
                  <w:shd w:val="clear" w:color="auto" w:fill="auto"/>
                  <w:noWrap/>
                  <w:vAlign w:val="bottom"/>
                  <w:hideMark/>
                </w:tcPr>
                <w:p w14:paraId="52973EEC"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Velká Británie</w:t>
                  </w:r>
                </w:p>
              </w:tc>
              <w:tc>
                <w:tcPr>
                  <w:tcW w:w="700" w:type="dxa"/>
                  <w:tcBorders>
                    <w:top w:val="nil"/>
                    <w:left w:val="nil"/>
                    <w:bottom w:val="nil"/>
                    <w:right w:val="nil"/>
                  </w:tcBorders>
                  <w:shd w:val="clear" w:color="auto" w:fill="auto"/>
                  <w:noWrap/>
                  <w:vAlign w:val="bottom"/>
                  <w:hideMark/>
                </w:tcPr>
                <w:p w14:paraId="0F55B902"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2,2</w:t>
                  </w:r>
                </w:p>
              </w:tc>
              <w:tc>
                <w:tcPr>
                  <w:tcW w:w="700" w:type="dxa"/>
                  <w:tcBorders>
                    <w:top w:val="nil"/>
                    <w:left w:val="nil"/>
                    <w:bottom w:val="nil"/>
                    <w:right w:val="nil"/>
                  </w:tcBorders>
                  <w:shd w:val="clear" w:color="auto" w:fill="auto"/>
                  <w:noWrap/>
                  <w:vAlign w:val="bottom"/>
                  <w:hideMark/>
                </w:tcPr>
                <w:p w14:paraId="66A729F6"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11,9</w:t>
                  </w:r>
                </w:p>
              </w:tc>
            </w:tr>
            <w:tr w:rsidR="00FB4423" w:rsidRPr="00F17A98" w14:paraId="22ACF1EC" w14:textId="77777777" w:rsidTr="0083516C">
              <w:trPr>
                <w:trHeight w:val="255"/>
              </w:trPr>
              <w:tc>
                <w:tcPr>
                  <w:tcW w:w="3362" w:type="dxa"/>
                  <w:tcBorders>
                    <w:top w:val="nil"/>
                    <w:left w:val="nil"/>
                    <w:bottom w:val="nil"/>
                    <w:right w:val="nil"/>
                  </w:tcBorders>
                  <w:shd w:val="clear" w:color="auto" w:fill="auto"/>
                  <w:noWrap/>
                  <w:vAlign w:val="bottom"/>
                  <w:hideMark/>
                </w:tcPr>
                <w:p w14:paraId="79EEAB19" w14:textId="77777777" w:rsidR="00FB4423" w:rsidRPr="00F17A98" w:rsidRDefault="00FB4423" w:rsidP="0083516C">
                  <w:pPr>
                    <w:spacing w:after="0" w:line="240" w:lineRule="auto"/>
                    <w:jc w:val="left"/>
                    <w:rPr>
                      <w:rFonts w:cs="Arial"/>
                      <w:color w:val="000000"/>
                      <w:sz w:val="16"/>
                      <w:szCs w:val="16"/>
                    </w:rPr>
                  </w:pPr>
                  <w:r w:rsidRPr="00F17A98">
                    <w:rPr>
                      <w:rFonts w:cs="Arial"/>
                      <w:color w:val="000000"/>
                      <w:sz w:val="16"/>
                      <w:szCs w:val="16"/>
                    </w:rPr>
                    <w:t>Rusko</w:t>
                  </w:r>
                </w:p>
              </w:tc>
              <w:tc>
                <w:tcPr>
                  <w:tcW w:w="700" w:type="dxa"/>
                  <w:tcBorders>
                    <w:top w:val="nil"/>
                    <w:left w:val="nil"/>
                    <w:bottom w:val="nil"/>
                    <w:right w:val="nil"/>
                  </w:tcBorders>
                  <w:shd w:val="clear" w:color="auto" w:fill="auto"/>
                  <w:noWrap/>
                  <w:vAlign w:val="bottom"/>
                  <w:hideMark/>
                </w:tcPr>
                <w:p w14:paraId="5426E733"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5,1</w:t>
                  </w:r>
                </w:p>
              </w:tc>
              <w:tc>
                <w:tcPr>
                  <w:tcW w:w="700" w:type="dxa"/>
                  <w:tcBorders>
                    <w:top w:val="nil"/>
                    <w:left w:val="nil"/>
                    <w:bottom w:val="nil"/>
                    <w:right w:val="nil"/>
                  </w:tcBorders>
                  <w:shd w:val="clear" w:color="auto" w:fill="auto"/>
                  <w:noWrap/>
                  <w:vAlign w:val="bottom"/>
                  <w:hideMark/>
                </w:tcPr>
                <w:p w14:paraId="738078F3" w14:textId="77777777" w:rsidR="00FB4423" w:rsidRPr="00F17A98" w:rsidRDefault="00FB4423" w:rsidP="0083516C">
                  <w:pPr>
                    <w:spacing w:after="0" w:line="240" w:lineRule="auto"/>
                    <w:jc w:val="right"/>
                    <w:rPr>
                      <w:rFonts w:cs="Arial"/>
                      <w:color w:val="000000"/>
                      <w:sz w:val="16"/>
                      <w:szCs w:val="16"/>
                    </w:rPr>
                  </w:pPr>
                  <w:r>
                    <w:rPr>
                      <w:rFonts w:cs="Arial"/>
                      <w:color w:val="000000"/>
                      <w:sz w:val="16"/>
                      <w:szCs w:val="16"/>
                    </w:rPr>
                    <w:t>−</w:t>
                  </w:r>
                  <w:r w:rsidRPr="00F17A98">
                    <w:rPr>
                      <w:rFonts w:cs="Arial"/>
                      <w:color w:val="000000"/>
                      <w:sz w:val="16"/>
                      <w:szCs w:val="16"/>
                    </w:rPr>
                    <w:t>23,3</w:t>
                  </w:r>
                </w:p>
              </w:tc>
            </w:tr>
          </w:tbl>
          <w:p w14:paraId="5FC9B716" w14:textId="77777777" w:rsidR="00FB4423" w:rsidRPr="005A40B7" w:rsidRDefault="00FB4423" w:rsidP="0083516C">
            <w:pPr>
              <w:spacing w:after="0"/>
              <w:rPr>
                <w:spacing w:val="-4"/>
                <w:sz w:val="16"/>
                <w:szCs w:val="16"/>
                <w:lang w:eastAsia="en-US"/>
              </w:rPr>
            </w:pPr>
          </w:p>
        </w:tc>
      </w:tr>
      <w:tr w:rsidR="00FB4423" w14:paraId="3E85E58D" w14:textId="77777777" w:rsidTr="0083516C">
        <w:trPr>
          <w:trHeight w:val="170"/>
        </w:trPr>
        <w:tc>
          <w:tcPr>
            <w:tcW w:w="4811" w:type="dxa"/>
            <w:gridSpan w:val="3"/>
            <w:hideMark/>
          </w:tcPr>
          <w:p w14:paraId="008AF6FA" w14:textId="77777777" w:rsidR="00FB4423" w:rsidRDefault="00FB4423" w:rsidP="0083516C">
            <w:pPr>
              <w:jc w:val="right"/>
              <w:rPr>
                <w:spacing w:val="-4"/>
                <w:sz w:val="16"/>
                <w:szCs w:val="16"/>
                <w:lang w:eastAsia="en-US"/>
              </w:rPr>
            </w:pPr>
            <w:r>
              <w:rPr>
                <w:spacing w:val="-4"/>
                <w:sz w:val="16"/>
                <w:szCs w:val="16"/>
                <w:lang w:eastAsia="en-US"/>
              </w:rPr>
              <w:t>Zdroj: ČSÚ</w:t>
            </w:r>
          </w:p>
        </w:tc>
        <w:tc>
          <w:tcPr>
            <w:tcW w:w="57" w:type="dxa"/>
          </w:tcPr>
          <w:p w14:paraId="6E3185F9" w14:textId="77777777" w:rsidR="00FB4423" w:rsidRDefault="00FB4423" w:rsidP="0083516C">
            <w:pPr>
              <w:spacing w:after="0"/>
              <w:rPr>
                <w:spacing w:val="-4"/>
                <w:lang w:eastAsia="en-US"/>
              </w:rPr>
            </w:pPr>
          </w:p>
        </w:tc>
        <w:tc>
          <w:tcPr>
            <w:tcW w:w="4809" w:type="dxa"/>
            <w:hideMark/>
          </w:tcPr>
          <w:p w14:paraId="7CED814A" w14:textId="77777777" w:rsidR="00FB4423" w:rsidRDefault="00FB4423" w:rsidP="0083516C">
            <w:pPr>
              <w:spacing w:after="0"/>
              <w:jc w:val="right"/>
              <w:rPr>
                <w:spacing w:val="-4"/>
                <w:lang w:eastAsia="en-US"/>
              </w:rPr>
            </w:pPr>
            <w:r>
              <w:rPr>
                <w:spacing w:val="-4"/>
                <w:sz w:val="16"/>
                <w:szCs w:val="16"/>
                <w:lang w:eastAsia="en-US"/>
              </w:rPr>
              <w:t>Zdroj: ČSÚ</w:t>
            </w:r>
          </w:p>
        </w:tc>
      </w:tr>
      <w:tr w:rsidR="00FB4423" w14:paraId="2C0E8947" w14:textId="77777777" w:rsidTr="0083516C">
        <w:trPr>
          <w:trHeight w:val="145"/>
        </w:trPr>
        <w:tc>
          <w:tcPr>
            <w:tcW w:w="1748" w:type="dxa"/>
            <w:hideMark/>
          </w:tcPr>
          <w:p w14:paraId="31C41AD4" w14:textId="77777777" w:rsidR="00FB4423" w:rsidRDefault="00FB4423" w:rsidP="0083516C">
            <w:pPr>
              <w:pStyle w:val="Marginlie"/>
              <w:rPr>
                <w:lang w:eastAsia="en-US"/>
              </w:rPr>
            </w:pPr>
            <w:r>
              <w:rPr>
                <w:lang w:eastAsia="en-US"/>
              </w:rPr>
              <w:t>Bilance zahraničního obchodu se zbožím od začátku roku dosahuje výrazných přebytků.</w:t>
            </w:r>
          </w:p>
        </w:tc>
        <w:tc>
          <w:tcPr>
            <w:tcW w:w="252" w:type="dxa"/>
          </w:tcPr>
          <w:p w14:paraId="4B46113B" w14:textId="77777777" w:rsidR="00FB4423" w:rsidRDefault="00FB4423" w:rsidP="0083516C">
            <w:pPr>
              <w:pStyle w:val="Textpoznpodarou"/>
              <w:jc w:val="both"/>
              <w:rPr>
                <w:spacing w:val="-4"/>
                <w:lang w:eastAsia="en-US"/>
              </w:rPr>
            </w:pPr>
          </w:p>
        </w:tc>
        <w:tc>
          <w:tcPr>
            <w:tcW w:w="7677" w:type="dxa"/>
            <w:gridSpan w:val="3"/>
            <w:hideMark/>
          </w:tcPr>
          <w:p w14:paraId="5A0FD295" w14:textId="77777777" w:rsidR="00FB4423" w:rsidRDefault="00FB4423" w:rsidP="0083516C">
            <w:pPr>
              <w:spacing w:after="180"/>
              <w:rPr>
                <w:spacing w:val="-4"/>
                <w:lang w:eastAsia="en-US"/>
              </w:rPr>
            </w:pPr>
            <w:r>
              <w:rPr>
                <w:spacing w:val="-4"/>
                <w:lang w:eastAsia="en-US"/>
              </w:rPr>
              <w:t>Bilance zahraničního obchodu se zbožím v kumulaci od začátku roku dosáhla kladného salda 184,0 mld. korun, což je za toto období roku nejvyšší zaznamenaný přebytek. Saldo se meziročně zlepšilo o 108,1 mld. korun. Většiny z popsaného přebytku bylo dosaženo v první polovině roku. V samotném 3. čtvrtletí bilance dosáhla přebytku 29,4 mld. korun</w:t>
            </w:r>
            <w:r>
              <w:rPr>
                <w:rStyle w:val="Znakapoznpodarou"/>
                <w:spacing w:val="-4"/>
                <w:lang w:eastAsia="en-US"/>
              </w:rPr>
              <w:footnoteReference w:id="56"/>
            </w:r>
            <w:r>
              <w:rPr>
                <w:spacing w:val="-4"/>
                <w:lang w:eastAsia="en-US"/>
              </w:rPr>
              <w:t xml:space="preserve"> a meziročně se tak zlepšila o 30,6 mld. Podle sezónně očištěných dat došlo k mírnému mezičtvrtletnímu zhoršení bilance.      </w:t>
            </w:r>
          </w:p>
        </w:tc>
      </w:tr>
      <w:tr w:rsidR="00FB4423" w14:paraId="208B5E7B" w14:textId="77777777" w:rsidTr="0083516C">
        <w:trPr>
          <w:trHeight w:val="145"/>
        </w:trPr>
        <w:tc>
          <w:tcPr>
            <w:tcW w:w="1748" w:type="dxa"/>
          </w:tcPr>
          <w:p w14:paraId="44B538E4" w14:textId="77777777" w:rsidR="00FB4423" w:rsidRDefault="00FB4423" w:rsidP="0083516C">
            <w:pPr>
              <w:pStyle w:val="Marginlie"/>
              <w:rPr>
                <w:lang w:eastAsia="en-US"/>
              </w:rPr>
            </w:pPr>
            <w:r>
              <w:rPr>
                <w:lang w:eastAsia="en-US"/>
              </w:rPr>
              <w:t>Ve směru zlepšení bilance působil zejména obchod se zeměmi mimo EU.</w:t>
            </w:r>
          </w:p>
        </w:tc>
        <w:tc>
          <w:tcPr>
            <w:tcW w:w="252" w:type="dxa"/>
          </w:tcPr>
          <w:p w14:paraId="77546355" w14:textId="77777777" w:rsidR="00FB4423" w:rsidRDefault="00FB4423" w:rsidP="0083516C">
            <w:pPr>
              <w:pStyle w:val="Textpoznpodarou"/>
              <w:jc w:val="both"/>
              <w:rPr>
                <w:spacing w:val="-4"/>
                <w:lang w:eastAsia="en-US"/>
              </w:rPr>
            </w:pPr>
          </w:p>
        </w:tc>
        <w:tc>
          <w:tcPr>
            <w:tcW w:w="7677" w:type="dxa"/>
            <w:gridSpan w:val="3"/>
          </w:tcPr>
          <w:p w14:paraId="7B73B248" w14:textId="185595B9" w:rsidR="00FB4423" w:rsidRDefault="00FB4423" w:rsidP="003E62A5">
            <w:pPr>
              <w:spacing w:after="180"/>
              <w:rPr>
                <w:spacing w:val="-4"/>
                <w:lang w:eastAsia="en-US"/>
              </w:rPr>
            </w:pPr>
            <w:r>
              <w:rPr>
                <w:rFonts w:cs="Arial"/>
                <w:bCs/>
                <w:color w:val="000000"/>
                <w:szCs w:val="20"/>
                <w:lang w:eastAsia="en-US"/>
              </w:rPr>
              <w:t>Výrazné zlepšení bilance zahraničního obchodu se zbožím v</w:t>
            </w:r>
            <w:r w:rsidRPr="00E1582D">
              <w:rPr>
                <w:rFonts w:cs="Arial"/>
                <w:bCs/>
                <w:color w:val="000000"/>
                <w:szCs w:val="20"/>
                <w:lang w:eastAsia="en-US"/>
              </w:rPr>
              <w:t xml:space="preserve"> kumulaci od začátku roku</w:t>
            </w:r>
            <w:r>
              <w:rPr>
                <w:rFonts w:cs="Arial"/>
                <w:bCs/>
                <w:color w:val="000000"/>
                <w:szCs w:val="20"/>
                <w:lang w:eastAsia="en-US"/>
              </w:rPr>
              <w:t xml:space="preserve"> lze přičíst zejména obchodu se zeměmi mimo EU (+93,0 mld. korun). Zvýšení přebytku obchodu se zeměmi EU bylo naopak mírné (+15,6 mld. korun). Zlepšila se bilance zahraničního obchodu s Velkou Británií (+40,</w:t>
            </w:r>
            <w:r w:rsidR="003E62A5">
              <w:rPr>
                <w:rFonts w:cs="Arial"/>
                <w:bCs/>
                <w:color w:val="000000"/>
                <w:szCs w:val="20"/>
                <w:lang w:eastAsia="en-US"/>
              </w:rPr>
              <w:t>6</w:t>
            </w:r>
            <w:r>
              <w:rPr>
                <w:rFonts w:cs="Arial"/>
                <w:bCs/>
                <w:color w:val="000000"/>
                <w:szCs w:val="20"/>
                <w:lang w:eastAsia="en-US"/>
              </w:rPr>
              <w:t xml:space="preserve"> mld. korun), Norskem (+24,1 mld.), Čínou (+13,1 mld.) nebo Spojenými státy americkými (+10,3 mld.). K výraznému zhoršení došlo u bilance zahraničního obchodu s Tchaj-wanem (−13,0 mld. korun) nebo </w:t>
            </w:r>
            <w:r>
              <w:rPr>
                <w:rFonts w:cs="Arial"/>
                <w:bCs/>
                <w:color w:val="000000"/>
                <w:szCs w:val="20"/>
                <w:lang w:eastAsia="en-US"/>
              </w:rPr>
              <w:lastRenderedPageBreak/>
              <w:t xml:space="preserve">Ázerbájdžánem (−8,5 mld.). V samotném 3. čtvrtletí 2024 se bilance zahraničního obchodu se zbožím s EU meziročně zlepšila o 12,7 mld. korun a se zeměmi mimo EU o 17,7 mld. Nejvíce se zlepšila bilance obchodu s Velkou Británií a Německem </w:t>
            </w:r>
            <w:r>
              <w:rPr>
                <w:rFonts w:cs="Arial"/>
                <w:bCs/>
                <w:color w:val="000000"/>
                <w:szCs w:val="20"/>
                <w:lang w:eastAsia="en-US"/>
              </w:rPr>
              <w:br/>
              <w:t>a následovaly Spojené státy americké (viz Tabulka č. 6). Mezi zeměmi, které významně působily ve směru zlepšení bilance, bylo rovněž Rusko, Singapur, Francie nebo Itálie. Na druhé straně se výrazně meziročně zhoršovala bilance obchodu s Čínou a Polskem a v menší míře také se Španělskem, Ázerbájdžánem nebo Tchaj-wanem.</w:t>
            </w:r>
          </w:p>
        </w:tc>
      </w:tr>
      <w:tr w:rsidR="00FB4423" w14:paraId="4C6EC4DD" w14:textId="77777777" w:rsidTr="0083516C">
        <w:trPr>
          <w:trHeight w:val="170"/>
        </w:trPr>
        <w:tc>
          <w:tcPr>
            <w:tcW w:w="4811" w:type="dxa"/>
            <w:gridSpan w:val="3"/>
            <w:hideMark/>
          </w:tcPr>
          <w:p w14:paraId="1DB464EF" w14:textId="77777777" w:rsidR="00FB4423" w:rsidRDefault="00FB4423" w:rsidP="0083516C">
            <w:pPr>
              <w:spacing w:after="0"/>
              <w:rPr>
                <w:rFonts w:cs="Arial"/>
                <w:b/>
                <w:bCs/>
                <w:color w:val="000000"/>
                <w:sz w:val="18"/>
                <w:szCs w:val="18"/>
                <w:lang w:eastAsia="en-US"/>
              </w:rPr>
            </w:pPr>
            <w:r>
              <w:rPr>
                <w:rFonts w:cs="Arial"/>
                <w:b/>
                <w:bCs/>
                <w:color w:val="000000"/>
                <w:sz w:val="18"/>
                <w:szCs w:val="18"/>
                <w:lang w:eastAsia="en-US"/>
              </w:rPr>
              <w:lastRenderedPageBreak/>
              <w:t xml:space="preserve">Tabulka č. 5 Oddíly klasifikace CPA s největším </w:t>
            </w:r>
          </w:p>
          <w:p w14:paraId="2C90ECE8" w14:textId="77777777" w:rsidR="00FB4423" w:rsidRDefault="00FB4423" w:rsidP="0083516C">
            <w:pPr>
              <w:spacing w:after="0"/>
              <w:jc w:val="left"/>
              <w:rPr>
                <w:rFonts w:cs="Arial"/>
                <w:b/>
                <w:bCs/>
                <w:color w:val="000000"/>
                <w:sz w:val="18"/>
                <w:szCs w:val="18"/>
                <w:lang w:eastAsia="en-US"/>
              </w:rPr>
            </w:pPr>
            <w:r>
              <w:rPr>
                <w:rFonts w:cs="Arial"/>
                <w:b/>
                <w:bCs/>
                <w:color w:val="000000"/>
                <w:sz w:val="18"/>
                <w:szCs w:val="18"/>
                <w:lang w:eastAsia="en-US"/>
              </w:rPr>
              <w:t xml:space="preserve">vlivem na vývoj bilance zahraničního obchodu se zbožím ve 3. čtvrtletí 2024 </w:t>
            </w:r>
            <w:r>
              <w:rPr>
                <w:rFonts w:cs="Arial"/>
                <w:bCs/>
                <w:color w:val="000000"/>
                <w:sz w:val="18"/>
                <w:szCs w:val="18"/>
                <w:lang w:eastAsia="en-US"/>
              </w:rPr>
              <w:t>(meziročně)</w:t>
            </w:r>
          </w:p>
        </w:tc>
        <w:tc>
          <w:tcPr>
            <w:tcW w:w="57" w:type="dxa"/>
          </w:tcPr>
          <w:p w14:paraId="4EDD5014" w14:textId="77777777" w:rsidR="00FB4423" w:rsidRDefault="00FB4423" w:rsidP="0083516C">
            <w:pPr>
              <w:spacing w:after="0"/>
              <w:rPr>
                <w:spacing w:val="-4"/>
                <w:lang w:eastAsia="en-US"/>
              </w:rPr>
            </w:pPr>
          </w:p>
        </w:tc>
        <w:tc>
          <w:tcPr>
            <w:tcW w:w="4809" w:type="dxa"/>
            <w:hideMark/>
          </w:tcPr>
          <w:p w14:paraId="1B55FA44" w14:textId="77777777" w:rsidR="00FB4423" w:rsidRDefault="00FB4423" w:rsidP="0083516C">
            <w:pPr>
              <w:spacing w:after="0"/>
              <w:jc w:val="left"/>
              <w:rPr>
                <w:spacing w:val="-4"/>
                <w:sz w:val="18"/>
                <w:szCs w:val="18"/>
                <w:lang w:eastAsia="en-US"/>
              </w:rPr>
            </w:pPr>
            <w:r>
              <w:rPr>
                <w:rFonts w:cs="Arial"/>
                <w:b/>
                <w:bCs/>
                <w:color w:val="000000"/>
                <w:sz w:val="18"/>
                <w:szCs w:val="18"/>
                <w:lang w:eastAsia="en-US"/>
              </w:rPr>
              <w:t xml:space="preserve">Tabulka č. 6 Země s největším vlivem na vývoj bilance zahraničního obchodu se zbožím ve 3. čtvrtletí 2024 </w:t>
            </w:r>
            <w:r>
              <w:rPr>
                <w:rFonts w:cs="Arial"/>
                <w:bCs/>
                <w:color w:val="000000"/>
                <w:sz w:val="18"/>
                <w:szCs w:val="18"/>
                <w:lang w:eastAsia="en-US"/>
              </w:rPr>
              <w:t>(meziročně)</w:t>
            </w:r>
          </w:p>
        </w:tc>
      </w:tr>
      <w:tr w:rsidR="00FB4423" w14:paraId="52AD7296" w14:textId="77777777" w:rsidTr="0083516C">
        <w:trPr>
          <w:trHeight w:val="170"/>
        </w:trPr>
        <w:tc>
          <w:tcPr>
            <w:tcW w:w="4811" w:type="dxa"/>
            <w:gridSpan w:val="3"/>
            <w:hideMark/>
          </w:tcPr>
          <w:tbl>
            <w:tblPr>
              <w:tblW w:w="4826" w:type="dxa"/>
              <w:tblLayout w:type="fixed"/>
              <w:tblCellMar>
                <w:left w:w="70" w:type="dxa"/>
                <w:right w:w="70" w:type="dxa"/>
              </w:tblCellMar>
              <w:tblLook w:val="04A0" w:firstRow="1" w:lastRow="0" w:firstColumn="1" w:lastColumn="0" w:noHBand="0" w:noVBand="1"/>
            </w:tblPr>
            <w:tblGrid>
              <w:gridCol w:w="4126"/>
              <w:gridCol w:w="700"/>
            </w:tblGrid>
            <w:tr w:rsidR="00FB4423" w:rsidRPr="008E35DE" w14:paraId="2902223E" w14:textId="77777777" w:rsidTr="0083516C">
              <w:trPr>
                <w:trHeight w:val="255"/>
              </w:trPr>
              <w:tc>
                <w:tcPr>
                  <w:tcW w:w="4126" w:type="dxa"/>
                  <w:tcBorders>
                    <w:top w:val="nil"/>
                    <w:left w:val="nil"/>
                    <w:bottom w:val="single" w:sz="4" w:space="0" w:color="auto"/>
                    <w:right w:val="nil"/>
                  </w:tcBorders>
                  <w:shd w:val="clear" w:color="auto" w:fill="auto"/>
                  <w:noWrap/>
                  <w:vAlign w:val="bottom"/>
                  <w:hideMark/>
                </w:tcPr>
                <w:p w14:paraId="50833B09"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 </w:t>
                  </w:r>
                </w:p>
              </w:tc>
              <w:tc>
                <w:tcPr>
                  <w:tcW w:w="700" w:type="dxa"/>
                  <w:tcBorders>
                    <w:top w:val="nil"/>
                    <w:left w:val="nil"/>
                    <w:bottom w:val="single" w:sz="4" w:space="0" w:color="auto"/>
                    <w:right w:val="nil"/>
                  </w:tcBorders>
                  <w:shd w:val="clear" w:color="auto" w:fill="auto"/>
                  <w:noWrap/>
                  <w:vAlign w:val="bottom"/>
                  <w:hideMark/>
                </w:tcPr>
                <w:p w14:paraId="557C9F8F"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mld. Kč</w:t>
                  </w:r>
                </w:p>
              </w:tc>
            </w:tr>
            <w:tr w:rsidR="00FB4423" w:rsidRPr="008E35DE" w14:paraId="20715103" w14:textId="77777777" w:rsidTr="0083516C">
              <w:trPr>
                <w:trHeight w:val="255"/>
              </w:trPr>
              <w:tc>
                <w:tcPr>
                  <w:tcW w:w="4126" w:type="dxa"/>
                  <w:tcBorders>
                    <w:top w:val="nil"/>
                    <w:left w:val="nil"/>
                    <w:bottom w:val="nil"/>
                    <w:right w:val="nil"/>
                  </w:tcBorders>
                  <w:shd w:val="clear" w:color="auto" w:fill="auto"/>
                  <w:noWrap/>
                  <w:vAlign w:val="bottom"/>
                  <w:hideMark/>
                </w:tcPr>
                <w:p w14:paraId="51E87093"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Motorová vozidla (kromě motocyklů) a díly</w:t>
                  </w:r>
                </w:p>
              </w:tc>
              <w:tc>
                <w:tcPr>
                  <w:tcW w:w="700" w:type="dxa"/>
                  <w:tcBorders>
                    <w:top w:val="nil"/>
                    <w:left w:val="nil"/>
                    <w:bottom w:val="nil"/>
                    <w:right w:val="nil"/>
                  </w:tcBorders>
                  <w:shd w:val="clear" w:color="auto" w:fill="auto"/>
                  <w:noWrap/>
                  <w:vAlign w:val="bottom"/>
                  <w:hideMark/>
                </w:tcPr>
                <w:p w14:paraId="5D339F40"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+24,3</w:t>
                  </w:r>
                </w:p>
              </w:tc>
            </w:tr>
            <w:tr w:rsidR="00FB4423" w:rsidRPr="008E35DE" w14:paraId="651B2651" w14:textId="77777777" w:rsidTr="0083516C">
              <w:trPr>
                <w:trHeight w:val="255"/>
              </w:trPr>
              <w:tc>
                <w:tcPr>
                  <w:tcW w:w="4126" w:type="dxa"/>
                  <w:tcBorders>
                    <w:top w:val="nil"/>
                    <w:left w:val="nil"/>
                    <w:bottom w:val="nil"/>
                    <w:right w:val="nil"/>
                  </w:tcBorders>
                  <w:shd w:val="clear" w:color="auto" w:fill="auto"/>
                  <w:noWrap/>
                  <w:vAlign w:val="bottom"/>
                  <w:hideMark/>
                </w:tcPr>
                <w:p w14:paraId="363DB61C"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Počítače, elektronické a optické přístroje a zařízení</w:t>
                  </w:r>
                </w:p>
              </w:tc>
              <w:tc>
                <w:tcPr>
                  <w:tcW w:w="700" w:type="dxa"/>
                  <w:tcBorders>
                    <w:top w:val="nil"/>
                    <w:left w:val="nil"/>
                    <w:bottom w:val="nil"/>
                    <w:right w:val="nil"/>
                  </w:tcBorders>
                  <w:shd w:val="clear" w:color="auto" w:fill="auto"/>
                  <w:noWrap/>
                  <w:vAlign w:val="bottom"/>
                  <w:hideMark/>
                </w:tcPr>
                <w:p w14:paraId="788017BA"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+13,8</w:t>
                  </w:r>
                </w:p>
              </w:tc>
            </w:tr>
            <w:tr w:rsidR="00FB4423" w:rsidRPr="008E35DE" w14:paraId="26FD5DE5" w14:textId="77777777" w:rsidTr="0083516C">
              <w:trPr>
                <w:trHeight w:val="255"/>
              </w:trPr>
              <w:tc>
                <w:tcPr>
                  <w:tcW w:w="4126" w:type="dxa"/>
                  <w:tcBorders>
                    <w:top w:val="nil"/>
                    <w:left w:val="nil"/>
                    <w:bottom w:val="nil"/>
                    <w:right w:val="nil"/>
                  </w:tcBorders>
                  <w:shd w:val="clear" w:color="auto" w:fill="auto"/>
                  <w:noWrap/>
                  <w:vAlign w:val="bottom"/>
                  <w:hideMark/>
                </w:tcPr>
                <w:p w14:paraId="5D99D30E"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Ropa a zemní plyn</w:t>
                  </w:r>
                </w:p>
              </w:tc>
              <w:tc>
                <w:tcPr>
                  <w:tcW w:w="700" w:type="dxa"/>
                  <w:tcBorders>
                    <w:top w:val="nil"/>
                    <w:left w:val="nil"/>
                    <w:bottom w:val="nil"/>
                    <w:right w:val="nil"/>
                  </w:tcBorders>
                  <w:shd w:val="clear" w:color="auto" w:fill="auto"/>
                  <w:noWrap/>
                  <w:vAlign w:val="bottom"/>
                  <w:hideMark/>
                </w:tcPr>
                <w:p w14:paraId="7142B3EC"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+2,9</w:t>
                  </w:r>
                </w:p>
              </w:tc>
            </w:tr>
            <w:tr w:rsidR="00FB4423" w:rsidRPr="008E35DE" w14:paraId="3A0CAB1E" w14:textId="77777777" w:rsidTr="0083516C">
              <w:trPr>
                <w:trHeight w:val="255"/>
              </w:trPr>
              <w:tc>
                <w:tcPr>
                  <w:tcW w:w="4126" w:type="dxa"/>
                  <w:tcBorders>
                    <w:top w:val="nil"/>
                    <w:left w:val="nil"/>
                    <w:bottom w:val="nil"/>
                    <w:right w:val="nil"/>
                  </w:tcBorders>
                  <w:shd w:val="clear" w:color="auto" w:fill="auto"/>
                  <w:noWrap/>
                  <w:vAlign w:val="bottom"/>
                  <w:hideMark/>
                </w:tcPr>
                <w:p w14:paraId="6107E917"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Rudy</w:t>
                  </w:r>
                </w:p>
              </w:tc>
              <w:tc>
                <w:tcPr>
                  <w:tcW w:w="700" w:type="dxa"/>
                  <w:tcBorders>
                    <w:top w:val="nil"/>
                    <w:left w:val="nil"/>
                    <w:bottom w:val="nil"/>
                    <w:right w:val="nil"/>
                  </w:tcBorders>
                  <w:shd w:val="clear" w:color="auto" w:fill="auto"/>
                  <w:noWrap/>
                  <w:vAlign w:val="bottom"/>
                  <w:hideMark/>
                </w:tcPr>
                <w:p w14:paraId="0785FB77"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+2,2</w:t>
                  </w:r>
                </w:p>
              </w:tc>
            </w:tr>
            <w:tr w:rsidR="00FB4423" w:rsidRPr="008E35DE" w14:paraId="240C9813" w14:textId="77777777" w:rsidTr="0083516C">
              <w:trPr>
                <w:trHeight w:val="255"/>
              </w:trPr>
              <w:tc>
                <w:tcPr>
                  <w:tcW w:w="4126" w:type="dxa"/>
                  <w:tcBorders>
                    <w:top w:val="nil"/>
                    <w:left w:val="nil"/>
                    <w:bottom w:val="nil"/>
                    <w:right w:val="nil"/>
                  </w:tcBorders>
                  <w:shd w:val="clear" w:color="auto" w:fill="auto"/>
                  <w:noWrap/>
                  <w:vAlign w:val="bottom"/>
                  <w:hideMark/>
                </w:tcPr>
                <w:p w14:paraId="130D8228"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Pryžové a plastové výrobky</w:t>
                  </w:r>
                </w:p>
              </w:tc>
              <w:tc>
                <w:tcPr>
                  <w:tcW w:w="700" w:type="dxa"/>
                  <w:tcBorders>
                    <w:top w:val="nil"/>
                    <w:left w:val="nil"/>
                    <w:bottom w:val="nil"/>
                    <w:right w:val="nil"/>
                  </w:tcBorders>
                  <w:shd w:val="clear" w:color="auto" w:fill="auto"/>
                  <w:noWrap/>
                  <w:vAlign w:val="bottom"/>
                  <w:hideMark/>
                </w:tcPr>
                <w:p w14:paraId="0846ED5C"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+1,7</w:t>
                  </w:r>
                </w:p>
              </w:tc>
            </w:tr>
            <w:tr w:rsidR="00FB4423" w:rsidRPr="008E35DE" w14:paraId="13BEEEFA" w14:textId="77777777" w:rsidTr="0083516C">
              <w:trPr>
                <w:trHeight w:val="255"/>
              </w:trPr>
              <w:tc>
                <w:tcPr>
                  <w:tcW w:w="4126" w:type="dxa"/>
                  <w:tcBorders>
                    <w:top w:val="nil"/>
                    <w:left w:val="nil"/>
                    <w:bottom w:val="nil"/>
                    <w:right w:val="nil"/>
                  </w:tcBorders>
                  <w:shd w:val="clear" w:color="auto" w:fill="auto"/>
                  <w:noWrap/>
                  <w:vAlign w:val="bottom"/>
                  <w:hideMark/>
                </w:tcPr>
                <w:p w14:paraId="1232C67B"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Černé a hnědé uhlí a lignit</w:t>
                  </w:r>
                </w:p>
              </w:tc>
              <w:tc>
                <w:tcPr>
                  <w:tcW w:w="700" w:type="dxa"/>
                  <w:tcBorders>
                    <w:top w:val="nil"/>
                    <w:left w:val="nil"/>
                    <w:bottom w:val="nil"/>
                    <w:right w:val="nil"/>
                  </w:tcBorders>
                  <w:shd w:val="clear" w:color="auto" w:fill="auto"/>
                  <w:noWrap/>
                  <w:vAlign w:val="bottom"/>
                  <w:hideMark/>
                </w:tcPr>
                <w:p w14:paraId="40F50B4A"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+1,5</w:t>
                  </w:r>
                </w:p>
              </w:tc>
            </w:tr>
            <w:tr w:rsidR="00FB4423" w:rsidRPr="008E35DE" w14:paraId="04B05031" w14:textId="77777777" w:rsidTr="0083516C">
              <w:trPr>
                <w:trHeight w:val="255"/>
              </w:trPr>
              <w:tc>
                <w:tcPr>
                  <w:tcW w:w="4126" w:type="dxa"/>
                  <w:tcBorders>
                    <w:top w:val="nil"/>
                    <w:left w:val="nil"/>
                    <w:bottom w:val="nil"/>
                    <w:right w:val="nil"/>
                  </w:tcBorders>
                  <w:shd w:val="clear" w:color="auto" w:fill="auto"/>
                  <w:noWrap/>
                  <w:vAlign w:val="bottom"/>
                  <w:hideMark/>
                </w:tcPr>
                <w:p w14:paraId="1EE29F2D"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Sběr, příprava, likvidace a zpracování odpadu</w:t>
                  </w:r>
                </w:p>
              </w:tc>
              <w:tc>
                <w:tcPr>
                  <w:tcW w:w="700" w:type="dxa"/>
                  <w:tcBorders>
                    <w:top w:val="nil"/>
                    <w:left w:val="nil"/>
                    <w:bottom w:val="nil"/>
                    <w:right w:val="nil"/>
                  </w:tcBorders>
                  <w:shd w:val="clear" w:color="auto" w:fill="auto"/>
                  <w:noWrap/>
                  <w:vAlign w:val="bottom"/>
                  <w:hideMark/>
                </w:tcPr>
                <w:p w14:paraId="77013738"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+1,5</w:t>
                  </w:r>
                </w:p>
              </w:tc>
            </w:tr>
            <w:tr w:rsidR="00FB4423" w:rsidRPr="008E35DE" w14:paraId="411913B3" w14:textId="77777777" w:rsidTr="0083516C">
              <w:trPr>
                <w:trHeight w:val="255"/>
              </w:trPr>
              <w:tc>
                <w:tcPr>
                  <w:tcW w:w="4126" w:type="dxa"/>
                  <w:tcBorders>
                    <w:top w:val="nil"/>
                    <w:left w:val="nil"/>
                    <w:bottom w:val="nil"/>
                    <w:right w:val="nil"/>
                  </w:tcBorders>
                  <w:shd w:val="clear" w:color="auto" w:fill="auto"/>
                  <w:noWrap/>
                  <w:vAlign w:val="bottom"/>
                  <w:hideMark/>
                </w:tcPr>
                <w:p w14:paraId="7B010A31"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Elektřina, plyn, pára a klimatizovaný vzduch</w:t>
                  </w:r>
                </w:p>
              </w:tc>
              <w:tc>
                <w:tcPr>
                  <w:tcW w:w="700" w:type="dxa"/>
                  <w:tcBorders>
                    <w:top w:val="nil"/>
                    <w:left w:val="nil"/>
                    <w:bottom w:val="nil"/>
                    <w:right w:val="nil"/>
                  </w:tcBorders>
                  <w:shd w:val="clear" w:color="auto" w:fill="auto"/>
                  <w:noWrap/>
                  <w:vAlign w:val="bottom"/>
                  <w:hideMark/>
                </w:tcPr>
                <w:p w14:paraId="71F0E1F3"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+1,3</w:t>
                  </w:r>
                </w:p>
              </w:tc>
            </w:tr>
            <w:tr w:rsidR="00FB4423" w:rsidRPr="008E35DE" w14:paraId="1877CD84" w14:textId="77777777" w:rsidTr="0083516C">
              <w:trPr>
                <w:trHeight w:val="255"/>
              </w:trPr>
              <w:tc>
                <w:tcPr>
                  <w:tcW w:w="4126" w:type="dxa"/>
                  <w:tcBorders>
                    <w:top w:val="nil"/>
                    <w:left w:val="nil"/>
                    <w:bottom w:val="nil"/>
                    <w:right w:val="nil"/>
                  </w:tcBorders>
                  <w:shd w:val="clear" w:color="auto" w:fill="auto"/>
                  <w:noWrap/>
                  <w:vAlign w:val="bottom"/>
                  <w:hideMark/>
                </w:tcPr>
                <w:p w14:paraId="7A158D92"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Produkty lesnictví, těžby dřeva</w:t>
                  </w:r>
                </w:p>
              </w:tc>
              <w:tc>
                <w:tcPr>
                  <w:tcW w:w="700" w:type="dxa"/>
                  <w:tcBorders>
                    <w:top w:val="nil"/>
                    <w:left w:val="nil"/>
                    <w:bottom w:val="nil"/>
                    <w:right w:val="nil"/>
                  </w:tcBorders>
                  <w:shd w:val="clear" w:color="auto" w:fill="auto"/>
                  <w:noWrap/>
                  <w:vAlign w:val="bottom"/>
                  <w:hideMark/>
                </w:tcPr>
                <w:p w14:paraId="27E5082F"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1,0</w:t>
                  </w:r>
                </w:p>
              </w:tc>
            </w:tr>
            <w:tr w:rsidR="00FB4423" w:rsidRPr="008E35DE" w14:paraId="5FDB8DCA" w14:textId="77777777" w:rsidTr="0083516C">
              <w:trPr>
                <w:trHeight w:val="255"/>
              </w:trPr>
              <w:tc>
                <w:tcPr>
                  <w:tcW w:w="4126" w:type="dxa"/>
                  <w:tcBorders>
                    <w:top w:val="nil"/>
                    <w:left w:val="nil"/>
                    <w:bottom w:val="nil"/>
                    <w:right w:val="nil"/>
                  </w:tcBorders>
                  <w:shd w:val="clear" w:color="auto" w:fill="auto"/>
                  <w:noWrap/>
                  <w:vAlign w:val="bottom"/>
                  <w:hideMark/>
                </w:tcPr>
                <w:p w14:paraId="4713FDA5"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Potravinářské výrobky</w:t>
                  </w:r>
                </w:p>
              </w:tc>
              <w:tc>
                <w:tcPr>
                  <w:tcW w:w="700" w:type="dxa"/>
                  <w:tcBorders>
                    <w:top w:val="nil"/>
                    <w:left w:val="nil"/>
                    <w:bottom w:val="nil"/>
                    <w:right w:val="nil"/>
                  </w:tcBorders>
                  <w:shd w:val="clear" w:color="auto" w:fill="auto"/>
                  <w:noWrap/>
                  <w:vAlign w:val="bottom"/>
                  <w:hideMark/>
                </w:tcPr>
                <w:p w14:paraId="64F681B9"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1,1</w:t>
                  </w:r>
                </w:p>
              </w:tc>
            </w:tr>
            <w:tr w:rsidR="00FB4423" w:rsidRPr="008E35DE" w14:paraId="2C3C2C56" w14:textId="77777777" w:rsidTr="0083516C">
              <w:trPr>
                <w:trHeight w:val="255"/>
              </w:trPr>
              <w:tc>
                <w:tcPr>
                  <w:tcW w:w="4126" w:type="dxa"/>
                  <w:tcBorders>
                    <w:top w:val="nil"/>
                    <w:left w:val="nil"/>
                    <w:bottom w:val="nil"/>
                    <w:right w:val="nil"/>
                  </w:tcBorders>
                  <w:shd w:val="clear" w:color="auto" w:fill="auto"/>
                  <w:noWrap/>
                  <w:vAlign w:val="bottom"/>
                  <w:hideMark/>
                </w:tcPr>
                <w:p w14:paraId="04DB7AB1"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Ostatní dopravní prostředky a zařízení</w:t>
                  </w:r>
                </w:p>
              </w:tc>
              <w:tc>
                <w:tcPr>
                  <w:tcW w:w="700" w:type="dxa"/>
                  <w:tcBorders>
                    <w:top w:val="nil"/>
                    <w:left w:val="nil"/>
                    <w:bottom w:val="nil"/>
                    <w:right w:val="nil"/>
                  </w:tcBorders>
                  <w:shd w:val="clear" w:color="auto" w:fill="auto"/>
                  <w:noWrap/>
                  <w:vAlign w:val="bottom"/>
                  <w:hideMark/>
                </w:tcPr>
                <w:p w14:paraId="72FE98E3"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1,8</w:t>
                  </w:r>
                </w:p>
              </w:tc>
            </w:tr>
            <w:tr w:rsidR="00FB4423" w:rsidRPr="008E35DE" w14:paraId="66FB20A0" w14:textId="77777777" w:rsidTr="0083516C">
              <w:trPr>
                <w:trHeight w:val="255"/>
              </w:trPr>
              <w:tc>
                <w:tcPr>
                  <w:tcW w:w="4126" w:type="dxa"/>
                  <w:tcBorders>
                    <w:top w:val="nil"/>
                    <w:left w:val="nil"/>
                    <w:bottom w:val="nil"/>
                    <w:right w:val="nil"/>
                  </w:tcBorders>
                  <w:shd w:val="clear" w:color="auto" w:fill="auto"/>
                  <w:noWrap/>
                  <w:vAlign w:val="bottom"/>
                  <w:hideMark/>
                </w:tcPr>
                <w:p w14:paraId="1B7D9A10"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Základní farmaceutické výrobky a přípravky</w:t>
                  </w:r>
                </w:p>
              </w:tc>
              <w:tc>
                <w:tcPr>
                  <w:tcW w:w="700" w:type="dxa"/>
                  <w:tcBorders>
                    <w:top w:val="nil"/>
                    <w:left w:val="nil"/>
                    <w:bottom w:val="nil"/>
                    <w:right w:val="nil"/>
                  </w:tcBorders>
                  <w:shd w:val="clear" w:color="auto" w:fill="auto"/>
                  <w:noWrap/>
                  <w:vAlign w:val="bottom"/>
                  <w:hideMark/>
                </w:tcPr>
                <w:p w14:paraId="3C8C21D8"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2,4</w:t>
                  </w:r>
                </w:p>
              </w:tc>
            </w:tr>
            <w:tr w:rsidR="00FB4423" w:rsidRPr="008E35DE" w14:paraId="3091862E" w14:textId="77777777" w:rsidTr="0083516C">
              <w:trPr>
                <w:trHeight w:val="255"/>
              </w:trPr>
              <w:tc>
                <w:tcPr>
                  <w:tcW w:w="4126" w:type="dxa"/>
                  <w:tcBorders>
                    <w:top w:val="nil"/>
                    <w:left w:val="nil"/>
                    <w:bottom w:val="nil"/>
                    <w:right w:val="nil"/>
                  </w:tcBorders>
                  <w:shd w:val="clear" w:color="auto" w:fill="auto"/>
                  <w:noWrap/>
                  <w:vAlign w:val="bottom"/>
                  <w:hideMark/>
                </w:tcPr>
                <w:p w14:paraId="4B1F8D11"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Chemické látky a přípravky</w:t>
                  </w:r>
                </w:p>
              </w:tc>
              <w:tc>
                <w:tcPr>
                  <w:tcW w:w="700" w:type="dxa"/>
                  <w:tcBorders>
                    <w:top w:val="nil"/>
                    <w:left w:val="nil"/>
                    <w:bottom w:val="nil"/>
                    <w:right w:val="nil"/>
                  </w:tcBorders>
                  <w:shd w:val="clear" w:color="auto" w:fill="auto"/>
                  <w:noWrap/>
                  <w:vAlign w:val="bottom"/>
                  <w:hideMark/>
                </w:tcPr>
                <w:p w14:paraId="14739115"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2,6</w:t>
                  </w:r>
                </w:p>
              </w:tc>
            </w:tr>
            <w:tr w:rsidR="00FB4423" w:rsidRPr="008E35DE" w14:paraId="49574254" w14:textId="77777777" w:rsidTr="0083516C">
              <w:trPr>
                <w:trHeight w:val="255"/>
              </w:trPr>
              <w:tc>
                <w:tcPr>
                  <w:tcW w:w="4126" w:type="dxa"/>
                  <w:tcBorders>
                    <w:top w:val="nil"/>
                    <w:left w:val="nil"/>
                    <w:bottom w:val="nil"/>
                    <w:right w:val="nil"/>
                  </w:tcBorders>
                  <w:shd w:val="clear" w:color="auto" w:fill="auto"/>
                  <w:noWrap/>
                  <w:vAlign w:val="bottom"/>
                  <w:hideMark/>
                </w:tcPr>
                <w:p w14:paraId="59D56B5A"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Koks a rafinované ropné produkty</w:t>
                  </w:r>
                </w:p>
              </w:tc>
              <w:tc>
                <w:tcPr>
                  <w:tcW w:w="700" w:type="dxa"/>
                  <w:tcBorders>
                    <w:top w:val="nil"/>
                    <w:left w:val="nil"/>
                    <w:bottom w:val="nil"/>
                    <w:right w:val="nil"/>
                  </w:tcBorders>
                  <w:shd w:val="clear" w:color="auto" w:fill="auto"/>
                  <w:noWrap/>
                  <w:vAlign w:val="bottom"/>
                  <w:hideMark/>
                </w:tcPr>
                <w:p w14:paraId="6B8430F6"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2,7</w:t>
                  </w:r>
                </w:p>
              </w:tc>
            </w:tr>
            <w:tr w:rsidR="00FB4423" w:rsidRPr="008E35DE" w14:paraId="40613AED" w14:textId="77777777" w:rsidTr="0083516C">
              <w:trPr>
                <w:trHeight w:val="255"/>
              </w:trPr>
              <w:tc>
                <w:tcPr>
                  <w:tcW w:w="4126" w:type="dxa"/>
                  <w:tcBorders>
                    <w:top w:val="nil"/>
                    <w:left w:val="nil"/>
                    <w:bottom w:val="nil"/>
                    <w:right w:val="nil"/>
                  </w:tcBorders>
                  <w:shd w:val="clear" w:color="auto" w:fill="auto"/>
                  <w:noWrap/>
                  <w:vAlign w:val="bottom"/>
                  <w:hideMark/>
                </w:tcPr>
                <w:p w14:paraId="33987F30"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Základní kovy</w:t>
                  </w:r>
                </w:p>
              </w:tc>
              <w:tc>
                <w:tcPr>
                  <w:tcW w:w="700" w:type="dxa"/>
                  <w:tcBorders>
                    <w:top w:val="nil"/>
                    <w:left w:val="nil"/>
                    <w:bottom w:val="nil"/>
                    <w:right w:val="nil"/>
                  </w:tcBorders>
                  <w:shd w:val="clear" w:color="auto" w:fill="auto"/>
                  <w:noWrap/>
                  <w:vAlign w:val="bottom"/>
                  <w:hideMark/>
                </w:tcPr>
                <w:p w14:paraId="7C5412C6"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5,9</w:t>
                  </w:r>
                </w:p>
              </w:tc>
            </w:tr>
          </w:tbl>
          <w:p w14:paraId="6D1E7FD2" w14:textId="77777777" w:rsidR="00FB4423" w:rsidRDefault="00FB4423" w:rsidP="0083516C">
            <w:pPr>
              <w:spacing w:after="0"/>
              <w:rPr>
                <w:spacing w:val="-4"/>
                <w:lang w:eastAsia="en-US"/>
              </w:rPr>
            </w:pPr>
          </w:p>
        </w:tc>
        <w:tc>
          <w:tcPr>
            <w:tcW w:w="57" w:type="dxa"/>
          </w:tcPr>
          <w:p w14:paraId="461A8071" w14:textId="77777777" w:rsidR="00FB4423" w:rsidRDefault="00FB4423" w:rsidP="0083516C">
            <w:pPr>
              <w:spacing w:after="0"/>
              <w:rPr>
                <w:spacing w:val="-4"/>
                <w:lang w:eastAsia="en-US"/>
              </w:rPr>
            </w:pPr>
          </w:p>
        </w:tc>
        <w:tc>
          <w:tcPr>
            <w:tcW w:w="4809" w:type="dxa"/>
            <w:hideMark/>
          </w:tcPr>
          <w:tbl>
            <w:tblPr>
              <w:tblW w:w="4771" w:type="dxa"/>
              <w:tblLayout w:type="fixed"/>
              <w:tblCellMar>
                <w:left w:w="70" w:type="dxa"/>
                <w:right w:w="70" w:type="dxa"/>
              </w:tblCellMar>
              <w:tblLook w:val="04A0" w:firstRow="1" w:lastRow="0" w:firstColumn="1" w:lastColumn="0" w:noHBand="0" w:noVBand="1"/>
            </w:tblPr>
            <w:tblGrid>
              <w:gridCol w:w="4071"/>
              <w:gridCol w:w="700"/>
            </w:tblGrid>
            <w:tr w:rsidR="00FB4423" w:rsidRPr="008E35DE" w14:paraId="44F66FA5" w14:textId="77777777" w:rsidTr="0083516C">
              <w:trPr>
                <w:trHeight w:val="255"/>
              </w:trPr>
              <w:tc>
                <w:tcPr>
                  <w:tcW w:w="4071" w:type="dxa"/>
                  <w:tcBorders>
                    <w:top w:val="nil"/>
                    <w:left w:val="nil"/>
                    <w:bottom w:val="single" w:sz="4" w:space="0" w:color="auto"/>
                    <w:right w:val="nil"/>
                  </w:tcBorders>
                  <w:shd w:val="clear" w:color="auto" w:fill="auto"/>
                  <w:noWrap/>
                  <w:vAlign w:val="bottom"/>
                  <w:hideMark/>
                </w:tcPr>
                <w:p w14:paraId="01BE5149" w14:textId="77777777" w:rsidR="00FB4423" w:rsidRPr="008E35DE" w:rsidRDefault="00FB4423" w:rsidP="0083516C">
                  <w:pPr>
                    <w:spacing w:after="0" w:line="240" w:lineRule="auto"/>
                    <w:jc w:val="left"/>
                    <w:rPr>
                      <w:rFonts w:ascii="Calibri" w:hAnsi="Calibri" w:cs="Calibri"/>
                      <w:color w:val="000000"/>
                      <w:sz w:val="16"/>
                      <w:szCs w:val="16"/>
                    </w:rPr>
                  </w:pPr>
                </w:p>
              </w:tc>
              <w:tc>
                <w:tcPr>
                  <w:tcW w:w="700" w:type="dxa"/>
                  <w:tcBorders>
                    <w:top w:val="nil"/>
                    <w:left w:val="nil"/>
                    <w:bottom w:val="single" w:sz="4" w:space="0" w:color="auto"/>
                    <w:right w:val="nil"/>
                  </w:tcBorders>
                  <w:shd w:val="clear" w:color="auto" w:fill="auto"/>
                  <w:noWrap/>
                  <w:vAlign w:val="bottom"/>
                  <w:hideMark/>
                </w:tcPr>
                <w:p w14:paraId="7D411603"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mld. Kč</w:t>
                  </w:r>
                </w:p>
              </w:tc>
            </w:tr>
            <w:tr w:rsidR="00FB4423" w:rsidRPr="008E35DE" w14:paraId="1233220A" w14:textId="77777777" w:rsidTr="0083516C">
              <w:trPr>
                <w:trHeight w:val="255"/>
              </w:trPr>
              <w:tc>
                <w:tcPr>
                  <w:tcW w:w="4071" w:type="dxa"/>
                  <w:tcBorders>
                    <w:top w:val="nil"/>
                    <w:left w:val="nil"/>
                    <w:bottom w:val="nil"/>
                    <w:right w:val="nil"/>
                  </w:tcBorders>
                  <w:shd w:val="clear" w:color="auto" w:fill="auto"/>
                  <w:noWrap/>
                  <w:vAlign w:val="bottom"/>
                  <w:hideMark/>
                </w:tcPr>
                <w:p w14:paraId="3D25F5C4" w14:textId="77777777" w:rsidR="00FB4423" w:rsidRPr="008E35DE" w:rsidRDefault="00FB4423" w:rsidP="0083516C">
                  <w:pPr>
                    <w:spacing w:after="0" w:line="240" w:lineRule="auto"/>
                    <w:jc w:val="left"/>
                    <w:rPr>
                      <w:rFonts w:cs="Arial"/>
                      <w:color w:val="000000"/>
                      <w:sz w:val="16"/>
                      <w:szCs w:val="16"/>
                    </w:rPr>
                  </w:pPr>
                  <w:r>
                    <w:rPr>
                      <w:rFonts w:cs="Arial"/>
                      <w:color w:val="000000"/>
                      <w:sz w:val="16"/>
                      <w:szCs w:val="16"/>
                    </w:rPr>
                    <w:t>Velká Británie</w:t>
                  </w:r>
                </w:p>
              </w:tc>
              <w:tc>
                <w:tcPr>
                  <w:tcW w:w="700" w:type="dxa"/>
                  <w:tcBorders>
                    <w:top w:val="nil"/>
                    <w:left w:val="nil"/>
                    <w:bottom w:val="nil"/>
                    <w:right w:val="nil"/>
                  </w:tcBorders>
                  <w:shd w:val="clear" w:color="auto" w:fill="auto"/>
                  <w:noWrap/>
                  <w:vAlign w:val="bottom"/>
                  <w:hideMark/>
                </w:tcPr>
                <w:p w14:paraId="74523E76"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+16,0</w:t>
                  </w:r>
                </w:p>
              </w:tc>
            </w:tr>
            <w:tr w:rsidR="00FB4423" w:rsidRPr="008E35DE" w14:paraId="71082B56" w14:textId="77777777" w:rsidTr="0083516C">
              <w:trPr>
                <w:trHeight w:val="255"/>
              </w:trPr>
              <w:tc>
                <w:tcPr>
                  <w:tcW w:w="4071" w:type="dxa"/>
                  <w:tcBorders>
                    <w:top w:val="nil"/>
                    <w:left w:val="nil"/>
                    <w:bottom w:val="nil"/>
                    <w:right w:val="nil"/>
                  </w:tcBorders>
                  <w:shd w:val="clear" w:color="auto" w:fill="auto"/>
                  <w:noWrap/>
                  <w:vAlign w:val="bottom"/>
                  <w:hideMark/>
                </w:tcPr>
                <w:p w14:paraId="4EADA622"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Německo</w:t>
                  </w:r>
                </w:p>
              </w:tc>
              <w:tc>
                <w:tcPr>
                  <w:tcW w:w="700" w:type="dxa"/>
                  <w:tcBorders>
                    <w:top w:val="nil"/>
                    <w:left w:val="nil"/>
                    <w:bottom w:val="nil"/>
                    <w:right w:val="nil"/>
                  </w:tcBorders>
                  <w:shd w:val="clear" w:color="auto" w:fill="auto"/>
                  <w:noWrap/>
                  <w:vAlign w:val="bottom"/>
                  <w:hideMark/>
                </w:tcPr>
                <w:p w14:paraId="76CB51A5"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+13,3</w:t>
                  </w:r>
                </w:p>
              </w:tc>
            </w:tr>
            <w:tr w:rsidR="00FB4423" w:rsidRPr="008E35DE" w14:paraId="1064BC71" w14:textId="77777777" w:rsidTr="0083516C">
              <w:trPr>
                <w:trHeight w:val="255"/>
              </w:trPr>
              <w:tc>
                <w:tcPr>
                  <w:tcW w:w="4071" w:type="dxa"/>
                  <w:tcBorders>
                    <w:top w:val="nil"/>
                    <w:left w:val="nil"/>
                    <w:bottom w:val="nil"/>
                    <w:right w:val="nil"/>
                  </w:tcBorders>
                  <w:shd w:val="clear" w:color="auto" w:fill="auto"/>
                  <w:noWrap/>
                  <w:vAlign w:val="bottom"/>
                  <w:hideMark/>
                </w:tcPr>
                <w:p w14:paraId="617380F2"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shd w:val="clear" w:color="auto" w:fill="auto"/>
                  <w:noWrap/>
                  <w:vAlign w:val="bottom"/>
                  <w:hideMark/>
                </w:tcPr>
                <w:p w14:paraId="2726A3C0"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+9,6</w:t>
                  </w:r>
                </w:p>
              </w:tc>
            </w:tr>
            <w:tr w:rsidR="00FB4423" w:rsidRPr="008E35DE" w14:paraId="63370DC8" w14:textId="77777777" w:rsidTr="0083516C">
              <w:trPr>
                <w:trHeight w:val="255"/>
              </w:trPr>
              <w:tc>
                <w:tcPr>
                  <w:tcW w:w="4071" w:type="dxa"/>
                  <w:tcBorders>
                    <w:top w:val="nil"/>
                    <w:left w:val="nil"/>
                    <w:bottom w:val="nil"/>
                    <w:right w:val="nil"/>
                  </w:tcBorders>
                  <w:shd w:val="clear" w:color="auto" w:fill="auto"/>
                  <w:noWrap/>
                  <w:vAlign w:val="bottom"/>
                  <w:hideMark/>
                </w:tcPr>
                <w:p w14:paraId="039DFDAB"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Rusko</w:t>
                  </w:r>
                </w:p>
              </w:tc>
              <w:tc>
                <w:tcPr>
                  <w:tcW w:w="700" w:type="dxa"/>
                  <w:tcBorders>
                    <w:top w:val="nil"/>
                    <w:left w:val="nil"/>
                    <w:bottom w:val="nil"/>
                    <w:right w:val="nil"/>
                  </w:tcBorders>
                  <w:shd w:val="clear" w:color="auto" w:fill="auto"/>
                  <w:noWrap/>
                  <w:vAlign w:val="bottom"/>
                  <w:hideMark/>
                </w:tcPr>
                <w:p w14:paraId="5F192897"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+5,4</w:t>
                  </w:r>
                </w:p>
              </w:tc>
            </w:tr>
            <w:tr w:rsidR="00FB4423" w:rsidRPr="008E35DE" w14:paraId="392FB716" w14:textId="77777777" w:rsidTr="0083516C">
              <w:trPr>
                <w:trHeight w:val="255"/>
              </w:trPr>
              <w:tc>
                <w:tcPr>
                  <w:tcW w:w="4071" w:type="dxa"/>
                  <w:tcBorders>
                    <w:top w:val="nil"/>
                    <w:left w:val="nil"/>
                    <w:bottom w:val="nil"/>
                    <w:right w:val="nil"/>
                  </w:tcBorders>
                  <w:shd w:val="clear" w:color="auto" w:fill="auto"/>
                  <w:noWrap/>
                  <w:vAlign w:val="bottom"/>
                  <w:hideMark/>
                </w:tcPr>
                <w:p w14:paraId="5218A532"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Singapur</w:t>
                  </w:r>
                </w:p>
              </w:tc>
              <w:tc>
                <w:tcPr>
                  <w:tcW w:w="700" w:type="dxa"/>
                  <w:tcBorders>
                    <w:top w:val="nil"/>
                    <w:left w:val="nil"/>
                    <w:bottom w:val="nil"/>
                    <w:right w:val="nil"/>
                  </w:tcBorders>
                  <w:shd w:val="clear" w:color="auto" w:fill="auto"/>
                  <w:noWrap/>
                  <w:vAlign w:val="bottom"/>
                  <w:hideMark/>
                </w:tcPr>
                <w:p w14:paraId="16864C74"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+5,0</w:t>
                  </w:r>
                </w:p>
              </w:tc>
            </w:tr>
            <w:tr w:rsidR="00FB4423" w:rsidRPr="008E35DE" w14:paraId="74DC02A3" w14:textId="77777777" w:rsidTr="0083516C">
              <w:trPr>
                <w:trHeight w:val="255"/>
              </w:trPr>
              <w:tc>
                <w:tcPr>
                  <w:tcW w:w="4071" w:type="dxa"/>
                  <w:tcBorders>
                    <w:top w:val="nil"/>
                    <w:left w:val="nil"/>
                    <w:bottom w:val="nil"/>
                    <w:right w:val="nil"/>
                  </w:tcBorders>
                  <w:shd w:val="clear" w:color="auto" w:fill="auto"/>
                  <w:noWrap/>
                  <w:vAlign w:val="bottom"/>
                  <w:hideMark/>
                </w:tcPr>
                <w:p w14:paraId="768FA2A0"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Francie</w:t>
                  </w:r>
                </w:p>
              </w:tc>
              <w:tc>
                <w:tcPr>
                  <w:tcW w:w="700" w:type="dxa"/>
                  <w:tcBorders>
                    <w:top w:val="nil"/>
                    <w:left w:val="nil"/>
                    <w:bottom w:val="nil"/>
                    <w:right w:val="nil"/>
                  </w:tcBorders>
                  <w:shd w:val="clear" w:color="auto" w:fill="auto"/>
                  <w:noWrap/>
                  <w:vAlign w:val="bottom"/>
                  <w:hideMark/>
                </w:tcPr>
                <w:p w14:paraId="7F5ED9F2"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+4,7</w:t>
                  </w:r>
                </w:p>
              </w:tc>
            </w:tr>
            <w:tr w:rsidR="00FB4423" w:rsidRPr="008E35DE" w14:paraId="3EAE761E" w14:textId="77777777" w:rsidTr="0083516C">
              <w:trPr>
                <w:trHeight w:val="255"/>
              </w:trPr>
              <w:tc>
                <w:tcPr>
                  <w:tcW w:w="4071" w:type="dxa"/>
                  <w:tcBorders>
                    <w:top w:val="nil"/>
                    <w:left w:val="nil"/>
                    <w:bottom w:val="nil"/>
                    <w:right w:val="nil"/>
                  </w:tcBorders>
                  <w:shd w:val="clear" w:color="auto" w:fill="auto"/>
                  <w:noWrap/>
                  <w:vAlign w:val="bottom"/>
                  <w:hideMark/>
                </w:tcPr>
                <w:p w14:paraId="375E0C72"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Itálie</w:t>
                  </w:r>
                </w:p>
              </w:tc>
              <w:tc>
                <w:tcPr>
                  <w:tcW w:w="700" w:type="dxa"/>
                  <w:tcBorders>
                    <w:top w:val="nil"/>
                    <w:left w:val="nil"/>
                    <w:bottom w:val="nil"/>
                    <w:right w:val="nil"/>
                  </w:tcBorders>
                  <w:shd w:val="clear" w:color="auto" w:fill="auto"/>
                  <w:noWrap/>
                  <w:vAlign w:val="bottom"/>
                  <w:hideMark/>
                </w:tcPr>
                <w:p w14:paraId="2E10342D"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+3,3</w:t>
                  </w:r>
                </w:p>
              </w:tc>
            </w:tr>
            <w:tr w:rsidR="00FB4423" w:rsidRPr="008E35DE" w14:paraId="7105C81C" w14:textId="77777777" w:rsidTr="0083516C">
              <w:trPr>
                <w:trHeight w:val="255"/>
              </w:trPr>
              <w:tc>
                <w:tcPr>
                  <w:tcW w:w="4071" w:type="dxa"/>
                  <w:tcBorders>
                    <w:top w:val="nil"/>
                    <w:left w:val="nil"/>
                    <w:bottom w:val="nil"/>
                    <w:right w:val="nil"/>
                  </w:tcBorders>
                  <w:shd w:val="clear" w:color="auto" w:fill="auto"/>
                  <w:noWrap/>
                  <w:vAlign w:val="bottom"/>
                  <w:hideMark/>
                </w:tcPr>
                <w:p w14:paraId="45F63996"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Turecko</w:t>
                  </w:r>
                </w:p>
              </w:tc>
              <w:tc>
                <w:tcPr>
                  <w:tcW w:w="700" w:type="dxa"/>
                  <w:tcBorders>
                    <w:top w:val="nil"/>
                    <w:left w:val="nil"/>
                    <w:bottom w:val="nil"/>
                    <w:right w:val="nil"/>
                  </w:tcBorders>
                  <w:shd w:val="clear" w:color="auto" w:fill="auto"/>
                  <w:noWrap/>
                  <w:vAlign w:val="bottom"/>
                  <w:hideMark/>
                </w:tcPr>
                <w:p w14:paraId="120BFD6C"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+2,4</w:t>
                  </w:r>
                </w:p>
              </w:tc>
            </w:tr>
            <w:tr w:rsidR="00FB4423" w:rsidRPr="008E35DE" w14:paraId="63291C29" w14:textId="77777777" w:rsidTr="0083516C">
              <w:trPr>
                <w:trHeight w:val="255"/>
              </w:trPr>
              <w:tc>
                <w:tcPr>
                  <w:tcW w:w="4071" w:type="dxa"/>
                  <w:tcBorders>
                    <w:top w:val="nil"/>
                    <w:left w:val="nil"/>
                    <w:bottom w:val="nil"/>
                    <w:right w:val="nil"/>
                  </w:tcBorders>
                  <w:shd w:val="clear" w:color="auto" w:fill="auto"/>
                  <w:noWrap/>
                  <w:vAlign w:val="bottom"/>
                  <w:hideMark/>
                </w:tcPr>
                <w:p w14:paraId="05DADD00"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Dánsko</w:t>
                  </w:r>
                </w:p>
              </w:tc>
              <w:tc>
                <w:tcPr>
                  <w:tcW w:w="700" w:type="dxa"/>
                  <w:tcBorders>
                    <w:top w:val="nil"/>
                    <w:left w:val="nil"/>
                    <w:bottom w:val="nil"/>
                    <w:right w:val="nil"/>
                  </w:tcBorders>
                  <w:shd w:val="clear" w:color="auto" w:fill="auto"/>
                  <w:noWrap/>
                  <w:vAlign w:val="bottom"/>
                  <w:hideMark/>
                </w:tcPr>
                <w:p w14:paraId="385D022C" w14:textId="77777777" w:rsidR="00FB4423" w:rsidRPr="008E35DE" w:rsidRDefault="00FB4423" w:rsidP="0083516C">
                  <w:pPr>
                    <w:spacing w:after="0" w:line="240" w:lineRule="auto"/>
                    <w:jc w:val="right"/>
                    <w:rPr>
                      <w:rFonts w:cs="Arial"/>
                      <w:color w:val="000000"/>
                      <w:sz w:val="16"/>
                      <w:szCs w:val="16"/>
                    </w:rPr>
                  </w:pPr>
                  <w:r w:rsidRPr="008E35DE">
                    <w:rPr>
                      <w:rFonts w:cs="Arial"/>
                      <w:color w:val="000000"/>
                      <w:sz w:val="16"/>
                      <w:szCs w:val="16"/>
                    </w:rPr>
                    <w:t>+1,9</w:t>
                  </w:r>
                </w:p>
              </w:tc>
            </w:tr>
            <w:tr w:rsidR="00FB4423" w:rsidRPr="008E35DE" w14:paraId="41D37458" w14:textId="77777777" w:rsidTr="0083516C">
              <w:trPr>
                <w:trHeight w:val="255"/>
              </w:trPr>
              <w:tc>
                <w:tcPr>
                  <w:tcW w:w="4071" w:type="dxa"/>
                  <w:tcBorders>
                    <w:top w:val="nil"/>
                    <w:left w:val="nil"/>
                    <w:bottom w:val="nil"/>
                    <w:right w:val="nil"/>
                  </w:tcBorders>
                  <w:shd w:val="clear" w:color="auto" w:fill="auto"/>
                  <w:noWrap/>
                  <w:vAlign w:val="bottom"/>
                  <w:hideMark/>
                </w:tcPr>
                <w:p w14:paraId="3B2A4A5B"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Švýcarsko</w:t>
                  </w:r>
                </w:p>
              </w:tc>
              <w:tc>
                <w:tcPr>
                  <w:tcW w:w="700" w:type="dxa"/>
                  <w:tcBorders>
                    <w:top w:val="nil"/>
                    <w:left w:val="nil"/>
                    <w:bottom w:val="nil"/>
                    <w:right w:val="nil"/>
                  </w:tcBorders>
                  <w:shd w:val="clear" w:color="auto" w:fill="auto"/>
                  <w:noWrap/>
                  <w:vAlign w:val="bottom"/>
                  <w:hideMark/>
                </w:tcPr>
                <w:p w14:paraId="60734964"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2,0</w:t>
                  </w:r>
                </w:p>
              </w:tc>
            </w:tr>
            <w:tr w:rsidR="00FB4423" w:rsidRPr="008E35DE" w14:paraId="3B21DF92" w14:textId="77777777" w:rsidTr="0083516C">
              <w:trPr>
                <w:trHeight w:val="255"/>
              </w:trPr>
              <w:tc>
                <w:tcPr>
                  <w:tcW w:w="4071" w:type="dxa"/>
                  <w:tcBorders>
                    <w:top w:val="nil"/>
                    <w:left w:val="nil"/>
                    <w:bottom w:val="nil"/>
                    <w:right w:val="nil"/>
                  </w:tcBorders>
                  <w:shd w:val="clear" w:color="auto" w:fill="auto"/>
                  <w:noWrap/>
                  <w:vAlign w:val="bottom"/>
                  <w:hideMark/>
                </w:tcPr>
                <w:p w14:paraId="682326D6"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Tchaj-wan</w:t>
                  </w:r>
                </w:p>
              </w:tc>
              <w:tc>
                <w:tcPr>
                  <w:tcW w:w="700" w:type="dxa"/>
                  <w:tcBorders>
                    <w:top w:val="nil"/>
                    <w:left w:val="nil"/>
                    <w:bottom w:val="nil"/>
                    <w:right w:val="nil"/>
                  </w:tcBorders>
                  <w:shd w:val="clear" w:color="auto" w:fill="auto"/>
                  <w:noWrap/>
                  <w:vAlign w:val="bottom"/>
                  <w:hideMark/>
                </w:tcPr>
                <w:p w14:paraId="2795DBE6"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2,3</w:t>
                  </w:r>
                </w:p>
              </w:tc>
            </w:tr>
            <w:tr w:rsidR="00FB4423" w:rsidRPr="008E35DE" w14:paraId="001D1359" w14:textId="77777777" w:rsidTr="0083516C">
              <w:trPr>
                <w:trHeight w:val="255"/>
              </w:trPr>
              <w:tc>
                <w:tcPr>
                  <w:tcW w:w="4071" w:type="dxa"/>
                  <w:tcBorders>
                    <w:top w:val="nil"/>
                    <w:left w:val="nil"/>
                    <w:bottom w:val="nil"/>
                    <w:right w:val="nil"/>
                  </w:tcBorders>
                  <w:shd w:val="clear" w:color="auto" w:fill="auto"/>
                  <w:noWrap/>
                  <w:vAlign w:val="bottom"/>
                  <w:hideMark/>
                </w:tcPr>
                <w:p w14:paraId="1D8AB5CA"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Ázerbájdžán</w:t>
                  </w:r>
                </w:p>
              </w:tc>
              <w:tc>
                <w:tcPr>
                  <w:tcW w:w="700" w:type="dxa"/>
                  <w:tcBorders>
                    <w:top w:val="nil"/>
                    <w:left w:val="nil"/>
                    <w:bottom w:val="nil"/>
                    <w:right w:val="nil"/>
                  </w:tcBorders>
                  <w:shd w:val="clear" w:color="auto" w:fill="auto"/>
                  <w:noWrap/>
                  <w:vAlign w:val="bottom"/>
                  <w:hideMark/>
                </w:tcPr>
                <w:p w14:paraId="6D6CC060"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2,8</w:t>
                  </w:r>
                </w:p>
              </w:tc>
            </w:tr>
            <w:tr w:rsidR="00FB4423" w:rsidRPr="008E35DE" w14:paraId="2D4F38B0" w14:textId="77777777" w:rsidTr="0083516C">
              <w:trPr>
                <w:trHeight w:val="255"/>
              </w:trPr>
              <w:tc>
                <w:tcPr>
                  <w:tcW w:w="4071" w:type="dxa"/>
                  <w:tcBorders>
                    <w:top w:val="nil"/>
                    <w:left w:val="nil"/>
                    <w:bottom w:val="nil"/>
                    <w:right w:val="nil"/>
                  </w:tcBorders>
                  <w:shd w:val="clear" w:color="auto" w:fill="auto"/>
                  <w:noWrap/>
                  <w:vAlign w:val="bottom"/>
                  <w:hideMark/>
                </w:tcPr>
                <w:p w14:paraId="767BE32B"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Španělsko</w:t>
                  </w:r>
                </w:p>
              </w:tc>
              <w:tc>
                <w:tcPr>
                  <w:tcW w:w="700" w:type="dxa"/>
                  <w:tcBorders>
                    <w:top w:val="nil"/>
                    <w:left w:val="nil"/>
                    <w:bottom w:val="nil"/>
                    <w:right w:val="nil"/>
                  </w:tcBorders>
                  <w:shd w:val="clear" w:color="auto" w:fill="auto"/>
                  <w:noWrap/>
                  <w:vAlign w:val="bottom"/>
                  <w:hideMark/>
                </w:tcPr>
                <w:p w14:paraId="09C6DE6A"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3,9</w:t>
                  </w:r>
                </w:p>
              </w:tc>
            </w:tr>
            <w:tr w:rsidR="00FB4423" w:rsidRPr="008E35DE" w14:paraId="4F2C7E9A" w14:textId="77777777" w:rsidTr="0083516C">
              <w:trPr>
                <w:trHeight w:val="255"/>
              </w:trPr>
              <w:tc>
                <w:tcPr>
                  <w:tcW w:w="4071" w:type="dxa"/>
                  <w:tcBorders>
                    <w:top w:val="nil"/>
                    <w:left w:val="nil"/>
                    <w:bottom w:val="nil"/>
                    <w:right w:val="nil"/>
                  </w:tcBorders>
                  <w:shd w:val="clear" w:color="auto" w:fill="auto"/>
                  <w:noWrap/>
                  <w:vAlign w:val="bottom"/>
                  <w:hideMark/>
                </w:tcPr>
                <w:p w14:paraId="533E89E9"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Polsko</w:t>
                  </w:r>
                </w:p>
              </w:tc>
              <w:tc>
                <w:tcPr>
                  <w:tcW w:w="700" w:type="dxa"/>
                  <w:tcBorders>
                    <w:top w:val="nil"/>
                    <w:left w:val="nil"/>
                    <w:bottom w:val="nil"/>
                    <w:right w:val="nil"/>
                  </w:tcBorders>
                  <w:shd w:val="clear" w:color="auto" w:fill="auto"/>
                  <w:noWrap/>
                  <w:vAlign w:val="bottom"/>
                  <w:hideMark/>
                </w:tcPr>
                <w:p w14:paraId="213D7E8C"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11,7</w:t>
                  </w:r>
                </w:p>
              </w:tc>
            </w:tr>
            <w:tr w:rsidR="00FB4423" w:rsidRPr="008E35DE" w14:paraId="4BA79D35" w14:textId="77777777" w:rsidTr="0083516C">
              <w:trPr>
                <w:trHeight w:val="255"/>
              </w:trPr>
              <w:tc>
                <w:tcPr>
                  <w:tcW w:w="4071" w:type="dxa"/>
                  <w:tcBorders>
                    <w:top w:val="nil"/>
                    <w:left w:val="nil"/>
                    <w:bottom w:val="nil"/>
                    <w:right w:val="nil"/>
                  </w:tcBorders>
                  <w:shd w:val="clear" w:color="auto" w:fill="auto"/>
                  <w:noWrap/>
                  <w:vAlign w:val="bottom"/>
                  <w:hideMark/>
                </w:tcPr>
                <w:p w14:paraId="7901A731" w14:textId="77777777" w:rsidR="00FB4423" w:rsidRPr="008E35DE" w:rsidRDefault="00FB4423" w:rsidP="0083516C">
                  <w:pPr>
                    <w:spacing w:after="0" w:line="240" w:lineRule="auto"/>
                    <w:jc w:val="left"/>
                    <w:rPr>
                      <w:rFonts w:cs="Arial"/>
                      <w:color w:val="000000"/>
                      <w:sz w:val="16"/>
                      <w:szCs w:val="16"/>
                    </w:rPr>
                  </w:pPr>
                  <w:r w:rsidRPr="008E35DE">
                    <w:rPr>
                      <w:rFonts w:cs="Arial"/>
                      <w:color w:val="000000"/>
                      <w:sz w:val="16"/>
                      <w:szCs w:val="16"/>
                    </w:rPr>
                    <w:t>Čína</w:t>
                  </w:r>
                </w:p>
              </w:tc>
              <w:tc>
                <w:tcPr>
                  <w:tcW w:w="700" w:type="dxa"/>
                  <w:tcBorders>
                    <w:top w:val="nil"/>
                    <w:left w:val="nil"/>
                    <w:bottom w:val="nil"/>
                    <w:right w:val="nil"/>
                  </w:tcBorders>
                  <w:shd w:val="clear" w:color="auto" w:fill="auto"/>
                  <w:noWrap/>
                  <w:vAlign w:val="bottom"/>
                  <w:hideMark/>
                </w:tcPr>
                <w:p w14:paraId="4F780D6B" w14:textId="77777777" w:rsidR="00FB4423" w:rsidRPr="008E35DE" w:rsidRDefault="00FB4423" w:rsidP="0083516C">
                  <w:pPr>
                    <w:spacing w:after="0" w:line="240" w:lineRule="auto"/>
                    <w:jc w:val="right"/>
                    <w:rPr>
                      <w:rFonts w:cs="Arial"/>
                      <w:color w:val="000000"/>
                      <w:sz w:val="16"/>
                      <w:szCs w:val="16"/>
                    </w:rPr>
                  </w:pPr>
                  <w:r>
                    <w:rPr>
                      <w:rFonts w:cs="Arial"/>
                      <w:color w:val="000000"/>
                      <w:sz w:val="16"/>
                      <w:szCs w:val="16"/>
                    </w:rPr>
                    <w:t>−</w:t>
                  </w:r>
                  <w:r w:rsidRPr="008E35DE">
                    <w:rPr>
                      <w:rFonts w:cs="Arial"/>
                      <w:color w:val="000000"/>
                      <w:sz w:val="16"/>
                      <w:szCs w:val="16"/>
                    </w:rPr>
                    <w:t>16,3</w:t>
                  </w:r>
                </w:p>
              </w:tc>
            </w:tr>
          </w:tbl>
          <w:p w14:paraId="7846E433" w14:textId="77777777" w:rsidR="00FB4423" w:rsidRDefault="00FB4423" w:rsidP="0083516C">
            <w:pPr>
              <w:spacing w:after="0"/>
              <w:rPr>
                <w:spacing w:val="-4"/>
                <w:lang w:eastAsia="en-US"/>
              </w:rPr>
            </w:pPr>
          </w:p>
        </w:tc>
      </w:tr>
      <w:tr w:rsidR="00FB4423" w14:paraId="4C2E704F" w14:textId="77777777" w:rsidTr="0083516C">
        <w:trPr>
          <w:trHeight w:val="170"/>
        </w:trPr>
        <w:tc>
          <w:tcPr>
            <w:tcW w:w="4811" w:type="dxa"/>
            <w:gridSpan w:val="3"/>
            <w:hideMark/>
          </w:tcPr>
          <w:p w14:paraId="6311BA49" w14:textId="77777777" w:rsidR="00FB4423" w:rsidRDefault="00FB4423" w:rsidP="0083516C">
            <w:pPr>
              <w:jc w:val="right"/>
              <w:rPr>
                <w:spacing w:val="-4"/>
                <w:sz w:val="16"/>
                <w:szCs w:val="16"/>
                <w:lang w:eastAsia="en-US"/>
              </w:rPr>
            </w:pPr>
            <w:r>
              <w:rPr>
                <w:spacing w:val="-4"/>
                <w:sz w:val="16"/>
                <w:szCs w:val="16"/>
                <w:lang w:eastAsia="en-US"/>
              </w:rPr>
              <w:t>Zdroj: ČSÚ</w:t>
            </w:r>
          </w:p>
        </w:tc>
        <w:tc>
          <w:tcPr>
            <w:tcW w:w="57" w:type="dxa"/>
          </w:tcPr>
          <w:p w14:paraId="3A245B89" w14:textId="77777777" w:rsidR="00FB4423" w:rsidRDefault="00FB4423" w:rsidP="0083516C">
            <w:pPr>
              <w:spacing w:after="0"/>
              <w:rPr>
                <w:spacing w:val="-4"/>
                <w:lang w:eastAsia="en-US"/>
              </w:rPr>
            </w:pPr>
          </w:p>
        </w:tc>
        <w:tc>
          <w:tcPr>
            <w:tcW w:w="4809" w:type="dxa"/>
            <w:hideMark/>
          </w:tcPr>
          <w:p w14:paraId="1FD86885" w14:textId="77777777" w:rsidR="00FB4423" w:rsidRDefault="00FB4423" w:rsidP="0083516C">
            <w:pPr>
              <w:spacing w:after="0"/>
              <w:jc w:val="right"/>
              <w:rPr>
                <w:spacing w:val="-4"/>
                <w:lang w:eastAsia="en-US"/>
              </w:rPr>
            </w:pPr>
            <w:r>
              <w:rPr>
                <w:spacing w:val="-4"/>
                <w:sz w:val="16"/>
                <w:szCs w:val="16"/>
                <w:lang w:eastAsia="en-US"/>
              </w:rPr>
              <w:t>Zdroj: ČSÚ</w:t>
            </w:r>
          </w:p>
        </w:tc>
      </w:tr>
      <w:tr w:rsidR="00FB4423" w14:paraId="66528B87" w14:textId="77777777" w:rsidTr="0083516C">
        <w:trPr>
          <w:trHeight w:val="150"/>
        </w:trPr>
        <w:tc>
          <w:tcPr>
            <w:tcW w:w="1748" w:type="dxa"/>
          </w:tcPr>
          <w:p w14:paraId="2C97772B" w14:textId="77777777" w:rsidR="00FB4423" w:rsidRDefault="00FB4423" w:rsidP="0083516C">
            <w:pPr>
              <w:pStyle w:val="Marginlie"/>
              <w:rPr>
                <w:lang w:eastAsia="en-US"/>
              </w:rPr>
            </w:pPr>
            <w:r>
              <w:rPr>
                <w:lang w:eastAsia="en-US"/>
              </w:rPr>
              <w:t>Ke zlepšení bilance nejvíce přispíval obchod s motorovými vozidly.</w:t>
            </w:r>
          </w:p>
        </w:tc>
        <w:tc>
          <w:tcPr>
            <w:tcW w:w="252" w:type="dxa"/>
          </w:tcPr>
          <w:p w14:paraId="49C378BF" w14:textId="77777777" w:rsidR="00FB4423" w:rsidRDefault="00FB4423" w:rsidP="0083516C">
            <w:pPr>
              <w:pStyle w:val="Textpoznpodarou"/>
              <w:jc w:val="both"/>
              <w:rPr>
                <w:spacing w:val="-4"/>
                <w:lang w:eastAsia="en-US"/>
              </w:rPr>
            </w:pPr>
          </w:p>
        </w:tc>
        <w:tc>
          <w:tcPr>
            <w:tcW w:w="7677" w:type="dxa"/>
            <w:gridSpan w:val="3"/>
          </w:tcPr>
          <w:p w14:paraId="6AFC2634" w14:textId="77777777" w:rsidR="00FB4423" w:rsidRDefault="00FB4423" w:rsidP="0083516C">
            <w:pPr>
              <w:rPr>
                <w:spacing w:val="-4"/>
                <w:lang w:eastAsia="en-US"/>
              </w:rPr>
            </w:pPr>
            <w:r>
              <w:rPr>
                <w:spacing w:val="-4"/>
                <w:lang w:eastAsia="en-US"/>
              </w:rPr>
              <w:t>V kumulaci od začátku roku se nejvíce zlepšila bilance zahraničního obchodu s motorovými vozidly (+57,0 mld. korun), elektrickými zařízeními (+31,8 mld.) a ropou a zemním plynem (+14,6 mld.). Naopak ve směru zhoršení bilance v tomto období nejvýrazněji působil obchod s koksem a rafinovanými ropnými produkty (−17,1 mld. korun). Ve 3. čtvrtletí mírně přibylo druhů zboží, u kterých bylo zaznamenáno meziroční zhoršení bilance, převážilo ale výrazné zlepšení přebytku obchodu s motorovými vozidly a také počítači, elektronickými a optickými přístroji a zařízeními (viz Tabulka č. 5). U dalších výrobků bylo meziroční zlepšení bilance mírnější – to platí pro ropu a zemní plyn, rudy nebo pryžové a plastové výrobky. Ve směru meziročního zhoršení bilance působil nejvíce obchod se základními kovy a dále koks a rafinované ropné produkty, chemické látky a přípravky nebo základní farmaceutické výrobky a přípravky.</w:t>
            </w:r>
          </w:p>
        </w:tc>
      </w:tr>
      <w:bookmarkEnd w:id="21"/>
      <w:bookmarkEnd w:id="22"/>
      <w:bookmarkEnd w:id="23"/>
    </w:tbl>
    <w:p w14:paraId="07BFB6F4" w14:textId="77777777" w:rsidR="00FB4423" w:rsidRDefault="00FB4423" w:rsidP="00FB4423">
      <w:pPr>
        <w:spacing w:after="0" w:line="240" w:lineRule="auto"/>
        <w:jc w:val="left"/>
        <w:rPr>
          <w:rFonts w:eastAsia="MS Gothic"/>
          <w:bCs/>
          <w:color w:val="71818C"/>
          <w:sz w:val="2"/>
          <w:szCs w:val="2"/>
        </w:rPr>
      </w:pPr>
    </w:p>
    <w:p w14:paraId="028976B7" w14:textId="77777777" w:rsidR="00FB4423" w:rsidRDefault="00FB4423">
      <w:pPr>
        <w:spacing w:after="0" w:line="240" w:lineRule="auto"/>
        <w:jc w:val="left"/>
        <w:rPr>
          <w:rFonts w:eastAsia="MS Gothic"/>
          <w:b/>
          <w:bCs/>
          <w:color w:val="86BF5E"/>
          <w:sz w:val="32"/>
          <w:szCs w:val="28"/>
        </w:rPr>
      </w:pPr>
      <w:r>
        <w:br w:type="page"/>
      </w:r>
    </w:p>
    <w:p w14:paraId="7935EB8E" w14:textId="71E8942D" w:rsidR="00FD66F9" w:rsidRDefault="00FD66F9" w:rsidP="00FD66F9">
      <w:pPr>
        <w:pStyle w:val="Nadpis1"/>
      </w:pPr>
      <w:bookmarkStart w:id="24" w:name="_Toc185241005"/>
      <w:r>
        <w:lastRenderedPageBreak/>
        <w:t>5. Ceny</w:t>
      </w:r>
      <w:bookmarkEnd w:id="17"/>
      <w:bookmarkEnd w:id="24"/>
      <w:r>
        <w:t xml:space="preserve"> </w:t>
      </w:r>
    </w:p>
    <w:tbl>
      <w:tblPr>
        <w:tblW w:w="9639" w:type="dxa"/>
        <w:tblInd w:w="-15" w:type="dxa"/>
        <w:tblCellMar>
          <w:left w:w="0" w:type="dxa"/>
          <w:right w:w="0" w:type="dxa"/>
        </w:tblCellMar>
        <w:tblLook w:val="00A0" w:firstRow="1" w:lastRow="0" w:firstColumn="1" w:lastColumn="0" w:noHBand="0" w:noVBand="0"/>
      </w:tblPr>
      <w:tblGrid>
        <w:gridCol w:w="1791"/>
        <w:gridCol w:w="223"/>
        <w:gridCol w:w="7625"/>
      </w:tblGrid>
      <w:tr w:rsidR="00FD66F9" w14:paraId="60D6BA9B" w14:textId="77777777" w:rsidTr="00102C41">
        <w:trPr>
          <w:trHeight w:val="145"/>
        </w:trPr>
        <w:tc>
          <w:tcPr>
            <w:tcW w:w="1791" w:type="dxa"/>
            <w:hideMark/>
          </w:tcPr>
          <w:p w14:paraId="249A9050" w14:textId="77777777" w:rsidR="00FD66F9" w:rsidRDefault="00FD66F9" w:rsidP="00102C41">
            <w:pPr>
              <w:pStyle w:val="Marginlie"/>
              <w:rPr>
                <w:spacing w:val="0"/>
                <w:lang w:eastAsia="en-US"/>
              </w:rPr>
            </w:pPr>
            <w:r>
              <w:rPr>
                <w:spacing w:val="0"/>
                <w:lang w:eastAsia="en-US"/>
              </w:rPr>
              <w:t>Růst celkové cenové hladiny ve 3. čtvrtletí zpomalil.</w:t>
            </w:r>
          </w:p>
        </w:tc>
        <w:tc>
          <w:tcPr>
            <w:tcW w:w="223" w:type="dxa"/>
          </w:tcPr>
          <w:p w14:paraId="589F0BED" w14:textId="77777777" w:rsidR="00FD66F9" w:rsidRDefault="00FD66F9" w:rsidP="00102C41">
            <w:pPr>
              <w:pStyle w:val="Textpoznpodarou1"/>
              <w:jc w:val="both"/>
              <w:rPr>
                <w:lang w:eastAsia="en-US"/>
              </w:rPr>
            </w:pPr>
          </w:p>
        </w:tc>
        <w:tc>
          <w:tcPr>
            <w:tcW w:w="7625" w:type="dxa"/>
            <w:hideMark/>
          </w:tcPr>
          <w:p w14:paraId="68996C25" w14:textId="77777777" w:rsidR="00FD66F9" w:rsidRDefault="00FD66F9" w:rsidP="00102C41">
            <w:pPr>
              <w:rPr>
                <w:szCs w:val="20"/>
                <w:lang w:eastAsia="en-US"/>
              </w:rPr>
            </w:pPr>
            <w:r>
              <w:rPr>
                <w:szCs w:val="20"/>
                <w:lang w:eastAsia="en-US"/>
              </w:rPr>
              <w:t>Celkový meziroční růst cenové hladiny (podle deflátoru HDP) ve 3. čtvrtletí zpomalil na 3,9 %. Mírně zrychlil meziroční přírůstek cen spotřeby (3,3 %), za čímž stály zejména ceny vládní spotřeby (4,1 %), zatímco cenová hladina spotřeby domácností rostla mírněji než v předchozím kvartálu (2,9 %). Mírnější byl meziroční přírůstek cen kapitálových statků (2,6 %), ačkoli dynamika samotných cen investic posílila na 1,9 %. Meziroční směnné relace zahraničního obchodu se zbožím a službami oslabily ve 3. čtvrtletí na 101,1 %. Směnné relace obchodu se zbožím dosáhly 100,9 %, zatímco u obchodu se službami to bylo 102,2 %. Mezičtvrtletně se celková cenová hladina zvýšila o 0,4 %. Cenová hladina u spotřeby byla vyšší o 1,0 %, u kapitálových výdajů o 0,5 % a mezičtvrtletní směnné relace dosáhly 99,4 %.</w:t>
            </w:r>
          </w:p>
        </w:tc>
      </w:tr>
      <w:tr w:rsidR="00FD66F9" w14:paraId="57CE4D33" w14:textId="77777777" w:rsidTr="00102C41">
        <w:trPr>
          <w:trHeight w:val="145"/>
        </w:trPr>
        <w:tc>
          <w:tcPr>
            <w:tcW w:w="1791" w:type="dxa"/>
            <w:hideMark/>
          </w:tcPr>
          <w:p w14:paraId="28C1AD1E" w14:textId="77777777" w:rsidR="00FD66F9" w:rsidRDefault="00FD66F9" w:rsidP="00102C41">
            <w:pPr>
              <w:pStyle w:val="Marginlie"/>
              <w:rPr>
                <w:spacing w:val="0"/>
                <w:lang w:eastAsia="en-US"/>
              </w:rPr>
            </w:pPr>
            <w:r>
              <w:rPr>
                <w:spacing w:val="0"/>
                <w:lang w:eastAsia="en-US"/>
              </w:rPr>
              <w:t>Meziroční růst spotřebitelských cen mírně zpomalil.</w:t>
            </w:r>
          </w:p>
        </w:tc>
        <w:tc>
          <w:tcPr>
            <w:tcW w:w="223" w:type="dxa"/>
          </w:tcPr>
          <w:p w14:paraId="291B2573" w14:textId="77777777" w:rsidR="00FD66F9" w:rsidRDefault="00FD66F9" w:rsidP="00102C41">
            <w:pPr>
              <w:pStyle w:val="Textpoznpodarou1"/>
              <w:jc w:val="both"/>
              <w:rPr>
                <w:lang w:eastAsia="en-US"/>
              </w:rPr>
            </w:pPr>
          </w:p>
        </w:tc>
        <w:tc>
          <w:tcPr>
            <w:tcW w:w="7625" w:type="dxa"/>
            <w:hideMark/>
          </w:tcPr>
          <w:p w14:paraId="1178868B" w14:textId="77777777" w:rsidR="00FD66F9" w:rsidRDefault="00FD66F9" w:rsidP="00102C41">
            <w:pPr>
              <w:rPr>
                <w:lang w:eastAsia="en-US"/>
              </w:rPr>
            </w:pPr>
            <w:r>
              <w:rPr>
                <w:lang w:eastAsia="en-US"/>
              </w:rPr>
              <w:t>Meziroční přírůstek spotřebitelských cen ve 3. čtvrtletí 2024 mírně zpomalil oproti 2. kvartálu (2,5 %) a dosáhl 2,3 %. Nejvíce se na celkovém zmírnění přírůstku projevil nižší růst cen dopravy. Mírnější meziroční dynamiku ve srovnání se 2. čtvrtletím měly i ceny alkoholických nápojů a tabáku a odívání a obuvi. Naopak u cen potravin a nealkoholických nápojů se meziroční pokles výrazně zmírnil, což následně působilo proti zpomalení celkového růstu spotřebitelských cen. Celkově nejvíce k růstu cen přispíval vývoj v oddíle bydlení, voda, energie a paliva, kde zůstává dynamika stabilní, a dále ceny stravování a ubytování a alkoholických nápojů a tabáku. Jediný oddíl spotřebního koše, kde ceny meziročně klesaly, byly potraviny a nealkoholické nápoje. Mezičtvrtletně se index spotřebitelských cen ve 3. čtvrtletí zvýšil o 0,5 %, což je mírnější přírůstek než v předchozím kvartálu.</w:t>
            </w:r>
          </w:p>
        </w:tc>
      </w:tr>
      <w:tr w:rsidR="00FD66F9" w14:paraId="61CA5A5F" w14:textId="77777777" w:rsidTr="00102C41">
        <w:trPr>
          <w:trHeight w:val="145"/>
        </w:trPr>
        <w:tc>
          <w:tcPr>
            <w:tcW w:w="1791" w:type="dxa"/>
          </w:tcPr>
          <w:p w14:paraId="20747B0A" w14:textId="77777777" w:rsidR="00FD66F9" w:rsidRDefault="00FD66F9" w:rsidP="00102C41">
            <w:pPr>
              <w:pStyle w:val="Marginlie"/>
              <w:rPr>
                <w:spacing w:val="0"/>
                <w:lang w:eastAsia="en-US"/>
              </w:rPr>
            </w:pPr>
          </w:p>
        </w:tc>
        <w:tc>
          <w:tcPr>
            <w:tcW w:w="223" w:type="dxa"/>
          </w:tcPr>
          <w:p w14:paraId="2FA0FC7C" w14:textId="77777777" w:rsidR="00FD66F9" w:rsidRDefault="00FD66F9" w:rsidP="00102C41">
            <w:pPr>
              <w:pStyle w:val="Textpoznpodarou1"/>
              <w:jc w:val="both"/>
              <w:rPr>
                <w:lang w:eastAsia="en-US"/>
              </w:rPr>
            </w:pPr>
          </w:p>
        </w:tc>
        <w:tc>
          <w:tcPr>
            <w:tcW w:w="7625" w:type="dxa"/>
            <w:hideMark/>
          </w:tcPr>
          <w:p w14:paraId="4E02F052" w14:textId="77777777" w:rsidR="00FD66F9" w:rsidRDefault="00FD66F9" w:rsidP="00102C41">
            <w:pPr>
              <w:spacing w:after="0"/>
              <w:rPr>
                <w:lang w:eastAsia="en-US"/>
              </w:rPr>
            </w:pPr>
            <w:r>
              <w:rPr>
                <w:rFonts w:cs="Arial"/>
                <w:b/>
                <w:bCs/>
                <w:color w:val="000000"/>
                <w:sz w:val="18"/>
                <w:szCs w:val="18"/>
                <w:lang w:eastAsia="en-US"/>
              </w:rPr>
              <w:t>Graf č. 10 Ceny ve vybraných oddílech indexu spotřebitelských cen</w:t>
            </w:r>
            <w:r>
              <w:rPr>
                <w:rFonts w:cs="Arial"/>
                <w:b/>
                <w:color w:val="000000"/>
                <w:sz w:val="18"/>
                <w:szCs w:val="18"/>
                <w:lang w:eastAsia="en-US"/>
              </w:rPr>
              <w:t xml:space="preserve"> </w:t>
            </w:r>
            <w:r>
              <w:rPr>
                <w:rFonts w:cs="Arial"/>
                <w:color w:val="000000"/>
                <w:sz w:val="18"/>
                <w:szCs w:val="18"/>
                <w:lang w:eastAsia="en-US"/>
              </w:rPr>
              <w:t>(meziročně v %)</w:t>
            </w:r>
          </w:p>
        </w:tc>
      </w:tr>
      <w:tr w:rsidR="00FD66F9" w14:paraId="0F54135A" w14:textId="77777777" w:rsidTr="00102C41">
        <w:tblPrEx>
          <w:tblCellMar>
            <w:left w:w="70" w:type="dxa"/>
            <w:right w:w="70" w:type="dxa"/>
          </w:tblCellMar>
        </w:tblPrEx>
        <w:trPr>
          <w:trHeight w:val="145"/>
        </w:trPr>
        <w:tc>
          <w:tcPr>
            <w:tcW w:w="1791" w:type="dxa"/>
          </w:tcPr>
          <w:p w14:paraId="2AF9CD86" w14:textId="77777777" w:rsidR="00FD66F9" w:rsidRDefault="00FD66F9" w:rsidP="00102C41">
            <w:pPr>
              <w:pStyle w:val="Marginlie"/>
              <w:rPr>
                <w:spacing w:val="0"/>
                <w:lang w:eastAsia="en-US"/>
              </w:rPr>
            </w:pPr>
          </w:p>
        </w:tc>
        <w:tc>
          <w:tcPr>
            <w:tcW w:w="223" w:type="dxa"/>
          </w:tcPr>
          <w:p w14:paraId="4C4E4D71" w14:textId="77777777" w:rsidR="00FD66F9" w:rsidRDefault="00FD66F9" w:rsidP="00102C41">
            <w:pPr>
              <w:pStyle w:val="Textpoznpodarou1"/>
              <w:jc w:val="both"/>
              <w:rPr>
                <w:lang w:eastAsia="en-US"/>
              </w:rPr>
            </w:pPr>
          </w:p>
        </w:tc>
        <w:tc>
          <w:tcPr>
            <w:tcW w:w="7625" w:type="dxa"/>
            <w:hideMark/>
          </w:tcPr>
          <w:p w14:paraId="72FDD7FE" w14:textId="77777777" w:rsidR="00FD66F9" w:rsidRDefault="00FD66F9" w:rsidP="00102C41">
            <w:pPr>
              <w:spacing w:after="0"/>
              <w:jc w:val="center"/>
              <w:rPr>
                <w:lang w:eastAsia="en-US"/>
              </w:rPr>
            </w:pPr>
            <w:r>
              <w:rPr>
                <w:noProof/>
              </w:rPr>
              <w:drawing>
                <wp:inline distT="0" distB="0" distL="0" distR="0" wp14:anchorId="769E15E8" wp14:editId="29BB6662">
                  <wp:extent cx="4752000" cy="3553200"/>
                  <wp:effectExtent l="0" t="0" r="0" b="0"/>
                  <wp:docPr id="32" name="Graf 32">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FD66F9" w14:paraId="4AC74EAF" w14:textId="77777777" w:rsidTr="00102C41">
        <w:trPr>
          <w:trHeight w:val="145"/>
        </w:trPr>
        <w:tc>
          <w:tcPr>
            <w:tcW w:w="1791" w:type="dxa"/>
          </w:tcPr>
          <w:p w14:paraId="277722B6" w14:textId="77777777" w:rsidR="00FD66F9" w:rsidRDefault="00FD66F9" w:rsidP="00102C41">
            <w:pPr>
              <w:pStyle w:val="Marginlie"/>
              <w:rPr>
                <w:spacing w:val="0"/>
                <w:lang w:eastAsia="en-US"/>
              </w:rPr>
            </w:pPr>
          </w:p>
        </w:tc>
        <w:tc>
          <w:tcPr>
            <w:tcW w:w="223" w:type="dxa"/>
          </w:tcPr>
          <w:p w14:paraId="207B70BE" w14:textId="77777777" w:rsidR="00FD66F9" w:rsidRDefault="00FD66F9" w:rsidP="00102C41">
            <w:pPr>
              <w:pStyle w:val="Textpoznpodarou1"/>
              <w:jc w:val="both"/>
              <w:rPr>
                <w:lang w:eastAsia="en-US"/>
              </w:rPr>
            </w:pPr>
          </w:p>
        </w:tc>
        <w:tc>
          <w:tcPr>
            <w:tcW w:w="7625" w:type="dxa"/>
            <w:hideMark/>
          </w:tcPr>
          <w:p w14:paraId="3AA0ED95" w14:textId="77777777" w:rsidR="00FD66F9" w:rsidRDefault="00FD66F9" w:rsidP="00102C41">
            <w:pPr>
              <w:jc w:val="right"/>
              <w:rPr>
                <w:sz w:val="16"/>
                <w:szCs w:val="16"/>
                <w:lang w:eastAsia="en-US"/>
              </w:rPr>
            </w:pPr>
            <w:r>
              <w:rPr>
                <w:sz w:val="16"/>
                <w:szCs w:val="16"/>
                <w:lang w:eastAsia="en-US"/>
              </w:rPr>
              <w:t>Zdroj: ČSÚ</w:t>
            </w:r>
          </w:p>
        </w:tc>
      </w:tr>
      <w:tr w:rsidR="00FD66F9" w14:paraId="2049AE2D" w14:textId="77777777" w:rsidTr="00102C41">
        <w:trPr>
          <w:trHeight w:val="145"/>
        </w:trPr>
        <w:tc>
          <w:tcPr>
            <w:tcW w:w="1791" w:type="dxa"/>
            <w:hideMark/>
          </w:tcPr>
          <w:p w14:paraId="5B227C72" w14:textId="77777777" w:rsidR="00FD66F9" w:rsidRDefault="00FD66F9" w:rsidP="00102C41">
            <w:pPr>
              <w:pStyle w:val="Marginlie"/>
              <w:rPr>
                <w:spacing w:val="0"/>
                <w:lang w:eastAsia="en-US"/>
              </w:rPr>
            </w:pPr>
            <w:r>
              <w:rPr>
                <w:spacing w:val="0"/>
                <w:lang w:eastAsia="en-US"/>
              </w:rPr>
              <w:t>K meziročnímu růstu nejvíce přispívaly ceny bydlení a energií.</w:t>
            </w:r>
          </w:p>
        </w:tc>
        <w:tc>
          <w:tcPr>
            <w:tcW w:w="223" w:type="dxa"/>
          </w:tcPr>
          <w:p w14:paraId="550CF854" w14:textId="77777777" w:rsidR="00FD66F9" w:rsidRDefault="00FD66F9" w:rsidP="00102C41">
            <w:pPr>
              <w:pStyle w:val="Textpoznpodarou1"/>
              <w:jc w:val="both"/>
              <w:rPr>
                <w:lang w:eastAsia="en-US"/>
              </w:rPr>
            </w:pPr>
          </w:p>
        </w:tc>
        <w:tc>
          <w:tcPr>
            <w:tcW w:w="7625" w:type="dxa"/>
            <w:hideMark/>
          </w:tcPr>
          <w:p w14:paraId="6D9FA354" w14:textId="77777777" w:rsidR="00FD66F9" w:rsidRDefault="00FD66F9" w:rsidP="00102C41">
            <w:pPr>
              <w:rPr>
                <w:lang w:eastAsia="en-US"/>
              </w:rPr>
            </w:pPr>
            <w:r>
              <w:rPr>
                <w:lang w:eastAsia="en-US"/>
              </w:rPr>
              <w:t xml:space="preserve">Vývoj cen bydlení a energií zůstává letos stabilní stejně jako jejich příspěvek k celkovému meziročnímu růstu spotřebitelských cen. Ve 3. čtvrtletí zde ceny meziročně vzrostly o 3,2 % a mezičtvrtletně se zvýšily o 0,5 %. V rámci oddílu zůstal největší meziroční přírůstek cen ostatních služeb souvisejících s bydlením (8,8 %), zatímco růst cen nájemného z bytu (6,6 %), běžné údržby a drobných oprav (4,4 %) </w:t>
            </w:r>
            <w:r>
              <w:rPr>
                <w:lang w:eastAsia="en-US"/>
              </w:rPr>
              <w:lastRenderedPageBreak/>
              <w:t>i elektrické a tepelné energie (3,5 %) mírně oslaboval. Imputované nájemné</w:t>
            </w:r>
            <w:r>
              <w:rPr>
                <w:rStyle w:val="Znakapoznpodarou"/>
                <w:lang w:eastAsia="en-US"/>
              </w:rPr>
              <w:footnoteReference w:id="57"/>
            </w:r>
            <w:r>
              <w:rPr>
                <w:lang w:eastAsia="en-US"/>
              </w:rPr>
              <w:t xml:space="preserve"> se ve 3. čtvrtletí meziročně zvýšilo o 1,2 % a růst tak mírně posílil.</w:t>
            </w:r>
          </w:p>
        </w:tc>
      </w:tr>
      <w:tr w:rsidR="00FD66F9" w14:paraId="2170BBFA" w14:textId="77777777" w:rsidTr="00102C41">
        <w:trPr>
          <w:trHeight w:val="145"/>
        </w:trPr>
        <w:tc>
          <w:tcPr>
            <w:tcW w:w="1791" w:type="dxa"/>
          </w:tcPr>
          <w:p w14:paraId="45ABB41D" w14:textId="77777777" w:rsidR="00FD66F9" w:rsidRDefault="00FD66F9" w:rsidP="00102C41">
            <w:pPr>
              <w:pStyle w:val="Marginlie"/>
              <w:rPr>
                <w:spacing w:val="0"/>
                <w:lang w:eastAsia="en-US"/>
              </w:rPr>
            </w:pPr>
            <w:r>
              <w:rPr>
                <w:spacing w:val="0"/>
                <w:lang w:eastAsia="en-US"/>
              </w:rPr>
              <w:lastRenderedPageBreak/>
              <w:t>Ceny dopravy nejvíce ovlivňovaly celkové zpomalení meziročního přírůstku spotřebitelských cen.</w:t>
            </w:r>
          </w:p>
        </w:tc>
        <w:tc>
          <w:tcPr>
            <w:tcW w:w="223" w:type="dxa"/>
          </w:tcPr>
          <w:p w14:paraId="6729861D" w14:textId="77777777" w:rsidR="00FD66F9" w:rsidRDefault="00FD66F9" w:rsidP="00102C41">
            <w:pPr>
              <w:pStyle w:val="Textpoznpodarou1"/>
              <w:jc w:val="both"/>
              <w:rPr>
                <w:lang w:eastAsia="en-US"/>
              </w:rPr>
            </w:pPr>
          </w:p>
        </w:tc>
        <w:tc>
          <w:tcPr>
            <w:tcW w:w="7625" w:type="dxa"/>
            <w:hideMark/>
          </w:tcPr>
          <w:p w14:paraId="3F0AEE9C" w14:textId="77777777" w:rsidR="00FD66F9" w:rsidRDefault="00FD66F9" w:rsidP="00102C41">
            <w:pPr>
              <w:rPr>
                <w:lang w:eastAsia="en-US"/>
              </w:rPr>
            </w:pPr>
            <w:r>
              <w:rPr>
                <w:lang w:eastAsia="en-US"/>
              </w:rPr>
              <w:t xml:space="preserve">Meziroční růst cen dopravy ve 3. čtvrtletí oslabil na 0,9 % (ze 4,6 % ve 2. kvartálu), což nejvíce ovlivnilo zpomalení celkového meziročního růstu spotřebitelských cen. Ceny dopravy mezičtvrtletně klesly o 1,6 %. Oslabení meziročního růstu cen dopravy souviselo především s vývojem cen pohonných hmot a olejů, které se propadly o 3,5 %. Výrazně méně tak rostly celkové náklady na provoz dopravních prostředků (2,2 %). Ceny dopravních služeb meziročně vzrostly o 4,3 %, zatímco ceny nákupů automobilů, motocyklů a jízdních kol meziročně klesly o 1,5 %.  </w:t>
            </w:r>
          </w:p>
        </w:tc>
      </w:tr>
      <w:tr w:rsidR="00FD66F9" w14:paraId="545F95EB" w14:textId="77777777" w:rsidTr="00102C41">
        <w:trPr>
          <w:trHeight w:val="145"/>
        </w:trPr>
        <w:tc>
          <w:tcPr>
            <w:tcW w:w="1791" w:type="dxa"/>
          </w:tcPr>
          <w:p w14:paraId="7CE82F79" w14:textId="77777777" w:rsidR="00FD66F9" w:rsidRDefault="00FD66F9" w:rsidP="00102C41">
            <w:pPr>
              <w:pStyle w:val="Marginlie"/>
              <w:rPr>
                <w:spacing w:val="0"/>
                <w:lang w:eastAsia="en-US"/>
              </w:rPr>
            </w:pPr>
            <w:r>
              <w:rPr>
                <w:spacing w:val="0"/>
                <w:lang w:eastAsia="en-US"/>
              </w:rPr>
              <w:t>Meziroční pokles cen potravin se zmírnil.</w:t>
            </w:r>
          </w:p>
        </w:tc>
        <w:tc>
          <w:tcPr>
            <w:tcW w:w="223" w:type="dxa"/>
          </w:tcPr>
          <w:p w14:paraId="727223FF" w14:textId="77777777" w:rsidR="00FD66F9" w:rsidRDefault="00FD66F9" w:rsidP="00102C41">
            <w:pPr>
              <w:pStyle w:val="Textpoznpodarou1"/>
              <w:jc w:val="both"/>
              <w:rPr>
                <w:lang w:eastAsia="en-US"/>
              </w:rPr>
            </w:pPr>
          </w:p>
        </w:tc>
        <w:tc>
          <w:tcPr>
            <w:tcW w:w="7625" w:type="dxa"/>
            <w:hideMark/>
          </w:tcPr>
          <w:p w14:paraId="1FDBF556" w14:textId="77777777" w:rsidR="00FD66F9" w:rsidRDefault="00FD66F9" w:rsidP="00102C41">
            <w:pPr>
              <w:rPr>
                <w:lang w:eastAsia="en-US"/>
              </w:rPr>
            </w:pPr>
            <w:r>
              <w:rPr>
                <w:lang w:eastAsia="en-US"/>
              </w:rPr>
              <w:t xml:space="preserve">U potravin a nealkoholických nápojů došlo ve 3. čtvrtletí k výraznému zmírnění meziročního poklesu cen na 1,4 %. Šlo zčásti o srovnání se slabší základnou loňského roku. Mezičtvrtletně se ceny potravin a nealkoholických nápojů zvýšily o 0,5 %, což je slabší přírůstek než ve 2. kvartálu. Zmírnil se pokles cen u mléka, sýrů a vajec (−3,4 %), pekárenských výrobků a obilovin (−3,3 %), masa (−2,8 %) nebo ovoce (−1,3 %) a výrazněji rostly ceny olejů a tuků (7,3 %, zdražovalo máslo) i cukru a příbuzných výrobků (1,9 %). Z meziročního růstu do poklesu se ve 3. čtvrtletí dostaly ceny zeleniny (−1,4 %). </w:t>
            </w:r>
          </w:p>
        </w:tc>
      </w:tr>
      <w:tr w:rsidR="00FD66F9" w14:paraId="6C58E2EE" w14:textId="77777777" w:rsidTr="00102C41">
        <w:trPr>
          <w:trHeight w:val="145"/>
        </w:trPr>
        <w:tc>
          <w:tcPr>
            <w:tcW w:w="1791" w:type="dxa"/>
          </w:tcPr>
          <w:p w14:paraId="7207429E" w14:textId="77777777" w:rsidR="00FD66F9" w:rsidRDefault="00FD66F9" w:rsidP="00102C41">
            <w:pPr>
              <w:pStyle w:val="Marginlie"/>
              <w:rPr>
                <w:spacing w:val="0"/>
                <w:lang w:eastAsia="en-US"/>
              </w:rPr>
            </w:pPr>
            <w:r>
              <w:rPr>
                <w:spacing w:val="0"/>
                <w:lang w:eastAsia="en-US"/>
              </w:rPr>
              <w:t>Ve směru posílení růstu cen působily ceny vzdělávání.</w:t>
            </w:r>
          </w:p>
        </w:tc>
        <w:tc>
          <w:tcPr>
            <w:tcW w:w="223" w:type="dxa"/>
          </w:tcPr>
          <w:p w14:paraId="1B9396F8" w14:textId="77777777" w:rsidR="00FD66F9" w:rsidRDefault="00FD66F9" w:rsidP="00102C41">
            <w:pPr>
              <w:pStyle w:val="Textpoznpodarou1"/>
              <w:jc w:val="both"/>
              <w:rPr>
                <w:lang w:eastAsia="en-US"/>
              </w:rPr>
            </w:pPr>
          </w:p>
        </w:tc>
        <w:tc>
          <w:tcPr>
            <w:tcW w:w="7625" w:type="dxa"/>
            <w:hideMark/>
          </w:tcPr>
          <w:p w14:paraId="08136D68" w14:textId="77777777" w:rsidR="00FD66F9" w:rsidRDefault="00FD66F9" w:rsidP="00102C41">
            <w:pPr>
              <w:rPr>
                <w:lang w:eastAsia="en-US"/>
              </w:rPr>
            </w:pPr>
            <w:r>
              <w:rPr>
                <w:lang w:eastAsia="en-US"/>
              </w:rPr>
              <w:t>Spolu s nástupem nového školního roku došlo k úpravě ceníků školného, což se projevilo na posílení meziročního nárůstu cen vzdělávání na 8,2 %. Mezičtvrtletně se zde ceny navýšily o 3,5 %. Za tímto posílením stojí téměř výhradně zářijový skokový nárůst cen (meziměsíčně o 10,5 %). Mírně posílila také meziroční dynamika cen ostatního zboží a služeb</w:t>
            </w:r>
            <w:r>
              <w:rPr>
                <w:rStyle w:val="Znakapoznpodarou"/>
                <w:lang w:eastAsia="en-US"/>
              </w:rPr>
              <w:footnoteReference w:id="58"/>
            </w:r>
            <w:r>
              <w:rPr>
                <w:lang w:eastAsia="en-US"/>
              </w:rPr>
              <w:t xml:space="preserve"> (3,6 %, mezičtvrtletně narostly ceny o 0,5 %) a z poklesu do mírného meziročního nárůstu se dostaly ceny bytového vybavení, zařízení domácnosti a oprav (0,6 %, mezičtvrtletně se zde ceny snížily o 0,2 %).  </w:t>
            </w:r>
          </w:p>
        </w:tc>
      </w:tr>
      <w:tr w:rsidR="00FD66F9" w14:paraId="1B1B90CC" w14:textId="77777777" w:rsidTr="00102C41">
        <w:trPr>
          <w:trHeight w:val="145"/>
        </w:trPr>
        <w:tc>
          <w:tcPr>
            <w:tcW w:w="1791" w:type="dxa"/>
          </w:tcPr>
          <w:p w14:paraId="2906AE7C" w14:textId="77777777" w:rsidR="00FD66F9" w:rsidRDefault="00FD66F9" w:rsidP="00102C41">
            <w:pPr>
              <w:pStyle w:val="Marginlie"/>
              <w:rPr>
                <w:spacing w:val="0"/>
                <w:lang w:eastAsia="en-US"/>
              </w:rPr>
            </w:pPr>
            <w:r>
              <w:rPr>
                <w:spacing w:val="0"/>
                <w:lang w:eastAsia="en-US"/>
              </w:rPr>
              <w:t>Dál výrazně rostly ceny některých služeb.</w:t>
            </w:r>
          </w:p>
        </w:tc>
        <w:tc>
          <w:tcPr>
            <w:tcW w:w="223" w:type="dxa"/>
          </w:tcPr>
          <w:p w14:paraId="0060A5CA" w14:textId="77777777" w:rsidR="00FD66F9" w:rsidRDefault="00FD66F9" w:rsidP="00102C41">
            <w:pPr>
              <w:pStyle w:val="Textpoznpodarou1"/>
              <w:jc w:val="both"/>
              <w:rPr>
                <w:lang w:eastAsia="en-US"/>
              </w:rPr>
            </w:pPr>
          </w:p>
        </w:tc>
        <w:tc>
          <w:tcPr>
            <w:tcW w:w="7625" w:type="dxa"/>
            <w:hideMark/>
          </w:tcPr>
          <w:p w14:paraId="16C4E896" w14:textId="77777777" w:rsidR="00FD66F9" w:rsidRDefault="00FD66F9" w:rsidP="00102C41">
            <w:pPr>
              <w:rPr>
                <w:lang w:eastAsia="en-US"/>
              </w:rPr>
            </w:pPr>
            <w:r>
              <w:rPr>
                <w:lang w:eastAsia="en-US"/>
              </w:rPr>
              <w:t>Výrazný meziroční růst panoval ve 3. čtvrtletí stále u cen stravování a ubytování (mírné oslabení na 7,2 %), kde došlo také k mezičtvrtletnímu navýšení o 1,2 %. Na celkový meziroční růst spotřebitelských cen měly přes oslabení dynamiky nadále výrazný vliv také ceny alkoholických nápojů a tabáku (4,6 %, mezičtvrtletně ceny rostly mírně – o 0,3 %). Ceny rekreací a kultury meziročně rostly o 3,4 %, přičemž za zvolněním tempa stály ceny dovolených s komplexními službami. Mezičtvrtletně se ale právě pod vlivem cen dovolených ceny rekreací a kultury zvýšily o 4,7 %. Meziroční růst cen odívání a obuvi dál zpomalil na 1,7 % a mezičtvrtletně zde došlo k poklesu o 1,2 %. Oproti službám (stravování a ubytování nebo dovolené s komplexními službami) je zde více patrný vliv zpomalené domácí poptávky po zboží. I v rámci oddílu rekreace a kultura je růst cen fyzického vybavení oproti službám utlumen. Ceny zdraví meziročně rostly o 3,9 % a mezičtvrtletně o 0,9 %. Ceny pošt a telekomunikací byly ve 3. čtvrtletí meziročně vyšší o 0,8 % (mezičtvrtletně stagnovaly).</w:t>
            </w:r>
          </w:p>
        </w:tc>
      </w:tr>
      <w:tr w:rsidR="00FD66F9" w14:paraId="021E41B3" w14:textId="77777777" w:rsidTr="00102C41">
        <w:trPr>
          <w:trHeight w:val="145"/>
        </w:trPr>
        <w:tc>
          <w:tcPr>
            <w:tcW w:w="1791" w:type="dxa"/>
            <w:hideMark/>
          </w:tcPr>
          <w:p w14:paraId="0B8E9CD7" w14:textId="77777777" w:rsidR="00FD66F9" w:rsidRDefault="00FD66F9" w:rsidP="00102C41">
            <w:pPr>
              <w:pStyle w:val="Marginlie"/>
              <w:rPr>
                <w:spacing w:val="0"/>
                <w:lang w:eastAsia="en-US"/>
              </w:rPr>
            </w:pPr>
            <w:r>
              <w:rPr>
                <w:spacing w:val="0"/>
                <w:lang w:eastAsia="en-US"/>
              </w:rPr>
              <w:t xml:space="preserve">Meziroční růst spotřebitelských cen v EU zpomalil. </w:t>
            </w:r>
          </w:p>
        </w:tc>
        <w:tc>
          <w:tcPr>
            <w:tcW w:w="223" w:type="dxa"/>
          </w:tcPr>
          <w:p w14:paraId="792388AB" w14:textId="77777777" w:rsidR="00FD66F9" w:rsidRDefault="00FD66F9" w:rsidP="00102C41">
            <w:pPr>
              <w:pStyle w:val="Textpoznpodarou1"/>
              <w:jc w:val="both"/>
              <w:rPr>
                <w:lang w:eastAsia="en-US"/>
              </w:rPr>
            </w:pPr>
          </w:p>
        </w:tc>
        <w:tc>
          <w:tcPr>
            <w:tcW w:w="7625" w:type="dxa"/>
            <w:hideMark/>
          </w:tcPr>
          <w:p w14:paraId="633EFA89" w14:textId="6B5D5356" w:rsidR="00FD66F9" w:rsidRDefault="00FD66F9" w:rsidP="00EB3D8F">
            <w:pPr>
              <w:rPr>
                <w:lang w:eastAsia="en-US"/>
              </w:rPr>
            </w:pPr>
            <w:r>
              <w:rPr>
                <w:lang w:eastAsia="en-US"/>
              </w:rPr>
              <w:t>Harmonizovaný index spotřebitelských cen (HICP)</w:t>
            </w:r>
            <w:r>
              <w:rPr>
                <w:rStyle w:val="Znakapoznpodarou"/>
                <w:lang w:eastAsia="en-US"/>
              </w:rPr>
              <w:footnoteReference w:id="59"/>
            </w:r>
            <w:r>
              <w:rPr>
                <w:lang w:eastAsia="en-US"/>
              </w:rPr>
              <w:t xml:space="preserve"> v Evropské unii ve 3. čtvrtletí meziročně vzrostl o 2,4 %. Přírůstek zpomalil oproti předchozím čtvrtletím. Vliv na zpomalení přírůstku měly zejména ceny dopravy, které na předchozí přírůstky navázaly ve 3. čtvrtletí poklesem o 0,1 %. Prohloubil se pokles cen telekomunikací (−1,8 %), které ale mají ve spotřebním koši malou váhu. Ceny v ostatních oddílech HICP rostly, nejvíce ceny alkoholických nápojů a tabáku (5,3 %) a ubytování a stravování (5,1 %). Výrazný přírůstek měly i ceny ostatního zboží a služeb (4,3 %). Posílil také meziroční </w:t>
            </w:r>
            <w:r>
              <w:rPr>
                <w:lang w:eastAsia="en-US"/>
              </w:rPr>
              <w:lastRenderedPageBreak/>
              <w:t>přírůstek cen bydlení a energií (2,7 % ze 1,4 % ve 2. čtvrtletí). Celkově k růstu HICP v EU nejvíce přispívají ceny služeb, jejichž dynamika na rozdíl od celkového indexu nezpomaluje.  Nejvíce rostly ve 3. čtvrtletí spotřebitelské ceny v Rumunsku (5,3 %), Belgii (4,7 %) a Polsku (4,1 %). O méně než 1 % naopak vrostl HICP v Litvě (0,8 %), Finsku (0,9 %) a Irsku (0,9 %). Mezičtvrtletně se spotřebitelské ceny v EU zvýšily o 0,4 %. Výrazně se propadly ceny oděvů a obuvi (−7,3 %) a klesly ceny telekomunikací (−1,2 %). Výraznější meziroční přírůstky byly zaznamenány v oblasti rekreací a kultury (2,6 %) a ubytování a stravování (2,4 %). Nejsilněji ve 3. čtvrt</w:t>
            </w:r>
            <w:r w:rsidR="00EB3D8F">
              <w:rPr>
                <w:lang w:eastAsia="en-US"/>
              </w:rPr>
              <w:t>letí mezičtvrtletně rostl HICP na Kypru a Maltě (shodně o 1,9 %) a dále v Chorvatsku (1,5 %).</w:t>
            </w:r>
            <w:r>
              <w:rPr>
                <w:lang w:eastAsia="en-US"/>
              </w:rPr>
              <w:t xml:space="preserve"> Mezičtvrtletní pokles byl zaznamenán v osmi zemích, nejvýrazněji v Itálii (−0,4 %), Španělsku (−0,4 %) a Rakousku (−0,3 %).</w:t>
            </w:r>
          </w:p>
        </w:tc>
      </w:tr>
      <w:tr w:rsidR="00FD66F9" w14:paraId="44D0D6BA" w14:textId="77777777" w:rsidTr="00102C41">
        <w:trPr>
          <w:trHeight w:val="145"/>
        </w:trPr>
        <w:tc>
          <w:tcPr>
            <w:tcW w:w="1791" w:type="dxa"/>
          </w:tcPr>
          <w:p w14:paraId="5DCB2107" w14:textId="77777777" w:rsidR="00FD66F9" w:rsidRDefault="00FD66F9" w:rsidP="00102C41">
            <w:pPr>
              <w:pStyle w:val="Marginlie"/>
              <w:rPr>
                <w:spacing w:val="0"/>
                <w:lang w:eastAsia="en-US"/>
              </w:rPr>
            </w:pPr>
          </w:p>
        </w:tc>
        <w:tc>
          <w:tcPr>
            <w:tcW w:w="223" w:type="dxa"/>
          </w:tcPr>
          <w:p w14:paraId="54BF01CE" w14:textId="77777777" w:rsidR="00FD66F9" w:rsidRDefault="00FD66F9" w:rsidP="00102C41">
            <w:pPr>
              <w:pStyle w:val="Textpoznpodarou1"/>
              <w:jc w:val="both"/>
              <w:rPr>
                <w:lang w:eastAsia="en-US"/>
              </w:rPr>
            </w:pPr>
          </w:p>
        </w:tc>
        <w:tc>
          <w:tcPr>
            <w:tcW w:w="7625" w:type="dxa"/>
            <w:hideMark/>
          </w:tcPr>
          <w:p w14:paraId="3EB51AC5" w14:textId="77777777" w:rsidR="00FD66F9" w:rsidRDefault="00FD66F9" w:rsidP="00102C41">
            <w:pPr>
              <w:spacing w:after="0"/>
              <w:rPr>
                <w:rStyle w:val="Znakapoznpodarou"/>
              </w:rPr>
            </w:pPr>
            <w:r>
              <w:rPr>
                <w:b/>
                <w:sz w:val="18"/>
                <w:szCs w:val="18"/>
                <w:lang w:eastAsia="en-US"/>
              </w:rPr>
              <w:t xml:space="preserve">Graf č. 11 Ceny nemovitostí </w:t>
            </w:r>
            <w:r>
              <w:rPr>
                <w:sz w:val="18"/>
                <w:szCs w:val="18"/>
                <w:lang w:eastAsia="en-US"/>
              </w:rPr>
              <w:t>(meziroční změna, v %)</w:t>
            </w:r>
          </w:p>
        </w:tc>
      </w:tr>
      <w:tr w:rsidR="00FD66F9" w14:paraId="4AABD7CD" w14:textId="77777777" w:rsidTr="00102C41">
        <w:tblPrEx>
          <w:tblCellMar>
            <w:left w:w="70" w:type="dxa"/>
            <w:right w:w="70" w:type="dxa"/>
          </w:tblCellMar>
        </w:tblPrEx>
        <w:trPr>
          <w:trHeight w:val="145"/>
        </w:trPr>
        <w:tc>
          <w:tcPr>
            <w:tcW w:w="1791" w:type="dxa"/>
          </w:tcPr>
          <w:p w14:paraId="1ACA6B46" w14:textId="77777777" w:rsidR="00FD66F9" w:rsidRDefault="00FD66F9" w:rsidP="00102C41">
            <w:pPr>
              <w:pStyle w:val="Marginlie"/>
              <w:rPr>
                <w:spacing w:val="0"/>
              </w:rPr>
            </w:pPr>
          </w:p>
        </w:tc>
        <w:tc>
          <w:tcPr>
            <w:tcW w:w="223" w:type="dxa"/>
          </w:tcPr>
          <w:p w14:paraId="62821DC4" w14:textId="77777777" w:rsidR="00FD66F9" w:rsidRDefault="00FD66F9" w:rsidP="00102C41">
            <w:pPr>
              <w:pStyle w:val="Textpoznpodarou1"/>
              <w:jc w:val="both"/>
              <w:rPr>
                <w:lang w:eastAsia="en-US"/>
              </w:rPr>
            </w:pPr>
          </w:p>
        </w:tc>
        <w:tc>
          <w:tcPr>
            <w:tcW w:w="7625" w:type="dxa"/>
            <w:hideMark/>
          </w:tcPr>
          <w:p w14:paraId="34BCD107" w14:textId="77777777" w:rsidR="00FD66F9" w:rsidRDefault="00FD66F9" w:rsidP="00102C41">
            <w:pPr>
              <w:spacing w:after="0"/>
              <w:rPr>
                <w:rStyle w:val="Znakapoznpodarou"/>
              </w:rPr>
            </w:pPr>
            <w:r>
              <w:rPr>
                <w:noProof/>
              </w:rPr>
              <w:drawing>
                <wp:inline distT="0" distB="0" distL="0" distR="0" wp14:anchorId="1553963F" wp14:editId="42B79DCB">
                  <wp:extent cx="4737600" cy="3553200"/>
                  <wp:effectExtent l="0" t="0" r="6350" b="0"/>
                  <wp:docPr id="41" name="Graf 41">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FD66F9" w14:paraId="0CF9F27B" w14:textId="77777777" w:rsidTr="00102C41">
        <w:trPr>
          <w:trHeight w:val="145"/>
        </w:trPr>
        <w:tc>
          <w:tcPr>
            <w:tcW w:w="1791" w:type="dxa"/>
          </w:tcPr>
          <w:p w14:paraId="3D82C0A5" w14:textId="77777777" w:rsidR="00FD66F9" w:rsidRDefault="00FD66F9" w:rsidP="00102C41">
            <w:pPr>
              <w:pStyle w:val="Marginlie"/>
              <w:rPr>
                <w:spacing w:val="0"/>
              </w:rPr>
            </w:pPr>
          </w:p>
        </w:tc>
        <w:tc>
          <w:tcPr>
            <w:tcW w:w="223" w:type="dxa"/>
          </w:tcPr>
          <w:p w14:paraId="5C25465E" w14:textId="77777777" w:rsidR="00FD66F9" w:rsidRDefault="00FD66F9" w:rsidP="00102C41">
            <w:pPr>
              <w:pStyle w:val="Textpoznpodarou1"/>
              <w:jc w:val="both"/>
              <w:rPr>
                <w:lang w:eastAsia="en-US"/>
              </w:rPr>
            </w:pPr>
          </w:p>
        </w:tc>
        <w:tc>
          <w:tcPr>
            <w:tcW w:w="7625" w:type="dxa"/>
            <w:hideMark/>
          </w:tcPr>
          <w:p w14:paraId="1D09687B" w14:textId="77777777" w:rsidR="00FD66F9" w:rsidRDefault="00FD66F9" w:rsidP="00102C41">
            <w:pPr>
              <w:jc w:val="right"/>
              <w:rPr>
                <w:rStyle w:val="Znakapoznpodarou"/>
                <w:sz w:val="16"/>
                <w:szCs w:val="16"/>
              </w:rPr>
            </w:pPr>
            <w:r>
              <w:rPr>
                <w:sz w:val="16"/>
                <w:szCs w:val="16"/>
                <w:lang w:eastAsia="en-US"/>
              </w:rPr>
              <w:t>Zdroj: ČSÚ</w:t>
            </w:r>
          </w:p>
        </w:tc>
      </w:tr>
      <w:tr w:rsidR="00FD66F9" w14:paraId="56F05B21" w14:textId="77777777" w:rsidTr="00102C41">
        <w:trPr>
          <w:trHeight w:val="145"/>
        </w:trPr>
        <w:tc>
          <w:tcPr>
            <w:tcW w:w="1791" w:type="dxa"/>
            <w:hideMark/>
          </w:tcPr>
          <w:p w14:paraId="6BD80A35" w14:textId="77777777" w:rsidR="00FD66F9" w:rsidRDefault="00FD66F9" w:rsidP="00102C41">
            <w:pPr>
              <w:pStyle w:val="Marginlie"/>
              <w:rPr>
                <w:spacing w:val="0"/>
              </w:rPr>
            </w:pPr>
            <w:r>
              <w:rPr>
                <w:spacing w:val="0"/>
                <w:lang w:eastAsia="en-US"/>
              </w:rPr>
              <w:t>Růst cen bytů výrazně zrychlil.</w:t>
            </w:r>
          </w:p>
        </w:tc>
        <w:tc>
          <w:tcPr>
            <w:tcW w:w="223" w:type="dxa"/>
          </w:tcPr>
          <w:p w14:paraId="5A0C95ED" w14:textId="77777777" w:rsidR="00FD66F9" w:rsidRDefault="00FD66F9" w:rsidP="00102C41">
            <w:pPr>
              <w:pStyle w:val="Textpoznpodarou1"/>
              <w:jc w:val="both"/>
              <w:rPr>
                <w:lang w:eastAsia="en-US"/>
              </w:rPr>
            </w:pPr>
          </w:p>
        </w:tc>
        <w:tc>
          <w:tcPr>
            <w:tcW w:w="7625" w:type="dxa"/>
            <w:hideMark/>
          </w:tcPr>
          <w:p w14:paraId="2FE09CE9" w14:textId="48513B7E" w:rsidR="00FD66F9" w:rsidRDefault="00FD66F9" w:rsidP="00485567">
            <w:pPr>
              <w:rPr>
                <w:lang w:eastAsia="en-US"/>
              </w:rPr>
            </w:pPr>
            <w:r>
              <w:rPr>
                <w:lang w:eastAsia="en-US"/>
              </w:rPr>
              <w:t>Nabídkové ceny bytů v Česku ve 3. čtvrtletí meziročně vzrostly o 6,9 %. Přírůstek zrychlil oproti předchozímu kvartálu a oživení na nemovitostním trhu dokládá i výrazné mezičtvrtletní tempo (3,2 %). Výrazněji posilovala dynamika nabídkových cen bytů mimo Prahu (meziroční přírůstek o 7,1 % a mezičtvrtletní o 3,7 %). Nabídkové ceny bytů v Praze meziročně vzrostly o 6,8 % a mezičtvrtletně o 2,6 %. Realizované ceny starších bytů měly od začátku roku ještě dynamičtější vývoj. V celém Česku se realizované ceny ve 3. čtvrtletí meziročně zvýšily o 10,7 % a mezičtvrtletně vzrostly o 4,0 %. Realizované ceny starších bytů v Praze přitom byly meziročně vyšší o 11,8 % a mezičtvrtletně o 3,7 %. Převis dynamiky realizovaných cen nad nabídkovými cenami se v posledních letech stal obvyklým jevem, který dokládá silnější pozici prodávajících při cenovém vyjednávání na nemovitostním trhu.</w:t>
            </w:r>
            <w:r w:rsidR="00485567">
              <w:rPr>
                <w:lang w:eastAsia="en-US"/>
              </w:rPr>
              <w:t xml:space="preserve"> Index realizovaných cen nových bytů v Praze ukazuje ve 3. čtvrtletí na mezirošní růst o 1,7 % a mezičtvrtletní růst o 0,9 %.</w:t>
            </w:r>
          </w:p>
        </w:tc>
      </w:tr>
      <w:tr w:rsidR="00FD66F9" w14:paraId="645243C4" w14:textId="77777777" w:rsidTr="00102C41">
        <w:trPr>
          <w:trHeight w:val="145"/>
        </w:trPr>
        <w:tc>
          <w:tcPr>
            <w:tcW w:w="1791" w:type="dxa"/>
          </w:tcPr>
          <w:p w14:paraId="5DE4DB93" w14:textId="77777777" w:rsidR="00FD66F9" w:rsidRDefault="00FD66F9" w:rsidP="00102C41">
            <w:pPr>
              <w:pStyle w:val="Marginlie"/>
              <w:rPr>
                <w:spacing w:val="0"/>
                <w:lang w:eastAsia="en-US"/>
              </w:rPr>
            </w:pPr>
            <w:r>
              <w:rPr>
                <w:spacing w:val="0"/>
                <w:lang w:eastAsia="en-US"/>
              </w:rPr>
              <w:t>Ceny průmyslových výrobců mezičtvrtletně klesly.</w:t>
            </w:r>
          </w:p>
        </w:tc>
        <w:tc>
          <w:tcPr>
            <w:tcW w:w="223" w:type="dxa"/>
          </w:tcPr>
          <w:p w14:paraId="2FC88765" w14:textId="77777777" w:rsidR="00FD66F9" w:rsidRDefault="00FD66F9" w:rsidP="00102C41">
            <w:pPr>
              <w:pStyle w:val="Textpoznpodarou1"/>
              <w:jc w:val="both"/>
              <w:rPr>
                <w:lang w:eastAsia="en-US"/>
              </w:rPr>
            </w:pPr>
          </w:p>
        </w:tc>
        <w:tc>
          <w:tcPr>
            <w:tcW w:w="7625" w:type="dxa"/>
            <w:hideMark/>
          </w:tcPr>
          <w:p w14:paraId="3AFF043C" w14:textId="77777777" w:rsidR="00FD66F9" w:rsidRDefault="00FD66F9" w:rsidP="00102C41">
            <w:pPr>
              <w:rPr>
                <w:lang w:eastAsia="en-US"/>
              </w:rPr>
            </w:pPr>
            <w:r>
              <w:rPr>
                <w:lang w:eastAsia="en-US"/>
              </w:rPr>
              <w:t xml:space="preserve">Ceny průmyslových výrobců ve 3. čtvrtletí 2024 meziročně vzrostly o 1,2 % a přírůstek se tak téměř nezměnil oproti předchozímu kvartálu. Mezičtvrtletně došlo k poklesu o 0,4 %. Nejvíce meziročně rostly ceny zásobování vodou a souvisejících služeb (9,2 %), které ale mezičtvrtletně stagnovaly. Ceny elektřiny, plynu, páry a klimatizovaného vzduchu byly meziročně vyšší o 4,2 % a mezičtvrtletně se snížily </w:t>
            </w:r>
            <w:r>
              <w:rPr>
                <w:lang w:eastAsia="en-US"/>
              </w:rPr>
              <w:lastRenderedPageBreak/>
              <w:t xml:space="preserve">o 0,8 %. Meziročně klesaly jen ceny těžby a dobývání (−0,5 %), především pod vlivem cen zemního plynu (−26,2 %) a černého a hnědého uhlí a lignitu (−2,7 %). </w:t>
            </w:r>
          </w:p>
        </w:tc>
      </w:tr>
      <w:tr w:rsidR="00FD66F9" w14:paraId="79DA4E06" w14:textId="77777777" w:rsidTr="00102C41">
        <w:trPr>
          <w:trHeight w:val="145"/>
        </w:trPr>
        <w:tc>
          <w:tcPr>
            <w:tcW w:w="1791" w:type="dxa"/>
          </w:tcPr>
          <w:p w14:paraId="42FEAB77" w14:textId="77777777" w:rsidR="00FD66F9" w:rsidRDefault="00FD66F9" w:rsidP="00102C41">
            <w:pPr>
              <w:pStyle w:val="Marginlie"/>
              <w:rPr>
                <w:spacing w:val="0"/>
                <w:lang w:eastAsia="en-US"/>
              </w:rPr>
            </w:pPr>
            <w:r>
              <w:rPr>
                <w:spacing w:val="0"/>
                <w:lang w:eastAsia="en-US"/>
              </w:rPr>
              <w:lastRenderedPageBreak/>
              <w:t>Ceny ve zpracovatelském průmyslu mírně mezičtvrtletně klesaly.</w:t>
            </w:r>
          </w:p>
        </w:tc>
        <w:tc>
          <w:tcPr>
            <w:tcW w:w="223" w:type="dxa"/>
          </w:tcPr>
          <w:p w14:paraId="3F04D856" w14:textId="77777777" w:rsidR="00FD66F9" w:rsidRDefault="00FD66F9" w:rsidP="00102C41">
            <w:pPr>
              <w:pStyle w:val="Textpoznpodarou1"/>
              <w:jc w:val="both"/>
              <w:rPr>
                <w:lang w:eastAsia="en-US"/>
              </w:rPr>
            </w:pPr>
          </w:p>
        </w:tc>
        <w:tc>
          <w:tcPr>
            <w:tcW w:w="7625" w:type="dxa"/>
            <w:hideMark/>
          </w:tcPr>
          <w:p w14:paraId="37EC287E" w14:textId="77777777" w:rsidR="00FD66F9" w:rsidRDefault="00FD66F9" w:rsidP="00102C41">
            <w:pPr>
              <w:rPr>
                <w:lang w:eastAsia="en-US"/>
              </w:rPr>
            </w:pPr>
            <w:r>
              <w:rPr>
                <w:lang w:eastAsia="en-US"/>
              </w:rPr>
              <w:t>Ceny výrobků a služeb zpracovatelského průmyslu meziročně téměř stagnovaly (0,2 %) a mezičtvrtletně se snížily o 0,3 %. Meziročně stále klesaly ceny u řady výrobků, které jsou závislé na základních surovinách, jako jsou například základní kovy (−2,6 %) nebo dřevo a dřevěné výrobky (−1,5 %) a výrobky z papíru (−0,5 %). Bylo u nich ale patrné zmírnění poklesu, protože vyprchával vliv srovnávací základny. Meziročně nižší byly i ceny potravinářských výrobků (−1,7 %) nebo kovodělných výrobků (−1,2 %) a rovněž strukturálně významných elektrických zařízení (−0,6 %). Naopak výrazně rostly ceny oprav, údržby a instalace strojů a zařízení (4,8 %), počítačů, elektronických a optických přístrojů a zařízení (3,9 %), chemických látek a přípravků (3,8 %), motorových vozidel kromě motocyklů, přívěsů a návěsů (3,8 %), nápojů (3,4 %), oděvů (3,0 %) a usní (2,7 %) nebo strojů a zařízení (2,6 %).</w:t>
            </w:r>
          </w:p>
        </w:tc>
      </w:tr>
      <w:tr w:rsidR="00FD66F9" w14:paraId="6E75070D" w14:textId="77777777" w:rsidTr="00102C41">
        <w:trPr>
          <w:trHeight w:val="145"/>
        </w:trPr>
        <w:tc>
          <w:tcPr>
            <w:tcW w:w="1791" w:type="dxa"/>
          </w:tcPr>
          <w:p w14:paraId="46F03DBB" w14:textId="77777777" w:rsidR="00FD66F9" w:rsidRDefault="00FD66F9" w:rsidP="00102C41">
            <w:pPr>
              <w:pStyle w:val="Marginlie"/>
              <w:rPr>
                <w:spacing w:val="0"/>
                <w:lang w:eastAsia="en-US"/>
              </w:rPr>
            </w:pPr>
          </w:p>
        </w:tc>
        <w:tc>
          <w:tcPr>
            <w:tcW w:w="223" w:type="dxa"/>
          </w:tcPr>
          <w:p w14:paraId="097D0B06" w14:textId="77777777" w:rsidR="00FD66F9" w:rsidRDefault="00FD66F9" w:rsidP="00102C41">
            <w:pPr>
              <w:pStyle w:val="Textpoznpodarou1"/>
              <w:jc w:val="both"/>
              <w:rPr>
                <w:lang w:eastAsia="en-US"/>
              </w:rPr>
            </w:pPr>
          </w:p>
        </w:tc>
        <w:tc>
          <w:tcPr>
            <w:tcW w:w="7625" w:type="dxa"/>
            <w:hideMark/>
          </w:tcPr>
          <w:p w14:paraId="1D1CA1B9" w14:textId="77777777" w:rsidR="00FD66F9" w:rsidRDefault="00FD66F9" w:rsidP="00102C41">
            <w:pPr>
              <w:spacing w:after="0"/>
              <w:rPr>
                <w:lang w:eastAsia="en-US"/>
              </w:rPr>
            </w:pPr>
            <w:r>
              <w:rPr>
                <w:b/>
                <w:sz w:val="18"/>
                <w:szCs w:val="18"/>
                <w:lang w:eastAsia="en-US"/>
              </w:rPr>
              <w:t xml:space="preserve">Graf č. 12 Ceny hlavních skupin průmyslových výrobců </w:t>
            </w:r>
            <w:r>
              <w:rPr>
                <w:sz w:val="18"/>
                <w:szCs w:val="18"/>
                <w:lang w:eastAsia="en-US"/>
              </w:rPr>
              <w:t>(meziroční změna, v %, podle klasifikace CPA)</w:t>
            </w:r>
          </w:p>
        </w:tc>
      </w:tr>
      <w:tr w:rsidR="00FD66F9" w14:paraId="50031BFF" w14:textId="77777777" w:rsidTr="00102C41">
        <w:tblPrEx>
          <w:tblCellMar>
            <w:left w:w="70" w:type="dxa"/>
            <w:right w:w="70" w:type="dxa"/>
          </w:tblCellMar>
        </w:tblPrEx>
        <w:trPr>
          <w:trHeight w:val="145"/>
        </w:trPr>
        <w:tc>
          <w:tcPr>
            <w:tcW w:w="1791" w:type="dxa"/>
          </w:tcPr>
          <w:p w14:paraId="1A9C7D8E" w14:textId="77777777" w:rsidR="00FD66F9" w:rsidRDefault="00FD66F9" w:rsidP="00102C41">
            <w:pPr>
              <w:pStyle w:val="Marginlie"/>
              <w:rPr>
                <w:spacing w:val="0"/>
                <w:lang w:eastAsia="en-US"/>
              </w:rPr>
            </w:pPr>
          </w:p>
        </w:tc>
        <w:tc>
          <w:tcPr>
            <w:tcW w:w="223" w:type="dxa"/>
          </w:tcPr>
          <w:p w14:paraId="00895F92" w14:textId="77777777" w:rsidR="00FD66F9" w:rsidRDefault="00FD66F9" w:rsidP="00102C41">
            <w:pPr>
              <w:pStyle w:val="Textpoznpodarou1"/>
              <w:jc w:val="both"/>
              <w:rPr>
                <w:lang w:eastAsia="en-US"/>
              </w:rPr>
            </w:pPr>
          </w:p>
        </w:tc>
        <w:tc>
          <w:tcPr>
            <w:tcW w:w="7625" w:type="dxa"/>
            <w:hideMark/>
          </w:tcPr>
          <w:p w14:paraId="3124133F" w14:textId="77777777" w:rsidR="00FD66F9" w:rsidRDefault="00FD66F9" w:rsidP="00102C41">
            <w:pPr>
              <w:spacing w:after="0"/>
              <w:jc w:val="center"/>
              <w:rPr>
                <w:lang w:eastAsia="en-US"/>
              </w:rPr>
            </w:pPr>
            <w:r>
              <w:rPr>
                <w:noProof/>
              </w:rPr>
              <w:drawing>
                <wp:inline distT="0" distB="0" distL="0" distR="0" wp14:anchorId="192D4359" wp14:editId="787D758F">
                  <wp:extent cx="4752000" cy="3553200"/>
                  <wp:effectExtent l="0" t="0" r="0" b="0"/>
                  <wp:docPr id="42" name="Graf 42">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FD66F9" w14:paraId="411CA6B8" w14:textId="77777777" w:rsidTr="00102C41">
        <w:trPr>
          <w:trHeight w:val="145"/>
        </w:trPr>
        <w:tc>
          <w:tcPr>
            <w:tcW w:w="1791" w:type="dxa"/>
          </w:tcPr>
          <w:p w14:paraId="2255EF40" w14:textId="77777777" w:rsidR="00FD66F9" w:rsidRDefault="00FD66F9" w:rsidP="00102C41">
            <w:pPr>
              <w:pStyle w:val="Marginlie"/>
              <w:rPr>
                <w:spacing w:val="0"/>
                <w:lang w:eastAsia="en-US"/>
              </w:rPr>
            </w:pPr>
          </w:p>
        </w:tc>
        <w:tc>
          <w:tcPr>
            <w:tcW w:w="223" w:type="dxa"/>
          </w:tcPr>
          <w:p w14:paraId="55C831BB" w14:textId="77777777" w:rsidR="00FD66F9" w:rsidRDefault="00FD66F9" w:rsidP="00102C41">
            <w:pPr>
              <w:pStyle w:val="Textpoznpodarou1"/>
              <w:jc w:val="both"/>
              <w:rPr>
                <w:lang w:eastAsia="en-US"/>
              </w:rPr>
            </w:pPr>
          </w:p>
        </w:tc>
        <w:tc>
          <w:tcPr>
            <w:tcW w:w="7625" w:type="dxa"/>
            <w:hideMark/>
          </w:tcPr>
          <w:p w14:paraId="7C28B7B5" w14:textId="77777777" w:rsidR="00FD66F9" w:rsidRDefault="00FD66F9" w:rsidP="00102C41">
            <w:pPr>
              <w:jc w:val="right"/>
              <w:rPr>
                <w:sz w:val="16"/>
                <w:szCs w:val="16"/>
                <w:lang w:eastAsia="en-US"/>
              </w:rPr>
            </w:pPr>
            <w:r>
              <w:rPr>
                <w:sz w:val="16"/>
                <w:szCs w:val="16"/>
                <w:lang w:eastAsia="en-US"/>
              </w:rPr>
              <w:t>Zdroj: ČSÚ</w:t>
            </w:r>
          </w:p>
        </w:tc>
      </w:tr>
      <w:tr w:rsidR="00FD66F9" w14:paraId="2CCB8FA7" w14:textId="77777777" w:rsidTr="00102C41">
        <w:trPr>
          <w:trHeight w:val="145"/>
        </w:trPr>
        <w:tc>
          <w:tcPr>
            <w:tcW w:w="1791" w:type="dxa"/>
            <w:hideMark/>
          </w:tcPr>
          <w:p w14:paraId="0334C660" w14:textId="77777777" w:rsidR="00FD66F9" w:rsidRDefault="00FD66F9" w:rsidP="00102C41">
            <w:pPr>
              <w:pStyle w:val="Marginlie"/>
              <w:rPr>
                <w:spacing w:val="0"/>
                <w:lang w:eastAsia="en-US"/>
              </w:rPr>
            </w:pPr>
            <w:r>
              <w:rPr>
                <w:spacing w:val="0"/>
                <w:lang w:eastAsia="en-US"/>
              </w:rPr>
              <w:t>Ceny průmyslových výrobců v EU mezičtvrtletně vzrostly.</w:t>
            </w:r>
          </w:p>
        </w:tc>
        <w:tc>
          <w:tcPr>
            <w:tcW w:w="223" w:type="dxa"/>
          </w:tcPr>
          <w:p w14:paraId="1AAB0913" w14:textId="77777777" w:rsidR="00FD66F9" w:rsidRDefault="00FD66F9" w:rsidP="00102C41">
            <w:pPr>
              <w:pStyle w:val="Textpoznpodarou1"/>
              <w:jc w:val="both"/>
              <w:rPr>
                <w:lang w:eastAsia="en-US"/>
              </w:rPr>
            </w:pPr>
          </w:p>
        </w:tc>
        <w:tc>
          <w:tcPr>
            <w:tcW w:w="7625" w:type="dxa"/>
            <w:hideMark/>
          </w:tcPr>
          <w:p w14:paraId="2E87DA39" w14:textId="77777777" w:rsidR="00FD66F9" w:rsidRDefault="00FD66F9" w:rsidP="00102C41">
            <w:pPr>
              <w:rPr>
                <w:lang w:eastAsia="en-US"/>
              </w:rPr>
            </w:pPr>
            <w:r>
              <w:rPr>
                <w:lang w:eastAsia="en-US"/>
              </w:rPr>
              <w:t>Meziroční pokles cen průmyslových výrobců v EU</w:t>
            </w:r>
            <w:r>
              <w:rPr>
                <w:rStyle w:val="Znakapoznpodarou"/>
                <w:lang w:eastAsia="en-US"/>
              </w:rPr>
              <w:footnoteReference w:id="60"/>
            </w:r>
            <w:r>
              <w:rPr>
                <w:lang w:eastAsia="en-US"/>
              </w:rPr>
              <w:t xml:space="preserve"> se ve 3. čtvrtletí zmírnil na −2,5 %. V meziročním poklesu stále setrvávaly ceny elektřiny, plynu, páry a klimatizovaného vzduchu (−7,4 %) a také ceny ve zpracovatelském průmyslu (−0,7 %). Meziročně rostly ceny těžby a dobývání (1,1 %). U většiny zemí EU ceny průmyslových výrobců meziročně stále klesaly, rozpětí dynamiky bylo ale veliké. Největší pokles mělo Slovensko (−18,6 %), Lucembursko (−10,2 %) a Lotyšsko (−6,4 %). Meziročně vyšší byly ceny v osmi zemích, nejvíce v Irsku (1,9 %), Portugalsku (1,6 %) a v Česku (1,2 %). Mezičtvrtletně se ceny průmyslových výrobců v EU zvýšily o 1,0 %. Výrazný mezikvartální přírůstek měly ceny elektřiny, plynu, páry a klimatizovaného vzduchu (5,9 %) a rostly také ceny těžby a dobývání (0,4 %). Naproti tomu pokles byl zaznamenán u cen ve zpracovatelském průmyslu (−0,4 %). Nejvíce mezičtvrtletně rostly ceny průmyslových výrobců v Bulharsku (4,8 %), Řecku (4,5 %) a Španělsku a na </w:t>
            </w:r>
            <w:r>
              <w:rPr>
                <w:lang w:eastAsia="en-US"/>
              </w:rPr>
              <w:lastRenderedPageBreak/>
              <w:t>Slovensku (obě země shodně 3,5 %). Pokles byl zaznamenán v osmi zemích, největší ve Švédsku (−2,1 %), Finsku (−1,4 %) a Litvě (−0,6 %).</w:t>
            </w:r>
          </w:p>
        </w:tc>
      </w:tr>
      <w:tr w:rsidR="00FD66F9" w14:paraId="71CF250B" w14:textId="77777777" w:rsidTr="00102C41">
        <w:trPr>
          <w:trHeight w:val="145"/>
        </w:trPr>
        <w:tc>
          <w:tcPr>
            <w:tcW w:w="1791" w:type="dxa"/>
            <w:hideMark/>
          </w:tcPr>
          <w:p w14:paraId="1852D66F" w14:textId="77777777" w:rsidR="00FD66F9" w:rsidRDefault="00FD66F9" w:rsidP="00102C41">
            <w:pPr>
              <w:pStyle w:val="Marginlie"/>
              <w:rPr>
                <w:spacing w:val="0"/>
                <w:lang w:eastAsia="en-US"/>
              </w:rPr>
            </w:pPr>
            <w:r>
              <w:rPr>
                <w:spacing w:val="0"/>
                <w:lang w:eastAsia="en-US"/>
              </w:rPr>
              <w:lastRenderedPageBreak/>
              <w:t>Ceny stavebních prací rostly meziročně stálým tempem.</w:t>
            </w:r>
          </w:p>
        </w:tc>
        <w:tc>
          <w:tcPr>
            <w:tcW w:w="223" w:type="dxa"/>
          </w:tcPr>
          <w:p w14:paraId="3CF90EDB" w14:textId="77777777" w:rsidR="00FD66F9" w:rsidRDefault="00FD66F9" w:rsidP="00102C41">
            <w:pPr>
              <w:pStyle w:val="Textpoznpodarou1"/>
              <w:jc w:val="both"/>
              <w:rPr>
                <w:lang w:eastAsia="en-US"/>
              </w:rPr>
            </w:pPr>
          </w:p>
        </w:tc>
        <w:tc>
          <w:tcPr>
            <w:tcW w:w="7625" w:type="dxa"/>
            <w:hideMark/>
          </w:tcPr>
          <w:p w14:paraId="39BBB9AE" w14:textId="77777777" w:rsidR="00FD66F9" w:rsidRDefault="00FD66F9" w:rsidP="00102C41">
            <w:pPr>
              <w:rPr>
                <w:lang w:eastAsia="en-US"/>
              </w:rPr>
            </w:pPr>
            <w:r>
              <w:rPr>
                <w:lang w:eastAsia="en-US"/>
              </w:rPr>
              <w:t>Ceny stavebních prací si od začátku roku drží stálou meziroční dynamiku a dle odhadů byly ve 3. čtvrtletí meziročně vyšší o 1,7 %. Jejich mezičtvrtletní přírůstek dosáhl 0,3 %. Ceny materiálů a výrobků spotřebovávaných ve stavebnictví se ve 3. čtvrtletí meziročně nezměnily a mezičtvrtletně klesly o 0,2 %.</w:t>
            </w:r>
          </w:p>
        </w:tc>
      </w:tr>
      <w:tr w:rsidR="00FD66F9" w14:paraId="46F0D0DA" w14:textId="77777777" w:rsidTr="00102C41">
        <w:trPr>
          <w:trHeight w:val="145"/>
        </w:trPr>
        <w:tc>
          <w:tcPr>
            <w:tcW w:w="1791" w:type="dxa"/>
            <w:hideMark/>
          </w:tcPr>
          <w:p w14:paraId="32CD1939" w14:textId="77777777" w:rsidR="00FD66F9" w:rsidRDefault="00FD66F9" w:rsidP="00102C41">
            <w:pPr>
              <w:pStyle w:val="Marginlie"/>
              <w:rPr>
                <w:spacing w:val="0"/>
                <w:lang w:eastAsia="en-US"/>
              </w:rPr>
            </w:pPr>
            <w:r>
              <w:rPr>
                <w:spacing w:val="0"/>
                <w:lang w:eastAsia="en-US"/>
              </w:rPr>
              <w:t>Ceny tržních služeb se mezičtvrtletně snížily.</w:t>
            </w:r>
          </w:p>
        </w:tc>
        <w:tc>
          <w:tcPr>
            <w:tcW w:w="223" w:type="dxa"/>
          </w:tcPr>
          <w:p w14:paraId="014D6DDD" w14:textId="77777777" w:rsidR="00FD66F9" w:rsidRDefault="00FD66F9" w:rsidP="00102C41">
            <w:pPr>
              <w:pStyle w:val="Textpoznpodarou1"/>
              <w:jc w:val="both"/>
              <w:rPr>
                <w:lang w:eastAsia="en-US"/>
              </w:rPr>
            </w:pPr>
          </w:p>
        </w:tc>
        <w:tc>
          <w:tcPr>
            <w:tcW w:w="7625" w:type="dxa"/>
            <w:hideMark/>
          </w:tcPr>
          <w:p w14:paraId="127C55B6" w14:textId="77777777" w:rsidR="00FD66F9" w:rsidRDefault="00FD66F9" w:rsidP="00102C41">
            <w:pPr>
              <w:rPr>
                <w:lang w:eastAsia="en-US"/>
              </w:rPr>
            </w:pPr>
            <w:r>
              <w:rPr>
                <w:lang w:eastAsia="en-US"/>
              </w:rPr>
              <w:t xml:space="preserve">Po zpomalení meziroční dynamiky, ke kterému došlo ve 2. čtvrtletí, se dál přírůstek cen tržních služeb nezměnil a dosáhl ve 3. čtvrtletí 3,4 %. Mezičtvrtletně se ceny tržních služeb snížily o 0,5 %. K meziročnímu přírůstku nadále nejvíce přispívaly ceny služeb v oblasti nemovitostí (růst o 7,7 %), dále posílil vliv cen reklamních služeb a průzkumu trhu (10,0 %). Významný byl také příspěvek cen služeb v oblasti programování a souvisejícího poradenství (meziroční růst o 2,9 %) a právních a účetnických služeb (5,4 %) a dále také architektonických a inženýrských služeb (2,4 %), služeb v oblasti zaměstnání (9,3 %), poštovních a kurýrních služeb (3,1 %), pojištění, zajištění a penzijního financování (2,2 %), bezpečnostních a pátracích služeb (8,9 %) a úklidových služeb (5,9 %). Meziročně klesaly jen ceny skladování a podpůrných služeb v dopravě (−0,6 %). </w:t>
            </w:r>
          </w:p>
        </w:tc>
      </w:tr>
      <w:tr w:rsidR="00FD66F9" w14:paraId="775B7113" w14:textId="77777777" w:rsidTr="00102C41">
        <w:trPr>
          <w:trHeight w:val="145"/>
        </w:trPr>
        <w:tc>
          <w:tcPr>
            <w:tcW w:w="1791" w:type="dxa"/>
            <w:hideMark/>
          </w:tcPr>
          <w:p w14:paraId="1F892735" w14:textId="77777777" w:rsidR="00FD66F9" w:rsidRDefault="00FD66F9" w:rsidP="00102C41">
            <w:pPr>
              <w:pStyle w:val="Marginlie"/>
              <w:rPr>
                <w:spacing w:val="0"/>
                <w:lang w:eastAsia="en-US"/>
              </w:rPr>
            </w:pPr>
            <w:r>
              <w:rPr>
                <w:spacing w:val="0"/>
                <w:lang w:eastAsia="en-US"/>
              </w:rPr>
              <w:t>Zmírnil se propad cen zemědělské výroby. Ceny živočišné výroby meziročně rostly.</w:t>
            </w:r>
          </w:p>
        </w:tc>
        <w:tc>
          <w:tcPr>
            <w:tcW w:w="223" w:type="dxa"/>
          </w:tcPr>
          <w:p w14:paraId="6BB1DC8A" w14:textId="77777777" w:rsidR="00FD66F9" w:rsidRDefault="00FD66F9" w:rsidP="00102C41">
            <w:pPr>
              <w:pStyle w:val="Textpoznpodarou1"/>
              <w:jc w:val="both"/>
              <w:rPr>
                <w:lang w:eastAsia="en-US"/>
              </w:rPr>
            </w:pPr>
          </w:p>
        </w:tc>
        <w:tc>
          <w:tcPr>
            <w:tcW w:w="7625" w:type="dxa"/>
            <w:hideMark/>
          </w:tcPr>
          <w:p w14:paraId="2166947E" w14:textId="198FA704" w:rsidR="00FD66F9" w:rsidRDefault="00FD66F9" w:rsidP="00B71EF7">
            <w:pPr>
              <w:rPr>
                <w:lang w:eastAsia="en-US"/>
              </w:rPr>
            </w:pPr>
            <w:r>
              <w:rPr>
                <w:lang w:eastAsia="en-US"/>
              </w:rPr>
              <w:t>Ceny zemědělsk</w:t>
            </w:r>
            <w:r w:rsidR="00B71EF7">
              <w:rPr>
                <w:lang w:eastAsia="en-US"/>
              </w:rPr>
              <w:t>ých výrobců</w:t>
            </w:r>
            <w:r>
              <w:rPr>
                <w:lang w:eastAsia="en-US"/>
              </w:rPr>
              <w:t xml:space="preserve"> (včetně ryb) ve 3. čtvrtletí meziročně klesly o 1,4 % a propad se tak opět výrazně zmírnil (ceny klesaly o 17,2 % a 10,4 % v 1. a 2. čtvrtletí). Ceny rostlinné výroby ve 3. čtvrtletí byly meziročně nižší o 4,5 %, což je výrazně mírnější pokles než v předchozím kvartálu, a ceny živočišné výroby začaly meziročně růst (2,6 %). Méně hluboký byl pokles cen obilovin (−8,9 %, z toho pšenice −8,5 %, žito −15,2 %, ječmen −7,9 %, oves −0,4 % a kukuřice −12,5 %). Ceny průmyslových plodin meziročně vzrostly o 4,2 %, především pod vlivem cen olejnin (5,2 %, z toho semeno řepky +5,3 %, slunečnice −11,4 %, mák 8,7 %). Krmné plodiny meziročně zdražily o 11,0 %, ovoce o 32,4 % a vína o 10,7 %, ceny zeleniny a zahradnických produktů naopak klesly o 5,8 % a brambor o 21,3 %. V rámci živočišné výroby meziročně rostly ceny skotu (8,3 %), ale klesly ceny prasat a selat (−8,8 %) i drůbeže (−7,2 %). Ceny mléka byly meziročně vyšší o 10,5 % a u vajec pokračoval pokles (−14,1 %).   </w:t>
            </w:r>
          </w:p>
        </w:tc>
      </w:tr>
      <w:tr w:rsidR="00FD66F9" w14:paraId="569C734A" w14:textId="77777777" w:rsidTr="00102C41">
        <w:trPr>
          <w:trHeight w:val="145"/>
        </w:trPr>
        <w:tc>
          <w:tcPr>
            <w:tcW w:w="1791" w:type="dxa"/>
            <w:hideMark/>
          </w:tcPr>
          <w:p w14:paraId="0A0DD4CD" w14:textId="77777777" w:rsidR="00FD66F9" w:rsidRDefault="00FD66F9" w:rsidP="00102C41">
            <w:pPr>
              <w:pStyle w:val="Marginlie"/>
              <w:rPr>
                <w:spacing w:val="0"/>
                <w:lang w:eastAsia="en-US"/>
              </w:rPr>
            </w:pPr>
            <w:r>
              <w:rPr>
                <w:spacing w:val="0"/>
                <w:lang w:eastAsia="en-US"/>
              </w:rPr>
              <w:t>Ceny vývozu zboží rostly.</w:t>
            </w:r>
          </w:p>
        </w:tc>
        <w:tc>
          <w:tcPr>
            <w:tcW w:w="223" w:type="dxa"/>
          </w:tcPr>
          <w:p w14:paraId="4FA9695B" w14:textId="77777777" w:rsidR="00FD66F9" w:rsidRDefault="00FD66F9" w:rsidP="00102C41">
            <w:pPr>
              <w:pStyle w:val="Textpoznpodarou1"/>
              <w:jc w:val="both"/>
              <w:rPr>
                <w:lang w:eastAsia="en-US"/>
              </w:rPr>
            </w:pPr>
          </w:p>
        </w:tc>
        <w:tc>
          <w:tcPr>
            <w:tcW w:w="7625" w:type="dxa"/>
            <w:hideMark/>
          </w:tcPr>
          <w:p w14:paraId="313B9A55" w14:textId="726F59AD" w:rsidR="00FD66F9" w:rsidRDefault="00FD66F9" w:rsidP="00102C41">
            <w:pPr>
              <w:rPr>
                <w:lang w:eastAsia="en-US"/>
              </w:rPr>
            </w:pPr>
            <w:r>
              <w:rPr>
                <w:lang w:eastAsia="en-US"/>
              </w:rPr>
              <w:t>Ceny vývozu se ve 3. čtvrtletí meziročně zvýšily o 3,8 % a mezičtvrtletně vzrostly o 0,8 %. Vývoj kurzu koruny</w:t>
            </w:r>
            <w:r>
              <w:rPr>
                <w:rStyle w:val="Znakapoznpodarou"/>
                <w:lang w:eastAsia="en-US"/>
              </w:rPr>
              <w:footnoteReference w:id="61"/>
            </w:r>
            <w:r>
              <w:rPr>
                <w:lang w:eastAsia="en-US"/>
              </w:rPr>
              <w:t xml:space="preserve"> ve 3. čtvrtletí působil výrazně proinflačně na meziroční dynamiku cen. Meziročně nejvíce rostly ceny exportu v oblasti zásobování vodou a činností souvisejících s odpady a odpadními vodami (přírůstek zrychlil na 16,7 %). Mírně zpomalil, ale solidní tempo si udržel růst cen vývozu výrobků zpracovatelského průmyslu (4,1 %). V rámci této sekce nejvíce rostly ceny exportu nábytku (12,9 %), ostatních dopravních prostředků a zařízení (12,5 %), dřeva a výrobků z něj (8,0 %), chemických látek a přípravků (6,6 %), základních farmaceutických výrobků a přípravků (6,1 %) a motorových vozidel</w:t>
            </w:r>
            <w:r w:rsidR="00EB39C7">
              <w:rPr>
                <w:lang w:eastAsia="en-US"/>
              </w:rPr>
              <w:t>, kromě motocyklů</w:t>
            </w:r>
            <w:r>
              <w:rPr>
                <w:lang w:eastAsia="en-US"/>
              </w:rPr>
              <w:t xml:space="preserve"> (6,0 %). Klesly jen ceny koksu a rafinovaných ropných výrobků (−11,9 %) a usní a souvisejících výrobků (−7,3 %). Meziročně se začaly zvyšovat ceny vývozu produktů zemědělství, lesnictví a rybářství (1,8 %), výrazně zmírnil pokles cen vývozu elektřiny, plynu, páry a klimatizovaného vzduchu (−3,0 %) a také cen těžby a dobývání (−9,1 %). </w:t>
            </w:r>
          </w:p>
        </w:tc>
      </w:tr>
      <w:tr w:rsidR="00FD66F9" w14:paraId="1C715963" w14:textId="77777777" w:rsidTr="00102C41">
        <w:trPr>
          <w:trHeight w:val="145"/>
        </w:trPr>
        <w:tc>
          <w:tcPr>
            <w:tcW w:w="1791" w:type="dxa"/>
          </w:tcPr>
          <w:p w14:paraId="4AFFB181" w14:textId="77777777" w:rsidR="00FD66F9" w:rsidRDefault="00FD66F9" w:rsidP="00102C41">
            <w:pPr>
              <w:pStyle w:val="Marginlie"/>
              <w:rPr>
                <w:spacing w:val="0"/>
                <w:lang w:eastAsia="en-US"/>
              </w:rPr>
            </w:pPr>
            <w:r>
              <w:rPr>
                <w:spacing w:val="0"/>
                <w:lang w:eastAsia="en-US"/>
              </w:rPr>
              <w:t>Meziroční směnné relace byly ve 3. čtvrtletí kladné.</w:t>
            </w:r>
          </w:p>
        </w:tc>
        <w:tc>
          <w:tcPr>
            <w:tcW w:w="223" w:type="dxa"/>
          </w:tcPr>
          <w:p w14:paraId="4E49709D" w14:textId="77777777" w:rsidR="00FD66F9" w:rsidRDefault="00FD66F9" w:rsidP="00102C41">
            <w:pPr>
              <w:pStyle w:val="Textpoznpodarou1"/>
              <w:jc w:val="both"/>
              <w:rPr>
                <w:lang w:eastAsia="en-US"/>
              </w:rPr>
            </w:pPr>
          </w:p>
        </w:tc>
        <w:tc>
          <w:tcPr>
            <w:tcW w:w="7625" w:type="dxa"/>
            <w:hideMark/>
          </w:tcPr>
          <w:p w14:paraId="72720D33" w14:textId="5DAC399C" w:rsidR="00FD66F9" w:rsidRDefault="00FD66F9" w:rsidP="00EB39C7">
            <w:pPr>
              <w:rPr>
                <w:lang w:eastAsia="en-US"/>
              </w:rPr>
            </w:pPr>
            <w:r>
              <w:rPr>
                <w:lang w:eastAsia="en-US"/>
              </w:rPr>
              <w:t>Ceny importu byly ve 3. čtvrtletí meziročně vyšší o 2,7 % a mezičtvrtletně vzrostly o 1,0 %. Meziročně se zvyšovaly ceny výrobků zpracovatelského průmyslu</w:t>
            </w:r>
            <w:r w:rsidR="00EB39C7">
              <w:rPr>
                <w:lang w:eastAsia="en-US"/>
              </w:rPr>
              <w:t xml:space="preserve"> (3,2 %)</w:t>
            </w:r>
            <w:r>
              <w:rPr>
                <w:lang w:eastAsia="en-US"/>
              </w:rPr>
              <w:t xml:space="preserve">. Nejvíc zdražovaly ostatní dopravní prostředky a zařízení (10,7 %) a nápoje (10,1 %), naopak hluboký pokles cen byl zaznamenán u dovozu koksu a rafinovaných ropných </w:t>
            </w:r>
            <w:r>
              <w:rPr>
                <w:lang w:eastAsia="en-US"/>
              </w:rPr>
              <w:lastRenderedPageBreak/>
              <w:t>výrobků</w:t>
            </w:r>
            <w:r w:rsidR="00EB39C7">
              <w:rPr>
                <w:lang w:eastAsia="en-US"/>
              </w:rPr>
              <w:t xml:space="preserve"> (−13,0 %)</w:t>
            </w:r>
            <w:r>
              <w:rPr>
                <w:lang w:eastAsia="en-US"/>
              </w:rPr>
              <w:t xml:space="preserve">. Meziročně vzrostly také ceny těžby a dobývání (3,0 %). Výrazný meziroční pokles cen přetrvával u dovozu produktů zemědělství, lesnictví a rybářství (−12,4 %) a u elektřiny, plynu, páry a klimatizovaného vzduchu (−9,8 %, pokles se od začátku roku razantně zmírnil). Meziroční směnné relace zahraničního obchodu se zbožím dosáhly ve 3. čtvrtletí 101,0 %. Výrazně kladné byly směnné relace obchodu s produkty zemědělství, lesnictví a rybářství (116,2 %) a s elektřinou, plynem, párou a klimatizovaným vzduchem (107,5 %). Směnné relace obchodu s výrobky zpracovatelského průmyslu dosáhly 100,9 %. U těžby a dobývání byly naopak směnné relace výrazně záporné (88,3 %). Mezičtvrtletní směnné relace zahraničního obchodu dosáhly hodnoty 99,8 %. </w:t>
            </w:r>
          </w:p>
        </w:tc>
      </w:tr>
    </w:tbl>
    <w:p w14:paraId="437EE82E" w14:textId="77777777" w:rsidR="00FD66F9" w:rsidRDefault="00FD66F9" w:rsidP="00FD66F9">
      <w:pPr>
        <w:pStyle w:val="Nadpis1"/>
      </w:pPr>
    </w:p>
    <w:p w14:paraId="7710D626" w14:textId="77777777" w:rsidR="00FD66F9" w:rsidRDefault="00FD66F9">
      <w:pPr>
        <w:spacing w:after="0" w:line="240" w:lineRule="auto"/>
        <w:jc w:val="left"/>
        <w:rPr>
          <w:rFonts w:eastAsia="MS Gothic"/>
          <w:b/>
          <w:bCs/>
          <w:color w:val="86BF5E"/>
          <w:sz w:val="32"/>
          <w:szCs w:val="28"/>
        </w:rPr>
      </w:pPr>
      <w:r>
        <w:br w:type="page"/>
      </w:r>
    </w:p>
    <w:p w14:paraId="79966B56" w14:textId="77777777" w:rsidR="0038123E" w:rsidRDefault="0038123E" w:rsidP="0038123E">
      <w:pPr>
        <w:pStyle w:val="Nadpis1"/>
      </w:pPr>
      <w:bookmarkStart w:id="25" w:name="_Toc185241006"/>
      <w:bookmarkStart w:id="26" w:name="_Toc176767109"/>
      <w:bookmarkEnd w:id="12"/>
      <w:bookmarkEnd w:id="18"/>
      <w:r>
        <w:lastRenderedPageBreak/>
        <w:t>6. Trh práce</w:t>
      </w:r>
      <w:bookmarkEnd w:id="25"/>
    </w:p>
    <w:tbl>
      <w:tblPr>
        <w:tblW w:w="9674" w:type="dxa"/>
        <w:tblInd w:w="-35" w:type="dxa"/>
        <w:tblCellMar>
          <w:left w:w="0" w:type="dxa"/>
          <w:right w:w="0" w:type="dxa"/>
        </w:tblCellMar>
        <w:tblLook w:val="00A0" w:firstRow="1" w:lastRow="0" w:firstColumn="1" w:lastColumn="0" w:noHBand="0" w:noVBand="0"/>
      </w:tblPr>
      <w:tblGrid>
        <w:gridCol w:w="1698"/>
        <w:gridCol w:w="201"/>
        <w:gridCol w:w="7775"/>
      </w:tblGrid>
      <w:tr w:rsidR="0038123E" w14:paraId="20A10E52" w14:textId="77777777" w:rsidTr="0038123E">
        <w:trPr>
          <w:trHeight w:val="155"/>
        </w:trPr>
        <w:tc>
          <w:tcPr>
            <w:tcW w:w="1702" w:type="dxa"/>
          </w:tcPr>
          <w:p w14:paraId="1AA0BA48" w14:textId="77777777" w:rsidR="0038123E" w:rsidRDefault="0038123E">
            <w:pPr>
              <w:pStyle w:val="Marginlie"/>
              <w:spacing w:after="120"/>
              <w:rPr>
                <w:color w:val="0D0D0D" w:themeColor="text1" w:themeTint="F2"/>
                <w:lang w:eastAsia="en-US"/>
              </w:rPr>
            </w:pPr>
            <w:r>
              <w:rPr>
                <w:color w:val="0D0D0D" w:themeColor="text1" w:themeTint="F2"/>
                <w:lang w:eastAsia="en-US"/>
              </w:rPr>
              <w:t>Na trhu práce lze ve 3. čtvrtletí nalézt znaky mírného oživení, hlavně v oblasti mezd a firemních očekávání zaměstnanosti.</w:t>
            </w:r>
          </w:p>
          <w:p w14:paraId="23170F56" w14:textId="77777777" w:rsidR="0038123E" w:rsidRDefault="0038123E">
            <w:pPr>
              <w:pStyle w:val="Marginlie"/>
              <w:spacing w:after="120"/>
              <w:rPr>
                <w:color w:val="0D0D0D" w:themeColor="text1" w:themeTint="F2"/>
                <w:spacing w:val="-4"/>
                <w:lang w:eastAsia="en-US"/>
              </w:rPr>
            </w:pPr>
          </w:p>
          <w:p w14:paraId="46B40C0A" w14:textId="77777777" w:rsidR="0038123E" w:rsidRDefault="0038123E">
            <w:pPr>
              <w:pStyle w:val="Marginlie"/>
              <w:spacing w:after="120"/>
              <w:rPr>
                <w:color w:val="0D0D0D" w:themeColor="text1" w:themeTint="F2"/>
                <w:spacing w:val="-4"/>
                <w:lang w:eastAsia="en-US"/>
              </w:rPr>
            </w:pPr>
          </w:p>
          <w:p w14:paraId="043EC583" w14:textId="77777777" w:rsidR="0038123E" w:rsidRDefault="0038123E">
            <w:pPr>
              <w:pStyle w:val="Marginlie"/>
              <w:spacing w:after="120"/>
              <w:rPr>
                <w:color w:val="0D0D0D" w:themeColor="text1" w:themeTint="F2"/>
                <w:spacing w:val="-4"/>
                <w:lang w:eastAsia="en-US"/>
              </w:rPr>
            </w:pPr>
          </w:p>
          <w:p w14:paraId="772BD8F3"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Meziroční růst kupní síly mezd se letos obnovil a ty tak začaly postupně eliminovat své hluboké ztráty z let 2022 i 2023.</w:t>
            </w:r>
          </w:p>
        </w:tc>
        <w:tc>
          <w:tcPr>
            <w:tcW w:w="202" w:type="dxa"/>
          </w:tcPr>
          <w:p w14:paraId="682EE27A"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69B35A6E" w14:textId="77777777" w:rsidR="0038123E" w:rsidRDefault="0038123E">
            <w:pPr>
              <w:spacing w:after="200"/>
              <w:rPr>
                <w:color w:val="0D0D0D" w:themeColor="text1" w:themeTint="F2"/>
                <w:spacing w:val="-2"/>
                <w:szCs w:val="20"/>
                <w:lang w:eastAsia="en-US"/>
              </w:rPr>
            </w:pPr>
            <w:r>
              <w:rPr>
                <w:color w:val="0D0D0D" w:themeColor="text1" w:themeTint="F2"/>
                <w:spacing w:val="-2"/>
                <w:szCs w:val="20"/>
                <w:lang w:eastAsia="en-US"/>
              </w:rPr>
              <w:t xml:space="preserve">Na trhu práce se ve 3. čtvrtletí se zpožděním stále projevovaly dopady loňské stagnace výkonu ekonomiky, zároveň lze však nalézt i stopy jejího letošního mírného oživení. Růst zaměstnanosti zůstával slabý a zároveň dosti diferencovaný, situace v průmyslu byla nadále obtížná. Krátkodobá očekávání zaměstnanosti nicméně podnikatelé ve většině odvětví ekonomiky na konci letošního roku lehce vylepšili. Navzdory stále nejistým ekonomickým výhledům firmy ve zvýšené míře poptávaly levnější pracovní sílu ze zahraničí a souběžně pokračovala též integrace ukrajinských uprchlíků na pracovní trh </w:t>
            </w:r>
            <w:r>
              <w:rPr>
                <w:color w:val="0D0D0D" w:themeColor="text1" w:themeTint="F2"/>
                <w:spacing w:val="-2"/>
                <w:szCs w:val="20"/>
                <w:lang w:eastAsia="en-US"/>
              </w:rPr>
              <w:br/>
              <w:t xml:space="preserve">v Česku, což zčásti řešilo dlouhodobější nedostatek volných pracovních sil v tuzemsku. </w:t>
            </w:r>
            <w:r>
              <w:rPr>
                <w:color w:val="0D0D0D" w:themeColor="text1" w:themeTint="F2"/>
                <w:spacing w:val="-5"/>
                <w:szCs w:val="20"/>
                <w:lang w:eastAsia="en-US"/>
              </w:rPr>
              <w:t xml:space="preserve">Nezaměstnanost včetně její dlouhodobé složky zůstávala bez výraznějších změn na velmi nízké úrovni. Specifická situace v jednotlivých odvětvích se projevovala v různorodém růstu mezd, jeho nominální meziroční tempo letos kolísalo okolo 7 %. To při </w:t>
            </w:r>
            <w:r>
              <w:rPr>
                <w:color w:val="0D0D0D" w:themeColor="text1" w:themeTint="F2"/>
                <w:spacing w:val="-2"/>
                <w:szCs w:val="20"/>
                <w:lang w:eastAsia="en-US"/>
              </w:rPr>
              <w:t>stabilizaci cenové hladiny v ekonomice vyústilo v poměrně svižný růst reálných mezd, jenž ve 3. čtvrtletí prostupoval již všemi hlavními odvětvími. Kupní síla zaměstnaneckých výdělků však stále dosahovala pouze úrovně z roku 2018.</w:t>
            </w:r>
          </w:p>
        </w:tc>
      </w:tr>
      <w:tr w:rsidR="0038123E" w14:paraId="66B85929" w14:textId="77777777" w:rsidTr="0038123E">
        <w:trPr>
          <w:trHeight w:val="155"/>
        </w:trPr>
        <w:tc>
          <w:tcPr>
            <w:tcW w:w="1702" w:type="dxa"/>
            <w:hideMark/>
          </w:tcPr>
          <w:p w14:paraId="5DAF29E4"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 xml:space="preserve">Celkový počet pracovníků dosáhl rekordní úrovně. Proti roku 2019 přibylo jak zaměstnanců, tak sebezaměstnaných. </w:t>
            </w:r>
          </w:p>
        </w:tc>
        <w:tc>
          <w:tcPr>
            <w:tcW w:w="202" w:type="dxa"/>
          </w:tcPr>
          <w:p w14:paraId="23E70252"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7050CC3E" w14:textId="77777777" w:rsidR="0038123E" w:rsidRDefault="0038123E">
            <w:pPr>
              <w:rPr>
                <w:spacing w:val="-4"/>
                <w:lang w:eastAsia="en-US"/>
              </w:rPr>
            </w:pPr>
            <w:r>
              <w:rPr>
                <w:spacing w:val="-4"/>
                <w:lang w:eastAsia="en-US"/>
              </w:rPr>
              <w:t>Ve 3. čtvrtletí letošního roku, stejně jako na jeho samém počátku, celková zaměstnanost</w:t>
            </w:r>
            <w:r>
              <w:rPr>
                <w:color w:val="0D0D0D" w:themeColor="text1" w:themeTint="F2"/>
                <w:vertAlign w:val="superscript"/>
                <w:lang w:eastAsia="en-US"/>
              </w:rPr>
              <w:footnoteReference w:id="62"/>
            </w:r>
            <w:r>
              <w:rPr>
                <w:spacing w:val="-4"/>
                <w:lang w:eastAsia="en-US"/>
              </w:rPr>
              <w:t xml:space="preserve"> v Česku mezikvartálně stagnovala. Náznak rychlejšího oživení z 2. čtvrtletí (+0,5 %), patrný zejména v oblasti tržních služeb, se tak zatím nepotvrdil. I tak se ovšem počet pracovníků v národním hospodářství nacházel fakticky na rekordní úrovni (5,41 mil.). Proti maximální hodnotě z období poslední konjunktury (4. čtvrtletí 2018) byl vyšší o 0,7 %, z převážné části zásluhou rozvoje veřejných služeb. V meziročním pohledu celková zaměstnanost od konce protipandemických restrikcí nepřetržitě roste, aktuální tempo ve 3. čtvrtletí 2024 patří ovšem za celé toto období k nejslabším (+0,4 %</w:t>
            </w:r>
            <w:r>
              <w:rPr>
                <w:rStyle w:val="Znakapoznpodarou"/>
                <w:color w:val="0D0D0D" w:themeColor="text1" w:themeTint="F2"/>
                <w:spacing w:val="-4"/>
                <w:lang w:eastAsia="en-US"/>
              </w:rPr>
              <w:footnoteReference w:id="63"/>
            </w:r>
            <w:r>
              <w:rPr>
                <w:spacing w:val="-4"/>
                <w:lang w:eastAsia="en-US"/>
              </w:rPr>
              <w:t xml:space="preserve">). V něm se setrvačně projevuje vliv loňské stagnace výkonu celé ekonomiky. Růst počtu zaměstnanců i sebezaměstnaných se na rozdíl od předchozích tří let (kdyby se relativně rychleji zotavovalo drobné podnikání) již významně nelišil. Počty osob v obou těchto kategoriích mírně převyšovaly svou úroveň z roku 2019. </w:t>
            </w:r>
          </w:p>
        </w:tc>
      </w:tr>
      <w:tr w:rsidR="0038123E" w14:paraId="3D248E18" w14:textId="77777777" w:rsidTr="0038123E">
        <w:trPr>
          <w:trHeight w:val="155"/>
        </w:trPr>
        <w:tc>
          <w:tcPr>
            <w:tcW w:w="1702" w:type="dxa"/>
          </w:tcPr>
          <w:p w14:paraId="494176CD"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K meziročnímu růstu zaměstnanosti přispívala ve 3. čtvrtletí všechna hlavní odvětví terciárního sektoru, nejvíce pak veřejné služby.</w:t>
            </w:r>
          </w:p>
          <w:p w14:paraId="6F776871" w14:textId="77777777" w:rsidR="0038123E" w:rsidRDefault="0038123E">
            <w:pPr>
              <w:pStyle w:val="Marginlie"/>
              <w:spacing w:after="120"/>
              <w:rPr>
                <w:color w:val="0D0D0D" w:themeColor="text1" w:themeTint="F2"/>
                <w:spacing w:val="-4"/>
                <w:lang w:eastAsia="en-US"/>
              </w:rPr>
            </w:pPr>
          </w:p>
          <w:p w14:paraId="52EEAC50" w14:textId="77777777" w:rsidR="0038123E" w:rsidRDefault="0038123E">
            <w:pPr>
              <w:pStyle w:val="Marginlie"/>
              <w:spacing w:after="120"/>
              <w:rPr>
                <w:color w:val="0D0D0D" w:themeColor="text1" w:themeTint="F2"/>
                <w:spacing w:val="-4"/>
                <w:lang w:eastAsia="en-US"/>
              </w:rPr>
            </w:pPr>
          </w:p>
          <w:p w14:paraId="29555D3E"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 xml:space="preserve">Pracovníků ve zpracovatelském průmyslu nadále ubývalo, pokles aktuálně </w:t>
            </w:r>
            <w:r>
              <w:rPr>
                <w:color w:val="0D0D0D" w:themeColor="text1" w:themeTint="F2"/>
                <w:spacing w:val="-4"/>
                <w:lang w:eastAsia="en-US"/>
              </w:rPr>
              <w:lastRenderedPageBreak/>
              <w:t xml:space="preserve">postihl skoro všechny obory. </w:t>
            </w:r>
          </w:p>
        </w:tc>
        <w:tc>
          <w:tcPr>
            <w:tcW w:w="202" w:type="dxa"/>
          </w:tcPr>
          <w:p w14:paraId="4AE6E7BE"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17554429" w14:textId="77777777" w:rsidR="0038123E" w:rsidRDefault="0038123E">
            <w:pPr>
              <w:rPr>
                <w:spacing w:val="-4"/>
                <w:lang w:eastAsia="en-US"/>
              </w:rPr>
            </w:pPr>
            <w:r>
              <w:rPr>
                <w:spacing w:val="-4"/>
                <w:lang w:eastAsia="en-US"/>
              </w:rPr>
              <w:t>Meziroční růst celkové zaměstnanosti byl ve 3. čtvrtletí tažen veřejnými službami</w:t>
            </w:r>
            <w:r>
              <w:rPr>
                <w:rStyle w:val="Znakapoznpodarou"/>
                <w:spacing w:val="-4"/>
                <w:lang w:eastAsia="en-US"/>
              </w:rPr>
              <w:footnoteReference w:id="64"/>
            </w:r>
            <w:r>
              <w:rPr>
                <w:spacing w:val="-4"/>
                <w:lang w:eastAsia="en-US"/>
              </w:rPr>
              <w:t xml:space="preserve"> (+2,1 %), jež postupně reagovaly na sílící poptávku související s dlouhodobějšími změnami ve věkové skladbě populace (ve vzdělávání, zdravotní a sociální péči). Mírně nižší růst registrovala </w:t>
            </w:r>
            <w:r>
              <w:rPr>
                <w:spacing w:val="-8"/>
                <w:lang w:eastAsia="en-US"/>
              </w:rPr>
              <w:t>ovšem všechna hlavní odvětví terciárního sektoru</w:t>
            </w:r>
            <w:r>
              <w:rPr>
                <w:rStyle w:val="Znakapoznpodarou"/>
                <w:spacing w:val="-8"/>
                <w:lang w:eastAsia="en-US"/>
              </w:rPr>
              <w:footnoteReference w:id="65"/>
            </w:r>
            <w:r>
              <w:rPr>
                <w:spacing w:val="-8"/>
                <w:lang w:eastAsia="en-US"/>
              </w:rPr>
              <w:t>. Téměř ve všech z nich přispívali k vyšší zaměstnanosti</w:t>
            </w:r>
            <w:r>
              <w:rPr>
                <w:spacing w:val="-4"/>
                <w:lang w:eastAsia="en-US"/>
              </w:rPr>
              <w:t xml:space="preserve"> také drobní podnikatelé. Výjimku tvořily informační a komunikační činnosti, v nichž sebezaměstnaných lehce ubylo a růst celkového počtu pracovníků se zmírnil jen na 0,1 % (i tak zde však jejich stavy převýšily o více než desetinu úroveň z roku 2019). Nedařilo se naopak zpracovatelskému průmyslu, kde pracovníků ubylo již šestý kvartál v řadě, aktuálně o 1,6 %. To souviselo s</w:t>
            </w:r>
            <w:r>
              <w:rPr>
                <w:color w:val="0D0D0D" w:themeColor="text1" w:themeTint="F2"/>
                <w:spacing w:val="-4"/>
                <w:lang w:eastAsia="en-US"/>
              </w:rPr>
              <w:t> </w:t>
            </w:r>
            <w:r>
              <w:rPr>
                <w:spacing w:val="-4"/>
                <w:lang w:eastAsia="en-US"/>
              </w:rPr>
              <w:t>recesí celého odvětví doprovázenou zesílenými nákladovými tlaky i oslabenou poptávkou v řadě tradičních exportních oborů (strojírenství, elektrotechnika, hutnictví)</w:t>
            </w:r>
            <w:r>
              <w:rPr>
                <w:rStyle w:val="Znakapoznpodarou"/>
                <w:spacing w:val="-4"/>
                <w:lang w:eastAsia="en-US"/>
              </w:rPr>
              <w:footnoteReference w:id="66"/>
            </w:r>
            <w:r>
              <w:rPr>
                <w:spacing w:val="-4"/>
                <w:lang w:eastAsia="en-US"/>
              </w:rPr>
              <w:t xml:space="preserve">. V ostatním průmyslu byla situace příznivější, neboť růst zaměstnanosti v energetice, vodním i odpadovém hospodářství stačil kompenzovat </w:t>
            </w:r>
            <w:r>
              <w:rPr>
                <w:spacing w:val="-4"/>
                <w:lang w:eastAsia="en-US"/>
              </w:rPr>
              <w:lastRenderedPageBreak/>
              <w:t>prohlubující se útlum v oblasti těžby a dobývání. Rovněž ve stavebnictví počet pracovníků celkově stagnoval.</w:t>
            </w:r>
            <w:r>
              <w:rPr>
                <w:color w:val="0D0D0D" w:themeColor="text1" w:themeTint="F2"/>
                <w:spacing w:val="-4"/>
                <w:lang w:eastAsia="en-US"/>
              </w:rPr>
              <w:t xml:space="preserve"> </w:t>
            </w:r>
          </w:p>
        </w:tc>
      </w:tr>
      <w:tr w:rsidR="0038123E" w14:paraId="7B787ABD" w14:textId="77777777" w:rsidTr="0038123E">
        <w:trPr>
          <w:trHeight w:val="155"/>
        </w:trPr>
        <w:tc>
          <w:tcPr>
            <w:tcW w:w="1702" w:type="dxa"/>
            <w:hideMark/>
          </w:tcPr>
          <w:p w14:paraId="3E6C0736"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lastRenderedPageBreak/>
              <w:t>Počet odpracovaných hodin v ekonomice se v 1. pololetí mírně snižoval. Rozšiřovaly se zkrácené pracovní úvazky.</w:t>
            </w:r>
          </w:p>
        </w:tc>
        <w:tc>
          <w:tcPr>
            <w:tcW w:w="202" w:type="dxa"/>
          </w:tcPr>
          <w:p w14:paraId="515D69F3"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07B6661F" w14:textId="77777777" w:rsidR="0038123E" w:rsidRDefault="0038123E">
            <w:pPr>
              <w:rPr>
                <w:spacing w:val="-4"/>
                <w:lang w:eastAsia="en-US"/>
              </w:rPr>
            </w:pPr>
            <w:r>
              <w:rPr>
                <w:color w:val="0D0D0D" w:themeColor="text1" w:themeTint="F2"/>
                <w:spacing w:val="-4"/>
                <w:lang w:eastAsia="en-US"/>
              </w:rPr>
              <w:t xml:space="preserve">Celkový počet odpracovaných hodin v ekonomice, jenž letos v 1. pololetí mírně klesal, se ve </w:t>
            </w:r>
            <w:r>
              <w:rPr>
                <w:color w:val="0D0D0D" w:themeColor="text1" w:themeTint="F2"/>
                <w:spacing w:val="-5"/>
                <w:lang w:eastAsia="en-US"/>
              </w:rPr>
              <w:t>3. čtvrtletí opět vrátil k meziročnímu růstu (+1,4 %). Nejvíce vzrostl v uskupení obchod, doprava</w:t>
            </w:r>
            <w:r>
              <w:rPr>
                <w:color w:val="0D0D0D" w:themeColor="text1" w:themeTint="F2"/>
                <w:spacing w:val="-4"/>
                <w:lang w:eastAsia="en-US"/>
              </w:rPr>
              <w:t xml:space="preserve">, ubytování a pohostinství, dále ve stavebnictví a zejména v oblasti nemovitostí </w:t>
            </w:r>
            <w:r>
              <w:rPr>
                <w:color w:val="0D0D0D" w:themeColor="text1" w:themeTint="F2"/>
                <w:spacing w:val="-4"/>
                <w:lang w:eastAsia="en-US"/>
              </w:rPr>
              <w:br/>
              <w:t>(+3,1 %), kde také výrazněji převyšoval tempo růstu zaměstnanosti ve fyzických osobách (to zde dosáhlo jen 0,4 %). V 1. pololetí 2024 i po většině loňského roku tomu ale bylo ve většině odvětví naopak. Mohly se zde projevit nižší potřeba přesčasové práce v některých odvětvích zasažených recesí, rozšiřování zkrácených pracovních úvazků</w:t>
            </w:r>
            <w:r>
              <w:rPr>
                <w:rStyle w:val="Znakapoznpodarou"/>
                <w:color w:val="0D0D0D" w:themeColor="text1" w:themeTint="F2"/>
                <w:spacing w:val="-4"/>
                <w:lang w:eastAsia="en-US"/>
              </w:rPr>
              <w:footnoteReference w:id="67"/>
            </w:r>
            <w:r>
              <w:rPr>
                <w:color w:val="0D0D0D" w:themeColor="text1" w:themeTint="F2"/>
                <w:spacing w:val="-4"/>
                <w:lang w:eastAsia="en-US"/>
              </w:rPr>
              <w:t xml:space="preserve"> (související s rostoucí zaměstnaností žen podpořenou integrací uprchlic z Ukrajiny i s loni zavedeným daňovým zvýhodněním zkrácených úvazků) či pokles počtu osob pracujících na dohody</w:t>
            </w:r>
            <w:r>
              <w:rPr>
                <w:rStyle w:val="Znakapoznpodarou"/>
                <w:color w:val="0D0D0D" w:themeColor="text1" w:themeTint="F2"/>
                <w:spacing w:val="-4"/>
                <w:lang w:eastAsia="en-US"/>
              </w:rPr>
              <w:footnoteReference w:id="68"/>
            </w:r>
            <w:r>
              <w:rPr>
                <w:color w:val="0D0D0D" w:themeColor="text1" w:themeTint="F2"/>
                <w:spacing w:val="-4"/>
                <w:lang w:eastAsia="en-US"/>
              </w:rPr>
              <w:t xml:space="preserve"> (vlivem legislativních změn snižujících pro zaměstnance finanční výhodnost těchto forem práce a naopak zvyšující se administrativní náročnost pro firmy). </w:t>
            </w:r>
          </w:p>
        </w:tc>
      </w:tr>
      <w:tr w:rsidR="0038123E" w14:paraId="57C48B5C" w14:textId="77777777" w:rsidTr="0038123E">
        <w:trPr>
          <w:trHeight w:val="155"/>
        </w:trPr>
        <w:tc>
          <w:tcPr>
            <w:tcW w:w="1702" w:type="dxa"/>
          </w:tcPr>
          <w:p w14:paraId="5809AFCD"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 xml:space="preserve">Zvýšil se počet lidí kombinujících více zaměstnání. </w:t>
            </w:r>
          </w:p>
          <w:p w14:paraId="06AA3127" w14:textId="77777777" w:rsidR="0038123E" w:rsidRDefault="0038123E">
            <w:pPr>
              <w:pStyle w:val="Marginlie"/>
              <w:spacing w:after="120"/>
              <w:rPr>
                <w:color w:val="0D0D0D" w:themeColor="text1" w:themeTint="F2"/>
                <w:spacing w:val="-4"/>
                <w:lang w:eastAsia="en-US"/>
              </w:rPr>
            </w:pPr>
          </w:p>
          <w:p w14:paraId="4A2C6B4D" w14:textId="77777777" w:rsidR="0038123E" w:rsidRDefault="0038123E">
            <w:pPr>
              <w:pStyle w:val="Marginlie"/>
              <w:spacing w:after="120"/>
              <w:rPr>
                <w:color w:val="0D0D0D" w:themeColor="text1" w:themeTint="F2"/>
                <w:spacing w:val="-4"/>
                <w:lang w:eastAsia="en-US"/>
              </w:rPr>
            </w:pPr>
          </w:p>
          <w:p w14:paraId="251D436A"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Pokračoval dlouhodobý růst počtu specialistů.</w:t>
            </w:r>
          </w:p>
        </w:tc>
        <w:tc>
          <w:tcPr>
            <w:tcW w:w="202" w:type="dxa"/>
          </w:tcPr>
          <w:p w14:paraId="6EAFF632"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6F84E14F" w14:textId="77777777" w:rsidR="0038123E" w:rsidRDefault="0038123E">
            <w:pPr>
              <w:rPr>
                <w:color w:val="0D0D0D" w:themeColor="text1" w:themeTint="F2"/>
                <w:spacing w:val="-4"/>
                <w:lang w:eastAsia="en-US"/>
              </w:rPr>
            </w:pPr>
            <w:r>
              <w:rPr>
                <w:color w:val="0D0D0D" w:themeColor="text1" w:themeTint="F2"/>
                <w:spacing w:val="-4"/>
                <w:lang w:eastAsia="en-US"/>
              </w:rPr>
              <w:t>Se zvyšující se rolí zkrácených úvazků souvisí i rostoucí podíl osob pracujících ve dvou zaměstnáních. Zatímco ve 2. čtvrtletí 2023 bylo takto zaměstnáno 2,7 % pracovníků, o rok později rekordních 3,2 %</w:t>
            </w:r>
            <w:r>
              <w:rPr>
                <w:rStyle w:val="Znakapoznpodarou"/>
                <w:color w:val="0D0D0D" w:themeColor="text1" w:themeTint="F2"/>
                <w:spacing w:val="-4"/>
                <w:lang w:eastAsia="en-US"/>
              </w:rPr>
              <w:footnoteReference w:id="69"/>
            </w:r>
            <w:r>
              <w:rPr>
                <w:color w:val="0D0D0D" w:themeColor="text1" w:themeTint="F2"/>
                <w:spacing w:val="-4"/>
                <w:lang w:eastAsia="en-US"/>
              </w:rPr>
              <w:t xml:space="preserve">. Zhruba polovina z tohoto nárůstu připadá na osoby vykonávající dvě různé zaměstnanecké pozice, zbylá část pak na podnikatele, kteří „doplňkově“ působí také v zaměstnanecké pozici. Vedle těchto posunů probíhají i dlouhodobější strukturální změny zaměstnanosti. Se zvyšující se vzdělaností pracovní síly roste i počet lidí působících v kategorii specialistů (dle údajů VŠPS ve 3. čtvrtletí 2024 meziročně o 6 %). V letošním roce došlo také k navýšení u technických a odborných pracovníků či pracovníků se službách a prodeji (shodně o 5 %). Naopak pokračoval pokles v kategorii úředníků, z významné části vlivem rozvoje digitalizace v oblasti tržních i veřejných služeb. </w:t>
            </w:r>
          </w:p>
        </w:tc>
      </w:tr>
      <w:tr w:rsidR="0038123E" w14:paraId="075F676E" w14:textId="77777777" w:rsidTr="0038123E">
        <w:trPr>
          <w:trHeight w:val="155"/>
        </w:trPr>
        <w:tc>
          <w:tcPr>
            <w:tcW w:w="1702" w:type="dxa"/>
            <w:hideMark/>
          </w:tcPr>
          <w:p w14:paraId="2A232569"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Počet cizinců v zaměstnaneckém postavení vystoupal na rekordních 849 tis. Jejich meziroční přírůstek ale zvolnil, neboť ubylo pracovníků ze střední Evropy. Zrychlil naopak příliv osob z některých asijských států.</w:t>
            </w:r>
          </w:p>
        </w:tc>
        <w:tc>
          <w:tcPr>
            <w:tcW w:w="202" w:type="dxa"/>
          </w:tcPr>
          <w:p w14:paraId="215EF095"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524049E3" w14:textId="77777777" w:rsidR="0038123E" w:rsidRDefault="0038123E">
            <w:pPr>
              <w:rPr>
                <w:color w:val="0D0D0D" w:themeColor="text1" w:themeTint="F2"/>
                <w:spacing w:val="-4"/>
                <w:lang w:eastAsia="en-US"/>
              </w:rPr>
            </w:pPr>
            <w:r>
              <w:rPr>
                <w:color w:val="0D0D0D" w:themeColor="text1" w:themeTint="F2"/>
                <w:spacing w:val="-4"/>
                <w:lang w:eastAsia="en-US"/>
              </w:rPr>
              <w:t>Dlouhodobě omezený rezervoár volných pracovních sil v Česku (vlivem demografického stárnutí i nízké porodnosti) i sílící tlak firem na optimalizaci výrobních nákladů stimulovaly rostoucí poptávku tuzemských zaměstnavatelů po pracovnících ze zahraničí. Snadnějšímu zaměstnávání cizinců pomáhají legislativní změny snižující administrativní náročnost v této oblasti. To se týká jak ukrajinských občanů</w:t>
            </w:r>
            <w:r>
              <w:rPr>
                <w:rStyle w:val="Znakapoznpodarou"/>
                <w:color w:val="0D0D0D" w:themeColor="text1" w:themeTint="F2"/>
                <w:spacing w:val="-4"/>
                <w:lang w:eastAsia="en-US"/>
              </w:rPr>
              <w:footnoteReference w:id="70"/>
            </w:r>
            <w:r>
              <w:rPr>
                <w:color w:val="0D0D0D" w:themeColor="text1" w:themeTint="F2"/>
                <w:spacing w:val="-4"/>
                <w:lang w:eastAsia="en-US"/>
              </w:rPr>
              <w:t>, tak i cizinců z dalších, nejen hospodářsky méně vyspělých zemí mimo EU</w:t>
            </w:r>
            <w:r>
              <w:rPr>
                <w:rStyle w:val="Znakapoznpodarou"/>
                <w:color w:val="0D0D0D" w:themeColor="text1" w:themeTint="F2"/>
                <w:spacing w:val="-4"/>
                <w:lang w:eastAsia="en-US"/>
              </w:rPr>
              <w:footnoteReference w:id="71"/>
            </w:r>
            <w:r>
              <w:rPr>
                <w:color w:val="0D0D0D" w:themeColor="text1" w:themeTint="F2"/>
                <w:spacing w:val="-4"/>
                <w:lang w:eastAsia="en-US"/>
              </w:rPr>
              <w:t>. Dlouhodobý příliv zahraničních pracovníků do Česka tak pokračoval. Počet pracujících cizinců v Česku nicméně rostl letos mírně pomalejším tempem než loni, např. v dominantní skupině zaměstnanců jich letos na konci listopadu bylo rekordních 849 tis. (meziročně +19 tis., za dva roky +49 tis.)</w:t>
            </w:r>
            <w:r>
              <w:rPr>
                <w:rStyle w:val="Znakapoznpodarou"/>
                <w:color w:val="0D0D0D" w:themeColor="text1" w:themeTint="F2"/>
                <w:spacing w:val="-4"/>
                <w:lang w:eastAsia="en-US"/>
              </w:rPr>
              <w:footnoteReference w:id="72"/>
            </w:r>
            <w:r>
              <w:rPr>
                <w:color w:val="0D0D0D" w:themeColor="text1" w:themeTint="F2"/>
                <w:spacing w:val="-4"/>
                <w:lang w:eastAsia="en-US"/>
              </w:rPr>
              <w:t xml:space="preserve">. Nejvíce meziročně přibylo občanů Ukrajiny (+17 tis. na 306 tis., z toho ženy +13 tis., na 165 tis. žen), řádově méně z Ruska a Vietnamu. Relativně rychle vzrostl i počet občanů Filipín (o polovinu), Číny, Indie, Bangladéše a Egypta (shodně zhruba o pětinu). Naopak ubylo pracovníků ze střední Evropy – především Poláků (−5,6 tis., resp. o 11 %) a Maďarů a také z Balkánu (Rumunů, Bulharů). Veškerých cizinců v zaměstnaneckém postavení přibylo jen díky ženám, počet mužů pouze stagnoval (na 484 tis.). Z pohledu krajů vzrostl meziročně počet cizinců nejvíce v Praze </w:t>
            </w:r>
            <w:r>
              <w:rPr>
                <w:color w:val="0D0D0D" w:themeColor="text1" w:themeTint="F2"/>
                <w:spacing w:val="-4"/>
                <w:lang w:eastAsia="en-US"/>
              </w:rPr>
              <w:lastRenderedPageBreak/>
              <w:t>(+7,7 %) a Olomouckém kraji (+5,9 %). Letos na konci listopadu tak připadla skoro třetina všech v Česku zaměstnaných cizinců (v evidenci úřadů práce) na Prahu a spolu se středními Čechami pak bezmála polovina</w:t>
            </w:r>
            <w:r>
              <w:rPr>
                <w:color w:val="0D0D0D" w:themeColor="text1" w:themeTint="F2"/>
                <w:spacing w:val="-6"/>
                <w:lang w:eastAsia="en-US"/>
              </w:rPr>
              <w:t>.</w:t>
            </w:r>
          </w:p>
        </w:tc>
      </w:tr>
      <w:tr w:rsidR="0038123E" w14:paraId="537708AC" w14:textId="77777777" w:rsidTr="0038123E">
        <w:trPr>
          <w:trHeight w:val="155"/>
        </w:trPr>
        <w:tc>
          <w:tcPr>
            <w:tcW w:w="1702" w:type="dxa"/>
            <w:hideMark/>
          </w:tcPr>
          <w:p w14:paraId="720F91E4"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lastRenderedPageBreak/>
              <w:t>Míra zaměstnanosti letos mírně rostla, výhradně díky ženám.</w:t>
            </w:r>
          </w:p>
        </w:tc>
        <w:tc>
          <w:tcPr>
            <w:tcW w:w="202" w:type="dxa"/>
          </w:tcPr>
          <w:p w14:paraId="5A5CDB1A"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374E5747" w14:textId="77777777" w:rsidR="0038123E" w:rsidRDefault="0038123E">
            <w:pPr>
              <w:rPr>
                <w:color w:val="0D0D0D" w:themeColor="text1" w:themeTint="F2"/>
                <w:spacing w:val="-4"/>
                <w:lang w:eastAsia="en-US"/>
              </w:rPr>
            </w:pPr>
            <w:r>
              <w:rPr>
                <w:color w:val="0D0D0D" w:themeColor="text1" w:themeTint="F2"/>
                <w:spacing w:val="-4"/>
                <w:lang w:eastAsia="en-US"/>
              </w:rPr>
              <w:t>Míra zaměstnanosti (15 až 64letých) se na rozdíl od loňska letos v Česku meziročně mírně zvyšovala. Ve 3. čtvrtletí dosáhla 75,7 % (+0,4 p. b.). Za růstem stály pouze ženy, jejichž zaměstnanost posílila o 1,4 p. b. (na 69,8 %). U mužů kvůli složité situaci v tradičních výrobních odvětvích klesla i o 0,4 p. b. (81,4 %). Dle aktuálních dat za 2. čtvrtletí 2024 byla celková míra zaměstnanosti v Česku mezi státy EU osmá nejvyšší, když unijní průměr převyšovala o 4,4 p. b. Mezi středoevropskými státy mělo vyšší zaměstnanost než v tuzemsku pouze Německo (o 2 p. b.). Relativně vysoké zaměstnanosti v Česku pomáhá silná míra participace mužů (v rámci EU třetí nejvyšší po Nizozemsku a Maltě) a z pohledu věku skupina 40 až 59 let. Naopak zaměstnanost žen řadí Česko spíše do unijního průměru a pod ním dlouhodobě a znatelně setrvává participace pracovníků do 25 let (obou pohlaví).</w:t>
            </w:r>
          </w:p>
        </w:tc>
      </w:tr>
      <w:tr w:rsidR="0038123E" w14:paraId="40E5675C" w14:textId="77777777" w:rsidTr="0038123E">
        <w:trPr>
          <w:trHeight w:val="155"/>
        </w:trPr>
        <w:tc>
          <w:tcPr>
            <w:tcW w:w="1702" w:type="dxa"/>
            <w:vMerge w:val="restart"/>
          </w:tcPr>
          <w:p w14:paraId="18948C13" w14:textId="77777777" w:rsidR="0038123E" w:rsidRDefault="0038123E">
            <w:pPr>
              <w:pStyle w:val="Marginlie"/>
              <w:spacing w:after="120"/>
              <w:rPr>
                <w:spacing w:val="-4"/>
                <w:lang w:eastAsia="en-US"/>
              </w:rPr>
            </w:pPr>
          </w:p>
        </w:tc>
        <w:tc>
          <w:tcPr>
            <w:tcW w:w="202" w:type="dxa"/>
            <w:vMerge w:val="restart"/>
          </w:tcPr>
          <w:p w14:paraId="15CE635C" w14:textId="77777777" w:rsidR="0038123E" w:rsidRDefault="0038123E">
            <w:pPr>
              <w:pStyle w:val="Textpoznpodarou"/>
              <w:spacing w:after="120"/>
              <w:jc w:val="both"/>
              <w:rPr>
                <w:spacing w:val="-4"/>
                <w:lang w:eastAsia="en-US"/>
              </w:rPr>
            </w:pPr>
          </w:p>
        </w:tc>
        <w:tc>
          <w:tcPr>
            <w:tcW w:w="7770" w:type="dxa"/>
            <w:hideMark/>
          </w:tcPr>
          <w:p w14:paraId="29C68B94" w14:textId="77777777" w:rsidR="0038123E" w:rsidRDefault="0038123E">
            <w:pPr>
              <w:spacing w:after="0"/>
              <w:rPr>
                <w:spacing w:val="-2"/>
                <w:lang w:eastAsia="en-US"/>
              </w:rPr>
            </w:pPr>
            <w:r>
              <w:rPr>
                <w:rFonts w:cs="Arial"/>
                <w:b/>
                <w:bCs/>
                <w:color w:val="000000"/>
                <w:szCs w:val="20"/>
                <w:lang w:eastAsia="en-US"/>
              </w:rPr>
              <w:t>Graf č. 13</w:t>
            </w:r>
            <w:r>
              <w:rPr>
                <w:rFonts w:cs="Arial"/>
                <w:b/>
                <w:bCs/>
                <w:color w:val="000000"/>
                <w:sz w:val="18"/>
                <w:szCs w:val="18"/>
                <w:lang w:eastAsia="en-US"/>
              </w:rPr>
              <w:t xml:space="preserve"> </w:t>
            </w:r>
            <w:r>
              <w:rPr>
                <w:b/>
                <w:bCs/>
                <w:lang w:eastAsia="en-US"/>
              </w:rPr>
              <w:t xml:space="preserve">Celková zaměstnanost </w:t>
            </w:r>
            <w:r>
              <w:rPr>
                <w:lang w:eastAsia="en-US"/>
              </w:rPr>
              <w:t>(</w:t>
            </w:r>
            <w:r>
              <w:rPr>
                <w:spacing w:val="-2"/>
                <w:lang w:eastAsia="en-US"/>
              </w:rPr>
              <w:t>meziročně v %)</w:t>
            </w:r>
            <w:r>
              <w:rPr>
                <w:b/>
                <w:bCs/>
                <w:spacing w:val="-2"/>
                <w:lang w:eastAsia="en-US"/>
              </w:rPr>
              <w:t xml:space="preserve">, příspěvky odvětví k meziroční změně zaměstnanosti </w:t>
            </w:r>
            <w:r>
              <w:rPr>
                <w:spacing w:val="-2"/>
                <w:lang w:eastAsia="en-US"/>
              </w:rPr>
              <w:t>(v p. b.)</w:t>
            </w:r>
            <w:r>
              <w:rPr>
                <w:b/>
                <w:bCs/>
                <w:spacing w:val="-2"/>
                <w:lang w:eastAsia="en-US"/>
              </w:rPr>
              <w:t xml:space="preserve"> a očekávání vývoje zaměstnanosti </w:t>
            </w:r>
            <w:r>
              <w:rPr>
                <w:spacing w:val="-2"/>
                <w:lang w:eastAsia="en-US"/>
              </w:rPr>
              <w:t>(saldo v p. b.)</w:t>
            </w:r>
          </w:p>
        </w:tc>
      </w:tr>
      <w:tr w:rsidR="0038123E" w14:paraId="51C0BF5E" w14:textId="77777777" w:rsidTr="0038123E">
        <w:trPr>
          <w:trHeight w:val="155"/>
        </w:trPr>
        <w:tc>
          <w:tcPr>
            <w:tcW w:w="0" w:type="auto"/>
            <w:vMerge/>
            <w:vAlign w:val="center"/>
            <w:hideMark/>
          </w:tcPr>
          <w:p w14:paraId="3BBB0FE9" w14:textId="77777777" w:rsidR="0038123E" w:rsidRDefault="0038123E">
            <w:pPr>
              <w:spacing w:after="0" w:line="240" w:lineRule="auto"/>
              <w:jc w:val="left"/>
              <w:rPr>
                <w:spacing w:val="-4"/>
                <w:sz w:val="16"/>
                <w:szCs w:val="16"/>
                <w:lang w:eastAsia="en-US"/>
              </w:rPr>
            </w:pPr>
          </w:p>
        </w:tc>
        <w:tc>
          <w:tcPr>
            <w:tcW w:w="0" w:type="auto"/>
            <w:vMerge/>
            <w:vAlign w:val="center"/>
            <w:hideMark/>
          </w:tcPr>
          <w:p w14:paraId="125E2F2B" w14:textId="77777777" w:rsidR="0038123E" w:rsidRDefault="0038123E">
            <w:pPr>
              <w:spacing w:after="0" w:line="240" w:lineRule="auto"/>
              <w:jc w:val="left"/>
              <w:rPr>
                <w:rFonts w:eastAsia="Calibri"/>
                <w:spacing w:val="-4"/>
                <w:szCs w:val="20"/>
                <w:lang w:eastAsia="en-US"/>
              </w:rPr>
            </w:pPr>
          </w:p>
        </w:tc>
        <w:tc>
          <w:tcPr>
            <w:tcW w:w="7770" w:type="dxa"/>
            <w:tcMar>
              <w:top w:w="0" w:type="dxa"/>
              <w:left w:w="70" w:type="dxa"/>
              <w:bottom w:w="0" w:type="dxa"/>
              <w:right w:w="70" w:type="dxa"/>
            </w:tcMar>
            <w:hideMark/>
          </w:tcPr>
          <w:p w14:paraId="42445013" w14:textId="7F3044E4" w:rsidR="0038123E" w:rsidRDefault="0038123E">
            <w:pPr>
              <w:spacing w:after="0"/>
              <w:rPr>
                <w:spacing w:val="-4"/>
                <w:lang w:eastAsia="en-US"/>
              </w:rPr>
            </w:pPr>
            <w:r>
              <w:rPr>
                <w:noProof/>
              </w:rPr>
              <w:drawing>
                <wp:inline distT="0" distB="0" distL="0" distR="0" wp14:anchorId="4B411436" wp14:editId="3D3D9956">
                  <wp:extent cx="4838700" cy="3810000"/>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38123E" w14:paraId="26370FBE" w14:textId="77777777" w:rsidTr="0038123E">
        <w:trPr>
          <w:trHeight w:val="671"/>
        </w:trPr>
        <w:tc>
          <w:tcPr>
            <w:tcW w:w="0" w:type="auto"/>
            <w:vMerge/>
            <w:vAlign w:val="center"/>
            <w:hideMark/>
          </w:tcPr>
          <w:p w14:paraId="6A7A6A83" w14:textId="77777777" w:rsidR="0038123E" w:rsidRDefault="0038123E">
            <w:pPr>
              <w:spacing w:after="0" w:line="240" w:lineRule="auto"/>
              <w:jc w:val="left"/>
              <w:rPr>
                <w:spacing w:val="-4"/>
                <w:sz w:val="16"/>
                <w:szCs w:val="16"/>
                <w:lang w:eastAsia="en-US"/>
              </w:rPr>
            </w:pPr>
          </w:p>
        </w:tc>
        <w:tc>
          <w:tcPr>
            <w:tcW w:w="0" w:type="auto"/>
            <w:vMerge/>
            <w:vAlign w:val="center"/>
            <w:hideMark/>
          </w:tcPr>
          <w:p w14:paraId="75551CF9" w14:textId="77777777" w:rsidR="0038123E" w:rsidRDefault="0038123E">
            <w:pPr>
              <w:spacing w:after="0" w:line="240" w:lineRule="auto"/>
              <w:jc w:val="left"/>
              <w:rPr>
                <w:rFonts w:eastAsia="Calibri"/>
                <w:spacing w:val="-4"/>
                <w:szCs w:val="20"/>
                <w:lang w:eastAsia="en-US"/>
              </w:rPr>
            </w:pPr>
          </w:p>
        </w:tc>
        <w:tc>
          <w:tcPr>
            <w:tcW w:w="7770" w:type="dxa"/>
            <w:hideMark/>
          </w:tcPr>
          <w:p w14:paraId="5D45602F" w14:textId="77777777" w:rsidR="0038123E" w:rsidRDefault="0038123E">
            <w:pPr>
              <w:spacing w:after="0" w:line="240" w:lineRule="auto"/>
              <w:rPr>
                <w:rFonts w:cs="Arial"/>
                <w:sz w:val="14"/>
                <w:szCs w:val="14"/>
                <w:lang w:eastAsia="en-US"/>
              </w:rPr>
            </w:pPr>
            <w:r>
              <w:rPr>
                <w:rFonts w:cs="Arial"/>
                <w:color w:val="0D0D0D" w:themeColor="text1" w:themeTint="F2"/>
                <w:spacing w:val="-2"/>
                <w:sz w:val="14"/>
                <w:szCs w:val="14"/>
                <w:lang w:eastAsia="en-US"/>
              </w:rPr>
              <w:t>*</w:t>
            </w:r>
            <w:r>
              <w:rPr>
                <w:rFonts w:cs="Arial"/>
                <w:sz w:val="14"/>
                <w:szCs w:val="14"/>
                <w:lang w:eastAsia="en-US"/>
              </w:rPr>
              <w:t xml:space="preserve"> Těžba a energetika; Peněžnictví a pojišťovnictví; Činnosti v oblasti nemovitostí; Kulturní, zábavní a</w:t>
            </w:r>
            <w:r>
              <w:rPr>
                <w:sz w:val="14"/>
                <w:szCs w:val="14"/>
                <w:lang w:eastAsia="en-US"/>
              </w:rPr>
              <w:t> </w:t>
            </w:r>
            <w:r>
              <w:rPr>
                <w:rFonts w:cs="Arial"/>
                <w:sz w:val="14"/>
                <w:szCs w:val="14"/>
                <w:lang w:eastAsia="en-US"/>
              </w:rPr>
              <w:t>rekreační činnosti.</w:t>
            </w:r>
          </w:p>
          <w:p w14:paraId="4987E249" w14:textId="77777777" w:rsidR="0038123E" w:rsidRDefault="0038123E">
            <w:pPr>
              <w:spacing w:after="0" w:line="240" w:lineRule="auto"/>
              <w:rPr>
                <w:rFonts w:cs="Arial"/>
                <w:sz w:val="14"/>
                <w:szCs w:val="14"/>
                <w:lang w:eastAsia="en-US"/>
              </w:rPr>
            </w:pPr>
            <w:r>
              <w:rPr>
                <w:rFonts w:cs="Arial"/>
                <w:sz w:val="14"/>
                <w:szCs w:val="14"/>
                <w:lang w:eastAsia="en-US"/>
              </w:rPr>
              <w:t xml:space="preserve">Poznámka: Saldo </w:t>
            </w:r>
            <w:r>
              <w:rPr>
                <w:rFonts w:cs="Arial"/>
                <w:color w:val="0D0D0D" w:themeColor="text1" w:themeTint="F2"/>
                <w:sz w:val="14"/>
                <w:szCs w:val="14"/>
                <w:lang w:eastAsia="en-US"/>
              </w:rPr>
              <w:t>očekávání vyjadřuje rozdíl v p. b. mezi kategoriemi růst versus pokles zaměstnanosti v nejbližších třech měsících. Údaje jsou sezónně očištěny a vztahují se k druhému měsíci daného čtvrtletí.</w:t>
            </w:r>
          </w:p>
          <w:p w14:paraId="7D00E3FB" w14:textId="77777777" w:rsidR="0038123E" w:rsidRDefault="0038123E">
            <w:pPr>
              <w:spacing w:after="200" w:line="240" w:lineRule="auto"/>
              <w:rPr>
                <w:rFonts w:cs="Arial"/>
                <w:color w:val="0D0D0D" w:themeColor="text1" w:themeTint="F2"/>
                <w:spacing w:val="-2"/>
                <w:sz w:val="14"/>
                <w:szCs w:val="14"/>
                <w:lang w:eastAsia="en-US"/>
              </w:rPr>
            </w:pPr>
            <w:r>
              <w:rPr>
                <w:rFonts w:cs="Arial"/>
                <w:sz w:val="14"/>
                <w:szCs w:val="14"/>
                <w:lang w:eastAsia="en-US"/>
              </w:rPr>
              <w:t>Zdroj: ČSÚ (národní účty), Eurostat (konjunkturální průzkumy).</w:t>
            </w:r>
          </w:p>
        </w:tc>
      </w:tr>
      <w:tr w:rsidR="0038123E" w14:paraId="58D495A7" w14:textId="77777777" w:rsidTr="0038123E">
        <w:trPr>
          <w:trHeight w:val="145"/>
        </w:trPr>
        <w:tc>
          <w:tcPr>
            <w:tcW w:w="1702" w:type="dxa"/>
          </w:tcPr>
          <w:p w14:paraId="2963B3BB"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Krátkodobá očekávání podniků v oblasti zaměstnanosti se na konci roku mírně zlepšila. Lehký optimismus zavládl v obchodu i stavebnictví.</w:t>
            </w:r>
          </w:p>
          <w:p w14:paraId="70F2E040" w14:textId="77777777" w:rsidR="0038123E" w:rsidRDefault="0038123E">
            <w:pPr>
              <w:pStyle w:val="Marginlie"/>
              <w:spacing w:after="120"/>
              <w:rPr>
                <w:color w:val="0D0D0D" w:themeColor="text1" w:themeTint="F2"/>
                <w:spacing w:val="-4"/>
                <w:lang w:eastAsia="en-US"/>
              </w:rPr>
            </w:pPr>
          </w:p>
          <w:p w14:paraId="3091F6DB" w14:textId="77777777" w:rsidR="0038123E" w:rsidRDefault="0038123E">
            <w:pPr>
              <w:pStyle w:val="Marginlie"/>
              <w:spacing w:after="120"/>
              <w:rPr>
                <w:color w:val="0D0D0D" w:themeColor="text1" w:themeTint="F2"/>
                <w:spacing w:val="-4"/>
                <w:lang w:eastAsia="en-US"/>
              </w:rPr>
            </w:pPr>
          </w:p>
          <w:p w14:paraId="6AB7EFEB" w14:textId="77777777" w:rsidR="0038123E" w:rsidRDefault="0038123E">
            <w:pPr>
              <w:pStyle w:val="Marginlie"/>
              <w:rPr>
                <w:color w:val="0D0D0D" w:themeColor="text1" w:themeTint="F2"/>
                <w:spacing w:val="-5"/>
                <w:lang w:eastAsia="en-US"/>
              </w:rPr>
            </w:pPr>
            <w:r>
              <w:rPr>
                <w:color w:val="0D0D0D" w:themeColor="text1" w:themeTint="F2"/>
                <w:spacing w:val="-4"/>
                <w:lang w:eastAsia="en-US"/>
              </w:rPr>
              <w:lastRenderedPageBreak/>
              <w:t>Nedostatek pracovníků dále sužuje hlavně stavební podniky.</w:t>
            </w:r>
          </w:p>
        </w:tc>
        <w:tc>
          <w:tcPr>
            <w:tcW w:w="202" w:type="dxa"/>
          </w:tcPr>
          <w:p w14:paraId="2D7C0BB3"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0AD99923" w14:textId="77777777" w:rsidR="0038123E" w:rsidRDefault="0038123E">
            <w:pPr>
              <w:spacing w:after="200"/>
              <w:rPr>
                <w:rStyle w:val="normaltextrun"/>
                <w:rFonts w:eastAsia="MS Gothic" w:cs="Arial"/>
                <w:szCs w:val="20"/>
              </w:rPr>
            </w:pPr>
            <w:r>
              <w:rPr>
                <w:color w:val="0D0D0D" w:themeColor="text1" w:themeTint="F2"/>
                <w:spacing w:val="-4"/>
                <w:lang w:eastAsia="en-US"/>
              </w:rPr>
              <w:t>Krátkodobá očekávání podniků v oblasti vlastní zaměstnanosti</w:t>
            </w:r>
            <w:r>
              <w:rPr>
                <w:rStyle w:val="Znakapoznpodarou"/>
                <w:color w:val="0D0D0D" w:themeColor="text1" w:themeTint="F2"/>
                <w:spacing w:val="-4"/>
                <w:lang w:eastAsia="en-US"/>
              </w:rPr>
              <w:footnoteReference w:id="73"/>
            </w:r>
            <w:r>
              <w:rPr>
                <w:color w:val="0D0D0D" w:themeColor="text1" w:themeTint="F2"/>
                <w:spacing w:val="-4"/>
                <w:lang w:eastAsia="en-US"/>
              </w:rPr>
              <w:t xml:space="preserve"> zůstávají v tuzemsku (stejně jako po celý loňský rok) lehce negativní. Ta se i přes mírný růst výkonu ekonomiky letos v létě nacházela blízko tříletému minimu. Na konci roku nicméně došlo ke zlepšení (ve všech hlavních odvětvích vyjma průmyslu). Mírný optimismus tak zavládl v obchodu i stavebnictví, kde v tříměsíčním horizontu </w:t>
            </w:r>
            <w:r>
              <w:rPr>
                <w:rStyle w:val="eop"/>
                <w:rFonts w:eastAsia="MS Gothic" w:cs="Arial"/>
                <w:color w:val="0D0D0D" w:themeColor="text1" w:themeTint="F2"/>
                <w:spacing w:val="-4"/>
                <w:szCs w:val="20"/>
                <w:lang w:eastAsia="en-US"/>
              </w:rPr>
              <w:t xml:space="preserve">plánovalo nabírat zaměstnance 18 %, resp. 10 % podniků. Oproti tomu ve službách, i přes citelné meziroční zlepšení, </w:t>
            </w:r>
            <w:r>
              <w:rPr>
                <w:color w:val="0D0D0D" w:themeColor="text1" w:themeTint="F2"/>
                <w:spacing w:val="-4"/>
                <w:lang w:eastAsia="en-US"/>
              </w:rPr>
              <w:t>převažoval podíl firem, které chtějí pracovníky propouštět (21 %) nad těmi, co očekávají jejich nabírání (14 %). Ještě složitější situace panovala v průmyslu, kde předpokládalo růst zaměstnanosti jen 6 % podniků.</w:t>
            </w:r>
            <w:r>
              <w:rPr>
                <w:rStyle w:val="eop"/>
                <w:color w:val="0D0D0D" w:themeColor="text1" w:themeTint="F2"/>
                <w:spacing w:val="-4"/>
                <w:lang w:eastAsia="en-US"/>
              </w:rPr>
              <w:t xml:space="preserve"> </w:t>
            </w:r>
            <w:r>
              <w:rPr>
                <w:color w:val="0D0D0D" w:themeColor="text1" w:themeTint="F2"/>
                <w:spacing w:val="-4"/>
                <w:lang w:eastAsia="en-US"/>
              </w:rPr>
              <w:t xml:space="preserve">Stav </w:t>
            </w:r>
            <w:r>
              <w:rPr>
                <w:color w:val="0D0D0D" w:themeColor="text1" w:themeTint="F2"/>
                <w:spacing w:val="-4"/>
                <w:lang w:eastAsia="en-US"/>
              </w:rPr>
              <w:lastRenderedPageBreak/>
              <w:t>na úrovni dílčích odvětví v rámci průmyslu i služeb se přirozeně odlišoval</w:t>
            </w:r>
            <w:r>
              <w:rPr>
                <w:rStyle w:val="Znakapoznpodarou"/>
                <w:color w:val="0D0D0D" w:themeColor="text1" w:themeTint="F2"/>
                <w:spacing w:val="-4"/>
                <w:lang w:eastAsia="en-US"/>
              </w:rPr>
              <w:footnoteReference w:id="74"/>
            </w:r>
            <w:r>
              <w:rPr>
                <w:color w:val="0D0D0D" w:themeColor="text1" w:themeTint="F2"/>
                <w:spacing w:val="-4"/>
                <w:lang w:eastAsia="en-US"/>
              </w:rPr>
              <w:t xml:space="preserve">. </w:t>
            </w:r>
            <w:r>
              <w:rPr>
                <w:rStyle w:val="eop"/>
                <w:rFonts w:eastAsia="MS Gothic" w:cs="Arial"/>
                <w:color w:val="0D0D0D" w:themeColor="text1" w:themeTint="F2"/>
                <w:spacing w:val="-4"/>
                <w:szCs w:val="20"/>
                <w:lang w:eastAsia="en-US"/>
              </w:rPr>
              <w:t xml:space="preserve">Podíl podniků, pro něž </w:t>
            </w:r>
            <w:r>
              <w:rPr>
                <w:color w:val="0D0D0D" w:themeColor="text1" w:themeTint="F2"/>
                <w:spacing w:val="-4"/>
                <w:lang w:eastAsia="en-US"/>
              </w:rPr>
              <w:t>představuje nedostatek pracovní síly jednu z významných růstových bariér</w:t>
            </w:r>
            <w:r>
              <w:rPr>
                <w:rStyle w:val="Znakapoznpodarou"/>
                <w:color w:val="0D0D0D" w:themeColor="text1" w:themeTint="F2"/>
                <w:spacing w:val="-4"/>
                <w:lang w:eastAsia="en-US"/>
              </w:rPr>
              <w:footnoteReference w:id="75"/>
            </w:r>
            <w:r>
              <w:rPr>
                <w:color w:val="0D0D0D" w:themeColor="text1" w:themeTint="F2"/>
                <w:spacing w:val="-4"/>
                <w:lang w:eastAsia="en-US"/>
              </w:rPr>
              <w:t xml:space="preserve">, byl letos v listopadu v řadě odvětví (stavebnictví, služby) meziročně vyšší. Nejvýrazněji pociťují tento problém aktuálně firmy ve stavebnictví (40 %), kde jde s drobnými přerušeními </w:t>
            </w:r>
            <w:r>
              <w:rPr>
                <w:color w:val="0D0D0D" w:themeColor="text1" w:themeTint="F2"/>
                <w:spacing w:val="-4"/>
                <w:lang w:eastAsia="en-US"/>
              </w:rPr>
              <w:br/>
              <w:t>o klíčovou bariéru již více než pět let. Méně napjatá situace byla v průmyslu (18 %) a ve službách (15 %).</w:t>
            </w:r>
          </w:p>
        </w:tc>
      </w:tr>
      <w:tr w:rsidR="0038123E" w14:paraId="3E2382BC" w14:textId="77777777" w:rsidTr="0038123E">
        <w:trPr>
          <w:trHeight w:val="145"/>
        </w:trPr>
        <w:tc>
          <w:tcPr>
            <w:tcW w:w="1702" w:type="dxa"/>
            <w:hideMark/>
          </w:tcPr>
          <w:p w14:paraId="6E7DFB83" w14:textId="77777777" w:rsidR="0038123E" w:rsidRDefault="0038123E">
            <w:pPr>
              <w:pStyle w:val="Marginlie"/>
              <w:rPr>
                <w:spacing w:val="-5"/>
              </w:rPr>
            </w:pPr>
            <w:r>
              <w:rPr>
                <w:color w:val="0D0D0D" w:themeColor="text1" w:themeTint="F2"/>
                <w:spacing w:val="-5"/>
                <w:lang w:eastAsia="en-US"/>
              </w:rPr>
              <w:lastRenderedPageBreak/>
              <w:t>Obecná míra nezaměstnanosti letos mírně kolísala na nízké úrovni. Příznivý byl i vývoj dlouhodobé nezaměstnanosti.</w:t>
            </w:r>
          </w:p>
        </w:tc>
        <w:tc>
          <w:tcPr>
            <w:tcW w:w="202" w:type="dxa"/>
          </w:tcPr>
          <w:p w14:paraId="7226B43E"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51DD9ED7" w14:textId="77777777" w:rsidR="0038123E" w:rsidRDefault="0038123E">
            <w:pPr>
              <w:spacing w:after="200"/>
              <w:rPr>
                <w:rFonts w:eastAsia="MS Gothic" w:cs="Arial"/>
                <w:color w:val="0D0D0D" w:themeColor="text1" w:themeTint="F2"/>
                <w:szCs w:val="20"/>
                <w:lang w:eastAsia="en-US"/>
              </w:rPr>
            </w:pPr>
            <w:r>
              <w:rPr>
                <w:rStyle w:val="normaltextrun"/>
                <w:rFonts w:eastAsia="MS Gothic" w:cs="Arial"/>
                <w:color w:val="0D0D0D" w:themeColor="text1" w:themeTint="F2"/>
                <w:szCs w:val="20"/>
                <w:lang w:eastAsia="en-US"/>
              </w:rPr>
              <w:t>Navzdory problémům některých zejména průmyslových podniků se obecná míra nezaměstnanosti</w:t>
            </w:r>
            <w:r>
              <w:rPr>
                <w:vertAlign w:val="superscript"/>
                <w:lang w:eastAsia="en-US"/>
              </w:rPr>
              <w:footnoteReference w:id="76"/>
            </w:r>
            <w:r>
              <w:rPr>
                <w:rStyle w:val="normaltextrun"/>
                <w:rFonts w:eastAsia="MS Gothic" w:cs="Arial"/>
                <w:color w:val="0D0D0D" w:themeColor="text1" w:themeTint="F2"/>
                <w:szCs w:val="20"/>
                <w:lang w:eastAsia="en-US"/>
              </w:rPr>
              <w:t xml:space="preserve"> za poslední rok významně nezvýšila, spíše lze hovořit o jejím kolísání, zejména u žen. Propuštěné pracovníky z některých útlumových oborů totiž dokázaly z velké míry vstřebat rozvíjející se služby.</w:t>
            </w:r>
            <w:r>
              <w:rPr>
                <w:color w:val="0D0D0D" w:themeColor="text1" w:themeTint="F2"/>
                <w:spacing w:val="-6"/>
                <w:lang w:eastAsia="en-US"/>
              </w:rPr>
              <w:t xml:space="preserve"> </w:t>
            </w:r>
            <w:r>
              <w:rPr>
                <w:rStyle w:val="normaltextrun"/>
                <w:rFonts w:eastAsia="MS Gothic" w:cs="Arial"/>
                <w:color w:val="0D0D0D" w:themeColor="text1" w:themeTint="F2"/>
                <w:szCs w:val="20"/>
                <w:lang w:eastAsia="en-US"/>
              </w:rPr>
              <w:t>Sezónně očištěná míra nezaměstnanosti (15–64letých) dosáhla letos v říjnu 2,7 % (muži 2,5 %, ženy 3,0 %)</w:t>
            </w:r>
            <w:r>
              <w:rPr>
                <w:rStyle w:val="Znakapoznpodarou"/>
                <w:color w:val="0D0D0D" w:themeColor="text1" w:themeTint="F2"/>
                <w:lang w:eastAsia="en-US"/>
              </w:rPr>
              <w:footnoteReference w:id="77"/>
            </w:r>
            <w:r>
              <w:rPr>
                <w:rStyle w:val="normaltextrun"/>
                <w:rFonts w:eastAsia="MS Gothic" w:cs="Arial"/>
                <w:color w:val="0D0D0D" w:themeColor="text1" w:themeTint="F2"/>
                <w:szCs w:val="20"/>
                <w:lang w:eastAsia="en-US"/>
              </w:rPr>
              <w:t xml:space="preserve">. </w:t>
            </w:r>
            <w:r>
              <w:rPr>
                <w:color w:val="0D0D0D" w:themeColor="text1" w:themeTint="F2"/>
                <w:lang w:eastAsia="en-US"/>
              </w:rPr>
              <w:t>Nevzrostl ani počet dlouhodobě nezaměstnaných – ti se na celkovém počtu lidí bez práce ve 3. čtvrtletí podíleli jen 25 %, (to je z dlouhodobého i mezinárodního kontextu podprůměrná hodnota). V</w:t>
            </w:r>
            <w:r>
              <w:rPr>
                <w:color w:val="0D0D0D" w:themeColor="text1" w:themeTint="F2"/>
                <w:spacing w:val="-4"/>
                <w:lang w:eastAsia="en-US"/>
              </w:rPr>
              <w:t>elikost potenciální pracovní rezervy (tj. ekonomicky neaktivních osob práci nehledajících, ale uvádějících ochotu pracovat) se sice ve 3. čtvrtletí meziročně mírně zvýšila (na 92 tis. osob)</w:t>
            </w:r>
            <w:r>
              <w:rPr>
                <w:rStyle w:val="Znakapoznpodarou"/>
                <w:color w:val="0D0D0D" w:themeColor="text1" w:themeTint="F2"/>
                <w:spacing w:val="-4"/>
                <w:lang w:eastAsia="en-US"/>
              </w:rPr>
              <w:footnoteReference w:id="78"/>
            </w:r>
            <w:r>
              <w:rPr>
                <w:color w:val="0D0D0D" w:themeColor="text1" w:themeTint="F2"/>
                <w:spacing w:val="-4"/>
                <w:lang w:eastAsia="en-US"/>
              </w:rPr>
              <w:t>, z dlouhodobé perspektivy však zůstává nízká. To sice představuje nezanedbatelný problém pro řadu zaměstnavatelů, na druhou stranu jde ovšem také o pozitivní signál naznačující, že rozsah skryté nezaměstnanosti (ve formě „úniku“ do ekonomické neaktivity) není na tuzemském pracovním trhu aktuálně významný.</w:t>
            </w:r>
          </w:p>
        </w:tc>
      </w:tr>
      <w:tr w:rsidR="0038123E" w14:paraId="70C961B5" w14:textId="77777777" w:rsidTr="0038123E">
        <w:trPr>
          <w:trHeight w:val="145"/>
        </w:trPr>
        <w:tc>
          <w:tcPr>
            <w:tcW w:w="1702" w:type="dxa"/>
          </w:tcPr>
          <w:p w14:paraId="735B3DF6" w14:textId="77777777" w:rsidR="0038123E" w:rsidRDefault="0038123E">
            <w:pPr>
              <w:pStyle w:val="Marginlie"/>
              <w:rPr>
                <w:color w:val="0D0D0D" w:themeColor="text1" w:themeTint="F2"/>
                <w:lang w:eastAsia="en-US"/>
              </w:rPr>
            </w:pPr>
            <w:r>
              <w:rPr>
                <w:color w:val="0D0D0D" w:themeColor="text1" w:themeTint="F2"/>
                <w:lang w:eastAsia="en-US"/>
              </w:rPr>
              <w:t xml:space="preserve">Registrovaných volných pracovních míst na ÚP meziročně mírně ubylo, a to vesměs napříč kvalifikačními třídami. </w:t>
            </w:r>
          </w:p>
          <w:p w14:paraId="0E64F424" w14:textId="77777777" w:rsidR="0038123E" w:rsidRDefault="0038123E">
            <w:pPr>
              <w:pStyle w:val="Marginlie"/>
              <w:rPr>
                <w:color w:val="0D0D0D" w:themeColor="text1" w:themeTint="F2"/>
                <w:lang w:eastAsia="en-US"/>
              </w:rPr>
            </w:pPr>
          </w:p>
          <w:p w14:paraId="51F6C099" w14:textId="77777777" w:rsidR="0038123E" w:rsidRDefault="0038123E">
            <w:pPr>
              <w:pStyle w:val="Marginlie"/>
              <w:rPr>
                <w:color w:val="0D0D0D" w:themeColor="text1" w:themeTint="F2"/>
                <w:lang w:eastAsia="en-US"/>
              </w:rPr>
            </w:pPr>
          </w:p>
          <w:p w14:paraId="02479E47" w14:textId="77777777" w:rsidR="0038123E" w:rsidRDefault="0038123E">
            <w:pPr>
              <w:pStyle w:val="Marginlie"/>
              <w:rPr>
                <w:color w:val="0D0D0D" w:themeColor="text1" w:themeTint="F2"/>
                <w:lang w:eastAsia="en-US"/>
              </w:rPr>
            </w:pPr>
            <w:r>
              <w:rPr>
                <w:color w:val="0D0D0D" w:themeColor="text1" w:themeTint="F2"/>
                <w:lang w:eastAsia="en-US"/>
              </w:rPr>
              <w:t>Počet osob umístěných na trh práce prostřednictvím ÚP se zvyšoval.</w:t>
            </w:r>
          </w:p>
          <w:p w14:paraId="108FC477" w14:textId="77777777" w:rsidR="0038123E" w:rsidRDefault="0038123E">
            <w:pPr>
              <w:pStyle w:val="Marginlie"/>
              <w:rPr>
                <w:color w:val="0D0D0D" w:themeColor="text1" w:themeTint="F2"/>
                <w:spacing w:val="-5"/>
                <w:lang w:eastAsia="en-US"/>
              </w:rPr>
            </w:pPr>
          </w:p>
        </w:tc>
        <w:tc>
          <w:tcPr>
            <w:tcW w:w="202" w:type="dxa"/>
          </w:tcPr>
          <w:p w14:paraId="7670C553"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5F4EE58E" w14:textId="77777777" w:rsidR="0038123E" w:rsidRDefault="0038123E">
            <w:pPr>
              <w:spacing w:after="200"/>
              <w:rPr>
                <w:rFonts w:eastAsia="MS Gothic" w:cs="Arial"/>
                <w:color w:val="0D0D0D" w:themeColor="text1" w:themeTint="F2"/>
                <w:szCs w:val="20"/>
                <w:lang w:eastAsia="en-US"/>
              </w:rPr>
            </w:pPr>
            <w:r>
              <w:rPr>
                <w:rStyle w:val="normaltextrun"/>
                <w:rFonts w:eastAsia="MS Gothic" w:cs="Arial"/>
                <w:color w:val="0D0D0D" w:themeColor="text1" w:themeTint="F2"/>
                <w:szCs w:val="20"/>
                <w:lang w:eastAsia="en-US"/>
              </w:rPr>
              <w:t>Setrvalý stav tuzemského trhu práce potvrzují i údaje MPSV. Počet uchazečů o práci odpovídá letos běžnému sezónnímu průběhu, meziročně je ale mírně vyšší. Na konci října činil sezonně neočištěný podíl nezaměstnaných (dosažitelní uchazeči o práci k</w:t>
            </w:r>
            <w:r>
              <w:rPr>
                <w:color w:val="0D0D0D" w:themeColor="text1" w:themeTint="F2"/>
                <w:spacing w:val="-4"/>
                <w:lang w:eastAsia="en-US"/>
              </w:rPr>
              <w:t> </w:t>
            </w:r>
            <w:r>
              <w:rPr>
                <w:rStyle w:val="normaltextrun"/>
                <w:rFonts w:eastAsia="MS Gothic" w:cs="Arial"/>
                <w:color w:val="0D0D0D" w:themeColor="text1" w:themeTint="F2"/>
                <w:szCs w:val="20"/>
                <w:lang w:eastAsia="en-US"/>
              </w:rPr>
              <w:t>celkové populaci 15–64letých) 3,8 % (+0,3 p. b.), u mužů 3,4 %, u žen 4,3 %. Vyšší nezaměstnanost (nad 6 %) zaznamenalo jen sedm okresů (výhradně v Ústeckém a</w:t>
            </w:r>
            <w:r>
              <w:rPr>
                <w:color w:val="0D0D0D" w:themeColor="text1" w:themeTint="F2"/>
                <w:spacing w:val="-4"/>
                <w:lang w:eastAsia="en-US"/>
              </w:rPr>
              <w:t> </w:t>
            </w:r>
            <w:r>
              <w:rPr>
                <w:rStyle w:val="normaltextrun"/>
                <w:rFonts w:eastAsia="MS Gothic" w:cs="Arial"/>
                <w:color w:val="0D0D0D" w:themeColor="text1" w:themeTint="F2"/>
                <w:szCs w:val="20"/>
                <w:lang w:eastAsia="en-US"/>
              </w:rPr>
              <w:t xml:space="preserve">Moravskoslezském kraji). Roste aktivita Úřadu práce – během října bylo jeho prostřednictvím v Česku umístěno 27,4 tis. uchazečů o zaměstnání, meziročně </w:t>
            </w:r>
            <w:r>
              <w:rPr>
                <w:rStyle w:val="normaltextrun"/>
                <w:rFonts w:eastAsia="MS Gothic" w:cs="Arial"/>
                <w:color w:val="0D0D0D" w:themeColor="text1" w:themeTint="F2"/>
                <w:szCs w:val="20"/>
                <w:lang w:eastAsia="en-US"/>
              </w:rPr>
              <w:br/>
              <w:t>o 9,9 tis. více (letos v září: analogicky rekordních 31,8 tis. +14,2 tis.). Celkově našlo novou práci 31,4 tis. osob. Potvrdí-li se trend i dále, mohlo by to naznačovat, že pracovní fluktuace, jež je v Česku tradičně nízká, se může zvyšovat. Celkový počet registrovaných volných pracovních míst (skrze ÚP) letos meziročně mírně klesal (</w:t>
            </w:r>
            <w:r>
              <w:rPr>
                <w:rStyle w:val="normaltextrun"/>
                <w:rFonts w:eastAsia="MS Gothic" w:cs="Arial"/>
                <w:color w:val="0D0D0D" w:themeColor="text1" w:themeTint="F2"/>
                <w:spacing w:val="-4"/>
                <w:szCs w:val="20"/>
                <w:shd w:val="clear" w:color="auto" w:fill="FFFFFF"/>
                <w:lang w:eastAsia="en-US"/>
              </w:rPr>
              <w:t>napříč kvalifikačními třídami</w:t>
            </w:r>
            <w:r>
              <w:rPr>
                <w:rStyle w:val="Znakapoznpodarou"/>
                <w:rFonts w:eastAsia="MS Gothic"/>
                <w:color w:val="0D0D0D" w:themeColor="text1" w:themeTint="F2"/>
                <w:spacing w:val="-4"/>
                <w:szCs w:val="20"/>
                <w:shd w:val="clear" w:color="auto" w:fill="FFFFFF"/>
                <w:lang w:eastAsia="en-US"/>
              </w:rPr>
              <w:footnoteReference w:id="79"/>
            </w:r>
            <w:r>
              <w:rPr>
                <w:rStyle w:val="normaltextrun"/>
                <w:rFonts w:eastAsia="MS Gothic" w:cs="Arial"/>
                <w:color w:val="0D0D0D" w:themeColor="text1" w:themeTint="F2"/>
                <w:spacing w:val="-4"/>
                <w:szCs w:val="20"/>
                <w:shd w:val="clear" w:color="auto" w:fill="FFFFFF"/>
                <w:lang w:eastAsia="en-US"/>
              </w:rPr>
              <w:t>)</w:t>
            </w:r>
            <w:r>
              <w:rPr>
                <w:rStyle w:val="normaltextrun"/>
                <w:rFonts w:eastAsia="MS Gothic" w:cs="Arial"/>
                <w:color w:val="0D0D0D" w:themeColor="text1" w:themeTint="F2"/>
                <w:szCs w:val="20"/>
                <w:lang w:eastAsia="en-US"/>
              </w:rPr>
              <w:t>, v říjnu jich bylo nabízeno 266 tis</w:t>
            </w:r>
            <w:r>
              <w:rPr>
                <w:rStyle w:val="Znakapoznpodarou"/>
                <w:rFonts w:eastAsia="MS Gothic"/>
                <w:color w:val="0D0D0D" w:themeColor="text1" w:themeTint="F2"/>
                <w:szCs w:val="20"/>
                <w:lang w:eastAsia="en-US"/>
              </w:rPr>
              <w:footnoteReference w:id="80"/>
            </w:r>
            <w:r>
              <w:rPr>
                <w:rStyle w:val="normaltextrun"/>
                <w:rFonts w:eastAsia="MS Gothic" w:cs="Arial"/>
                <w:color w:val="0D0D0D" w:themeColor="text1" w:themeTint="F2"/>
                <w:szCs w:val="20"/>
                <w:lang w:eastAsia="en-US"/>
              </w:rPr>
              <w:t xml:space="preserve"> (−15 tis.) a již jedenáct měsíců v řadě jde </w:t>
            </w:r>
            <w:r>
              <w:rPr>
                <w:rStyle w:val="normaltextrun"/>
                <w:rFonts w:eastAsia="MS Gothic" w:cs="Arial"/>
                <w:color w:val="0D0D0D" w:themeColor="text1" w:themeTint="F2"/>
                <w:szCs w:val="20"/>
                <w:lang w:eastAsia="en-US"/>
              </w:rPr>
              <w:br/>
            </w:r>
            <w:r>
              <w:rPr>
                <w:rStyle w:val="normaltextrun"/>
                <w:rFonts w:eastAsia="MS Gothic" w:cs="Arial"/>
                <w:color w:val="0D0D0D" w:themeColor="text1" w:themeTint="F2"/>
                <w:szCs w:val="20"/>
                <w:lang w:eastAsia="en-US"/>
              </w:rPr>
              <w:lastRenderedPageBreak/>
              <w:t xml:space="preserve">o nižší počet, než je všech uchazečů o práci (nyní 289 tis.). </w:t>
            </w:r>
            <w:r>
              <w:rPr>
                <w:color w:val="0D0D0D" w:themeColor="text1" w:themeTint="F2"/>
                <w:spacing w:val="-4"/>
                <w:lang w:eastAsia="en-US"/>
              </w:rPr>
              <w:t>Obavy lidí z růstu nezaměstnanosti (vyjádřené v rámci konjunkturálních průzkumů) klesly letos na jaře nejníže od nástupu pandemie. Následně sice mírně posílily, avšak ani po zbytek roku svůj dlouhodobý průměr významně nepřekračovaly.</w:t>
            </w:r>
          </w:p>
        </w:tc>
      </w:tr>
      <w:tr w:rsidR="0038123E" w14:paraId="15B5C79E" w14:textId="77777777" w:rsidTr="0038123E">
        <w:trPr>
          <w:trHeight w:val="155"/>
        </w:trPr>
        <w:tc>
          <w:tcPr>
            <w:tcW w:w="1702" w:type="dxa"/>
            <w:vMerge w:val="restart"/>
          </w:tcPr>
          <w:p w14:paraId="78B656E2" w14:textId="77777777" w:rsidR="0038123E" w:rsidRDefault="0038123E">
            <w:pPr>
              <w:pStyle w:val="Marginlie"/>
              <w:spacing w:after="120"/>
              <w:rPr>
                <w:spacing w:val="-4"/>
                <w:lang w:eastAsia="en-US"/>
              </w:rPr>
            </w:pPr>
          </w:p>
        </w:tc>
        <w:tc>
          <w:tcPr>
            <w:tcW w:w="202" w:type="dxa"/>
            <w:vMerge w:val="restart"/>
          </w:tcPr>
          <w:p w14:paraId="06301F4E" w14:textId="77777777" w:rsidR="0038123E" w:rsidRDefault="0038123E">
            <w:pPr>
              <w:pStyle w:val="Textpoznpodarou"/>
              <w:spacing w:after="120"/>
              <w:jc w:val="both"/>
              <w:rPr>
                <w:spacing w:val="-4"/>
                <w:lang w:eastAsia="en-US"/>
              </w:rPr>
            </w:pPr>
          </w:p>
        </w:tc>
        <w:tc>
          <w:tcPr>
            <w:tcW w:w="7770" w:type="dxa"/>
            <w:hideMark/>
          </w:tcPr>
          <w:p w14:paraId="7F2DA8E8" w14:textId="77777777" w:rsidR="0038123E" w:rsidRDefault="0038123E">
            <w:pPr>
              <w:spacing w:after="0"/>
              <w:rPr>
                <w:rFonts w:cs="Arial"/>
                <w:b/>
                <w:bCs/>
                <w:spacing w:val="-4"/>
                <w:lang w:eastAsia="en-US"/>
              </w:rPr>
            </w:pPr>
            <w:r>
              <w:rPr>
                <w:b/>
                <w:spacing w:val="-4"/>
                <w:lang w:eastAsia="en-US"/>
              </w:rPr>
              <w:t xml:space="preserve">Graf č. 14 </w:t>
            </w:r>
            <w:r>
              <w:rPr>
                <w:rFonts w:cs="Arial"/>
                <w:b/>
                <w:spacing w:val="-4"/>
                <w:lang w:eastAsia="en-US"/>
              </w:rPr>
              <w:t xml:space="preserve">Obecná míra nezaměstnanosti </w:t>
            </w:r>
            <w:r>
              <w:rPr>
                <w:rFonts w:cs="Arial"/>
                <w:bCs/>
                <w:spacing w:val="-4"/>
                <w:lang w:eastAsia="en-US"/>
              </w:rPr>
              <w:t>(v %, věk 15 až 64 let)</w:t>
            </w:r>
            <w:r>
              <w:rPr>
                <w:rFonts w:cs="Arial"/>
                <w:b/>
                <w:spacing w:val="-4"/>
                <w:lang w:eastAsia="en-US"/>
              </w:rPr>
              <w:t>,</w:t>
            </w:r>
            <w:r>
              <w:rPr>
                <w:rFonts w:cs="Arial"/>
                <w:bCs/>
                <w:spacing w:val="-4"/>
                <w:lang w:eastAsia="en-US"/>
              </w:rPr>
              <w:t xml:space="preserve"> </w:t>
            </w:r>
            <w:r>
              <w:rPr>
                <w:rFonts w:cs="Arial"/>
                <w:b/>
                <w:bCs/>
                <w:spacing w:val="-4"/>
                <w:lang w:eastAsia="en-US"/>
              </w:rPr>
              <w:t>očekávání vývoje nezaměstnanosti ze strany domácností*</w:t>
            </w:r>
            <w:r>
              <w:rPr>
                <w:rFonts w:cs="Arial"/>
                <w:bCs/>
                <w:spacing w:val="-4"/>
                <w:lang w:eastAsia="en-US"/>
              </w:rPr>
              <w:t xml:space="preserve"> (v p. b.), </w:t>
            </w:r>
            <w:r>
              <w:rPr>
                <w:rFonts w:cs="Arial"/>
                <w:b/>
                <w:bCs/>
                <w:spacing w:val="-4"/>
                <w:lang w:eastAsia="en-US"/>
              </w:rPr>
              <w:t xml:space="preserve">volná pracovní místa a pracující cizinci v pozici zaměstnanců </w:t>
            </w:r>
            <w:r>
              <w:rPr>
                <w:rFonts w:cs="Arial"/>
                <w:bCs/>
                <w:spacing w:val="-4"/>
                <w:lang w:eastAsia="en-US"/>
              </w:rPr>
              <w:t>(v tis.)**</w:t>
            </w:r>
          </w:p>
        </w:tc>
      </w:tr>
      <w:tr w:rsidR="0038123E" w14:paraId="444DD518" w14:textId="77777777" w:rsidTr="0038123E">
        <w:trPr>
          <w:trHeight w:val="155"/>
        </w:trPr>
        <w:tc>
          <w:tcPr>
            <w:tcW w:w="0" w:type="auto"/>
            <w:vMerge/>
            <w:vAlign w:val="center"/>
            <w:hideMark/>
          </w:tcPr>
          <w:p w14:paraId="79B7AB46" w14:textId="77777777" w:rsidR="0038123E" w:rsidRDefault="0038123E">
            <w:pPr>
              <w:spacing w:after="0" w:line="240" w:lineRule="auto"/>
              <w:jc w:val="left"/>
              <w:rPr>
                <w:spacing w:val="-4"/>
                <w:sz w:val="16"/>
                <w:szCs w:val="16"/>
                <w:lang w:eastAsia="en-US"/>
              </w:rPr>
            </w:pPr>
          </w:p>
        </w:tc>
        <w:tc>
          <w:tcPr>
            <w:tcW w:w="0" w:type="auto"/>
            <w:vMerge/>
            <w:vAlign w:val="center"/>
            <w:hideMark/>
          </w:tcPr>
          <w:p w14:paraId="16328316" w14:textId="77777777" w:rsidR="0038123E" w:rsidRDefault="0038123E">
            <w:pPr>
              <w:spacing w:after="0" w:line="240" w:lineRule="auto"/>
              <w:jc w:val="left"/>
              <w:rPr>
                <w:rFonts w:eastAsia="Calibri"/>
                <w:spacing w:val="-4"/>
                <w:szCs w:val="20"/>
                <w:lang w:eastAsia="en-US"/>
              </w:rPr>
            </w:pPr>
          </w:p>
        </w:tc>
        <w:tc>
          <w:tcPr>
            <w:tcW w:w="7770" w:type="dxa"/>
            <w:tcMar>
              <w:top w:w="0" w:type="dxa"/>
              <w:left w:w="70" w:type="dxa"/>
              <w:bottom w:w="0" w:type="dxa"/>
              <w:right w:w="70" w:type="dxa"/>
            </w:tcMar>
            <w:hideMark/>
          </w:tcPr>
          <w:p w14:paraId="2ADB90C6" w14:textId="2CB26B21" w:rsidR="0038123E" w:rsidRDefault="0038123E">
            <w:pPr>
              <w:spacing w:after="0"/>
              <w:rPr>
                <w:spacing w:val="-4"/>
                <w:lang w:eastAsia="en-US"/>
              </w:rPr>
            </w:pPr>
            <w:r>
              <w:rPr>
                <w:noProof/>
              </w:rPr>
              <w:drawing>
                <wp:inline distT="0" distB="0" distL="0" distR="0" wp14:anchorId="1AB1457E" wp14:editId="742E3BA0">
                  <wp:extent cx="4838700" cy="3552825"/>
                  <wp:effectExtent l="0" t="0" r="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38123E" w14:paraId="453D6D42" w14:textId="77777777" w:rsidTr="0038123E">
        <w:trPr>
          <w:trHeight w:val="132"/>
        </w:trPr>
        <w:tc>
          <w:tcPr>
            <w:tcW w:w="0" w:type="auto"/>
            <w:vMerge/>
            <w:vAlign w:val="center"/>
            <w:hideMark/>
          </w:tcPr>
          <w:p w14:paraId="78F4D966" w14:textId="77777777" w:rsidR="0038123E" w:rsidRDefault="0038123E">
            <w:pPr>
              <w:spacing w:after="0" w:line="240" w:lineRule="auto"/>
              <w:jc w:val="left"/>
              <w:rPr>
                <w:spacing w:val="-4"/>
                <w:sz w:val="16"/>
                <w:szCs w:val="16"/>
                <w:lang w:eastAsia="en-US"/>
              </w:rPr>
            </w:pPr>
          </w:p>
        </w:tc>
        <w:tc>
          <w:tcPr>
            <w:tcW w:w="0" w:type="auto"/>
            <w:vMerge/>
            <w:vAlign w:val="center"/>
            <w:hideMark/>
          </w:tcPr>
          <w:p w14:paraId="64451C88" w14:textId="77777777" w:rsidR="0038123E" w:rsidRDefault="0038123E">
            <w:pPr>
              <w:spacing w:after="0" w:line="240" w:lineRule="auto"/>
              <w:jc w:val="left"/>
              <w:rPr>
                <w:rFonts w:eastAsia="Calibri"/>
                <w:spacing w:val="-4"/>
                <w:szCs w:val="20"/>
                <w:lang w:eastAsia="en-US"/>
              </w:rPr>
            </w:pPr>
          </w:p>
        </w:tc>
        <w:tc>
          <w:tcPr>
            <w:tcW w:w="7770" w:type="dxa"/>
            <w:hideMark/>
          </w:tcPr>
          <w:p w14:paraId="4A647E9F" w14:textId="77777777" w:rsidR="0038123E" w:rsidRDefault="0038123E">
            <w:pPr>
              <w:spacing w:before="60" w:after="0" w:line="240" w:lineRule="auto"/>
              <w:rPr>
                <w:rFonts w:cs="Arial"/>
                <w:color w:val="0D0D0D" w:themeColor="text1" w:themeTint="F2"/>
                <w:spacing w:val="-4"/>
                <w:sz w:val="14"/>
                <w:szCs w:val="14"/>
                <w:lang w:eastAsia="en-US"/>
              </w:rPr>
            </w:pPr>
            <w:r>
              <w:rPr>
                <w:rFonts w:cs="Arial"/>
                <w:color w:val="0D0D0D" w:themeColor="text1" w:themeTint="F2"/>
                <w:spacing w:val="-4"/>
                <w:sz w:val="14"/>
                <w:szCs w:val="14"/>
                <w:lang w:eastAsia="en-US"/>
              </w:rPr>
              <w:t>Pozn.: Míry nezaměstnanosti jsou sezónně očištěny. VPM = volná pracovní místa (stav na konci čtvrtletí)</w:t>
            </w:r>
          </w:p>
          <w:p w14:paraId="0C5A8536" w14:textId="77777777" w:rsidR="0038123E" w:rsidRDefault="0038123E">
            <w:pPr>
              <w:spacing w:after="0" w:line="240" w:lineRule="auto"/>
              <w:rPr>
                <w:rFonts w:cs="Arial"/>
                <w:color w:val="0D0D0D" w:themeColor="text1" w:themeTint="F2"/>
                <w:spacing w:val="-2"/>
                <w:sz w:val="14"/>
                <w:szCs w:val="14"/>
                <w:lang w:eastAsia="en-US"/>
              </w:rPr>
            </w:pPr>
            <w:r>
              <w:rPr>
                <w:rFonts w:cs="Arial"/>
                <w:color w:val="0D0D0D" w:themeColor="text1" w:themeTint="F2"/>
                <w:spacing w:val="-2"/>
                <w:sz w:val="14"/>
                <w:szCs w:val="14"/>
                <w:lang w:eastAsia="en-US"/>
              </w:rPr>
              <w:t>*Sezónně očištěné saldo očekávání nezaměstnanosti v nejbližších 12 měsících (rozdíl mezi procentuální četností odpovědí domácností, růst a pokles vyjádřený v procentních bodech). Vztahuje se k prostřednímu měsíci daného čtvrtletí.</w:t>
            </w:r>
          </w:p>
          <w:p w14:paraId="07B52E3B" w14:textId="77777777" w:rsidR="0038123E" w:rsidRDefault="0038123E">
            <w:pPr>
              <w:spacing w:after="0" w:line="240" w:lineRule="auto"/>
              <w:rPr>
                <w:rFonts w:cs="Arial"/>
                <w:color w:val="0D0D0D" w:themeColor="text1" w:themeTint="F2"/>
                <w:spacing w:val="-2"/>
                <w:sz w:val="14"/>
                <w:szCs w:val="14"/>
                <w:lang w:eastAsia="en-US"/>
              </w:rPr>
            </w:pPr>
            <w:r>
              <w:rPr>
                <w:rFonts w:cs="Arial"/>
                <w:color w:val="0D0D0D" w:themeColor="text1" w:themeTint="F2"/>
                <w:spacing w:val="-2"/>
                <w:sz w:val="14"/>
                <w:szCs w:val="14"/>
                <w:lang w:eastAsia="en-US"/>
              </w:rPr>
              <w:t>**Počet cizinců v postavení zaměstnanců evidovaných na úřadech práce v ČR na konci příslušného čtvrtletí.</w:t>
            </w:r>
          </w:p>
          <w:p w14:paraId="4CBB3718" w14:textId="77777777" w:rsidR="0038123E" w:rsidRDefault="0038123E">
            <w:pPr>
              <w:spacing w:after="200" w:line="240" w:lineRule="auto"/>
              <w:rPr>
                <w:rFonts w:cs="Arial"/>
                <w:color w:val="0D0D0D" w:themeColor="text1" w:themeTint="F2"/>
                <w:spacing w:val="-2"/>
                <w:sz w:val="14"/>
                <w:szCs w:val="14"/>
                <w:lang w:eastAsia="en-US"/>
              </w:rPr>
            </w:pPr>
            <w:r>
              <w:rPr>
                <w:rFonts w:cs="Arial"/>
                <w:color w:val="0D0D0D" w:themeColor="text1" w:themeTint="F2"/>
                <w:spacing w:val="-2"/>
                <w:sz w:val="14"/>
                <w:szCs w:val="14"/>
                <w:lang w:eastAsia="en-US"/>
              </w:rPr>
              <w:t>Zdroj: ČSÚ (VŠPS, konjunkturální průzkum), MPSV (VPM registrovaná na úřadech práce v ČR, zaměstnaní cizinci)</w:t>
            </w:r>
          </w:p>
        </w:tc>
      </w:tr>
      <w:tr w:rsidR="0038123E" w14:paraId="38485AC4" w14:textId="77777777" w:rsidTr="0038123E">
        <w:trPr>
          <w:trHeight w:val="132"/>
        </w:trPr>
        <w:tc>
          <w:tcPr>
            <w:tcW w:w="1702" w:type="dxa"/>
            <w:hideMark/>
          </w:tcPr>
          <w:p w14:paraId="60955923" w14:textId="77777777" w:rsidR="0038123E" w:rsidRDefault="0038123E">
            <w:pPr>
              <w:pStyle w:val="Marginlie"/>
              <w:rPr>
                <w:color w:val="0D0D0D" w:themeColor="text1" w:themeTint="F2"/>
                <w:spacing w:val="-5"/>
                <w:lang w:eastAsia="en-US"/>
              </w:rPr>
            </w:pPr>
            <w:r>
              <w:rPr>
                <w:color w:val="0D0D0D" w:themeColor="text1" w:themeTint="F2"/>
                <w:spacing w:val="-5"/>
                <w:lang w:eastAsia="en-US"/>
              </w:rPr>
              <w:t>Meziroční růst průměrných mezd od počátku letošního roku mírně kolísal a ve 3. čtvrtletí dosáhl 7 %.</w:t>
            </w:r>
          </w:p>
          <w:p w14:paraId="5C897D96" w14:textId="77777777" w:rsidR="0038123E" w:rsidRDefault="0038123E">
            <w:pPr>
              <w:pStyle w:val="Marginlie"/>
              <w:rPr>
                <w:color w:val="0D0D0D" w:themeColor="text1" w:themeTint="F2"/>
                <w:spacing w:val="-4"/>
                <w:lang w:eastAsia="en-US"/>
              </w:rPr>
            </w:pPr>
            <w:r>
              <w:rPr>
                <w:color w:val="0D0D0D" w:themeColor="text1" w:themeTint="F2"/>
                <w:spacing w:val="-5"/>
                <w:lang w:eastAsia="en-US"/>
              </w:rPr>
              <w:t>Existují významné faktory působící ve směru vyššího růstu mezd, ale i ty s opačným efektem.</w:t>
            </w:r>
          </w:p>
        </w:tc>
        <w:tc>
          <w:tcPr>
            <w:tcW w:w="202" w:type="dxa"/>
          </w:tcPr>
          <w:p w14:paraId="21A3D696" w14:textId="77777777" w:rsidR="0038123E" w:rsidRDefault="0038123E">
            <w:pPr>
              <w:pStyle w:val="Textpoznpodarou"/>
              <w:jc w:val="both"/>
              <w:rPr>
                <w:color w:val="0D0D0D" w:themeColor="text1" w:themeTint="F2"/>
                <w:spacing w:val="-4"/>
                <w:lang w:eastAsia="en-US"/>
              </w:rPr>
            </w:pPr>
          </w:p>
        </w:tc>
        <w:tc>
          <w:tcPr>
            <w:tcW w:w="7770" w:type="dxa"/>
            <w:hideMark/>
          </w:tcPr>
          <w:p w14:paraId="256BEBF8" w14:textId="77777777" w:rsidR="0038123E" w:rsidRDefault="0038123E">
            <w:pPr>
              <w:rPr>
                <w:lang w:eastAsia="en-US"/>
              </w:rPr>
            </w:pPr>
            <w:r>
              <w:rPr>
                <w:spacing w:val="-2"/>
                <w:lang w:eastAsia="en-US"/>
              </w:rPr>
              <w:t>Ve 3. čtvrtletí dosáhla průměrná hrubá měsíční nominální mzda zaměstnance v národním</w:t>
            </w:r>
            <w:r>
              <w:rPr>
                <w:lang w:eastAsia="en-US"/>
              </w:rPr>
              <w:t xml:space="preserve"> hospodářství 45 412 korun a meziročně vzrostla o 7,0 %. Náznak zvolňování tempa, jenž byl patrný ve 2. čtvrtletí, se nyní nepotvrdil, neboť dynamika mezd od počátku roku spíše mírně kolísá. Mezikvartální tempo mezd (po sezónním očištění) dokonce lehce vzrostlo (na +1,9 %, nejvíce za posledních pět čtvrtletí). Významně se zvýšily rozdíly v dynamice průměrných mezd vyjádřených na přepočtené (FTE) a fyzické osoby. Vlivem rozšiřování zkrácených úvazků (kvůli finanční podpoře státu i daňovým optimalizacím) vzrostla mzda na fyzické osoby ve 3. čtvrtletí meziročně jen o 6,4 %. Evidenční počet zaměstnanců (FTE) se zvýšil o 0,2 %, dle fyzických osob ale o 0,7 %. Mzdový růst v</w:t>
            </w:r>
            <w:r>
              <w:rPr>
                <w:color w:val="0D0D0D" w:themeColor="text1" w:themeTint="F2"/>
                <w:spacing w:val="-4"/>
                <w:lang w:eastAsia="en-US"/>
              </w:rPr>
              <w:t> </w:t>
            </w:r>
            <w:r>
              <w:rPr>
                <w:color w:val="0D0D0D" w:themeColor="text1" w:themeTint="F2"/>
                <w:lang w:eastAsia="en-US"/>
              </w:rPr>
              <w:t xml:space="preserve">ekonomice tlumila sílící </w:t>
            </w:r>
            <w:r>
              <w:rPr>
                <w:lang w:eastAsia="en-US"/>
              </w:rPr>
              <w:t>potřeba úspor v rozpočtové sféře i</w:t>
            </w:r>
            <w:r>
              <w:rPr>
                <w:color w:val="0D0D0D" w:themeColor="text1" w:themeTint="F2"/>
                <w:spacing w:val="-4"/>
                <w:lang w:eastAsia="en-US"/>
              </w:rPr>
              <w:t> </w:t>
            </w:r>
            <w:r>
              <w:rPr>
                <w:lang w:eastAsia="en-US"/>
              </w:rPr>
              <w:t>rostoucí počet zahraničních pracovníků ze „třetích zemí“. Ti nezřídka pracují na nízkokvalifikovaných pozicích</w:t>
            </w:r>
            <w:r>
              <w:rPr>
                <w:rStyle w:val="Znakapoznpodarou"/>
                <w:lang w:eastAsia="en-US"/>
              </w:rPr>
              <w:footnoteReference w:id="81"/>
            </w:r>
            <w:r>
              <w:rPr>
                <w:lang w:eastAsia="en-US"/>
              </w:rPr>
              <w:t xml:space="preserve"> a</w:t>
            </w:r>
            <w:r>
              <w:rPr>
                <w:color w:val="0D0D0D" w:themeColor="text1" w:themeTint="F2"/>
                <w:spacing w:val="-4"/>
                <w:lang w:eastAsia="en-US"/>
              </w:rPr>
              <w:t> </w:t>
            </w:r>
            <w:r>
              <w:rPr>
                <w:lang w:eastAsia="en-US"/>
              </w:rPr>
              <w:t xml:space="preserve">jejich výdělky tudíž </w:t>
            </w:r>
            <w:r>
              <w:rPr>
                <w:spacing w:val="-2"/>
                <w:lang w:eastAsia="en-US"/>
              </w:rPr>
              <w:t xml:space="preserve">zpravidla nedosahují úrovně občanů ČR. Naopak ve směru růstu nominální mzdy stále působila dosud relativně vysoká poptávka podniků po pracovní síle v některých odvětvích či zvýšený tlak zaměstnanců pramenící i z napjatých rodinných rozpočtů vlivem stále vysokého růstu cen některých položek spotřebního koše i jiných výdajů (splátky hypoték). </w:t>
            </w:r>
            <w:r>
              <w:rPr>
                <w:spacing w:val="-2"/>
                <w:lang w:eastAsia="en-US"/>
              </w:rPr>
              <w:lastRenderedPageBreak/>
              <w:t>Dynamičtější mzdový růst v řadě odvětví umožňovala i</w:t>
            </w:r>
            <w:r>
              <w:rPr>
                <w:color w:val="0D0D0D" w:themeColor="text1" w:themeTint="F2"/>
                <w:spacing w:val="-4"/>
                <w:lang w:eastAsia="en-US"/>
              </w:rPr>
              <w:t> </w:t>
            </w:r>
            <w:r>
              <w:rPr>
                <w:spacing w:val="-2"/>
                <w:lang w:eastAsia="en-US"/>
              </w:rPr>
              <w:t>přetrvávající vysoká míra zisku podniků.</w:t>
            </w:r>
          </w:p>
        </w:tc>
      </w:tr>
      <w:tr w:rsidR="0038123E" w14:paraId="1E1F89AD" w14:textId="77777777" w:rsidTr="0038123E">
        <w:trPr>
          <w:trHeight w:val="132"/>
        </w:trPr>
        <w:tc>
          <w:tcPr>
            <w:tcW w:w="1702" w:type="dxa"/>
            <w:hideMark/>
          </w:tcPr>
          <w:p w14:paraId="4ACEEA98" w14:textId="77777777" w:rsidR="0038123E" w:rsidRDefault="0038123E">
            <w:pPr>
              <w:pStyle w:val="Marginlie"/>
              <w:rPr>
                <w:color w:val="0D0D0D" w:themeColor="text1" w:themeTint="F2"/>
                <w:spacing w:val="-5"/>
                <w:lang w:eastAsia="en-US"/>
              </w:rPr>
            </w:pPr>
            <w:r>
              <w:rPr>
                <w:color w:val="0D0D0D" w:themeColor="text1" w:themeTint="F2"/>
                <w:spacing w:val="-5"/>
                <w:lang w:eastAsia="en-US"/>
              </w:rPr>
              <w:lastRenderedPageBreak/>
              <w:t>Poprvé po pěti letech vzrostla meziročně reálná mzda ve všech odvětvových sekcích.</w:t>
            </w:r>
          </w:p>
        </w:tc>
        <w:tc>
          <w:tcPr>
            <w:tcW w:w="202" w:type="dxa"/>
          </w:tcPr>
          <w:p w14:paraId="7F0A9771" w14:textId="77777777" w:rsidR="0038123E" w:rsidRDefault="0038123E">
            <w:pPr>
              <w:pStyle w:val="Textpoznpodarou"/>
              <w:jc w:val="both"/>
              <w:rPr>
                <w:color w:val="0D0D0D" w:themeColor="text1" w:themeTint="F2"/>
                <w:spacing w:val="-4"/>
                <w:lang w:eastAsia="en-US"/>
              </w:rPr>
            </w:pPr>
          </w:p>
        </w:tc>
        <w:tc>
          <w:tcPr>
            <w:tcW w:w="7770" w:type="dxa"/>
            <w:hideMark/>
          </w:tcPr>
          <w:p w14:paraId="5460BC2A" w14:textId="77777777" w:rsidR="0038123E" w:rsidRDefault="0038123E">
            <w:pPr>
              <w:spacing w:after="200"/>
              <w:rPr>
                <w:color w:val="0D0D0D" w:themeColor="text1" w:themeTint="F2"/>
                <w:spacing w:val="-2"/>
                <w:lang w:eastAsia="en-US"/>
              </w:rPr>
            </w:pPr>
            <w:r>
              <w:rPr>
                <w:color w:val="0D0D0D" w:themeColor="text1" w:themeTint="F2"/>
                <w:spacing w:val="-2"/>
                <w:lang w:eastAsia="en-US"/>
              </w:rPr>
              <w:t>Díky zklidnění cenové hladiny v ekonomice pokračoval očekávaný růst reálné mzdy, ve 3.</w:t>
            </w:r>
            <w:r>
              <w:rPr>
                <w:color w:val="0D0D0D" w:themeColor="text1" w:themeTint="F2"/>
                <w:spacing w:val="-4"/>
                <w:lang w:eastAsia="en-US"/>
              </w:rPr>
              <w:t> </w:t>
            </w:r>
            <w:r>
              <w:rPr>
                <w:color w:val="0D0D0D" w:themeColor="text1" w:themeTint="F2"/>
                <w:spacing w:val="-2"/>
                <w:lang w:eastAsia="en-US"/>
              </w:rPr>
              <w:t xml:space="preserve">čtvrtletí činil meziročně 4,6 % (za 1. až 3. čtvrtletí 4,5 %). Reálná mzda se ve 3. čtvrtletí 2024 navýšila ve všech odvětvových sekcích, což nastalo naposledy přesně před 5 lety. Růst reálných mezd v ekonomice tak letos pozvolna umazává výrazný meziroční propad reálné kupní síly zaměstnanců let 2022 i 2023 (reálně se však zatím průměrná mzda nachází stále pouze na úrovni roku 2018). Růst kupní síly mezd je letos tlumen mírným zvýšením daňového zatížení práce (např. znovuzavedení zaměstnaneckých odvodů na nemocenské pojištění) schváleným v rámci vládního konsolidačního balíčku. </w:t>
            </w:r>
          </w:p>
        </w:tc>
      </w:tr>
      <w:tr w:rsidR="0038123E" w14:paraId="6434A423" w14:textId="77777777" w:rsidTr="0038123E">
        <w:trPr>
          <w:trHeight w:val="132"/>
        </w:trPr>
        <w:tc>
          <w:tcPr>
            <w:tcW w:w="1702" w:type="dxa"/>
            <w:hideMark/>
          </w:tcPr>
          <w:p w14:paraId="3AF17356" w14:textId="77777777" w:rsidR="0038123E" w:rsidRDefault="0038123E">
            <w:pPr>
              <w:pStyle w:val="Marginlie"/>
              <w:rPr>
                <w:color w:val="0D0D0D" w:themeColor="text1" w:themeTint="F2"/>
                <w:spacing w:val="-4"/>
                <w:lang w:eastAsia="en-US"/>
              </w:rPr>
            </w:pPr>
            <w:r>
              <w:rPr>
                <w:color w:val="0D0D0D" w:themeColor="text1" w:themeTint="F2"/>
                <w:spacing w:val="-4"/>
                <w:lang w:eastAsia="en-US"/>
              </w:rPr>
              <w:t>Relativně nejvíce vzrostly ve 3. čtvrtletí průměrné mzdy v oblasti nemovitostí a vyspělých podnikových služeb.</w:t>
            </w:r>
          </w:p>
        </w:tc>
        <w:tc>
          <w:tcPr>
            <w:tcW w:w="202" w:type="dxa"/>
          </w:tcPr>
          <w:p w14:paraId="5BE27AA4" w14:textId="77777777" w:rsidR="0038123E" w:rsidRDefault="0038123E">
            <w:pPr>
              <w:pStyle w:val="Textpoznpodarou"/>
              <w:jc w:val="both"/>
              <w:rPr>
                <w:color w:val="0D0D0D" w:themeColor="text1" w:themeTint="F2"/>
                <w:spacing w:val="-4"/>
                <w:lang w:eastAsia="en-US"/>
              </w:rPr>
            </w:pPr>
          </w:p>
        </w:tc>
        <w:tc>
          <w:tcPr>
            <w:tcW w:w="7770" w:type="dxa"/>
            <w:hideMark/>
          </w:tcPr>
          <w:p w14:paraId="1A87BB99" w14:textId="77777777" w:rsidR="0038123E" w:rsidRDefault="0038123E">
            <w:pPr>
              <w:spacing w:after="200"/>
              <w:rPr>
                <w:color w:val="0D0D0D" w:themeColor="text1" w:themeTint="F2"/>
                <w:spacing w:val="-2"/>
                <w:lang w:eastAsia="en-US"/>
              </w:rPr>
            </w:pPr>
            <w:r>
              <w:rPr>
                <w:color w:val="0D0D0D" w:themeColor="text1" w:themeTint="F2"/>
                <w:spacing w:val="-2"/>
                <w:lang w:eastAsia="en-US"/>
              </w:rPr>
              <w:t>Souhrnné tempo růstu průměrné mzdy zakrývá tradičně velmi různorodý vývoj na úrovni jednotlivých oborů podniků či organizací. Nejvyššího meziročního růstu dosáhly ve 3.</w:t>
            </w:r>
            <w:r>
              <w:rPr>
                <w:spacing w:val="-2"/>
                <w:lang w:eastAsia="en-US"/>
              </w:rPr>
              <w:t> </w:t>
            </w:r>
            <w:r>
              <w:rPr>
                <w:color w:val="0D0D0D" w:themeColor="text1" w:themeTint="F2"/>
                <w:spacing w:val="-2"/>
                <w:lang w:eastAsia="en-US"/>
              </w:rPr>
              <w:t>čtvrtletí mzdy v malém odvětví činností v oblasti nemovitostí (14,4 %), což spolu s jejich svižným růstem v letech 2022 i 2023 vedlo k tomu, že jejich aktuální úroveň se těsně přiblížila celé ekonomice. Svižně rostly i mzdy v profesních, vědeckých a technických činnostech (10,1 %) a obdobně jako v předchozím odvětví jejich tempo v letošním roce zrychlovalo a bylo doprovázeno i nadprůměrným růstem zaměstnanosti. To platilo rovněž o malých odvětvích energetiky a vodního i odpadového hospodářství, v nichž se ve 3.</w:t>
            </w:r>
            <w:r>
              <w:rPr>
                <w:spacing w:val="-2"/>
                <w:lang w:eastAsia="en-US"/>
              </w:rPr>
              <w:t> </w:t>
            </w:r>
            <w:r>
              <w:rPr>
                <w:color w:val="0D0D0D" w:themeColor="text1" w:themeTint="F2"/>
                <w:spacing w:val="-2"/>
                <w:lang w:eastAsia="en-US"/>
              </w:rPr>
              <w:t>čtvrtletí mzdy zvedly o více než 9 %. Z pokračujícího zotavování příjezdového cestovního ruchu těžilo ubytování, stravování a pohostinství (růst zaměstnanců: 6,1 %, mzdy: 9,2 %), stále však šlo jednoznačně o odvětví s nejnižší úrovní mezd (28,2 tis. korun, pouze třetina oproti informačním a komunikačním činnostem).</w:t>
            </w:r>
          </w:p>
        </w:tc>
      </w:tr>
      <w:tr w:rsidR="0038123E" w14:paraId="76F56AD5" w14:textId="77777777" w:rsidTr="0038123E">
        <w:trPr>
          <w:trHeight w:val="132"/>
        </w:trPr>
        <w:tc>
          <w:tcPr>
            <w:tcW w:w="1702" w:type="dxa"/>
            <w:hideMark/>
          </w:tcPr>
          <w:p w14:paraId="5289BE76" w14:textId="77777777" w:rsidR="0038123E" w:rsidRDefault="0038123E">
            <w:pPr>
              <w:pStyle w:val="Marginlie"/>
              <w:rPr>
                <w:color w:val="0D0D0D" w:themeColor="text1" w:themeTint="F2"/>
                <w:spacing w:val="-4"/>
                <w:lang w:eastAsia="en-US"/>
              </w:rPr>
            </w:pPr>
            <w:r>
              <w:rPr>
                <w:color w:val="0D0D0D" w:themeColor="text1" w:themeTint="F2"/>
                <w:spacing w:val="-4"/>
                <w:lang w:eastAsia="en-US"/>
              </w:rPr>
              <w:t>Růst mezd v ekonomice byl nadále tlumen potřebou rozpočtových úspor ve veřejných službách.</w:t>
            </w:r>
          </w:p>
        </w:tc>
        <w:tc>
          <w:tcPr>
            <w:tcW w:w="202" w:type="dxa"/>
          </w:tcPr>
          <w:p w14:paraId="095C965A" w14:textId="77777777" w:rsidR="0038123E" w:rsidRDefault="0038123E">
            <w:pPr>
              <w:pStyle w:val="Textpoznpodarou"/>
              <w:jc w:val="both"/>
              <w:rPr>
                <w:color w:val="0D0D0D" w:themeColor="text1" w:themeTint="F2"/>
                <w:spacing w:val="-4"/>
                <w:lang w:eastAsia="en-US"/>
              </w:rPr>
            </w:pPr>
          </w:p>
        </w:tc>
        <w:tc>
          <w:tcPr>
            <w:tcW w:w="7770" w:type="dxa"/>
            <w:hideMark/>
          </w:tcPr>
          <w:p w14:paraId="4000BA3C" w14:textId="77777777" w:rsidR="0038123E" w:rsidRDefault="0038123E">
            <w:pPr>
              <w:spacing w:after="200"/>
              <w:rPr>
                <w:color w:val="0D0D0D" w:themeColor="text1" w:themeTint="F2"/>
                <w:spacing w:val="-2"/>
                <w:lang w:eastAsia="en-US"/>
              </w:rPr>
            </w:pPr>
            <w:r>
              <w:rPr>
                <w:color w:val="0D0D0D" w:themeColor="text1" w:themeTint="F2"/>
                <w:spacing w:val="-2"/>
                <w:lang w:eastAsia="en-US"/>
              </w:rPr>
              <w:t>Obdobně jako v předchozích dvou letech se z</w:t>
            </w:r>
            <w:r>
              <w:rPr>
                <w:spacing w:val="-2"/>
                <w:lang w:eastAsia="en-US"/>
              </w:rPr>
              <w:t xml:space="preserve">vyšovaly podprůměrně </w:t>
            </w:r>
            <w:r>
              <w:rPr>
                <w:color w:val="0D0D0D" w:themeColor="text1" w:themeTint="F2"/>
                <w:spacing w:val="-2"/>
                <w:lang w:eastAsia="en-US"/>
              </w:rPr>
              <w:t>mzdy v odvětvích s významnou rolí veřejného sektoru. Výjimkou je letos zdravotní a sociální péče, kde výdělky ve 3. čtvrtletí posílily v průměru o 9,2 %</w:t>
            </w:r>
            <w:r>
              <w:rPr>
                <w:rStyle w:val="Znakapoznpodarou"/>
                <w:color w:val="0D0D0D" w:themeColor="text1" w:themeTint="F2"/>
                <w:lang w:eastAsia="en-US"/>
              </w:rPr>
              <w:footnoteReference w:id="82"/>
            </w:r>
            <w:r>
              <w:rPr>
                <w:color w:val="0D0D0D" w:themeColor="text1" w:themeTint="F2"/>
                <w:spacing w:val="-2"/>
                <w:lang w:eastAsia="en-US"/>
              </w:rPr>
              <w:t>. Ve vzdělávání (+3,7 %) i veřejné správě vč. obrany a soc. zabezpečení (+3,4 %) byl jejich růst nejnižší ze všech hlavních odvětví (ve veřejné správě byl navíc doprovázen i mírným poklesem zaměstnanosti, v rámci celého sektoru služeb aktuálně dosti ojedinělým). Slabě rostly výdělky i v ostatních činnostech služeb (5,2 %), v kulturních, zábavních a rekreačních činnostech (5,6 %) a také v zemědělství a lesnictví (5,5 %) – vždy jde zároveň o odvětví s nižší mzdovou úrovní.</w:t>
            </w:r>
          </w:p>
        </w:tc>
      </w:tr>
      <w:tr w:rsidR="0038123E" w14:paraId="25A83F12" w14:textId="77777777" w:rsidTr="0038123E">
        <w:trPr>
          <w:trHeight w:val="132"/>
        </w:trPr>
        <w:tc>
          <w:tcPr>
            <w:tcW w:w="1702" w:type="dxa"/>
          </w:tcPr>
          <w:p w14:paraId="401061D1" w14:textId="77777777" w:rsidR="0038123E" w:rsidRDefault="0038123E">
            <w:pPr>
              <w:pStyle w:val="Marginlie"/>
              <w:rPr>
                <w:color w:val="0D0D0D" w:themeColor="text1" w:themeTint="F2"/>
                <w:spacing w:val="-4"/>
                <w:lang w:eastAsia="en-US"/>
              </w:rPr>
            </w:pPr>
            <w:r>
              <w:rPr>
                <w:color w:val="0D0D0D" w:themeColor="text1" w:themeTint="F2"/>
                <w:spacing w:val="-4"/>
                <w:lang w:eastAsia="en-US"/>
              </w:rPr>
              <w:t xml:space="preserve">Tempo růstu mezd ve zpracovatelském průmyslu zvolňovalo. </w:t>
            </w:r>
          </w:p>
          <w:p w14:paraId="4F857341" w14:textId="77777777" w:rsidR="0038123E" w:rsidRDefault="0038123E">
            <w:pPr>
              <w:pStyle w:val="Marginlie"/>
              <w:rPr>
                <w:color w:val="0D0D0D" w:themeColor="text1" w:themeTint="F2"/>
                <w:spacing w:val="-4"/>
                <w:lang w:eastAsia="en-US"/>
              </w:rPr>
            </w:pPr>
          </w:p>
          <w:p w14:paraId="4DA366C5" w14:textId="77777777" w:rsidR="0038123E" w:rsidRDefault="0038123E">
            <w:pPr>
              <w:pStyle w:val="Marginlie"/>
              <w:rPr>
                <w:color w:val="0D0D0D" w:themeColor="text1" w:themeTint="F2"/>
                <w:spacing w:val="-4"/>
                <w:lang w:eastAsia="en-US"/>
              </w:rPr>
            </w:pPr>
          </w:p>
          <w:p w14:paraId="10AA6B76" w14:textId="77777777" w:rsidR="0038123E" w:rsidRDefault="0038123E">
            <w:pPr>
              <w:pStyle w:val="Marginlie"/>
              <w:rPr>
                <w:color w:val="0D0D0D" w:themeColor="text1" w:themeTint="F2"/>
                <w:spacing w:val="-4"/>
                <w:lang w:eastAsia="en-US"/>
              </w:rPr>
            </w:pPr>
            <w:r>
              <w:rPr>
                <w:color w:val="0D0D0D" w:themeColor="text1" w:themeTint="F2"/>
                <w:spacing w:val="-4"/>
                <w:lang w:eastAsia="en-US"/>
              </w:rPr>
              <w:t xml:space="preserve">V těžbě a dobývání se jako v jediném odvětví ve 3. čtvrtletí meziročně snížil objem vyplacených mezd. </w:t>
            </w:r>
          </w:p>
          <w:p w14:paraId="74E943D0" w14:textId="77777777" w:rsidR="0038123E" w:rsidRDefault="0038123E">
            <w:pPr>
              <w:pStyle w:val="Marginlie"/>
              <w:rPr>
                <w:color w:val="0D0D0D" w:themeColor="text1" w:themeTint="F2"/>
                <w:spacing w:val="-4"/>
                <w:lang w:eastAsia="en-US"/>
              </w:rPr>
            </w:pPr>
          </w:p>
          <w:p w14:paraId="33DB7A60" w14:textId="77777777" w:rsidR="0038123E" w:rsidRDefault="0038123E">
            <w:pPr>
              <w:pStyle w:val="Marginlie"/>
              <w:rPr>
                <w:color w:val="0D0D0D" w:themeColor="text1" w:themeTint="F2"/>
                <w:spacing w:val="-4"/>
                <w:lang w:eastAsia="en-US"/>
              </w:rPr>
            </w:pPr>
          </w:p>
          <w:p w14:paraId="05F27970" w14:textId="77777777" w:rsidR="0038123E" w:rsidRDefault="0038123E">
            <w:pPr>
              <w:pStyle w:val="Marginlie"/>
              <w:rPr>
                <w:color w:val="0D0D0D" w:themeColor="text1" w:themeTint="F2"/>
                <w:spacing w:val="-4"/>
                <w:lang w:eastAsia="en-US"/>
              </w:rPr>
            </w:pPr>
          </w:p>
          <w:p w14:paraId="422978E2" w14:textId="77777777" w:rsidR="0038123E" w:rsidRDefault="0038123E">
            <w:pPr>
              <w:pStyle w:val="Marginlie"/>
              <w:rPr>
                <w:color w:val="0D0D0D" w:themeColor="text1" w:themeTint="F2"/>
                <w:spacing w:val="-4"/>
                <w:lang w:eastAsia="en-US"/>
              </w:rPr>
            </w:pPr>
            <w:r>
              <w:rPr>
                <w:color w:val="0D0D0D" w:themeColor="text1" w:themeTint="F2"/>
                <w:spacing w:val="-4"/>
                <w:lang w:eastAsia="en-US"/>
              </w:rPr>
              <w:t xml:space="preserve">V odvětvích s nejvyšší mzdovou hladinou rostly letos mzdy relativně pomaleji. </w:t>
            </w:r>
          </w:p>
          <w:p w14:paraId="4C0F3C9C" w14:textId="77777777" w:rsidR="0038123E" w:rsidRDefault="0038123E">
            <w:pPr>
              <w:pStyle w:val="Marginlie"/>
              <w:rPr>
                <w:color w:val="0D0D0D" w:themeColor="text1" w:themeTint="F2"/>
                <w:spacing w:val="-4"/>
                <w:lang w:eastAsia="en-US"/>
              </w:rPr>
            </w:pPr>
          </w:p>
        </w:tc>
        <w:tc>
          <w:tcPr>
            <w:tcW w:w="202" w:type="dxa"/>
          </w:tcPr>
          <w:p w14:paraId="7F950396" w14:textId="77777777" w:rsidR="0038123E" w:rsidRDefault="0038123E">
            <w:pPr>
              <w:pStyle w:val="Textpoznpodarou"/>
              <w:jc w:val="both"/>
              <w:rPr>
                <w:color w:val="0D0D0D" w:themeColor="text1" w:themeTint="F2"/>
                <w:spacing w:val="-4"/>
                <w:lang w:eastAsia="en-US"/>
              </w:rPr>
            </w:pPr>
          </w:p>
        </w:tc>
        <w:tc>
          <w:tcPr>
            <w:tcW w:w="7770" w:type="dxa"/>
            <w:hideMark/>
          </w:tcPr>
          <w:p w14:paraId="12B7864F" w14:textId="4F9ACBA5" w:rsidR="0038123E" w:rsidRDefault="0038123E" w:rsidP="00443556">
            <w:pPr>
              <w:spacing w:after="200"/>
              <w:rPr>
                <w:color w:val="0D0D0D" w:themeColor="text1" w:themeTint="F2"/>
                <w:spacing w:val="-4"/>
                <w:lang w:eastAsia="en-US"/>
              </w:rPr>
            </w:pPr>
            <w:r>
              <w:rPr>
                <w:color w:val="0D0D0D" w:themeColor="text1" w:themeTint="F2"/>
                <w:spacing w:val="-4"/>
                <w:lang w:eastAsia="en-US"/>
              </w:rPr>
              <w:t>Ve zpracovatelském průmyslu se mzdy ve 3. čtvrtletí zvýšily o 6,7 % (jejich tempo ale v průběhu roku zvolňovalo a počet zaměstnanců stejně jako loni ubýval). Z větších oborů se zde vymykalo potravinářství (zaměstnanci: +2,7 %, mzda: +7,7 %).</w:t>
            </w:r>
            <w:r w:rsidR="00443556">
              <w:rPr>
                <w:color w:val="0D0D0D" w:themeColor="text1" w:themeTint="F2"/>
                <w:spacing w:val="-4"/>
                <w:lang w:eastAsia="en-US"/>
              </w:rPr>
              <w:t xml:space="preserve"> </w:t>
            </w:r>
            <w:r>
              <w:rPr>
                <w:color w:val="0D0D0D" w:themeColor="text1" w:themeTint="F2"/>
                <w:spacing w:val="-4"/>
                <w:lang w:eastAsia="en-US"/>
              </w:rPr>
              <w:t>Nejvíce vzrostly výdělky v elektrotechnice (+8,9 %), nejméně ve výrobě motorových vozidel (5,4 %, ale v úhrnu od počátku roku 8,4 %). V těžbě a dobývání byl mzdový růst mírně podprůměrný (6,0 %), což spolu s prohlubujícím se poklesem počtu zaměstnanců vedlo ve 3. čtvrtletí k tomu, že zde jako v jediném odvětví k</w:t>
            </w:r>
            <w:r>
              <w:rPr>
                <w:spacing w:val="-4"/>
                <w:lang w:eastAsia="en-US"/>
              </w:rPr>
              <w:t xml:space="preserve">lesl </w:t>
            </w:r>
            <w:r>
              <w:rPr>
                <w:color w:val="0D0D0D" w:themeColor="text1" w:themeTint="F2"/>
                <w:spacing w:val="-4"/>
                <w:lang w:eastAsia="en-US"/>
              </w:rPr>
              <w:t xml:space="preserve">objem vyplacených mezd (−0,8 %). Stavebnictví se oproti průmyslu dařilo lépe, a to jak u průměrných mezd (růst o 8,6 %), tak počtu zaměstnanců </w:t>
            </w:r>
            <w:r>
              <w:rPr>
                <w:color w:val="0D0D0D" w:themeColor="text1" w:themeTint="F2"/>
                <w:spacing w:val="-4"/>
                <w:lang w:eastAsia="en-US"/>
              </w:rPr>
              <w:br/>
              <w:t xml:space="preserve">(−0,2 %, ve středních a větších stavebních podnicích se však tempo poklesu zaměstnanosti blíží průmyslu). Dynamiku mezd ve stavebnictví ovlivňuje i chronický nedostatek kvalifikované pracovní síly, celková úroveň výdělků je zde i tak stále znatelně podprůměrná (40,1 tis. korun). Ve váhově nejvýznamnějším odvětví služeb – obchodu – mzdový růst ve </w:t>
            </w:r>
            <w:r>
              <w:rPr>
                <w:color w:val="0D0D0D" w:themeColor="text1" w:themeTint="F2"/>
                <w:spacing w:val="-4"/>
                <w:lang w:eastAsia="en-US"/>
              </w:rPr>
              <w:br/>
              <w:t xml:space="preserve">3. čtvrtletí zrychlil na 7,8 % (při mírném růstu zaměstnanosti). Podobné mzdové tempo </w:t>
            </w:r>
            <w:r>
              <w:rPr>
                <w:color w:val="0D0D0D" w:themeColor="text1" w:themeTint="F2"/>
                <w:spacing w:val="-4"/>
                <w:lang w:eastAsia="en-US"/>
              </w:rPr>
              <w:br/>
              <w:t xml:space="preserve">i úroveň (42 tis. korun) měla i doprava a skladování (ovšem při rozdílném vývoji počtu zaměstnanců: −0,9 %). V odvětvích s nejvyšší mzdovou hladinou rostly výdělky relativně pomaleji: finančnictví (5,4 %), informační a komunikační činnosti (+6,0 %). </w:t>
            </w:r>
          </w:p>
        </w:tc>
      </w:tr>
      <w:tr w:rsidR="0038123E" w14:paraId="4331AC62" w14:textId="77777777" w:rsidTr="0038123E">
        <w:trPr>
          <w:trHeight w:val="132"/>
        </w:trPr>
        <w:tc>
          <w:tcPr>
            <w:tcW w:w="1702" w:type="dxa"/>
            <w:hideMark/>
          </w:tcPr>
          <w:p w14:paraId="42885C1F" w14:textId="77777777" w:rsidR="0038123E" w:rsidRDefault="0038123E">
            <w:pPr>
              <w:pStyle w:val="Marginlie"/>
              <w:rPr>
                <w:color w:val="0D0D0D" w:themeColor="text1" w:themeTint="F2"/>
                <w:spacing w:val="-4"/>
                <w:lang w:eastAsia="en-US"/>
              </w:rPr>
            </w:pPr>
            <w:r>
              <w:rPr>
                <w:color w:val="0D0D0D" w:themeColor="text1" w:themeTint="F2"/>
                <w:spacing w:val="-4"/>
                <w:lang w:eastAsia="en-US"/>
              </w:rPr>
              <w:t xml:space="preserve">Mzdový růst v Praze během roku 2024 mírně </w:t>
            </w:r>
            <w:r>
              <w:rPr>
                <w:color w:val="0D0D0D" w:themeColor="text1" w:themeTint="F2"/>
                <w:spacing w:val="-4"/>
                <w:lang w:eastAsia="en-US"/>
              </w:rPr>
              <w:lastRenderedPageBreak/>
              <w:t>sílil. Evidenční počet zaměstnanců se ve většině krajů snižoval.</w:t>
            </w:r>
          </w:p>
        </w:tc>
        <w:tc>
          <w:tcPr>
            <w:tcW w:w="202" w:type="dxa"/>
          </w:tcPr>
          <w:p w14:paraId="0442EF27" w14:textId="77777777" w:rsidR="0038123E" w:rsidRDefault="0038123E">
            <w:pPr>
              <w:pStyle w:val="Textpoznpodarou"/>
              <w:jc w:val="both"/>
              <w:rPr>
                <w:color w:val="0D0D0D" w:themeColor="text1" w:themeTint="F2"/>
                <w:spacing w:val="-4"/>
                <w:lang w:eastAsia="en-US"/>
              </w:rPr>
            </w:pPr>
          </w:p>
        </w:tc>
        <w:tc>
          <w:tcPr>
            <w:tcW w:w="7770" w:type="dxa"/>
            <w:hideMark/>
          </w:tcPr>
          <w:p w14:paraId="16DD4F23" w14:textId="77777777" w:rsidR="0038123E" w:rsidRDefault="0038123E">
            <w:pPr>
              <w:spacing w:after="200"/>
              <w:rPr>
                <w:color w:val="0D0D0D" w:themeColor="text1" w:themeTint="F2"/>
                <w:spacing w:val="-4"/>
                <w:lang w:eastAsia="en-US"/>
              </w:rPr>
            </w:pPr>
            <w:r>
              <w:rPr>
                <w:color w:val="0D0D0D" w:themeColor="text1" w:themeTint="F2"/>
                <w:spacing w:val="-4"/>
                <w:lang w:eastAsia="en-US"/>
              </w:rPr>
              <w:t xml:space="preserve">Meziroční mzdový růst mezi kraji se letos ve 3. čtvrtletí pohyboval od 6,0 % (Kraj Vysočina, Plzeňský kraj) po 7,7 % (Pardubický kraj). Ve srovnání s tempem v 1. až 3. čtvrtletí 2024 byl </w:t>
            </w:r>
            <w:r>
              <w:rPr>
                <w:color w:val="0D0D0D" w:themeColor="text1" w:themeTint="F2"/>
                <w:spacing w:val="-4"/>
                <w:lang w:eastAsia="en-US"/>
              </w:rPr>
              <w:lastRenderedPageBreak/>
              <w:t xml:space="preserve">aktuální růst vyšší zejména v Praze a Pardubickém kraji, zvolnil naopak hlavně ve středních Čechách (+6,8 %), zčásti patrně i vlivem zhoršení situace v průmyslu. Z pohledu úrovně průměrné mzdy je rozpětí krajů dlouhodobě beze změn – průměrná mzda v Praze </w:t>
            </w:r>
            <w:r>
              <w:rPr>
                <w:color w:val="0D0D0D" w:themeColor="text1" w:themeTint="F2"/>
                <w:spacing w:val="-4"/>
                <w:lang w:eastAsia="en-US"/>
              </w:rPr>
              <w:br/>
              <w:t xml:space="preserve">(55,9 tis. korun) ve 3. čtvrtletí převyšovala mzdu v Karlovarském kraji (39,2 tis.) o 43 %. Karlovarskému kraji zatím zřejmě </w:t>
            </w:r>
            <w:r>
              <w:rPr>
                <w:color w:val="0D0D0D" w:themeColor="text1" w:themeTint="F2"/>
                <w:spacing w:val="-6"/>
                <w:lang w:eastAsia="en-US"/>
              </w:rPr>
              <w:t>příliš nepomohlo oživení turismu, celková mzda zde totiž vzrostla meziročně jen o 6,3 %.</w:t>
            </w:r>
            <w:r>
              <w:rPr>
                <w:color w:val="0D0D0D" w:themeColor="text1" w:themeTint="F2"/>
                <w:spacing w:val="-4"/>
                <w:lang w:eastAsia="en-US"/>
              </w:rPr>
              <w:t> Evidenční počet zaměstnanců ve většině regionů meziročně klesal – nejvíce ve 3.</w:t>
            </w:r>
            <w:r>
              <w:rPr>
                <w:color w:val="0D0D0D" w:themeColor="text1" w:themeTint="F2"/>
                <w:spacing w:val="-6"/>
                <w:lang w:eastAsia="en-US"/>
              </w:rPr>
              <w:t> </w:t>
            </w:r>
            <w:r>
              <w:rPr>
                <w:color w:val="0D0D0D" w:themeColor="text1" w:themeTint="F2"/>
                <w:spacing w:val="-4"/>
                <w:lang w:eastAsia="en-US"/>
              </w:rPr>
              <w:t>kvartálu v Moravskoslezském kraji (−1,3 %), opačně je na tom Praha (+2,3 %). Slabý růst (ve 3. čtvrtletí i od počátku roku) nastal již jen ve Středočeském, Plzeňském a Jihomoravském kraji.</w:t>
            </w:r>
          </w:p>
        </w:tc>
      </w:tr>
      <w:tr w:rsidR="0038123E" w14:paraId="4843A620" w14:textId="77777777" w:rsidTr="0038123E">
        <w:trPr>
          <w:trHeight w:val="132"/>
        </w:trPr>
        <w:tc>
          <w:tcPr>
            <w:tcW w:w="1702" w:type="dxa"/>
            <w:hideMark/>
          </w:tcPr>
          <w:p w14:paraId="63AF0E0E" w14:textId="77777777" w:rsidR="0038123E" w:rsidRDefault="0038123E">
            <w:pPr>
              <w:pStyle w:val="Marginlie"/>
              <w:rPr>
                <w:color w:val="0D0D0D" w:themeColor="text1" w:themeTint="F2"/>
                <w:spacing w:val="-4"/>
                <w:lang w:eastAsia="en-US"/>
              </w:rPr>
            </w:pPr>
            <w:r>
              <w:rPr>
                <w:color w:val="0D0D0D" w:themeColor="text1" w:themeTint="F2"/>
                <w:spacing w:val="-4"/>
                <w:lang w:eastAsia="en-US"/>
              </w:rPr>
              <w:lastRenderedPageBreak/>
              <w:t xml:space="preserve">Medián mezd poprvé překonal hranici 40 tis, korun, rostl však pomaleji než průměr i krajní mzdové decily. </w:t>
            </w:r>
          </w:p>
        </w:tc>
        <w:tc>
          <w:tcPr>
            <w:tcW w:w="202" w:type="dxa"/>
          </w:tcPr>
          <w:p w14:paraId="4DBB22DA" w14:textId="77777777" w:rsidR="0038123E" w:rsidRDefault="0038123E">
            <w:pPr>
              <w:pStyle w:val="Textpoznpodarou"/>
              <w:jc w:val="both"/>
              <w:rPr>
                <w:color w:val="0D0D0D" w:themeColor="text1" w:themeTint="F2"/>
                <w:spacing w:val="-4"/>
                <w:lang w:eastAsia="en-US"/>
              </w:rPr>
            </w:pPr>
          </w:p>
        </w:tc>
        <w:tc>
          <w:tcPr>
            <w:tcW w:w="7770" w:type="dxa"/>
            <w:hideMark/>
          </w:tcPr>
          <w:p w14:paraId="1F34D106" w14:textId="77777777" w:rsidR="0038123E" w:rsidRDefault="0038123E">
            <w:pPr>
              <w:spacing w:after="200"/>
              <w:rPr>
                <w:color w:val="0D0D0D" w:themeColor="text1" w:themeTint="F2"/>
                <w:spacing w:val="-4"/>
                <w:lang w:eastAsia="en-US"/>
              </w:rPr>
            </w:pPr>
            <w:r>
              <w:rPr>
                <w:color w:val="0D0D0D" w:themeColor="text1" w:themeTint="F2"/>
                <w:spacing w:val="-4"/>
                <w:lang w:eastAsia="en-US"/>
              </w:rPr>
              <w:t xml:space="preserve">Medián mezd se ve 3. čtvrtletí zvýšil o 6,6 % (po celý rok zatím rostl mírněji než průměrná mzda i její krajní skupiny vyjádřené decily) a poprvé v historii překonal 40tis. hranici </w:t>
            </w:r>
            <w:r>
              <w:rPr>
                <w:color w:val="0D0D0D" w:themeColor="text1" w:themeTint="F2"/>
                <w:spacing w:val="-4"/>
                <w:lang w:eastAsia="en-US"/>
              </w:rPr>
              <w:br/>
              <w:t xml:space="preserve">(40,5 tis. korun). Na rozdíl od 1. pololetí 2024 rostl aktuálně nepatrně vyšším tempem u mužů. Mezera prostřední výše výdělků mezi pohlavími dosahovala 11,8 % (u nízkovýdělkových pracovníků – v nejnižším decilu – však ženy pobíraly oproti mužům jen o 5,9 % méně). Mzdová distribuce se dosud během letošního roku významně nezměnila. Ve 3. čtvrtletí vzrostl dolní mzdový decil meziročně o 7,7 %, na 21,3 tis. korun), horní decil o 7,1 % (na </w:t>
            </w:r>
            <w:r>
              <w:rPr>
                <w:color w:val="0D0D0D" w:themeColor="text1" w:themeTint="F2"/>
                <w:spacing w:val="-4"/>
                <w:lang w:eastAsia="en-US"/>
              </w:rPr>
              <w:br/>
              <w:t xml:space="preserve">77 tis.). </w:t>
            </w:r>
          </w:p>
        </w:tc>
      </w:tr>
      <w:tr w:rsidR="0038123E" w14:paraId="13842CD6" w14:textId="77777777" w:rsidTr="0038123E">
        <w:trPr>
          <w:trHeight w:val="132"/>
        </w:trPr>
        <w:tc>
          <w:tcPr>
            <w:tcW w:w="1702" w:type="dxa"/>
          </w:tcPr>
          <w:p w14:paraId="6648F662" w14:textId="77777777" w:rsidR="0038123E" w:rsidRDefault="0038123E">
            <w:pPr>
              <w:pStyle w:val="Marginlie"/>
              <w:rPr>
                <w:spacing w:val="-4"/>
                <w:lang w:eastAsia="en-US"/>
              </w:rPr>
            </w:pPr>
          </w:p>
        </w:tc>
        <w:tc>
          <w:tcPr>
            <w:tcW w:w="202" w:type="dxa"/>
          </w:tcPr>
          <w:p w14:paraId="182108DD" w14:textId="77777777" w:rsidR="0038123E" w:rsidRDefault="0038123E">
            <w:pPr>
              <w:pStyle w:val="Textpoznpodarou"/>
              <w:jc w:val="both"/>
              <w:rPr>
                <w:spacing w:val="-4"/>
                <w:lang w:eastAsia="en-US"/>
              </w:rPr>
            </w:pPr>
          </w:p>
        </w:tc>
        <w:tc>
          <w:tcPr>
            <w:tcW w:w="7770" w:type="dxa"/>
            <w:hideMark/>
          </w:tcPr>
          <w:p w14:paraId="465DB20B" w14:textId="77777777" w:rsidR="0038123E" w:rsidRDefault="0038123E">
            <w:pPr>
              <w:spacing w:after="0"/>
              <w:rPr>
                <w:b/>
                <w:spacing w:val="-2"/>
                <w:lang w:eastAsia="en-US"/>
              </w:rPr>
            </w:pPr>
            <w:r>
              <w:rPr>
                <w:rFonts w:cs="Arial"/>
                <w:b/>
                <w:color w:val="0D0D0D" w:themeColor="text1" w:themeTint="F2"/>
                <w:spacing w:val="-4"/>
                <w:szCs w:val="20"/>
                <w:lang w:eastAsia="en-US"/>
              </w:rPr>
              <w:t xml:space="preserve">Graf č. 15 Průměrná nominální a reálná mzda </w:t>
            </w:r>
            <w:r>
              <w:rPr>
                <w:rFonts w:cs="Arial"/>
                <w:color w:val="0D0D0D" w:themeColor="text1" w:themeTint="F2"/>
                <w:spacing w:val="-4"/>
                <w:szCs w:val="20"/>
                <w:lang w:eastAsia="en-US"/>
              </w:rPr>
              <w:t>(meziroční změna v %)</w:t>
            </w:r>
          </w:p>
        </w:tc>
      </w:tr>
      <w:tr w:rsidR="0038123E" w14:paraId="7AF1372A" w14:textId="77777777" w:rsidTr="0038123E">
        <w:trPr>
          <w:trHeight w:val="132"/>
        </w:trPr>
        <w:tc>
          <w:tcPr>
            <w:tcW w:w="1702" w:type="dxa"/>
            <w:tcMar>
              <w:top w:w="0" w:type="dxa"/>
              <w:left w:w="70" w:type="dxa"/>
              <w:bottom w:w="0" w:type="dxa"/>
              <w:right w:w="70" w:type="dxa"/>
            </w:tcMar>
          </w:tcPr>
          <w:p w14:paraId="50B8C33E" w14:textId="77777777" w:rsidR="0038123E" w:rsidRDefault="0038123E">
            <w:pPr>
              <w:pStyle w:val="Marginlie"/>
              <w:rPr>
                <w:spacing w:val="-4"/>
                <w:lang w:eastAsia="en-US"/>
              </w:rPr>
            </w:pPr>
          </w:p>
        </w:tc>
        <w:tc>
          <w:tcPr>
            <w:tcW w:w="202" w:type="dxa"/>
            <w:tcMar>
              <w:top w:w="0" w:type="dxa"/>
              <w:left w:w="70" w:type="dxa"/>
              <w:bottom w:w="0" w:type="dxa"/>
              <w:right w:w="70" w:type="dxa"/>
            </w:tcMar>
          </w:tcPr>
          <w:p w14:paraId="5B26EF86" w14:textId="77777777" w:rsidR="0038123E" w:rsidRDefault="0038123E">
            <w:pPr>
              <w:pStyle w:val="Textpoznpodarou"/>
              <w:jc w:val="both"/>
              <w:rPr>
                <w:spacing w:val="-4"/>
                <w:lang w:eastAsia="en-US"/>
              </w:rPr>
            </w:pPr>
          </w:p>
        </w:tc>
        <w:tc>
          <w:tcPr>
            <w:tcW w:w="7770" w:type="dxa"/>
            <w:tcMar>
              <w:top w:w="0" w:type="dxa"/>
              <w:left w:w="70" w:type="dxa"/>
              <w:bottom w:w="0" w:type="dxa"/>
              <w:right w:w="70" w:type="dxa"/>
            </w:tcMar>
            <w:hideMark/>
          </w:tcPr>
          <w:p w14:paraId="7FBFC4E3" w14:textId="31FDF4BC" w:rsidR="0038123E" w:rsidRDefault="0038123E">
            <w:pPr>
              <w:spacing w:after="0" w:line="240" w:lineRule="auto"/>
              <w:rPr>
                <w:rFonts w:cs="Arial"/>
                <w:color w:val="0D0D0D" w:themeColor="text1" w:themeTint="F2"/>
                <w:spacing w:val="-4"/>
                <w:sz w:val="14"/>
                <w:szCs w:val="14"/>
                <w:lang w:eastAsia="en-US"/>
              </w:rPr>
            </w:pPr>
            <w:r>
              <w:rPr>
                <w:noProof/>
              </w:rPr>
              <w:drawing>
                <wp:inline distT="0" distB="0" distL="0" distR="0" wp14:anchorId="1DC3BF81" wp14:editId="29836D1F">
                  <wp:extent cx="4848225" cy="3752850"/>
                  <wp:effectExtent l="0" t="0" r="0" b="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38123E" w14:paraId="257AAC80" w14:textId="77777777" w:rsidTr="0038123E">
        <w:trPr>
          <w:trHeight w:val="132"/>
        </w:trPr>
        <w:tc>
          <w:tcPr>
            <w:tcW w:w="1702" w:type="dxa"/>
          </w:tcPr>
          <w:p w14:paraId="12DE4C75" w14:textId="77777777" w:rsidR="0038123E" w:rsidRDefault="0038123E">
            <w:pPr>
              <w:pStyle w:val="Marginlie"/>
              <w:rPr>
                <w:spacing w:val="-4"/>
                <w:lang w:eastAsia="en-US"/>
              </w:rPr>
            </w:pPr>
          </w:p>
        </w:tc>
        <w:tc>
          <w:tcPr>
            <w:tcW w:w="202" w:type="dxa"/>
          </w:tcPr>
          <w:p w14:paraId="7527E444" w14:textId="77777777" w:rsidR="0038123E" w:rsidRDefault="0038123E">
            <w:pPr>
              <w:pStyle w:val="Textpoznpodarou"/>
              <w:jc w:val="both"/>
              <w:rPr>
                <w:spacing w:val="-4"/>
                <w:lang w:eastAsia="en-US"/>
              </w:rPr>
            </w:pPr>
          </w:p>
        </w:tc>
        <w:tc>
          <w:tcPr>
            <w:tcW w:w="7770" w:type="dxa"/>
            <w:hideMark/>
          </w:tcPr>
          <w:p w14:paraId="166CF4A6" w14:textId="77777777" w:rsidR="0038123E" w:rsidRDefault="0038123E">
            <w:pPr>
              <w:spacing w:after="0" w:line="240" w:lineRule="auto"/>
              <w:rPr>
                <w:rFonts w:cs="Arial"/>
                <w:color w:val="0D0D0D" w:themeColor="text1" w:themeTint="F2"/>
                <w:spacing w:val="-4"/>
                <w:sz w:val="14"/>
                <w:szCs w:val="14"/>
                <w:lang w:eastAsia="en-US"/>
              </w:rPr>
            </w:pPr>
            <w:r>
              <w:rPr>
                <w:rFonts w:cs="Arial"/>
                <w:color w:val="0D0D0D" w:themeColor="text1" w:themeTint="F2"/>
                <w:spacing w:val="-4"/>
                <w:sz w:val="14"/>
                <w:szCs w:val="14"/>
                <w:lang w:eastAsia="en-US"/>
              </w:rPr>
              <w:t>*Zahrnuje odvětví s významnou rolí vládního sektoru: Veřejná správa a obrana, povinné sociální zabezpečení; Vzdělávání; Zdravotní a sociální péče; Kulturní, zábavní a rekreační činnosti.</w:t>
            </w:r>
          </w:p>
          <w:p w14:paraId="6CF2462A" w14:textId="77777777" w:rsidR="0038123E" w:rsidRDefault="0038123E">
            <w:pPr>
              <w:spacing w:after="200" w:line="240" w:lineRule="auto"/>
              <w:rPr>
                <w:rFonts w:cs="Arial"/>
                <w:color w:val="0D0D0D" w:themeColor="text1" w:themeTint="F2"/>
                <w:spacing w:val="-4"/>
                <w:sz w:val="14"/>
                <w:szCs w:val="14"/>
                <w:lang w:eastAsia="en-US"/>
              </w:rPr>
            </w:pPr>
            <w:r>
              <w:rPr>
                <w:rFonts w:cs="Arial"/>
                <w:color w:val="0D0D0D" w:themeColor="text1" w:themeTint="F2"/>
                <w:spacing w:val="-4"/>
                <w:sz w:val="14"/>
                <w:szCs w:val="14"/>
                <w:lang w:eastAsia="en-US"/>
              </w:rPr>
              <w:t>**Vyjadřuje HDP (ve stálých cenách) vztažený na 1 pracovníka (ve fyzických osobách).                                                        Zdroj: ČSÚ</w:t>
            </w:r>
          </w:p>
        </w:tc>
      </w:tr>
    </w:tbl>
    <w:p w14:paraId="6E386C0F" w14:textId="77777777" w:rsidR="0038123E" w:rsidRDefault="0038123E" w:rsidP="0038123E">
      <w:pPr>
        <w:spacing w:after="0" w:line="240" w:lineRule="auto"/>
        <w:jc w:val="left"/>
        <w:rPr>
          <w:sz w:val="2"/>
          <w:szCs w:val="2"/>
        </w:rPr>
      </w:pPr>
    </w:p>
    <w:p w14:paraId="077ED96E" w14:textId="30C9DD71" w:rsidR="003C6550" w:rsidRDefault="003C6550">
      <w:pPr>
        <w:spacing w:after="0" w:line="240" w:lineRule="auto"/>
        <w:jc w:val="left"/>
        <w:rPr>
          <w:rFonts w:eastAsia="MS Gothic"/>
          <w:b/>
          <w:bCs/>
          <w:color w:val="86BF5E"/>
          <w:sz w:val="32"/>
          <w:szCs w:val="28"/>
        </w:rPr>
      </w:pPr>
    </w:p>
    <w:p w14:paraId="7B39D861" w14:textId="77777777" w:rsidR="00443556" w:rsidRDefault="00443556">
      <w:pPr>
        <w:spacing w:after="0" w:line="240" w:lineRule="auto"/>
        <w:jc w:val="left"/>
        <w:rPr>
          <w:rFonts w:eastAsia="MS Gothic"/>
          <w:b/>
          <w:bCs/>
          <w:color w:val="86BF5E"/>
          <w:sz w:val="32"/>
          <w:szCs w:val="28"/>
        </w:rPr>
      </w:pPr>
      <w:r>
        <w:br w:type="page"/>
      </w:r>
    </w:p>
    <w:p w14:paraId="49D2B177" w14:textId="38CF13DD" w:rsidR="0079124F" w:rsidRDefault="0079124F" w:rsidP="0079124F">
      <w:pPr>
        <w:pStyle w:val="Nadpis1"/>
      </w:pPr>
      <w:bookmarkStart w:id="27" w:name="_Toc185241007"/>
      <w:r>
        <w:lastRenderedPageBreak/>
        <w:t>7. Měnové podmínky</w:t>
      </w:r>
      <w:bookmarkEnd w:id="26"/>
      <w:bookmarkEnd w:id="27"/>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79124F" w:rsidRPr="0037004A" w14:paraId="3298E956" w14:textId="77777777" w:rsidTr="00102C41">
        <w:trPr>
          <w:trHeight w:val="145"/>
        </w:trPr>
        <w:tc>
          <w:tcPr>
            <w:tcW w:w="1802" w:type="dxa"/>
          </w:tcPr>
          <w:p w14:paraId="32EEF0C2" w14:textId="77777777" w:rsidR="0079124F" w:rsidRDefault="0079124F" w:rsidP="00102C41">
            <w:pPr>
              <w:pStyle w:val="Marginlie"/>
              <w:rPr>
                <w:lang w:eastAsia="en-US"/>
              </w:rPr>
            </w:pPr>
            <w:r>
              <w:rPr>
                <w:lang w:eastAsia="en-US"/>
              </w:rPr>
              <w:t>Měnověpolitické sazby se ve 3. čtvrtletí dvakrát snížily.</w:t>
            </w:r>
          </w:p>
        </w:tc>
        <w:tc>
          <w:tcPr>
            <w:tcW w:w="229" w:type="dxa"/>
          </w:tcPr>
          <w:p w14:paraId="139703BE" w14:textId="77777777" w:rsidR="0079124F" w:rsidRDefault="0079124F" w:rsidP="00102C41">
            <w:pPr>
              <w:pStyle w:val="Textpoznpodarou"/>
              <w:jc w:val="both"/>
              <w:rPr>
                <w:spacing w:val="-4"/>
                <w:lang w:eastAsia="en-US"/>
              </w:rPr>
            </w:pPr>
          </w:p>
        </w:tc>
        <w:tc>
          <w:tcPr>
            <w:tcW w:w="7610" w:type="dxa"/>
          </w:tcPr>
          <w:p w14:paraId="23774B85" w14:textId="77777777" w:rsidR="0079124F" w:rsidRPr="0037004A" w:rsidRDefault="0079124F" w:rsidP="00102C41">
            <w:pPr>
              <w:rPr>
                <w:spacing w:val="-2"/>
                <w:lang w:eastAsia="en-US"/>
              </w:rPr>
            </w:pPr>
            <w:r>
              <w:rPr>
                <w:spacing w:val="-2"/>
                <w:lang w:eastAsia="en-US"/>
              </w:rPr>
              <w:t>V průběhu 3. čtvrtletí 2024 došlo ke dvěma snížením hlavních měnověpolitických sazeb o 0,25 p. b. Dvoutýdenní repo sazba tak ke konci září dosahovala 4,25 %</w:t>
            </w:r>
            <w:r w:rsidRPr="0037004A">
              <w:rPr>
                <w:rStyle w:val="Znakapoznpodarou"/>
                <w:spacing w:val="-2"/>
                <w:lang w:eastAsia="en-US"/>
              </w:rPr>
              <w:footnoteReference w:id="83"/>
            </w:r>
            <w:r>
              <w:rPr>
                <w:spacing w:val="-2"/>
                <w:lang w:eastAsia="en-US"/>
              </w:rPr>
              <w:t>, diskontní sazba 3,25 % a lombardní sazba 5,25 %. Kurz koruny vůči euru se v průběhu 3. čtvrtletí pohyboval v pásmu mezi 25,00 a 25,50 korunami. Za celé čtvrtletí kurz dosáhl průměru 25,20 CZK/EUR. Koruna tak vůči euru mezičtvrtletně oslabila o 24 haléřů (1,0 %) a meziročně byla slabší o 1 korunu 6 haléřů (4,4 %). Kurz koruny vůči americkému dolaru během 3. kvartálu postupně oslaboval z úrovně okolo 23,30 CZK/USD na hladinu 22,50 CZK/USD. V průměru dosáhl kurz 22,94 CZK/USD. Mezičtvrtletně došlo k posílení o 24 haléřů (1,0 %), meziročně byl kurz koruny vůči dolaru slabší o 77 haléřů (3,5 %).</w:t>
            </w:r>
          </w:p>
        </w:tc>
      </w:tr>
      <w:tr w:rsidR="0079124F" w14:paraId="6C15697E" w14:textId="77777777" w:rsidTr="00102C41">
        <w:trPr>
          <w:trHeight w:val="145"/>
        </w:trPr>
        <w:tc>
          <w:tcPr>
            <w:tcW w:w="1802" w:type="dxa"/>
          </w:tcPr>
          <w:p w14:paraId="2F3C4EAD" w14:textId="77777777" w:rsidR="0079124F" w:rsidRDefault="0079124F" w:rsidP="00102C41">
            <w:pPr>
              <w:pStyle w:val="Marginlie"/>
              <w:rPr>
                <w:lang w:eastAsia="en-US"/>
              </w:rPr>
            </w:pPr>
            <w:r>
              <w:rPr>
                <w:lang w:eastAsia="en-US"/>
              </w:rPr>
              <w:t>Snižovaly se výnosy vládních dluhopisů.</w:t>
            </w:r>
          </w:p>
        </w:tc>
        <w:tc>
          <w:tcPr>
            <w:tcW w:w="229" w:type="dxa"/>
          </w:tcPr>
          <w:p w14:paraId="37A312CC" w14:textId="77777777" w:rsidR="0079124F" w:rsidRDefault="0079124F" w:rsidP="00102C41">
            <w:pPr>
              <w:pStyle w:val="Textpoznpodarou"/>
              <w:jc w:val="both"/>
              <w:rPr>
                <w:spacing w:val="-4"/>
                <w:lang w:eastAsia="en-US"/>
              </w:rPr>
            </w:pPr>
          </w:p>
        </w:tc>
        <w:tc>
          <w:tcPr>
            <w:tcW w:w="7610" w:type="dxa"/>
          </w:tcPr>
          <w:p w14:paraId="0614EEAF" w14:textId="77777777" w:rsidR="0079124F" w:rsidRDefault="0079124F" w:rsidP="00102C41">
            <w:pPr>
              <w:rPr>
                <w:spacing w:val="-1"/>
                <w:lang w:eastAsia="en-US"/>
              </w:rPr>
            </w:pPr>
            <w:r>
              <w:rPr>
                <w:spacing w:val="-1"/>
                <w:lang w:eastAsia="en-US"/>
              </w:rPr>
              <w:t>Spolu s měnověpolitickými sazbami se směrem dolů pohybovaly také úrokové sazby mezibankovního trhu. Výrazněji klesaly sazby depozit s delší splatností</w:t>
            </w:r>
            <w:r>
              <w:rPr>
                <w:rStyle w:val="Znakapoznpodarou"/>
                <w:spacing w:val="-1"/>
                <w:lang w:eastAsia="en-US"/>
              </w:rPr>
              <w:footnoteReference w:id="84"/>
            </w:r>
            <w:r>
              <w:rPr>
                <w:spacing w:val="-1"/>
                <w:lang w:eastAsia="en-US"/>
              </w:rPr>
              <w:t xml:space="preserve"> (1 rok a 6 měsíců), čímž se otočila situace oproti 2. kvartálu. Rozdíly ale nebyly příliš velké. Roční sazba PRIBOR klesla o 0,84 p. b., zatímco tříměsíční PRIBOR byl nižší o 0,73 p. b. Výnosy vládních dluhopisů se ve 3. čtvrtletí také snižovaly. Dluhopisy se splatností do 2 let byly ke konci září úročeny 3,50 % (−0,71 p. b.), ty se splatností mezi 2 a 5 lety byly úročeny 3,47 % (−0,65 p. b.) a dluhopisy s dlouhodobou splatností 3,77 % (−0,44 p. b.).</w:t>
            </w:r>
          </w:p>
        </w:tc>
      </w:tr>
      <w:tr w:rsidR="0079124F" w14:paraId="52CCC10B" w14:textId="77777777" w:rsidTr="00102C41">
        <w:trPr>
          <w:trHeight w:val="145"/>
        </w:trPr>
        <w:tc>
          <w:tcPr>
            <w:tcW w:w="1802" w:type="dxa"/>
          </w:tcPr>
          <w:p w14:paraId="0C7CF047" w14:textId="77777777" w:rsidR="0079124F" w:rsidRDefault="0079124F" w:rsidP="00102C41">
            <w:pPr>
              <w:pStyle w:val="Marginlie"/>
              <w:rPr>
                <w:lang w:eastAsia="en-US"/>
              </w:rPr>
            </w:pPr>
            <w:r>
              <w:rPr>
                <w:lang w:eastAsia="en-US"/>
              </w:rPr>
              <w:t>Mezi vklady je patrné oživení růstu vkladů nerezidentů.</w:t>
            </w:r>
          </w:p>
        </w:tc>
        <w:tc>
          <w:tcPr>
            <w:tcW w:w="229" w:type="dxa"/>
          </w:tcPr>
          <w:p w14:paraId="301A7DAE" w14:textId="77777777" w:rsidR="0079124F" w:rsidRDefault="0079124F" w:rsidP="00102C41">
            <w:pPr>
              <w:pStyle w:val="Textpoznpodarou"/>
              <w:jc w:val="both"/>
              <w:rPr>
                <w:spacing w:val="-4"/>
                <w:lang w:eastAsia="en-US"/>
              </w:rPr>
            </w:pPr>
          </w:p>
        </w:tc>
        <w:tc>
          <w:tcPr>
            <w:tcW w:w="7610" w:type="dxa"/>
          </w:tcPr>
          <w:p w14:paraId="0354444C" w14:textId="77777777" w:rsidR="0079124F" w:rsidRDefault="0079124F" w:rsidP="00102C41">
            <w:pPr>
              <w:rPr>
                <w:spacing w:val="-3"/>
                <w:lang w:eastAsia="en-US"/>
              </w:rPr>
            </w:pPr>
            <w:r>
              <w:rPr>
                <w:spacing w:val="-3"/>
                <w:lang w:eastAsia="en-US"/>
              </w:rPr>
              <w:t>Úrokové sazby na vkladech domácností ve 3. čtvrtletí pokračovaly v poklesu. Jednodenní vklady byly ke konci září v průměru úročeny 1,31 % (−0,12 p. b.). Průměrné úročení běžných účtů, které dlouhodobě zůstává blízko nule, se ve 3. čtvrtletí snížilo na 0,13 %. U vkladů s dohodnutou splatností celkově průměrné úročení kleslo o 0,69 p. b. na 3,61 %. Situace u vkladů nefinančních podniků byla velmi podobná – úročení běžných účtů kleslo do konce září o 0,12 p. b. na 0,69 % a vkladů s dohodnutou splatností o 0,76 p. b. na 3,79 %. Celkový objem vkladů byl ke konci 3. čtvrtletí meziročně vyšší o 473,6 mld. korun (6,8 %). Netermínované vklady byly vyšší o 322,8 mld. (7,6 %) a ty termínované o 150,8 mld. (5,6 %, poprvé od 3. čtvrtletí 2021 byl procentní meziroční přírůstek termínovaných vkladů nižší než těch netermínovaných). Vklady nefinančních podniků se meziročně zvýšily o 89,5 mld. korun (6,3 %), domácností</w:t>
            </w:r>
            <w:r>
              <w:rPr>
                <w:rStyle w:val="Znakapoznpodarou"/>
                <w:spacing w:val="-3"/>
                <w:lang w:eastAsia="en-US"/>
              </w:rPr>
              <w:footnoteReference w:id="85"/>
            </w:r>
            <w:r>
              <w:rPr>
                <w:spacing w:val="-3"/>
                <w:lang w:eastAsia="en-US"/>
              </w:rPr>
              <w:t xml:space="preserve"> o 267,9 mld. (7,5 %) a vládních institucí o 86,6 mld. (7,9 %). Výrazně meziročně posílily vklady nerezidentů </w:t>
            </w:r>
            <w:r>
              <w:rPr>
                <w:spacing w:val="-3"/>
                <w:lang w:eastAsia="en-US"/>
              </w:rPr>
              <w:br/>
              <w:t xml:space="preserve">(+54,2 mld. korun, 22,7 %), které ale představují naprostou menšinu (4,0 %) z celkového objemu vkladů v českých bankách. Pokles objemu vkladů byl zaznamenán u finančních institucí (−25,3 mld. korun, −4,8 %).        </w:t>
            </w:r>
          </w:p>
        </w:tc>
      </w:tr>
      <w:tr w:rsidR="0079124F" w14:paraId="633C36A5" w14:textId="77777777" w:rsidTr="00102C41">
        <w:trPr>
          <w:trHeight w:val="145"/>
        </w:trPr>
        <w:tc>
          <w:tcPr>
            <w:tcW w:w="1802" w:type="dxa"/>
          </w:tcPr>
          <w:p w14:paraId="1416AE00" w14:textId="77777777" w:rsidR="0079124F" w:rsidRDefault="0079124F" w:rsidP="00102C41">
            <w:pPr>
              <w:pStyle w:val="Marginlie"/>
              <w:rPr>
                <w:lang w:eastAsia="en-US"/>
              </w:rPr>
            </w:pPr>
            <w:r>
              <w:rPr>
                <w:lang w:eastAsia="en-US"/>
              </w:rPr>
              <w:t>Nové hypoteční smlouvy se z většiny týkaly ostatních nových ujednání.</w:t>
            </w:r>
          </w:p>
        </w:tc>
        <w:tc>
          <w:tcPr>
            <w:tcW w:w="229" w:type="dxa"/>
          </w:tcPr>
          <w:p w14:paraId="451DE8CD" w14:textId="77777777" w:rsidR="0079124F" w:rsidRDefault="0079124F" w:rsidP="00102C41">
            <w:pPr>
              <w:pStyle w:val="Textpoznpodarou"/>
              <w:jc w:val="both"/>
              <w:rPr>
                <w:spacing w:val="-4"/>
                <w:lang w:eastAsia="en-US"/>
              </w:rPr>
            </w:pPr>
          </w:p>
        </w:tc>
        <w:tc>
          <w:tcPr>
            <w:tcW w:w="7610" w:type="dxa"/>
          </w:tcPr>
          <w:p w14:paraId="2778E028" w14:textId="77777777" w:rsidR="0079124F" w:rsidRDefault="0079124F" w:rsidP="00102C41">
            <w:pPr>
              <w:rPr>
                <w:lang w:eastAsia="en-US"/>
              </w:rPr>
            </w:pPr>
            <w:r>
              <w:rPr>
                <w:lang w:eastAsia="en-US"/>
              </w:rPr>
              <w:t>Úrokové sazby úvěrů pro domácnosti se snižují jen velmi zvolna. V případě úvěrů na spotřebu průměrné úročení ke konci září 2024 dosahovalo 8,70 %, což bylo mezičtvrtletně o 0,21 p. b. méně. Jen kosmetické byly změny úročení také u úvěrů na bydlení (−0,09 p. b.). Ke konci září průměrná úroková sazba dosahovala 4,92 %. Oproti vrcholu, kterého dosáhlo průměrné úročení úvěrů na bydlení ke konci září 2023, se sazba snížila o 0,59 p. b. Dynamika objemu poskytnutých úvěrů zpomalila. Objem poskytnutých úvěrů na spotřebu byl ke konci září meziročně vyšší o výrazných 8,7 %, což byl ale nejnižší přírůstek od konce 1. čtvrtletí 2023. Meziroční přírůstek objemu úvěrů na bydlení, které v portfoliu domácností představují většinu zadlužení, ke konci září oslabil na 3,5 %. Velké zpomalení bylo zaznamenáno především u hypotečních úvěrů (3,2 %, nejnižší přírůstek v celé časové řadě), zatímco úvěry ze stavebního spoření vzrostly o 30,9 %</w:t>
            </w:r>
            <w:r>
              <w:rPr>
                <w:rStyle w:val="Znakapoznpodarou"/>
                <w:lang w:eastAsia="en-US"/>
              </w:rPr>
              <w:footnoteReference w:id="86"/>
            </w:r>
            <w:r>
              <w:rPr>
                <w:lang w:eastAsia="en-US"/>
              </w:rPr>
              <w:t xml:space="preserve">. Ve 3. čtvrtletí byly uzavřeny nové hypoteční smlouvy </w:t>
            </w:r>
            <w:r>
              <w:rPr>
                <w:lang w:eastAsia="en-US"/>
              </w:rPr>
              <w:lastRenderedPageBreak/>
              <w:t>v hodnotě 144,1 mld. korun (meziročně +67,2 mld.). Z toho 62,6 mld. korun byly čisté nové úvěry</w:t>
            </w:r>
            <w:r>
              <w:rPr>
                <w:rStyle w:val="Znakapoznpodarou"/>
                <w:lang w:eastAsia="en-US"/>
              </w:rPr>
              <w:footnoteReference w:id="87"/>
            </w:r>
            <w:r>
              <w:rPr>
                <w:lang w:eastAsia="en-US"/>
              </w:rPr>
              <w:t xml:space="preserve"> (+33,7 mld.). Většinu nových smluv tvořila ostatní nová ujednání </w:t>
            </w:r>
            <w:r>
              <w:rPr>
                <w:lang w:eastAsia="en-US"/>
              </w:rPr>
              <w:br/>
              <w:t xml:space="preserve">(70,5 mld. korun). Uzavřeno jich bylo meziročně o 27,6 mld. více, což je po 2. čtvrtletí 2020 největší zaznamenaný přírůstek, a pokračovala tak vlna sjednávání nových podmínek úvěru uzavřených v době nízkých úrokových sazeb. Ve 3. čtvrtletí byly také refinancovány úvěry v hodnotě 11,0 mld. korun (+5,9 mld.). </w:t>
            </w:r>
          </w:p>
        </w:tc>
      </w:tr>
      <w:tr w:rsidR="0079124F" w14:paraId="6A1933C4" w14:textId="77777777" w:rsidTr="00102C41">
        <w:trPr>
          <w:trHeight w:val="145"/>
        </w:trPr>
        <w:tc>
          <w:tcPr>
            <w:tcW w:w="1802" w:type="dxa"/>
          </w:tcPr>
          <w:p w14:paraId="18094929" w14:textId="77777777" w:rsidR="0079124F" w:rsidRDefault="0079124F" w:rsidP="00102C41">
            <w:pPr>
              <w:pStyle w:val="Marginlie"/>
              <w:rPr>
                <w:lang w:eastAsia="en-US"/>
              </w:rPr>
            </w:pPr>
            <w:r>
              <w:rPr>
                <w:lang w:eastAsia="en-US"/>
              </w:rPr>
              <w:lastRenderedPageBreak/>
              <w:t>Úrokové sazby úvěrů pro nefinanční podniky klesaly.</w:t>
            </w:r>
          </w:p>
        </w:tc>
        <w:tc>
          <w:tcPr>
            <w:tcW w:w="229" w:type="dxa"/>
          </w:tcPr>
          <w:p w14:paraId="37486EFB" w14:textId="77777777" w:rsidR="0079124F" w:rsidRDefault="0079124F" w:rsidP="00102C41">
            <w:pPr>
              <w:pStyle w:val="Textpoznpodarou"/>
              <w:jc w:val="both"/>
              <w:rPr>
                <w:spacing w:val="-4"/>
                <w:lang w:eastAsia="en-US"/>
              </w:rPr>
            </w:pPr>
          </w:p>
        </w:tc>
        <w:tc>
          <w:tcPr>
            <w:tcW w:w="7610" w:type="dxa"/>
          </w:tcPr>
          <w:p w14:paraId="70D658CA" w14:textId="75964238" w:rsidR="0079124F" w:rsidRDefault="0079124F" w:rsidP="0079124F">
            <w:pPr>
              <w:rPr>
                <w:lang w:eastAsia="en-US"/>
              </w:rPr>
            </w:pPr>
            <w:r>
              <w:rPr>
                <w:lang w:eastAsia="en-US"/>
              </w:rPr>
              <w:t>Úrokové sazby úvěrů poskytovaných nefinančním podnikům klesaly ve 3. čtvrtletí výrazněji. Úvěry v objemu do 7,5 mil. korun byly ke konci září v průměru úročeny 6,42 % (−0,52 p. b.), ty mezi 7,5 a 30 mil. měly průměrný úrok 6,16 % (−0,80 p. b.) a ty nad 30 mil. byly úročeny 5,98 % (−0,78 p. b.). Celkový objem úvěrů a pohledávek nefinančních podniků byl ke konci září meziročně vyšší o 6,8 % a pokračovalo mírné oživení růstu objemu úvěrů poskytnutých v korunách (1,3 %). Objem úvěrů poskytnutých nefinančním podnikům v cizí měně byl meziročně vyšší o 12,5 % a jejich podíl na celkovém objemu opět mírně stoupl na 52,3 %</w:t>
            </w:r>
            <w:r>
              <w:rPr>
                <w:rStyle w:val="Znakapoznpodarou"/>
                <w:lang w:eastAsia="en-US"/>
              </w:rPr>
              <w:footnoteReference w:id="88"/>
            </w:r>
            <w:r>
              <w:rPr>
                <w:lang w:eastAsia="en-US"/>
              </w:rPr>
              <w:t xml:space="preserve">. Dvouciferným tempem nadále meziročně rostl objem úvěrů poskytnutých v informačních a komunikačních činnostech (33,3 %), ubytování, stravování a pohostinství (15,5 %), v profesních, vědeckých, technických a administrativních činnostech (11,5 %) a v činnostech v oblasti nemovitostí (10,5 %). Kromě těžby a dobývání, která prochází dlouhodobým útlumem (−6,3 %), klesal objem poskytnutých úvěrů v odvětví výroby a rozvodu elektřiny, plynu, tepla, vzduchu, vody a odpadních vod (−2,9 %) a ve velkoobchodě a maloobchodě a opravách a údržbě motorových vozidel (−2,7 %).  </w:t>
            </w:r>
          </w:p>
        </w:tc>
      </w:tr>
      <w:tr w:rsidR="0079124F" w14:paraId="1028BAD3" w14:textId="77777777" w:rsidTr="00102C41">
        <w:trPr>
          <w:trHeight w:val="304"/>
        </w:trPr>
        <w:tc>
          <w:tcPr>
            <w:tcW w:w="1802" w:type="dxa"/>
            <w:vMerge w:val="restart"/>
          </w:tcPr>
          <w:p w14:paraId="63E3E61B" w14:textId="77777777" w:rsidR="0079124F" w:rsidRDefault="0079124F" w:rsidP="00102C41">
            <w:pPr>
              <w:pStyle w:val="Marginlie"/>
              <w:rPr>
                <w:lang w:eastAsia="en-US"/>
              </w:rPr>
            </w:pPr>
          </w:p>
        </w:tc>
        <w:tc>
          <w:tcPr>
            <w:tcW w:w="229" w:type="dxa"/>
            <w:vMerge w:val="restart"/>
          </w:tcPr>
          <w:p w14:paraId="38FF75F9" w14:textId="77777777" w:rsidR="0079124F" w:rsidRDefault="0079124F" w:rsidP="00102C41">
            <w:pPr>
              <w:pStyle w:val="Textpoznpodarou"/>
              <w:jc w:val="both"/>
              <w:rPr>
                <w:spacing w:val="-4"/>
                <w:lang w:eastAsia="en-US"/>
              </w:rPr>
            </w:pPr>
          </w:p>
        </w:tc>
        <w:tc>
          <w:tcPr>
            <w:tcW w:w="7610" w:type="dxa"/>
            <w:hideMark/>
          </w:tcPr>
          <w:p w14:paraId="3B5D94F8" w14:textId="77777777" w:rsidR="0079124F" w:rsidRPr="00D721B4" w:rsidRDefault="0079124F" w:rsidP="00102C41">
            <w:pPr>
              <w:spacing w:after="0"/>
              <w:rPr>
                <w:szCs w:val="20"/>
                <w:lang w:eastAsia="en-US"/>
              </w:rPr>
            </w:pPr>
            <w:r>
              <w:rPr>
                <w:rFonts w:cs="Arial"/>
                <w:b/>
                <w:bCs/>
                <w:color w:val="000000"/>
                <w:szCs w:val="20"/>
                <w:lang w:eastAsia="en-US"/>
              </w:rPr>
              <w:t>Graf č. 16</w:t>
            </w:r>
            <w:r w:rsidRPr="00D721B4">
              <w:rPr>
                <w:rFonts w:cs="Arial"/>
                <w:b/>
                <w:bCs/>
                <w:color w:val="000000"/>
                <w:szCs w:val="20"/>
                <w:lang w:eastAsia="en-US"/>
              </w:rPr>
              <w:t xml:space="preserve"> </w:t>
            </w:r>
            <w:r w:rsidRPr="00D721B4">
              <w:rPr>
                <w:b/>
                <w:spacing w:val="-4"/>
                <w:szCs w:val="20"/>
                <w:lang w:eastAsia="en-US"/>
              </w:rPr>
              <w:t xml:space="preserve">Tržní úrokové sazby </w:t>
            </w:r>
            <w:r w:rsidRPr="00D721B4">
              <w:rPr>
                <w:bCs/>
                <w:spacing w:val="-4"/>
                <w:szCs w:val="20"/>
                <w:lang w:eastAsia="en-US"/>
              </w:rPr>
              <w:t>(v</w:t>
            </w:r>
            <w:r>
              <w:rPr>
                <w:bCs/>
                <w:spacing w:val="-4"/>
                <w:szCs w:val="20"/>
                <w:lang w:eastAsia="en-US"/>
              </w:rPr>
              <w:t> %</w:t>
            </w:r>
            <w:r w:rsidRPr="00D721B4">
              <w:rPr>
                <w:bCs/>
                <w:spacing w:val="-4"/>
                <w:szCs w:val="20"/>
                <w:lang w:eastAsia="en-US"/>
              </w:rPr>
              <w:t>)</w:t>
            </w:r>
          </w:p>
        </w:tc>
      </w:tr>
      <w:tr w:rsidR="0079124F" w14:paraId="0F7D783F" w14:textId="77777777" w:rsidTr="00102C41">
        <w:tblPrEx>
          <w:tblCellMar>
            <w:left w:w="70" w:type="dxa"/>
            <w:right w:w="70" w:type="dxa"/>
          </w:tblCellMar>
        </w:tblPrEx>
        <w:trPr>
          <w:trHeight w:val="170"/>
        </w:trPr>
        <w:tc>
          <w:tcPr>
            <w:tcW w:w="1802" w:type="dxa"/>
            <w:vMerge/>
            <w:vAlign w:val="center"/>
            <w:hideMark/>
          </w:tcPr>
          <w:p w14:paraId="0593E422" w14:textId="77777777" w:rsidR="0079124F" w:rsidRDefault="0079124F" w:rsidP="00102C41">
            <w:pPr>
              <w:spacing w:after="0" w:line="240" w:lineRule="auto"/>
              <w:jc w:val="left"/>
              <w:rPr>
                <w:spacing w:val="-2"/>
                <w:sz w:val="16"/>
                <w:szCs w:val="16"/>
                <w:lang w:eastAsia="en-US"/>
              </w:rPr>
            </w:pPr>
          </w:p>
        </w:tc>
        <w:tc>
          <w:tcPr>
            <w:tcW w:w="229" w:type="dxa"/>
            <w:vMerge/>
            <w:vAlign w:val="center"/>
            <w:hideMark/>
          </w:tcPr>
          <w:p w14:paraId="15A397AA" w14:textId="77777777" w:rsidR="0079124F" w:rsidRDefault="0079124F" w:rsidP="00102C41">
            <w:pPr>
              <w:spacing w:after="0" w:line="240" w:lineRule="auto"/>
              <w:jc w:val="left"/>
              <w:rPr>
                <w:rFonts w:eastAsia="Calibri"/>
                <w:spacing w:val="-4"/>
                <w:szCs w:val="20"/>
                <w:lang w:eastAsia="en-US"/>
              </w:rPr>
            </w:pPr>
          </w:p>
        </w:tc>
        <w:tc>
          <w:tcPr>
            <w:tcW w:w="7610" w:type="dxa"/>
            <w:hideMark/>
          </w:tcPr>
          <w:p w14:paraId="3FFE07C9" w14:textId="77777777" w:rsidR="0079124F" w:rsidRDefault="0079124F" w:rsidP="00102C41">
            <w:pPr>
              <w:spacing w:after="0"/>
              <w:rPr>
                <w:sz w:val="14"/>
                <w:szCs w:val="14"/>
                <w:lang w:eastAsia="en-US"/>
              </w:rPr>
            </w:pPr>
            <w:r>
              <w:rPr>
                <w:noProof/>
              </w:rPr>
              <w:drawing>
                <wp:inline distT="0" distB="0" distL="0" distR="0" wp14:anchorId="75F350C9" wp14:editId="126F2F60">
                  <wp:extent cx="4737600" cy="3553200"/>
                  <wp:effectExtent l="0" t="0" r="6350" b="0"/>
                  <wp:docPr id="31" name="Graf 31">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79124F" w14:paraId="4BF8131D" w14:textId="77777777" w:rsidTr="00102C41">
        <w:trPr>
          <w:trHeight w:val="170"/>
        </w:trPr>
        <w:tc>
          <w:tcPr>
            <w:tcW w:w="0" w:type="auto"/>
            <w:vMerge/>
            <w:vAlign w:val="center"/>
            <w:hideMark/>
          </w:tcPr>
          <w:p w14:paraId="5B7AD4A3" w14:textId="77777777" w:rsidR="0079124F" w:rsidRDefault="0079124F" w:rsidP="00102C41">
            <w:pPr>
              <w:spacing w:after="0" w:line="240" w:lineRule="auto"/>
              <w:jc w:val="left"/>
              <w:rPr>
                <w:spacing w:val="-2"/>
                <w:sz w:val="16"/>
                <w:szCs w:val="16"/>
                <w:lang w:eastAsia="en-US"/>
              </w:rPr>
            </w:pPr>
          </w:p>
        </w:tc>
        <w:tc>
          <w:tcPr>
            <w:tcW w:w="0" w:type="auto"/>
            <w:vMerge/>
            <w:vAlign w:val="center"/>
            <w:hideMark/>
          </w:tcPr>
          <w:p w14:paraId="123C638F" w14:textId="77777777" w:rsidR="0079124F" w:rsidRDefault="0079124F" w:rsidP="00102C41">
            <w:pPr>
              <w:spacing w:after="0" w:line="240" w:lineRule="auto"/>
              <w:jc w:val="left"/>
              <w:rPr>
                <w:rFonts w:eastAsia="Calibri"/>
                <w:spacing w:val="-4"/>
                <w:szCs w:val="20"/>
                <w:lang w:eastAsia="en-US"/>
              </w:rPr>
            </w:pPr>
          </w:p>
        </w:tc>
        <w:tc>
          <w:tcPr>
            <w:tcW w:w="7610" w:type="dxa"/>
            <w:hideMark/>
          </w:tcPr>
          <w:p w14:paraId="31C41F78" w14:textId="77777777" w:rsidR="0079124F" w:rsidRDefault="0079124F" w:rsidP="00102C41">
            <w:pPr>
              <w:spacing w:after="0"/>
              <w:rPr>
                <w:sz w:val="14"/>
                <w:szCs w:val="14"/>
                <w:lang w:eastAsia="en-US"/>
              </w:rPr>
            </w:pPr>
            <w:r>
              <w:rPr>
                <w:sz w:val="14"/>
                <w:szCs w:val="14"/>
                <w:lang w:eastAsia="en-US"/>
              </w:rPr>
              <w:t>Zdroj: ARAD, ČNB</w:t>
            </w:r>
          </w:p>
        </w:tc>
      </w:tr>
    </w:tbl>
    <w:p w14:paraId="0702152F" w14:textId="77777777" w:rsidR="0079124F" w:rsidRPr="00BB286B" w:rsidRDefault="0079124F" w:rsidP="0079124F">
      <w:pPr>
        <w:spacing w:after="0" w:line="240" w:lineRule="auto"/>
        <w:jc w:val="left"/>
        <w:rPr>
          <w:rFonts w:eastAsia="MS Gothic"/>
          <w:b/>
          <w:bCs/>
          <w:color w:val="71818C"/>
          <w:sz w:val="32"/>
          <w:szCs w:val="32"/>
          <w:highlight w:val="yellow"/>
        </w:rPr>
      </w:pPr>
    </w:p>
    <w:p w14:paraId="44D478CD" w14:textId="77777777" w:rsidR="008A6CB4" w:rsidRPr="00BB286B" w:rsidRDefault="008A6CB4" w:rsidP="008A6CB4">
      <w:pPr>
        <w:spacing w:after="0" w:line="240" w:lineRule="auto"/>
        <w:jc w:val="left"/>
        <w:rPr>
          <w:rFonts w:eastAsia="MS Gothic"/>
          <w:b/>
          <w:bCs/>
          <w:color w:val="71818C"/>
          <w:sz w:val="32"/>
          <w:szCs w:val="32"/>
          <w:highlight w:val="yellow"/>
        </w:rPr>
      </w:pPr>
    </w:p>
    <w:p w14:paraId="634C030B" w14:textId="77777777" w:rsidR="000A5265" w:rsidRDefault="000A5265" w:rsidP="000A5265">
      <w:pPr>
        <w:pStyle w:val="Nadpis1"/>
      </w:pPr>
      <w:bookmarkStart w:id="28" w:name="_Toc185241008"/>
      <w:r w:rsidRPr="00787441">
        <w:rPr>
          <w:szCs w:val="32"/>
        </w:rPr>
        <w:lastRenderedPageBreak/>
        <w:t>8</w:t>
      </w:r>
      <w:r>
        <w:t>. </w:t>
      </w:r>
      <w:r w:rsidRPr="009110F7">
        <w:t>Státní rozpočet</w:t>
      </w:r>
      <w:bookmarkEnd w:id="28"/>
    </w:p>
    <w:tbl>
      <w:tblPr>
        <w:tblW w:w="9669" w:type="dxa"/>
        <w:tblInd w:w="-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A0" w:firstRow="1" w:lastRow="0" w:firstColumn="1" w:lastColumn="0" w:noHBand="0" w:noVBand="0"/>
      </w:tblPr>
      <w:tblGrid>
        <w:gridCol w:w="1810"/>
        <w:gridCol w:w="203"/>
        <w:gridCol w:w="7656"/>
      </w:tblGrid>
      <w:tr w:rsidR="000A5265" w:rsidRPr="003C07E6" w14:paraId="3AF8B601" w14:textId="77777777" w:rsidTr="00102C41">
        <w:trPr>
          <w:trHeight w:val="60"/>
        </w:trPr>
        <w:tc>
          <w:tcPr>
            <w:tcW w:w="1810" w:type="dxa"/>
            <w:shd w:val="clear" w:color="auto" w:fill="auto"/>
            <w:tcMar>
              <w:left w:w="0" w:type="dxa"/>
            </w:tcMar>
          </w:tcPr>
          <w:p w14:paraId="761DB780" w14:textId="77777777" w:rsidR="000A5265" w:rsidRDefault="000A5265" w:rsidP="00102C41">
            <w:pPr>
              <w:pStyle w:val="Marginlie"/>
            </w:pPr>
            <w:r>
              <w:t>Schodek SR zůstal na loňské úrovni. Významné deficity tíží rozpočet pátým rokem v řadě.</w:t>
            </w:r>
          </w:p>
        </w:tc>
        <w:tc>
          <w:tcPr>
            <w:tcW w:w="203" w:type="dxa"/>
            <w:shd w:val="clear" w:color="auto" w:fill="auto"/>
            <w:tcMar>
              <w:left w:w="0" w:type="dxa"/>
            </w:tcMar>
          </w:tcPr>
          <w:p w14:paraId="6D15A907" w14:textId="77777777" w:rsidR="000A5265" w:rsidRDefault="000A5265" w:rsidP="00102C41">
            <w:pPr>
              <w:pStyle w:val="Textpoznpodarou"/>
              <w:jc w:val="both"/>
              <w:rPr>
                <w:spacing w:val="-4"/>
              </w:rPr>
            </w:pPr>
          </w:p>
        </w:tc>
        <w:tc>
          <w:tcPr>
            <w:tcW w:w="7656" w:type="dxa"/>
            <w:shd w:val="clear" w:color="auto" w:fill="auto"/>
            <w:tcMar>
              <w:left w:w="0" w:type="dxa"/>
            </w:tcMar>
          </w:tcPr>
          <w:p w14:paraId="73025160" w14:textId="77777777" w:rsidR="000A5265" w:rsidRPr="00B57210" w:rsidRDefault="000A5265" w:rsidP="00102C41">
            <w:pPr>
              <w:rPr>
                <w:spacing w:val="-4"/>
              </w:rPr>
            </w:pPr>
            <w:r>
              <w:rPr>
                <w:spacing w:val="-4"/>
              </w:rPr>
              <w:t>V 1. až 3. čtvrtletí 2024 hospodařil státní rozpočet (SR)</w:t>
            </w:r>
            <w:r w:rsidRPr="00B57210">
              <w:rPr>
                <w:rStyle w:val="Znakapoznpodarou"/>
                <w:spacing w:val="-4"/>
              </w:rPr>
              <w:footnoteReference w:id="89"/>
            </w:r>
            <w:r>
              <w:rPr>
                <w:spacing w:val="-4"/>
              </w:rPr>
              <w:t xml:space="preserve"> v Česku s významným schodkem ve výši 181,7 mld. korun</w:t>
            </w:r>
            <w:r>
              <w:rPr>
                <w:rStyle w:val="Znakapoznpodarou"/>
                <w:spacing w:val="-4"/>
              </w:rPr>
              <w:footnoteReference w:id="90"/>
            </w:r>
            <w:r>
              <w:rPr>
                <w:spacing w:val="-4"/>
              </w:rPr>
              <w:t>. Hluboký deficit tížil státní finance již pátým rokem v řadě. Při faktické meziroční stagnaci příjmů i výdajů SR se oproti loňsku významně nezměnil ani celkový schodek (+1 mld. korun)</w:t>
            </w:r>
            <w:r w:rsidRPr="00B57210">
              <w:rPr>
                <w:rStyle w:val="Znakapoznpodarou"/>
                <w:spacing w:val="-4"/>
              </w:rPr>
              <w:footnoteReference w:id="91"/>
            </w:r>
            <w:r>
              <w:rPr>
                <w:spacing w:val="-4"/>
              </w:rPr>
              <w:t xml:space="preserve">. Mezi klíčové faktory ovlivňující letošní bilanci SR patří postupné </w:t>
            </w:r>
            <w:r w:rsidRPr="00B72A69">
              <w:rPr>
                <w:spacing w:val="-5"/>
              </w:rPr>
              <w:t>odeznívání potřeby mimořádných výdajů domácnostem i firmám zasaženým dopady vysoké</w:t>
            </w:r>
            <w:r>
              <w:rPr>
                <w:spacing w:val="-4"/>
              </w:rPr>
              <w:t xml:space="preserve"> inflace, přetrvávající velmi slabý hospodářský růst a dále legislativní změny (dopady </w:t>
            </w:r>
            <w:r w:rsidRPr="009E7F3F">
              <w:rPr>
                <w:spacing w:val="-5"/>
              </w:rPr>
              <w:t>loni schváleného konsolidačního balíčku, vč. změny rozpočtového určení daní</w:t>
            </w:r>
            <w:r>
              <w:rPr>
                <w:spacing w:val="-5"/>
              </w:rPr>
              <w:t xml:space="preserve"> /RUD/</w:t>
            </w:r>
            <w:r w:rsidRPr="009E7F3F">
              <w:rPr>
                <w:spacing w:val="-5"/>
              </w:rPr>
              <w:t>, jež od</w:t>
            </w:r>
            <w:r>
              <w:rPr>
                <w:spacing w:val="-4"/>
              </w:rPr>
              <w:t xml:space="preserve"> ledna 2024 zvyšuje podíl na výnosu některých váhově významných daní ve prospěch SR</w:t>
            </w:r>
            <w:r>
              <w:rPr>
                <w:rStyle w:val="Znakapoznpodarou"/>
                <w:spacing w:val="-4"/>
              </w:rPr>
              <w:footnoteReference w:id="92"/>
            </w:r>
            <w:r>
              <w:rPr>
                <w:spacing w:val="-4"/>
              </w:rPr>
              <w:t>).</w:t>
            </w:r>
          </w:p>
        </w:tc>
      </w:tr>
      <w:tr w:rsidR="000A5265" w:rsidRPr="003C07E6" w14:paraId="4E5B868F" w14:textId="77777777" w:rsidTr="00102C41">
        <w:trPr>
          <w:trHeight w:val="60"/>
        </w:trPr>
        <w:tc>
          <w:tcPr>
            <w:tcW w:w="1810" w:type="dxa"/>
            <w:shd w:val="clear" w:color="auto" w:fill="auto"/>
            <w:tcMar>
              <w:left w:w="0" w:type="dxa"/>
            </w:tcMar>
          </w:tcPr>
          <w:p w14:paraId="726B0E04" w14:textId="77777777" w:rsidR="000A5265" w:rsidRDefault="000A5265" w:rsidP="00102C41">
            <w:pPr>
              <w:pStyle w:val="Marginlie"/>
            </w:pPr>
            <w:r>
              <w:t>Velmi mírný růst příjmů byl podpořen zejména vyšším výběrem pojistného na sociální zabezpečení.</w:t>
            </w:r>
          </w:p>
        </w:tc>
        <w:tc>
          <w:tcPr>
            <w:tcW w:w="203" w:type="dxa"/>
            <w:shd w:val="clear" w:color="auto" w:fill="auto"/>
            <w:tcMar>
              <w:left w:w="0" w:type="dxa"/>
            </w:tcMar>
          </w:tcPr>
          <w:p w14:paraId="10059E80" w14:textId="77777777" w:rsidR="000A5265" w:rsidRDefault="000A5265" w:rsidP="00102C41">
            <w:pPr>
              <w:pStyle w:val="Textpoznpodarou"/>
              <w:jc w:val="both"/>
              <w:rPr>
                <w:spacing w:val="-4"/>
              </w:rPr>
            </w:pPr>
          </w:p>
        </w:tc>
        <w:tc>
          <w:tcPr>
            <w:tcW w:w="7656" w:type="dxa"/>
            <w:shd w:val="clear" w:color="auto" w:fill="auto"/>
            <w:tcMar>
              <w:left w:w="0" w:type="dxa"/>
            </w:tcMar>
          </w:tcPr>
          <w:p w14:paraId="429E4F78" w14:textId="77777777" w:rsidR="000A5265" w:rsidRPr="004F3AC4" w:rsidRDefault="000A5265" w:rsidP="00102C41">
            <w:pPr>
              <w:rPr>
                <w:color w:val="0D0D0D" w:themeColor="text1" w:themeTint="F2"/>
                <w:spacing w:val="-4"/>
              </w:rPr>
            </w:pPr>
            <w:r>
              <w:rPr>
                <w:color w:val="0D0D0D" w:themeColor="text1" w:themeTint="F2"/>
                <w:spacing w:val="-4"/>
              </w:rPr>
              <w:t xml:space="preserve">Celkové příjmy SR letos za tři čtvrtletí meziročně vzrostly o 0,6 % (nejméně ve srovnatelném období za poslední čtyři roky) a mírně zatím zaostávaly za celoročním plánovaným tempem (+1,4 %). K jejich růstu přispěl nejvíce výběr pojistného na sociální zabezpečení vč. aktivní politiky zaměstnanosti (+46,5 mld. korun, +9,1 %) reflektující </w:t>
            </w:r>
            <w:r>
              <w:rPr>
                <w:spacing w:val="-4"/>
              </w:rPr>
              <w:t>nejen aktuální oživení na trhu práce vlivem mírně zlepšeného výkonu ekonomiky, ale i dopady legislativních změn</w:t>
            </w:r>
            <w:r>
              <w:rPr>
                <w:rStyle w:val="Znakapoznpodarou"/>
                <w:spacing w:val="-4"/>
              </w:rPr>
              <w:footnoteReference w:id="93"/>
            </w:r>
            <w:r>
              <w:rPr>
                <w:spacing w:val="-4"/>
              </w:rPr>
              <w:t>.</w:t>
            </w:r>
            <w:r>
              <w:rPr>
                <w:color w:val="0D0D0D" w:themeColor="text1" w:themeTint="F2"/>
                <w:spacing w:val="-4"/>
              </w:rPr>
              <w:t xml:space="preserve"> Pozitivní vliv měly také daňové příjmy (+21,1 mld. korun). Opačně </w:t>
            </w:r>
            <w:r w:rsidRPr="0074508D">
              <w:rPr>
                <w:color w:val="0D0D0D" w:themeColor="text1" w:themeTint="F2"/>
                <w:spacing w:val="-6"/>
              </w:rPr>
              <w:t>působil očekávaný pokles nedaňových a</w:t>
            </w:r>
            <w:r>
              <w:rPr>
                <w:color w:val="0D0D0D" w:themeColor="text1" w:themeTint="F2"/>
                <w:spacing w:val="-6"/>
              </w:rPr>
              <w:t xml:space="preserve"> kapitálových příjmů</w:t>
            </w:r>
            <w:r w:rsidRPr="0074508D">
              <w:rPr>
                <w:color w:val="0D0D0D" w:themeColor="text1" w:themeTint="F2"/>
                <w:spacing w:val="-6"/>
              </w:rPr>
              <w:t xml:space="preserve"> transferů (</w:t>
            </w:r>
            <w:r>
              <w:rPr>
                <w:color w:val="0D0D0D" w:themeColor="text1" w:themeTint="F2"/>
                <w:spacing w:val="-6"/>
              </w:rPr>
              <w:t>−</w:t>
            </w:r>
            <w:r w:rsidRPr="0074508D">
              <w:rPr>
                <w:color w:val="0D0D0D" w:themeColor="text1" w:themeTint="F2"/>
                <w:spacing w:val="-6"/>
              </w:rPr>
              <w:t>59,7 mld.</w:t>
            </w:r>
            <w:r>
              <w:rPr>
                <w:color w:val="0D0D0D" w:themeColor="text1" w:themeTint="F2"/>
                <w:spacing w:val="-4"/>
              </w:rPr>
              <w:t xml:space="preserve"> korun) související s vysokými loňskými příjmy z rozpočtu EU (vlivem dobíhajících plateb </w:t>
            </w:r>
            <w:r w:rsidRPr="0074508D">
              <w:rPr>
                <w:color w:val="0D0D0D" w:themeColor="text1" w:themeTint="F2"/>
                <w:spacing w:val="-4"/>
              </w:rPr>
              <w:t xml:space="preserve">na konci programového období 2014 až 2020 i vyšším </w:t>
            </w:r>
            <w:r w:rsidRPr="0074508D">
              <w:rPr>
                <w:spacing w:val="-4"/>
              </w:rPr>
              <w:t>proplacením prostředků z Národního</w:t>
            </w:r>
            <w:r>
              <w:t xml:space="preserve"> plánu obnovy</w:t>
            </w:r>
            <w:r>
              <w:rPr>
                <w:rStyle w:val="Znakapoznpodarou"/>
              </w:rPr>
              <w:footnoteReference w:id="94"/>
            </w:r>
            <w:r>
              <w:t xml:space="preserve">). </w:t>
            </w:r>
          </w:p>
        </w:tc>
      </w:tr>
      <w:tr w:rsidR="000A5265" w:rsidRPr="003C07E6" w14:paraId="749E5217" w14:textId="77777777" w:rsidTr="00102C41">
        <w:trPr>
          <w:trHeight w:val="60"/>
        </w:trPr>
        <w:tc>
          <w:tcPr>
            <w:tcW w:w="1810" w:type="dxa"/>
            <w:shd w:val="clear" w:color="auto" w:fill="auto"/>
            <w:tcMar>
              <w:left w:w="0" w:type="dxa"/>
            </w:tcMar>
          </w:tcPr>
          <w:p w14:paraId="2845FF3B" w14:textId="77777777" w:rsidR="000A5265" w:rsidRDefault="000A5265" w:rsidP="00102C41">
            <w:pPr>
              <w:pStyle w:val="Marginlie"/>
            </w:pPr>
            <w:r>
              <w:t xml:space="preserve">Meziroční růst celostátního daňového inkasa byl mírný a během roku slábl. Projevoval se vliv vyšší loňské základny u běžných i mimořádných korporátních daní. </w:t>
            </w:r>
          </w:p>
        </w:tc>
        <w:tc>
          <w:tcPr>
            <w:tcW w:w="203" w:type="dxa"/>
            <w:shd w:val="clear" w:color="auto" w:fill="auto"/>
            <w:tcMar>
              <w:left w:w="0" w:type="dxa"/>
            </w:tcMar>
          </w:tcPr>
          <w:p w14:paraId="205D47C3" w14:textId="77777777" w:rsidR="000A5265" w:rsidRDefault="000A5265" w:rsidP="00102C41">
            <w:pPr>
              <w:pStyle w:val="Textpoznpodarou"/>
              <w:jc w:val="both"/>
              <w:rPr>
                <w:spacing w:val="-4"/>
              </w:rPr>
            </w:pPr>
          </w:p>
        </w:tc>
        <w:tc>
          <w:tcPr>
            <w:tcW w:w="7656" w:type="dxa"/>
            <w:shd w:val="clear" w:color="auto" w:fill="auto"/>
            <w:tcMar>
              <w:left w:w="0" w:type="dxa"/>
            </w:tcMar>
          </w:tcPr>
          <w:p w14:paraId="3596C8B3" w14:textId="77777777" w:rsidR="000A5265" w:rsidRDefault="000A5265" w:rsidP="00102C41">
            <w:pPr>
              <w:rPr>
                <w:color w:val="0D0D0D" w:themeColor="text1" w:themeTint="F2"/>
                <w:spacing w:val="-4"/>
              </w:rPr>
            </w:pPr>
            <w:r>
              <w:rPr>
                <w:color w:val="0D0D0D" w:themeColor="text1" w:themeTint="F2"/>
                <w:spacing w:val="-4"/>
              </w:rPr>
              <w:t xml:space="preserve">Celostátní daňové inkaso (zohledňující příjmy na úrovni všech veřejných rozpočtů) se po </w:t>
            </w:r>
            <w:r>
              <w:rPr>
                <w:color w:val="0D0D0D" w:themeColor="text1" w:themeTint="F2"/>
                <w:spacing w:val="-5"/>
              </w:rPr>
              <w:t>svižném růstu v předchozích</w:t>
            </w:r>
            <w:r w:rsidRPr="009E7F3F">
              <w:rPr>
                <w:color w:val="0D0D0D" w:themeColor="text1" w:themeTint="F2"/>
                <w:spacing w:val="-5"/>
              </w:rPr>
              <w:t xml:space="preserve"> třech letech letos za tři čtvrtletí meziročně zvýšilo „jen“ o 2,6 %.</w:t>
            </w:r>
            <w:r>
              <w:rPr>
                <w:color w:val="0D0D0D" w:themeColor="text1" w:themeTint="F2"/>
                <w:spacing w:val="-4"/>
              </w:rPr>
              <w:t xml:space="preserve"> Zatímco v období 2021 až 2023 stálo za jeho růstem především vysoké inkaso přímých daní, letos žádná příjmová položka zatím nedominovala (nejvíce se projevila daň z příjmů fyzických osob</w:t>
            </w:r>
            <w:r w:rsidRPr="00A472E4">
              <w:rPr>
                <w:color w:val="0D0D0D" w:themeColor="text1" w:themeTint="F2"/>
                <w:spacing w:val="-4"/>
              </w:rPr>
              <w:t xml:space="preserve"> ze závislé činnosti</w:t>
            </w:r>
            <w:r>
              <w:rPr>
                <w:color w:val="0D0D0D" w:themeColor="text1" w:themeTint="F2"/>
                <w:spacing w:val="-4"/>
              </w:rPr>
              <w:t xml:space="preserve"> – příspěvek +1,8 p. b.). Naopak negativní dopad měl </w:t>
            </w:r>
            <w:r w:rsidRPr="00DA5BA1">
              <w:rPr>
                <w:color w:val="0D0D0D" w:themeColor="text1" w:themeTint="F2"/>
                <w:spacing w:val="-2"/>
              </w:rPr>
              <w:t xml:space="preserve">výběr </w:t>
            </w:r>
            <w:r>
              <w:rPr>
                <w:color w:val="0D0D0D" w:themeColor="text1" w:themeTint="F2"/>
                <w:spacing w:val="-2"/>
              </w:rPr>
              <w:t xml:space="preserve">korporátní daně </w:t>
            </w:r>
            <w:r w:rsidRPr="00DA5BA1">
              <w:rPr>
                <w:color w:val="0D0D0D" w:themeColor="text1" w:themeTint="F2"/>
                <w:spacing w:val="-2"/>
              </w:rPr>
              <w:t>včetně mimořádných dočasně zavedených daní</w:t>
            </w:r>
            <w:r>
              <w:rPr>
                <w:color w:val="0D0D0D" w:themeColor="text1" w:themeTint="F2"/>
                <w:spacing w:val="-2"/>
              </w:rPr>
              <w:t xml:space="preserve"> (</w:t>
            </w:r>
            <w:r>
              <w:rPr>
                <w:color w:val="0D0D0D" w:themeColor="text1" w:themeTint="F2"/>
                <w:spacing w:val="-4"/>
              </w:rPr>
              <w:t>−3,2</w:t>
            </w:r>
            <w:r>
              <w:rPr>
                <w:color w:val="0D0D0D" w:themeColor="text1" w:themeTint="F2"/>
                <w:spacing w:val="-2"/>
              </w:rPr>
              <w:t xml:space="preserve"> p. b.)</w:t>
            </w:r>
            <w:r w:rsidRPr="00DA5BA1">
              <w:rPr>
                <w:color w:val="0D0D0D" w:themeColor="text1" w:themeTint="F2"/>
                <w:spacing w:val="-2"/>
              </w:rPr>
              <w:t>. Na dani</w:t>
            </w:r>
            <w:r w:rsidRPr="00DA5BA1">
              <w:rPr>
                <w:color w:val="0D0D0D" w:themeColor="text1" w:themeTint="F2"/>
                <w:spacing w:val="-4"/>
              </w:rPr>
              <w:t xml:space="preserve"> </w:t>
            </w:r>
            <w:r>
              <w:rPr>
                <w:color w:val="0D0D0D" w:themeColor="text1" w:themeTint="F2"/>
                <w:spacing w:val="-4"/>
              </w:rPr>
              <w:t>z</w:t>
            </w:r>
            <w:r>
              <w:rPr>
                <w:color w:val="0D0D0D" w:themeColor="text1" w:themeTint="F2"/>
                <w:spacing w:val="-5"/>
              </w:rPr>
              <w:t> </w:t>
            </w:r>
            <w:r w:rsidRPr="00DA5BA1">
              <w:rPr>
                <w:color w:val="0D0D0D" w:themeColor="text1" w:themeTint="F2"/>
                <w:spacing w:val="-4"/>
              </w:rPr>
              <w:t>neočekávaných zisků</w:t>
            </w:r>
            <w:r>
              <w:rPr>
                <w:rStyle w:val="Znakapoznpodarou"/>
                <w:color w:val="0D0D0D" w:themeColor="text1" w:themeTint="F2"/>
                <w:spacing w:val="-4"/>
              </w:rPr>
              <w:footnoteReference w:id="95"/>
            </w:r>
            <w:r>
              <w:rPr>
                <w:color w:val="0D0D0D" w:themeColor="text1" w:themeTint="F2"/>
                <w:spacing w:val="-4"/>
              </w:rPr>
              <w:t xml:space="preserve"> totiž sice získal SR dosud letos 27,2 mld. korun (meziročně o</w:t>
            </w:r>
            <w:r>
              <w:rPr>
                <w:color w:val="0D0D0D" w:themeColor="text1" w:themeTint="F2"/>
                <w:spacing w:val="-5"/>
              </w:rPr>
              <w:t> </w:t>
            </w:r>
            <w:r>
              <w:rPr>
                <w:color w:val="0D0D0D" w:themeColor="text1" w:themeTint="F2"/>
                <w:spacing w:val="-4"/>
              </w:rPr>
              <w:t>6 % více a současné již o 60 % více než byl celoroční očekávaný objem</w:t>
            </w:r>
            <w:r>
              <w:rPr>
                <w:rStyle w:val="Znakapoznpodarou"/>
                <w:color w:val="0D0D0D" w:themeColor="text1" w:themeTint="F2"/>
                <w:spacing w:val="-4"/>
              </w:rPr>
              <w:footnoteReference w:id="96"/>
            </w:r>
            <w:r>
              <w:rPr>
                <w:color w:val="0D0D0D" w:themeColor="text1" w:themeTint="F2"/>
                <w:spacing w:val="-4"/>
              </w:rPr>
              <w:t>), z</w:t>
            </w:r>
            <w:r>
              <w:rPr>
                <w:color w:val="0D0D0D" w:themeColor="text1" w:themeTint="F2"/>
                <w:spacing w:val="-5"/>
              </w:rPr>
              <w:t> </w:t>
            </w:r>
            <w:r>
              <w:rPr>
                <w:color w:val="0D0D0D" w:themeColor="text1" w:themeTint="F2"/>
                <w:spacing w:val="-4"/>
              </w:rPr>
              <w:t>o</w:t>
            </w:r>
            <w:r w:rsidRPr="00DA5BA1">
              <w:rPr>
                <w:color w:val="0D0D0D" w:themeColor="text1" w:themeTint="F2"/>
                <w:spacing w:val="-4"/>
              </w:rPr>
              <w:t>dvod</w:t>
            </w:r>
            <w:r>
              <w:rPr>
                <w:color w:val="0D0D0D" w:themeColor="text1" w:themeTint="F2"/>
                <w:spacing w:val="-4"/>
              </w:rPr>
              <w:t>ů z</w:t>
            </w:r>
            <w:r>
              <w:rPr>
                <w:color w:val="0D0D0D" w:themeColor="text1" w:themeTint="F2"/>
                <w:spacing w:val="-5"/>
              </w:rPr>
              <w:t> </w:t>
            </w:r>
            <w:r w:rsidRPr="00DA5BA1">
              <w:rPr>
                <w:color w:val="0D0D0D" w:themeColor="text1" w:themeTint="F2"/>
                <w:spacing w:val="-4"/>
              </w:rPr>
              <w:t>nadměrných příjmů</w:t>
            </w:r>
            <w:r>
              <w:rPr>
                <w:rStyle w:val="Znakapoznpodarou"/>
                <w:color w:val="0D0D0D" w:themeColor="text1" w:themeTint="F2"/>
                <w:spacing w:val="-4"/>
              </w:rPr>
              <w:footnoteReference w:id="97"/>
            </w:r>
            <w:r>
              <w:rPr>
                <w:color w:val="0D0D0D" w:themeColor="text1" w:themeTint="F2"/>
                <w:spacing w:val="-4"/>
              </w:rPr>
              <w:t xml:space="preserve"> však již v souladu se schváleným SR letos žádné příjmy neplynuly (loni za stejné období šlo ale o 16,7 mld. korun). Celostátní daňové inkaso (bez mimořádných daní) tak bylo zatím letos meziročně vyšší o 4,3 %, jeho růst ovšem v průběhu roku zpomaloval (v samotném 3. čtvrtletí se dokonce zastavil).</w:t>
            </w:r>
          </w:p>
        </w:tc>
      </w:tr>
      <w:tr w:rsidR="000A5265" w:rsidRPr="003C07E6" w14:paraId="5D87130D" w14:textId="77777777" w:rsidTr="00102C41">
        <w:trPr>
          <w:trHeight w:val="60"/>
        </w:trPr>
        <w:tc>
          <w:tcPr>
            <w:tcW w:w="1810" w:type="dxa"/>
            <w:shd w:val="clear" w:color="auto" w:fill="auto"/>
            <w:tcMar>
              <w:left w:w="0" w:type="dxa"/>
            </w:tcMar>
          </w:tcPr>
          <w:p w14:paraId="78C03F1A" w14:textId="77777777" w:rsidR="000A5265" w:rsidRPr="002F1340" w:rsidRDefault="000A5265" w:rsidP="00102C41">
            <w:pPr>
              <w:pStyle w:val="Marginlie"/>
              <w:rPr>
                <w:color w:val="0D0D0D" w:themeColor="text1" w:themeTint="F2"/>
              </w:rPr>
            </w:pPr>
            <w:r>
              <w:lastRenderedPageBreak/>
              <w:t xml:space="preserve">Dynamiku inkasa DPH podporuje zotavující se spotřeba domácností, opačně působí dezinflační tendence v ekonomice. Růst výběru DPH zůstává mírně za </w:t>
            </w:r>
            <w:r w:rsidRPr="00E91B09">
              <w:rPr>
                <w:spacing w:val="-4"/>
              </w:rPr>
              <w:t>rozpočtovým očekáváním.</w:t>
            </w:r>
            <w:r>
              <w:t xml:space="preserve"> </w:t>
            </w:r>
          </w:p>
        </w:tc>
        <w:tc>
          <w:tcPr>
            <w:tcW w:w="203" w:type="dxa"/>
            <w:shd w:val="clear" w:color="auto" w:fill="auto"/>
            <w:tcMar>
              <w:left w:w="0" w:type="dxa"/>
            </w:tcMar>
          </w:tcPr>
          <w:p w14:paraId="0241C74E" w14:textId="77777777" w:rsidR="000A5265" w:rsidRPr="002F1340" w:rsidRDefault="000A5265" w:rsidP="00102C41">
            <w:pPr>
              <w:pStyle w:val="Textpoznpodarou"/>
              <w:jc w:val="both"/>
              <w:rPr>
                <w:color w:val="0D0D0D" w:themeColor="text1" w:themeTint="F2"/>
                <w:spacing w:val="-4"/>
              </w:rPr>
            </w:pPr>
          </w:p>
        </w:tc>
        <w:tc>
          <w:tcPr>
            <w:tcW w:w="7656" w:type="dxa"/>
            <w:shd w:val="clear" w:color="auto" w:fill="auto"/>
            <w:tcMar>
              <w:left w:w="0" w:type="dxa"/>
            </w:tcMar>
          </w:tcPr>
          <w:p w14:paraId="30879C61" w14:textId="77777777" w:rsidR="000A5265" w:rsidRPr="008B3F65" w:rsidRDefault="000A5265" w:rsidP="00102C41">
            <w:pPr>
              <w:rPr>
                <w:color w:val="0D0D0D" w:themeColor="text1" w:themeTint="F2"/>
                <w:spacing w:val="-6"/>
              </w:rPr>
            </w:pPr>
            <w:r w:rsidRPr="008B3F65">
              <w:rPr>
                <w:spacing w:val="-6"/>
              </w:rPr>
              <w:t>Na váhově dominantní dani – DPH – získal SR v</w:t>
            </w:r>
            <w:r w:rsidRPr="008B3F65">
              <w:rPr>
                <w:color w:val="0D0D0D" w:themeColor="text1" w:themeTint="F2"/>
                <w:spacing w:val="-6"/>
              </w:rPr>
              <w:t xml:space="preserve"> 1. až 3. čtvrtletí 2024 meziročně </w:t>
            </w:r>
            <w:r w:rsidRPr="008B3F65">
              <w:rPr>
                <w:spacing w:val="-6"/>
              </w:rPr>
              <w:t xml:space="preserve">o 5,0 % více (+12,9 mld. korun). Tempo za rozpočtovým plánem lehce zaostávalo, byť méně výrazně než loni.  Na úrovni všech veřejných rozpočtů dosáhl růst </w:t>
            </w:r>
            <w:r>
              <w:rPr>
                <w:spacing w:val="-6"/>
              </w:rPr>
              <w:t xml:space="preserve">inkasa </w:t>
            </w:r>
            <w:r w:rsidRPr="008B3F65">
              <w:rPr>
                <w:spacing w:val="-6"/>
              </w:rPr>
              <w:t xml:space="preserve">3,4 % (loni ve stejném </w:t>
            </w:r>
            <w:r>
              <w:rPr>
                <w:spacing w:val="-6"/>
              </w:rPr>
              <w:t xml:space="preserve">období </w:t>
            </w:r>
            <w:r w:rsidRPr="008B3F65">
              <w:rPr>
                <w:spacing w:val="-6"/>
              </w:rPr>
              <w:t>5,5 %). Zpomalení tempa odráží ustále</w:t>
            </w:r>
            <w:r>
              <w:rPr>
                <w:spacing w:val="-6"/>
              </w:rPr>
              <w:t xml:space="preserve">ní cenové hladiny v ekonomice. Pozitivně se naopak </w:t>
            </w:r>
            <w:r w:rsidRPr="008B3F65">
              <w:rPr>
                <w:spacing w:val="-6"/>
              </w:rPr>
              <w:t>promítá pozvolna se zotavující spotřeba domácností</w:t>
            </w:r>
            <w:r w:rsidRPr="008B3F65">
              <w:rPr>
                <w:rStyle w:val="Znakapoznpodarou"/>
                <w:spacing w:val="-6"/>
              </w:rPr>
              <w:footnoteReference w:id="98"/>
            </w:r>
            <w:r>
              <w:rPr>
                <w:spacing w:val="-6"/>
              </w:rPr>
              <w:t>. Vedle toho se</w:t>
            </w:r>
            <w:r w:rsidRPr="008B3F65">
              <w:rPr>
                <w:spacing w:val="-6"/>
              </w:rPr>
              <w:t xml:space="preserve"> od počátku roku začínají projevovat dopady úpravy sazeb daně</w:t>
            </w:r>
            <w:r w:rsidRPr="008B3F65">
              <w:rPr>
                <w:rStyle w:val="Znakapoznpodarou"/>
                <w:spacing w:val="-6"/>
              </w:rPr>
              <w:footnoteReference w:id="99"/>
            </w:r>
            <w:r>
              <w:rPr>
                <w:spacing w:val="-6"/>
              </w:rPr>
              <w:t>, a to</w:t>
            </w:r>
            <w:r w:rsidRPr="008B3F65">
              <w:rPr>
                <w:spacing w:val="-6"/>
              </w:rPr>
              <w:t xml:space="preserve"> </w:t>
            </w:r>
            <w:r>
              <w:rPr>
                <w:spacing w:val="-6"/>
              </w:rPr>
              <w:t>v souvislosti s</w:t>
            </w:r>
            <w:r w:rsidRPr="008B3F65">
              <w:rPr>
                <w:spacing w:val="-6"/>
              </w:rPr>
              <w:t xml:space="preserve"> účinnost</w:t>
            </w:r>
            <w:r>
              <w:rPr>
                <w:spacing w:val="-6"/>
              </w:rPr>
              <w:t>í</w:t>
            </w:r>
            <w:r w:rsidRPr="008B3F65">
              <w:rPr>
                <w:spacing w:val="-6"/>
              </w:rPr>
              <w:t xml:space="preserve"> konsolidačního balíčku.</w:t>
            </w:r>
          </w:p>
        </w:tc>
      </w:tr>
      <w:tr w:rsidR="000A5265" w:rsidRPr="003C07E6" w14:paraId="72F96ED4" w14:textId="77777777" w:rsidTr="00102C41">
        <w:trPr>
          <w:trHeight w:val="60"/>
        </w:trPr>
        <w:tc>
          <w:tcPr>
            <w:tcW w:w="1810" w:type="dxa"/>
            <w:shd w:val="clear" w:color="auto" w:fill="auto"/>
            <w:tcMar>
              <w:left w:w="0" w:type="dxa"/>
            </w:tcMar>
          </w:tcPr>
          <w:p w14:paraId="21F2B417" w14:textId="77777777" w:rsidR="000A5265" w:rsidRDefault="000A5265" w:rsidP="00102C41">
            <w:pPr>
              <w:pStyle w:val="Marginlie"/>
            </w:pPr>
          </w:p>
        </w:tc>
        <w:tc>
          <w:tcPr>
            <w:tcW w:w="203" w:type="dxa"/>
            <w:shd w:val="clear" w:color="auto" w:fill="auto"/>
            <w:tcMar>
              <w:left w:w="0" w:type="dxa"/>
            </w:tcMar>
          </w:tcPr>
          <w:p w14:paraId="76F38C13" w14:textId="77777777" w:rsidR="000A5265" w:rsidRDefault="000A5265" w:rsidP="00102C41">
            <w:pPr>
              <w:pStyle w:val="Textpoznpodarou"/>
              <w:jc w:val="both"/>
              <w:rPr>
                <w:spacing w:val="-4"/>
              </w:rPr>
            </w:pPr>
          </w:p>
        </w:tc>
        <w:tc>
          <w:tcPr>
            <w:tcW w:w="7656" w:type="dxa"/>
            <w:shd w:val="clear" w:color="auto" w:fill="auto"/>
            <w:tcMar>
              <w:left w:w="0" w:type="dxa"/>
            </w:tcMar>
          </w:tcPr>
          <w:p w14:paraId="7851BE2B" w14:textId="77777777" w:rsidR="000A5265" w:rsidRPr="001B78B8" w:rsidRDefault="000A5265" w:rsidP="00102C41">
            <w:pPr>
              <w:spacing w:after="40"/>
              <w:rPr>
                <w:color w:val="0D0D0D" w:themeColor="text1" w:themeTint="F2"/>
                <w:spacing w:val="-4"/>
              </w:rPr>
            </w:pPr>
            <w:r w:rsidRPr="004457BD">
              <w:rPr>
                <w:rFonts w:cs="Arial"/>
                <w:b/>
                <w:bCs/>
                <w:color w:val="000000"/>
                <w:spacing w:val="-2"/>
                <w:szCs w:val="20"/>
              </w:rPr>
              <w:t xml:space="preserve">Graf č. 18 Příspěvek dílčích příjmů k meziročnímu růstu </w:t>
            </w:r>
            <w:r>
              <w:rPr>
                <w:rFonts w:cs="Arial"/>
                <w:b/>
                <w:bCs/>
                <w:color w:val="000000"/>
                <w:spacing w:val="-2"/>
                <w:szCs w:val="20"/>
              </w:rPr>
              <w:t xml:space="preserve">souhrnného </w:t>
            </w:r>
            <w:r w:rsidRPr="004457BD">
              <w:rPr>
                <w:rFonts w:cs="Arial"/>
                <w:b/>
                <w:bCs/>
                <w:color w:val="000000"/>
                <w:spacing w:val="-2"/>
                <w:szCs w:val="20"/>
              </w:rPr>
              <w:t xml:space="preserve">celostátního inkasa daňových příjmů </w:t>
            </w:r>
            <w:r w:rsidRPr="004457BD">
              <w:rPr>
                <w:rFonts w:cs="Arial"/>
                <w:bCs/>
                <w:color w:val="000000"/>
                <w:spacing w:val="-2"/>
                <w:szCs w:val="20"/>
              </w:rPr>
              <w:t xml:space="preserve">(v p. b.), </w:t>
            </w:r>
            <w:r w:rsidRPr="004457BD">
              <w:rPr>
                <w:rFonts w:cs="Arial"/>
                <w:b/>
                <w:bCs/>
                <w:color w:val="000000"/>
                <w:spacing w:val="-2"/>
                <w:szCs w:val="20"/>
              </w:rPr>
              <w:t>meziroční růst příjmů pojistného</w:t>
            </w:r>
            <w:r>
              <w:rPr>
                <w:rFonts w:cs="Arial"/>
                <w:b/>
                <w:bCs/>
                <w:color w:val="000000"/>
                <w:spacing w:val="-2"/>
                <w:szCs w:val="20"/>
              </w:rPr>
              <w:t xml:space="preserve"> na sociální</w:t>
            </w:r>
            <w:r w:rsidRPr="004457BD">
              <w:rPr>
                <w:rFonts w:cs="Arial"/>
                <w:b/>
                <w:bCs/>
                <w:color w:val="000000"/>
                <w:spacing w:val="-2"/>
                <w:szCs w:val="20"/>
              </w:rPr>
              <w:t xml:space="preserve"> zabezpečení</w:t>
            </w:r>
            <w:r w:rsidRPr="004457BD">
              <w:rPr>
                <w:rFonts w:cs="Arial"/>
                <w:bCs/>
                <w:color w:val="000000"/>
                <w:spacing w:val="-2"/>
                <w:szCs w:val="20"/>
              </w:rPr>
              <w:t xml:space="preserve"> (%) </w:t>
            </w:r>
            <w:r w:rsidRPr="004457BD">
              <w:rPr>
                <w:rFonts w:cs="Arial"/>
                <w:b/>
                <w:bCs/>
                <w:color w:val="000000"/>
                <w:spacing w:val="-2"/>
                <w:szCs w:val="20"/>
              </w:rPr>
              <w:t xml:space="preserve">a saldo státního rozpočtu </w:t>
            </w:r>
            <w:r w:rsidRPr="004457BD">
              <w:rPr>
                <w:rFonts w:cs="Arial"/>
                <w:bCs/>
                <w:color w:val="000000"/>
                <w:spacing w:val="-2"/>
                <w:szCs w:val="20"/>
              </w:rPr>
              <w:t>(v mld. korun)</w:t>
            </w:r>
            <w:r>
              <w:rPr>
                <w:rFonts w:cs="Arial"/>
                <w:bCs/>
                <w:color w:val="000000"/>
                <w:spacing w:val="-2"/>
                <w:szCs w:val="20"/>
              </w:rPr>
              <w:t xml:space="preserve"> </w:t>
            </w:r>
            <w:r>
              <w:rPr>
                <w:rFonts w:cs="Arial"/>
                <w:b/>
                <w:bCs/>
              </w:rPr>
              <w:t>v rámci 1. až 3. čtvrtletí</w:t>
            </w:r>
          </w:p>
        </w:tc>
      </w:tr>
      <w:tr w:rsidR="000A5265" w:rsidRPr="00F704D2" w14:paraId="20B6A225" w14:textId="77777777" w:rsidTr="00102C41">
        <w:tblPrEx>
          <w:tblCellMar>
            <w:left w:w="70" w:type="dxa"/>
            <w:right w:w="70" w:type="dxa"/>
          </w:tblCellMar>
        </w:tblPrEx>
        <w:trPr>
          <w:trHeight w:val="170"/>
        </w:trPr>
        <w:tc>
          <w:tcPr>
            <w:tcW w:w="1810" w:type="dxa"/>
            <w:shd w:val="clear" w:color="auto" w:fill="auto"/>
          </w:tcPr>
          <w:p w14:paraId="661DBAEB" w14:textId="77777777" w:rsidR="000A5265" w:rsidRDefault="000A5265" w:rsidP="00102C41">
            <w:pPr>
              <w:pStyle w:val="Marginlie"/>
            </w:pPr>
          </w:p>
        </w:tc>
        <w:tc>
          <w:tcPr>
            <w:tcW w:w="203" w:type="dxa"/>
            <w:shd w:val="clear" w:color="auto" w:fill="auto"/>
          </w:tcPr>
          <w:p w14:paraId="1D98A59C" w14:textId="77777777" w:rsidR="000A5265" w:rsidRDefault="000A5265" w:rsidP="00102C41">
            <w:pPr>
              <w:pStyle w:val="Textpoznpodarou"/>
              <w:jc w:val="both"/>
              <w:rPr>
                <w:spacing w:val="-4"/>
              </w:rPr>
            </w:pPr>
          </w:p>
          <w:p w14:paraId="04161C28" w14:textId="77777777" w:rsidR="000A5265" w:rsidRDefault="000A5265" w:rsidP="00102C41">
            <w:pPr>
              <w:pStyle w:val="Textpoznpodarou"/>
              <w:jc w:val="both"/>
              <w:rPr>
                <w:spacing w:val="-4"/>
              </w:rPr>
            </w:pPr>
          </w:p>
        </w:tc>
        <w:tc>
          <w:tcPr>
            <w:tcW w:w="7656" w:type="dxa"/>
            <w:shd w:val="clear" w:color="auto" w:fill="auto"/>
          </w:tcPr>
          <w:p w14:paraId="5F42CCC6" w14:textId="77777777" w:rsidR="000A5265" w:rsidRPr="004457BD" w:rsidRDefault="000A5265" w:rsidP="00102C41">
            <w:pPr>
              <w:spacing w:after="40"/>
              <w:rPr>
                <w:rFonts w:cs="Arial"/>
                <w:b/>
                <w:bCs/>
                <w:color w:val="000000"/>
                <w:spacing w:val="-2"/>
                <w:szCs w:val="20"/>
              </w:rPr>
            </w:pPr>
            <w:r>
              <w:rPr>
                <w:noProof/>
              </w:rPr>
              <w:drawing>
                <wp:inline distT="0" distB="0" distL="0" distR="0" wp14:anchorId="675F18BF" wp14:editId="46453BA4">
                  <wp:extent cx="4757420" cy="3346939"/>
                  <wp:effectExtent l="0" t="0" r="5080" b="635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0A5265" w:rsidRPr="007B3A78" w14:paraId="4BA59E2E" w14:textId="77777777" w:rsidTr="00102C41">
        <w:trPr>
          <w:trHeight w:val="170"/>
        </w:trPr>
        <w:tc>
          <w:tcPr>
            <w:tcW w:w="1810" w:type="dxa"/>
            <w:shd w:val="clear" w:color="auto" w:fill="auto"/>
            <w:tcMar>
              <w:left w:w="0" w:type="dxa"/>
            </w:tcMar>
          </w:tcPr>
          <w:p w14:paraId="19773398" w14:textId="77777777" w:rsidR="000A5265" w:rsidRDefault="000A5265" w:rsidP="00102C41">
            <w:pPr>
              <w:pStyle w:val="Marginlie"/>
            </w:pPr>
          </w:p>
        </w:tc>
        <w:tc>
          <w:tcPr>
            <w:tcW w:w="203" w:type="dxa"/>
            <w:shd w:val="clear" w:color="auto" w:fill="auto"/>
            <w:tcMar>
              <w:left w:w="0" w:type="dxa"/>
            </w:tcMar>
          </w:tcPr>
          <w:p w14:paraId="0D031302" w14:textId="77777777" w:rsidR="000A5265" w:rsidRDefault="000A5265" w:rsidP="00102C41">
            <w:pPr>
              <w:pStyle w:val="Textpoznpodarou"/>
              <w:jc w:val="both"/>
              <w:rPr>
                <w:spacing w:val="-4"/>
              </w:rPr>
            </w:pPr>
          </w:p>
        </w:tc>
        <w:tc>
          <w:tcPr>
            <w:tcW w:w="7656" w:type="dxa"/>
            <w:shd w:val="clear" w:color="auto" w:fill="auto"/>
            <w:tcMar>
              <w:left w:w="0" w:type="dxa"/>
            </w:tcMar>
          </w:tcPr>
          <w:p w14:paraId="49FCDD76" w14:textId="77777777" w:rsidR="000A5265" w:rsidRDefault="000A5265" w:rsidP="00102C41">
            <w:pPr>
              <w:tabs>
                <w:tab w:val="right" w:pos="7683"/>
              </w:tabs>
              <w:spacing w:after="0" w:line="240" w:lineRule="auto"/>
              <w:jc w:val="left"/>
              <w:rPr>
                <w:spacing w:val="-2"/>
                <w:sz w:val="14"/>
                <w:szCs w:val="14"/>
              </w:rPr>
            </w:pPr>
            <w:r w:rsidRPr="004457BD">
              <w:rPr>
                <w:spacing w:val="-2"/>
                <w:sz w:val="14"/>
                <w:szCs w:val="14"/>
              </w:rPr>
              <w:t>*Zahrnují i příspěvky na státní politiku zaměstnanosti.</w:t>
            </w:r>
          </w:p>
          <w:p w14:paraId="04C8D861" w14:textId="77777777" w:rsidR="000A5265" w:rsidRDefault="000A5265" w:rsidP="00102C41">
            <w:pPr>
              <w:tabs>
                <w:tab w:val="right" w:pos="7683"/>
              </w:tabs>
              <w:spacing w:after="0" w:line="240" w:lineRule="auto"/>
              <w:jc w:val="left"/>
              <w:rPr>
                <w:spacing w:val="-2"/>
                <w:sz w:val="14"/>
                <w:szCs w:val="14"/>
              </w:rPr>
            </w:pPr>
            <w:r w:rsidRPr="004457BD">
              <w:rPr>
                <w:spacing w:val="-2"/>
                <w:sz w:val="14"/>
                <w:szCs w:val="14"/>
              </w:rPr>
              <w:t>**Saldo očištěné o prostředky na pro</w:t>
            </w:r>
            <w:r>
              <w:rPr>
                <w:spacing w:val="-2"/>
                <w:sz w:val="14"/>
                <w:szCs w:val="14"/>
              </w:rPr>
              <w:t>gramy/projekty z rozpočtu EU a f</w:t>
            </w:r>
            <w:r w:rsidRPr="004457BD">
              <w:rPr>
                <w:spacing w:val="-2"/>
                <w:sz w:val="14"/>
                <w:szCs w:val="14"/>
              </w:rPr>
              <w:t xml:space="preserve">inančních mechanismů, které byly předfinancovány ze SR a následně jsou propláceny z rozpočtu EU a FM. </w:t>
            </w:r>
            <w:r>
              <w:rPr>
                <w:spacing w:val="-2"/>
                <w:sz w:val="14"/>
                <w:szCs w:val="14"/>
              </w:rPr>
              <w:t xml:space="preserve">Celoroční údaje </w:t>
            </w:r>
            <w:r w:rsidRPr="004457BD">
              <w:rPr>
                <w:spacing w:val="-2"/>
                <w:sz w:val="14"/>
                <w:szCs w:val="14"/>
              </w:rPr>
              <w:t>jsou</w:t>
            </w:r>
            <w:r>
              <w:rPr>
                <w:spacing w:val="-2"/>
                <w:sz w:val="14"/>
                <w:szCs w:val="14"/>
              </w:rPr>
              <w:t xml:space="preserve"> k dispozici počínaje rokem 2013</w:t>
            </w:r>
            <w:r w:rsidRPr="004457BD">
              <w:rPr>
                <w:spacing w:val="-2"/>
                <w:sz w:val="14"/>
                <w:szCs w:val="14"/>
              </w:rPr>
              <w:t>.</w:t>
            </w:r>
          </w:p>
          <w:p w14:paraId="2821B2EB" w14:textId="77777777" w:rsidR="000A5265" w:rsidRDefault="000A5265" w:rsidP="00102C41">
            <w:pPr>
              <w:tabs>
                <w:tab w:val="right" w:pos="7683"/>
              </w:tabs>
              <w:spacing w:after="0" w:line="240" w:lineRule="auto"/>
              <w:jc w:val="left"/>
              <w:rPr>
                <w:sz w:val="16"/>
                <w:szCs w:val="16"/>
              </w:rPr>
            </w:pPr>
            <w:r>
              <w:rPr>
                <w:spacing w:val="-2"/>
                <w:sz w:val="14"/>
                <w:szCs w:val="14"/>
              </w:rPr>
              <w:t>FO = fyzické soby, PO = právnické osoby. Ostatní daně z příjmů FO zahrnují daně placené</w:t>
            </w:r>
            <w:r w:rsidRPr="005B05AD">
              <w:rPr>
                <w:spacing w:val="-2"/>
                <w:sz w:val="14"/>
                <w:szCs w:val="14"/>
              </w:rPr>
              <w:t xml:space="preserve"> poplatníky</w:t>
            </w:r>
            <w:r>
              <w:rPr>
                <w:spacing w:val="-2"/>
                <w:sz w:val="14"/>
                <w:szCs w:val="14"/>
              </w:rPr>
              <w:t xml:space="preserve"> (zejména z drobného podnikání) a dále daně vybírané</w:t>
            </w:r>
            <w:r w:rsidRPr="005B05AD">
              <w:rPr>
                <w:spacing w:val="-2"/>
                <w:sz w:val="14"/>
                <w:szCs w:val="14"/>
              </w:rPr>
              <w:t xml:space="preserve"> srážkou</w:t>
            </w:r>
            <w:r>
              <w:rPr>
                <w:spacing w:val="-2"/>
                <w:sz w:val="14"/>
                <w:szCs w:val="14"/>
              </w:rPr>
              <w:t xml:space="preserve"> (např. bankovní vklady, pracovní dohody).</w:t>
            </w:r>
          </w:p>
          <w:p w14:paraId="2FD9A542" w14:textId="77777777" w:rsidR="000A5265" w:rsidRDefault="000A5265" w:rsidP="00102C41">
            <w:pPr>
              <w:rPr>
                <w:spacing w:val="-4"/>
              </w:rPr>
            </w:pPr>
            <w:r>
              <w:rPr>
                <w:sz w:val="14"/>
                <w:szCs w:val="14"/>
              </w:rPr>
              <w:t>Ostatní daně a poplatky obsahují zejména daň z nemovitých věcí, d</w:t>
            </w:r>
            <w:r w:rsidRPr="001F4360">
              <w:rPr>
                <w:sz w:val="14"/>
                <w:szCs w:val="14"/>
              </w:rPr>
              <w:t>aň z hazardních her</w:t>
            </w:r>
            <w:r>
              <w:rPr>
                <w:sz w:val="14"/>
                <w:szCs w:val="14"/>
              </w:rPr>
              <w:t>, d</w:t>
            </w:r>
            <w:r w:rsidRPr="001F4360">
              <w:rPr>
                <w:sz w:val="14"/>
                <w:szCs w:val="14"/>
              </w:rPr>
              <w:t>álniční poplatek</w:t>
            </w:r>
            <w:r>
              <w:rPr>
                <w:sz w:val="14"/>
                <w:szCs w:val="14"/>
              </w:rPr>
              <w:t>, mýtné a od roku 2023 nově rovněž o</w:t>
            </w:r>
            <w:r w:rsidRPr="003C78E5">
              <w:rPr>
                <w:sz w:val="14"/>
                <w:szCs w:val="14"/>
              </w:rPr>
              <w:t>dvod z nadměrných příjmů</w:t>
            </w:r>
            <w:r>
              <w:rPr>
                <w:sz w:val="14"/>
                <w:szCs w:val="14"/>
              </w:rPr>
              <w:t xml:space="preserve"> a neočekávaných zisků.                                                            Zdroj: MF ČR</w:t>
            </w:r>
          </w:p>
        </w:tc>
      </w:tr>
      <w:tr w:rsidR="000A5265" w:rsidRPr="007B3A78" w14:paraId="27135A90" w14:textId="77777777" w:rsidTr="00102C41">
        <w:trPr>
          <w:trHeight w:val="170"/>
        </w:trPr>
        <w:tc>
          <w:tcPr>
            <w:tcW w:w="1810" w:type="dxa"/>
            <w:shd w:val="clear" w:color="auto" w:fill="auto"/>
            <w:tcMar>
              <w:left w:w="0" w:type="dxa"/>
            </w:tcMar>
          </w:tcPr>
          <w:p w14:paraId="2BB2364F" w14:textId="77777777" w:rsidR="000A5265" w:rsidRDefault="000A5265" w:rsidP="00102C41">
            <w:pPr>
              <w:pStyle w:val="Marginlie"/>
            </w:pPr>
            <w:r>
              <w:t>Svižný růst inkasa spotřební daně souvisel primárně se zvýšením sazby u klíčových produktů – minerálních olejů a tabákových výrobků.</w:t>
            </w:r>
          </w:p>
        </w:tc>
        <w:tc>
          <w:tcPr>
            <w:tcW w:w="203" w:type="dxa"/>
            <w:shd w:val="clear" w:color="auto" w:fill="auto"/>
            <w:tcMar>
              <w:left w:w="0" w:type="dxa"/>
            </w:tcMar>
          </w:tcPr>
          <w:p w14:paraId="6EDA483E" w14:textId="77777777" w:rsidR="000A5265" w:rsidRDefault="000A5265" w:rsidP="00102C41">
            <w:pPr>
              <w:pStyle w:val="Textpoznpodarou"/>
              <w:jc w:val="both"/>
              <w:rPr>
                <w:spacing w:val="-4"/>
              </w:rPr>
            </w:pPr>
          </w:p>
        </w:tc>
        <w:tc>
          <w:tcPr>
            <w:tcW w:w="7656" w:type="dxa"/>
            <w:shd w:val="clear" w:color="auto" w:fill="auto"/>
            <w:tcMar>
              <w:left w:w="0" w:type="dxa"/>
            </w:tcMar>
          </w:tcPr>
          <w:p w14:paraId="471260AB" w14:textId="08A87BBB" w:rsidR="000A5265" w:rsidRPr="009124F8" w:rsidRDefault="000A5265" w:rsidP="00102C41">
            <w:pPr>
              <w:rPr>
                <w:color w:val="0D0D0D" w:themeColor="text1" w:themeTint="F2"/>
                <w:spacing w:val="-4"/>
                <w:szCs w:val="20"/>
              </w:rPr>
            </w:pPr>
            <w:r>
              <w:rPr>
                <w:spacing w:val="-4"/>
                <w:szCs w:val="20"/>
              </w:rPr>
              <w:t>Inkaso spotřební daně (vč.</w:t>
            </w:r>
            <w:r w:rsidRPr="000B2E46">
              <w:rPr>
                <w:spacing w:val="-4"/>
                <w:szCs w:val="20"/>
              </w:rPr>
              <w:t xml:space="preserve"> energetické daně)</w:t>
            </w:r>
            <w:r>
              <w:rPr>
                <w:spacing w:val="-4"/>
                <w:szCs w:val="20"/>
              </w:rPr>
              <w:t xml:space="preserve"> vzrostlo letos za tři čtvrtletí meziročně o 9,4</w:t>
            </w:r>
            <w:r>
              <w:rPr>
                <w:spacing w:val="-5"/>
              </w:rPr>
              <w:t> </w:t>
            </w:r>
            <w:r>
              <w:rPr>
                <w:spacing w:val="-4"/>
                <w:szCs w:val="20"/>
              </w:rPr>
              <w:t>%, k jeho posílení přispěly všechny významnější položky (vyjma daně z lihu</w:t>
            </w:r>
            <w:r>
              <w:rPr>
                <w:rStyle w:val="Znakapoznpodarou"/>
                <w:spacing w:val="-4"/>
                <w:szCs w:val="20"/>
              </w:rPr>
              <w:footnoteReference w:id="100"/>
            </w:r>
            <w:r>
              <w:rPr>
                <w:spacing w:val="-4"/>
                <w:szCs w:val="20"/>
              </w:rPr>
              <w:t>). Vývoj inkasa nejvíce ovlivnila klíčová daň z minerálních olejů, jejíž výběr svižně rostl (+14,3 %) primárně díky</w:t>
            </w:r>
            <w:r>
              <w:rPr>
                <w:spacing w:val="-4"/>
              </w:rPr>
              <w:t> </w:t>
            </w:r>
            <w:r w:rsidRPr="003579AA">
              <w:rPr>
                <w:spacing w:val="-5"/>
              </w:rPr>
              <w:t>návrat</w:t>
            </w:r>
            <w:r>
              <w:rPr>
                <w:spacing w:val="-5"/>
              </w:rPr>
              <w:t>u</w:t>
            </w:r>
            <w:r w:rsidRPr="003579AA">
              <w:rPr>
                <w:spacing w:val="-5"/>
              </w:rPr>
              <w:t xml:space="preserve"> sazby daně z motorové nafty na úroveň před vzplanutím energetické krize</w:t>
            </w:r>
            <w:r w:rsidRPr="003579AA">
              <w:rPr>
                <w:rStyle w:val="Znakapoznpodarou"/>
                <w:color w:val="0D0D0D" w:themeColor="text1" w:themeTint="F2"/>
                <w:spacing w:val="-5"/>
              </w:rPr>
              <w:footnoteReference w:id="101"/>
            </w:r>
            <w:r w:rsidRPr="003579AA">
              <w:rPr>
                <w:spacing w:val="-5"/>
              </w:rPr>
              <w:t>.</w:t>
            </w:r>
            <w:r>
              <w:rPr>
                <w:spacing w:val="-5"/>
              </w:rPr>
              <w:t xml:space="preserve"> Vliv však měla také vyšší spotřeba těchto produktů, podpořená příznivým vývojem jejich maloobchodních cen</w:t>
            </w:r>
            <w:r>
              <w:rPr>
                <w:rStyle w:val="Znakapoznpodarou"/>
                <w:spacing w:val="-5"/>
              </w:rPr>
              <w:footnoteReference w:id="102"/>
            </w:r>
            <w:r>
              <w:rPr>
                <w:spacing w:val="-5"/>
              </w:rPr>
              <w:t xml:space="preserve">. Z inkasa daně z tabákových výrobků získal SR o 5,7 % více, a přestože tempo výběru během letošního roku mírně posilovalo, zůstávalo zatím za rozpočtovým očekáváním. V dynamice inkasa se promítlo další navýšení sazby i rozšíření </w:t>
            </w:r>
            <w:r>
              <w:rPr>
                <w:spacing w:val="-5"/>
              </w:rPr>
              <w:lastRenderedPageBreak/>
              <w:t xml:space="preserve">okruhu zdaněných produktů (nově náplně do e-cigaret, nikotinové sáčky). Dále rostl výběr energetických daní (zejména díky </w:t>
            </w:r>
            <w:r w:rsidRPr="00FA6942">
              <w:rPr>
                <w:spacing w:val="-5"/>
              </w:rPr>
              <w:t xml:space="preserve">zrušení některých osvobození od daně, </w:t>
            </w:r>
            <w:r w:rsidR="0079124F" w:rsidRPr="00FA6942">
              <w:rPr>
                <w:spacing w:val="-5"/>
              </w:rPr>
              <w:t>např. v metalurgii</w:t>
            </w:r>
            <w:r w:rsidRPr="00FA6942">
              <w:rPr>
                <w:spacing w:val="-5"/>
              </w:rPr>
              <w:t>)</w:t>
            </w:r>
            <w:r>
              <w:rPr>
                <w:spacing w:val="-5"/>
              </w:rPr>
              <w:t>, avšak pomaleji než činilo rozpočtové očekávání (vlivem pokračujících úspor podniků i domácností v oblasti spotřeby a přechodem na ekologičtější druhy paliv).</w:t>
            </w:r>
          </w:p>
        </w:tc>
      </w:tr>
      <w:tr w:rsidR="000A5265" w:rsidRPr="007B3A78" w14:paraId="2BD766B9" w14:textId="77777777" w:rsidTr="00102C41">
        <w:trPr>
          <w:trHeight w:val="170"/>
        </w:trPr>
        <w:tc>
          <w:tcPr>
            <w:tcW w:w="1810" w:type="dxa"/>
            <w:shd w:val="clear" w:color="auto" w:fill="auto"/>
            <w:tcMar>
              <w:left w:w="0" w:type="dxa"/>
            </w:tcMar>
          </w:tcPr>
          <w:p w14:paraId="2C860302" w14:textId="77777777" w:rsidR="000A5265" w:rsidRDefault="000A5265" w:rsidP="00102C41">
            <w:pPr>
              <w:pStyle w:val="Marginlie"/>
            </w:pPr>
            <w:r>
              <w:lastRenderedPageBreak/>
              <w:t>Výběr korporátní daně po svižném růstu v předchozích třech letech poklesl.</w:t>
            </w:r>
          </w:p>
          <w:p w14:paraId="2C2E1C26" w14:textId="77777777" w:rsidR="000A5265" w:rsidRDefault="000A5265" w:rsidP="00102C41">
            <w:pPr>
              <w:pStyle w:val="Marginlie"/>
            </w:pPr>
          </w:p>
          <w:p w14:paraId="7FFAAF06" w14:textId="77777777" w:rsidR="000A5265" w:rsidRDefault="000A5265" w:rsidP="00102C41">
            <w:pPr>
              <w:pStyle w:val="Marginlie"/>
            </w:pPr>
          </w:p>
          <w:p w14:paraId="4F19757C" w14:textId="77777777" w:rsidR="000A5265" w:rsidRDefault="000A5265" w:rsidP="00102C41">
            <w:pPr>
              <w:pStyle w:val="Marginlie"/>
            </w:pPr>
            <w:r>
              <w:t xml:space="preserve">Růst výběru DPFO nadále převyšoval rozpočtové očekávání. Projevovala se </w:t>
            </w:r>
            <w:r w:rsidRPr="009124F8">
              <w:rPr>
                <w:color w:val="0D0D0D" w:themeColor="text1" w:themeTint="F2"/>
                <w:spacing w:val="-4"/>
              </w:rPr>
              <w:t>vyšší zaměstnanost i svižný nominální růst p</w:t>
            </w:r>
            <w:r>
              <w:rPr>
                <w:color w:val="0D0D0D" w:themeColor="text1" w:themeTint="F2"/>
                <w:spacing w:val="-4"/>
              </w:rPr>
              <w:t>růměrné mzdy v podnikové sféře.</w:t>
            </w:r>
          </w:p>
          <w:p w14:paraId="1EBCFD13" w14:textId="77777777" w:rsidR="000A5265" w:rsidRDefault="000A5265" w:rsidP="00102C41">
            <w:pPr>
              <w:pStyle w:val="Marginlie"/>
            </w:pPr>
            <w:r>
              <w:t xml:space="preserve"> </w:t>
            </w:r>
          </w:p>
        </w:tc>
        <w:tc>
          <w:tcPr>
            <w:tcW w:w="203" w:type="dxa"/>
            <w:shd w:val="clear" w:color="auto" w:fill="auto"/>
            <w:tcMar>
              <w:left w:w="0" w:type="dxa"/>
            </w:tcMar>
          </w:tcPr>
          <w:p w14:paraId="53459260" w14:textId="77777777" w:rsidR="000A5265" w:rsidRDefault="000A5265" w:rsidP="00102C41">
            <w:pPr>
              <w:pStyle w:val="Textpoznpodarou"/>
              <w:jc w:val="both"/>
              <w:rPr>
                <w:spacing w:val="-4"/>
              </w:rPr>
            </w:pPr>
          </w:p>
        </w:tc>
        <w:tc>
          <w:tcPr>
            <w:tcW w:w="7656" w:type="dxa"/>
            <w:shd w:val="clear" w:color="auto" w:fill="auto"/>
            <w:tcMar>
              <w:left w:w="0" w:type="dxa"/>
            </w:tcMar>
          </w:tcPr>
          <w:p w14:paraId="2F0D49DD" w14:textId="77777777" w:rsidR="000A5265" w:rsidRPr="009124F8" w:rsidRDefault="000A5265" w:rsidP="00102C41">
            <w:pPr>
              <w:rPr>
                <w:color w:val="0D0D0D" w:themeColor="text1" w:themeTint="F2"/>
                <w:spacing w:val="-4"/>
                <w:szCs w:val="20"/>
              </w:rPr>
            </w:pPr>
            <w:r w:rsidRPr="009124F8">
              <w:rPr>
                <w:color w:val="0D0D0D" w:themeColor="text1" w:themeTint="F2"/>
                <w:spacing w:val="-4"/>
                <w:szCs w:val="20"/>
              </w:rPr>
              <w:t xml:space="preserve">Po dvojciferném růstu v předchozích třech letech získal zatím letos SR na korporátní dani (bez mimořádných daní) meziročně o 8,6 mld. korun, resp. o 5,4 % méně (na úrovni všech veřejných rozpočtů kleslo inkaso dokonce o 7,3 %). Výběr daně tak významněji zaostává za rozpočtovým očekáváním. Opačně je tomu u </w:t>
            </w:r>
            <w:r w:rsidRPr="009124F8">
              <w:rPr>
                <w:color w:val="0D0D0D" w:themeColor="text1" w:themeTint="F2"/>
                <w:spacing w:val="-4"/>
              </w:rPr>
              <w:t>daně z příjmů fyzických osob (DPFO), včetně všech jejích klíčových složek. Na DPFO odvedené plátci (zaměstnavateli) plynulo zatím letos do SR meziročně o 16,5 % více. Příznivě se v ní promítala jak přetrvávající dobrá kondice trhu práce (vyšší zaměstnanost i svižný nominální růst průměrné mzdy v podnikové sféře), tak legislativní změny (především snížení pásma pro druhou zvýšenou sazbu této daně, v menší míře i úprava zdanění vybraných nepeněžních benefitů či zrušení některých daňových slev a také změna RUD</w:t>
            </w:r>
            <w:r w:rsidRPr="009124F8">
              <w:rPr>
                <w:rStyle w:val="Znakapoznpodarou"/>
                <w:color w:val="0D0D0D" w:themeColor="text1" w:themeTint="F2"/>
                <w:spacing w:val="-4"/>
              </w:rPr>
              <w:footnoteReference w:id="103"/>
            </w:r>
            <w:r w:rsidRPr="009124F8">
              <w:rPr>
                <w:color w:val="0D0D0D" w:themeColor="text1" w:themeTint="F2"/>
                <w:spacing w:val="-4"/>
              </w:rPr>
              <w:t xml:space="preserve">). Svižně nadále rostlo inkaso DPFO vybírané srážkou (+12,4 %), což lze vysvětlit především zvýšenými úrokovými sazbami na vkladech </w:t>
            </w:r>
            <w:r>
              <w:rPr>
                <w:color w:val="0D0D0D" w:themeColor="text1" w:themeTint="F2"/>
                <w:spacing w:val="-5"/>
              </w:rPr>
              <w:t>a vysokou mírou</w:t>
            </w:r>
            <w:r w:rsidRPr="00AF6B39">
              <w:rPr>
                <w:color w:val="0D0D0D" w:themeColor="text1" w:themeTint="F2"/>
                <w:spacing w:val="-5"/>
              </w:rPr>
              <w:t xml:space="preserve"> úspor domácností. Nově se zde projevilo i snížení limitu pro osvobození příjmů</w:t>
            </w:r>
            <w:r w:rsidRPr="009124F8">
              <w:rPr>
                <w:color w:val="0D0D0D" w:themeColor="text1" w:themeTint="F2"/>
                <w:spacing w:val="-4"/>
              </w:rPr>
              <w:t xml:space="preserve"> </w:t>
            </w:r>
            <w:r w:rsidRPr="009124F8">
              <w:rPr>
                <w:color w:val="0D0D0D" w:themeColor="text1" w:themeTint="F2"/>
                <w:spacing w:val="-6"/>
              </w:rPr>
              <w:t>z tombol i hazardních her. Výběr DPFO placené poplatníky (hlavně ze samostatné výdělečné</w:t>
            </w:r>
            <w:r w:rsidRPr="009124F8">
              <w:rPr>
                <w:color w:val="0D0D0D" w:themeColor="text1" w:themeTint="F2"/>
                <w:spacing w:val="-4"/>
              </w:rPr>
              <w:t xml:space="preserve"> </w:t>
            </w:r>
            <w:r w:rsidRPr="009124F8">
              <w:rPr>
                <w:color w:val="0D0D0D" w:themeColor="text1" w:themeTint="F2"/>
                <w:spacing w:val="-5"/>
              </w:rPr>
              <w:t>činnosti) se zvýšil mírněji (+3,4 %), pozitivn</w:t>
            </w:r>
            <w:r>
              <w:rPr>
                <w:color w:val="0D0D0D" w:themeColor="text1" w:themeTint="F2"/>
                <w:spacing w:val="-5"/>
              </w:rPr>
              <w:t>í vliv zde měl</w:t>
            </w:r>
            <w:r w:rsidRPr="009124F8">
              <w:rPr>
                <w:color w:val="0D0D0D" w:themeColor="text1" w:themeTint="F2"/>
                <w:spacing w:val="-5"/>
              </w:rPr>
              <w:t xml:space="preserve"> růst počtu drobných podnikatelů</w:t>
            </w:r>
            <w:r>
              <w:rPr>
                <w:color w:val="0D0D0D" w:themeColor="text1" w:themeTint="F2"/>
                <w:spacing w:val="-4"/>
              </w:rPr>
              <w:t>, negativní</w:t>
            </w:r>
            <w:r w:rsidRPr="009124F8">
              <w:rPr>
                <w:color w:val="0D0D0D" w:themeColor="text1" w:themeTint="F2"/>
                <w:spacing w:val="-4"/>
              </w:rPr>
              <w:t xml:space="preserve"> </w:t>
            </w:r>
            <w:r>
              <w:rPr>
                <w:color w:val="0D0D0D" w:themeColor="text1" w:themeTint="F2"/>
                <w:spacing w:val="-4"/>
              </w:rPr>
              <w:t xml:space="preserve">pak </w:t>
            </w:r>
            <w:r w:rsidRPr="009124F8">
              <w:rPr>
                <w:color w:val="0D0D0D" w:themeColor="text1" w:themeTint="F2"/>
                <w:spacing w:val="-4"/>
              </w:rPr>
              <w:t xml:space="preserve">především </w:t>
            </w:r>
            <w:r>
              <w:rPr>
                <w:color w:val="0D0D0D" w:themeColor="text1" w:themeTint="F2"/>
                <w:spacing w:val="-4"/>
              </w:rPr>
              <w:t>úprava</w:t>
            </w:r>
            <w:r w:rsidRPr="009124F8">
              <w:rPr>
                <w:color w:val="0D0D0D" w:themeColor="text1" w:themeTint="F2"/>
                <w:spacing w:val="-4"/>
              </w:rPr>
              <w:t xml:space="preserve"> pro možnost vstupu paušálního režimu platby daně</w:t>
            </w:r>
            <w:r>
              <w:rPr>
                <w:rStyle w:val="Znakapoznpodarou"/>
                <w:color w:val="0D0D0D" w:themeColor="text1" w:themeTint="F2"/>
                <w:spacing w:val="-4"/>
              </w:rPr>
              <w:footnoteReference w:id="104"/>
            </w:r>
            <w:r w:rsidRPr="009124F8">
              <w:rPr>
                <w:color w:val="0D0D0D" w:themeColor="text1" w:themeTint="F2"/>
                <w:spacing w:val="-4"/>
              </w:rPr>
              <w:t>.</w:t>
            </w:r>
          </w:p>
        </w:tc>
      </w:tr>
      <w:tr w:rsidR="000A5265" w:rsidRPr="007B3A78" w14:paraId="14BDD5FF" w14:textId="77777777" w:rsidTr="00102C41">
        <w:trPr>
          <w:trHeight w:val="170"/>
        </w:trPr>
        <w:tc>
          <w:tcPr>
            <w:tcW w:w="1810" w:type="dxa"/>
            <w:shd w:val="clear" w:color="auto" w:fill="auto"/>
            <w:tcMar>
              <w:left w:w="0" w:type="dxa"/>
            </w:tcMar>
          </w:tcPr>
          <w:p w14:paraId="018C8CF8" w14:textId="77777777" w:rsidR="000A5265" w:rsidRDefault="000A5265" w:rsidP="00102C41">
            <w:pPr>
              <w:pStyle w:val="Marginlie"/>
            </w:pPr>
            <w:r>
              <w:rPr>
                <w:spacing w:val="-5"/>
              </w:rPr>
              <w:t>Nedaňové a kapitálové příjmy byly ovlivněny hlubším poklesem příjmů z rozpočtu EU i nižšími příjmy z dividend.</w:t>
            </w:r>
          </w:p>
        </w:tc>
        <w:tc>
          <w:tcPr>
            <w:tcW w:w="203" w:type="dxa"/>
            <w:shd w:val="clear" w:color="auto" w:fill="auto"/>
            <w:tcMar>
              <w:left w:w="0" w:type="dxa"/>
            </w:tcMar>
          </w:tcPr>
          <w:p w14:paraId="0808BDB2" w14:textId="77777777" w:rsidR="000A5265" w:rsidRDefault="000A5265" w:rsidP="00102C41">
            <w:pPr>
              <w:pStyle w:val="Textpoznpodarou"/>
              <w:jc w:val="both"/>
              <w:rPr>
                <w:spacing w:val="-4"/>
              </w:rPr>
            </w:pPr>
          </w:p>
        </w:tc>
        <w:tc>
          <w:tcPr>
            <w:tcW w:w="7656" w:type="dxa"/>
            <w:shd w:val="clear" w:color="auto" w:fill="auto"/>
            <w:tcMar>
              <w:left w:w="0" w:type="dxa"/>
            </w:tcMar>
          </w:tcPr>
          <w:p w14:paraId="52620099" w14:textId="77777777" w:rsidR="000A5265" w:rsidRPr="00146F85" w:rsidRDefault="000A5265" w:rsidP="00102C41">
            <w:pPr>
              <w:rPr>
                <w:spacing w:val="-4"/>
              </w:rPr>
            </w:pPr>
            <w:r w:rsidRPr="005F5A3C">
              <w:rPr>
                <w:color w:val="0D0D0D" w:themeColor="text1" w:themeTint="F2"/>
                <w:spacing w:val="-4"/>
              </w:rPr>
              <w:t>Nedaňové a kapitálové příjmy</w:t>
            </w:r>
            <w:r>
              <w:rPr>
                <w:color w:val="0D0D0D" w:themeColor="text1" w:themeTint="F2"/>
                <w:spacing w:val="-4"/>
              </w:rPr>
              <w:t xml:space="preserve"> SR se v souladu s rozpočtovým očekáváním meziročně propadly, když byly v 1. pololetí nižší o čtvrtinu (60 mld. korun). Vedle výše uvedených slabších příjmů z rozpočtu EU k tomu vedlo i to, že loňské mimořádně vysoké příjmy z dividend od podniků s účastí státu se letos již v takové míře neopakovaly. </w:t>
            </w:r>
          </w:p>
        </w:tc>
      </w:tr>
      <w:tr w:rsidR="000A5265" w:rsidRPr="007B3A78" w14:paraId="758E0B09" w14:textId="77777777" w:rsidTr="00102C41">
        <w:trPr>
          <w:trHeight w:val="170"/>
        </w:trPr>
        <w:tc>
          <w:tcPr>
            <w:tcW w:w="1810" w:type="dxa"/>
            <w:shd w:val="clear" w:color="auto" w:fill="auto"/>
            <w:tcMar>
              <w:left w:w="0" w:type="dxa"/>
            </w:tcMar>
          </w:tcPr>
          <w:p w14:paraId="51C762B7" w14:textId="77777777" w:rsidR="000A5265" w:rsidRDefault="000A5265" w:rsidP="00102C41">
            <w:pPr>
              <w:pStyle w:val="Marginlie"/>
            </w:pPr>
            <w:r>
              <w:rPr>
                <w:spacing w:val="-5"/>
              </w:rPr>
              <w:t>Růst běžných výdajů razantně zvolnil. Projevil se očekávaný útlum mimořádných dotací v energetice.</w:t>
            </w:r>
          </w:p>
        </w:tc>
        <w:tc>
          <w:tcPr>
            <w:tcW w:w="203" w:type="dxa"/>
            <w:shd w:val="clear" w:color="auto" w:fill="auto"/>
            <w:tcMar>
              <w:left w:w="0" w:type="dxa"/>
            </w:tcMar>
          </w:tcPr>
          <w:p w14:paraId="6922E078" w14:textId="77777777" w:rsidR="000A5265" w:rsidRDefault="000A5265" w:rsidP="00102C41">
            <w:pPr>
              <w:pStyle w:val="Textpoznpodarou"/>
              <w:jc w:val="both"/>
              <w:rPr>
                <w:spacing w:val="-4"/>
              </w:rPr>
            </w:pPr>
          </w:p>
        </w:tc>
        <w:tc>
          <w:tcPr>
            <w:tcW w:w="7656" w:type="dxa"/>
            <w:shd w:val="clear" w:color="auto" w:fill="auto"/>
            <w:tcMar>
              <w:left w:w="0" w:type="dxa"/>
            </w:tcMar>
          </w:tcPr>
          <w:p w14:paraId="7A0A3B33" w14:textId="77777777" w:rsidR="000A5265" w:rsidRDefault="000A5265" w:rsidP="00102C41">
            <w:pPr>
              <w:rPr>
                <w:spacing w:val="-4"/>
              </w:rPr>
            </w:pPr>
            <w:r w:rsidRPr="00C57B1B">
              <w:rPr>
                <w:color w:val="0D0D0D" w:themeColor="text1" w:themeTint="F2"/>
                <w:spacing w:val="-4"/>
              </w:rPr>
              <w:t>Celkové výdaje SR v 1</w:t>
            </w:r>
            <w:r>
              <w:rPr>
                <w:color w:val="0D0D0D" w:themeColor="text1" w:themeTint="F2"/>
                <w:spacing w:val="-4"/>
              </w:rPr>
              <w:t>. až 3. čtvrtletí 2024 fakticky stagnovaly (+0,6 %) a významně se zatím neodchylovaly od celoročního rozpočtového očekávání (</w:t>
            </w:r>
            <w:r>
              <w:rPr>
                <w:spacing w:val="-4"/>
              </w:rPr>
              <w:t>−</w:t>
            </w:r>
            <w:r>
              <w:rPr>
                <w:color w:val="0D0D0D" w:themeColor="text1" w:themeTint="F2"/>
                <w:spacing w:val="-4"/>
              </w:rPr>
              <w:t>0,5 %). Běžné výdaje se po dvouciferném loňském růstu letos zvýšily pouze o 1,9 % (+27,9 mld. korun). Toto razantní zvolnění souvisí hlavně s očekávaným útlumem podpory v oblasti energetiky (</w:t>
            </w:r>
            <w:r>
              <w:rPr>
                <w:spacing w:val="-4"/>
              </w:rPr>
              <w:t>−</w:t>
            </w:r>
            <w:r>
              <w:rPr>
                <w:color w:val="0D0D0D" w:themeColor="text1" w:themeTint="F2"/>
                <w:spacing w:val="-4"/>
              </w:rPr>
              <w:t>47,4</w:t>
            </w:r>
            <w:r w:rsidRPr="00793F70">
              <w:rPr>
                <w:color w:val="0D0D0D" w:themeColor="text1" w:themeTint="F2"/>
                <w:spacing w:val="-4"/>
              </w:rPr>
              <w:t xml:space="preserve"> mld. korun)</w:t>
            </w:r>
            <w:r>
              <w:rPr>
                <w:color w:val="0D0D0D" w:themeColor="text1" w:themeTint="F2"/>
                <w:spacing w:val="-4"/>
              </w:rPr>
              <w:t xml:space="preserve"> umožněným příznivým vývojem</w:t>
            </w:r>
            <w:r w:rsidRPr="003467F2">
              <w:rPr>
                <w:color w:val="0D0D0D" w:themeColor="text1" w:themeTint="F2"/>
                <w:spacing w:val="-4"/>
              </w:rPr>
              <w:t xml:space="preserve"> cen energií na světových trzích</w:t>
            </w:r>
            <w:r>
              <w:rPr>
                <w:color w:val="0D0D0D" w:themeColor="text1" w:themeTint="F2"/>
                <w:spacing w:val="-4"/>
              </w:rPr>
              <w:t>. Zklidnění cenového růstu v ekonomice se odrazilo i v nižším tlaku na valorizaci širokého spektra sociálních dávek. Ten byl dále u</w:t>
            </w:r>
            <w:r w:rsidRPr="00A66831">
              <w:rPr>
                <w:color w:val="0D0D0D" w:themeColor="text1" w:themeTint="F2"/>
                <w:spacing w:val="-5"/>
              </w:rPr>
              <w:t> </w:t>
            </w:r>
            <w:r>
              <w:rPr>
                <w:color w:val="0D0D0D" w:themeColor="text1" w:themeTint="F2"/>
                <w:spacing w:val="-4"/>
              </w:rPr>
              <w:t>důchodů zmírněn legislativními změnami řádné i mimořádné valorizace či zpřísněním podmínek přiznání předčasného důchodu.</w:t>
            </w:r>
          </w:p>
        </w:tc>
      </w:tr>
      <w:tr w:rsidR="000A5265" w:rsidRPr="007B3A78" w14:paraId="6D1E7071" w14:textId="77777777" w:rsidTr="00102C41">
        <w:trPr>
          <w:trHeight w:val="170"/>
        </w:trPr>
        <w:tc>
          <w:tcPr>
            <w:tcW w:w="1810" w:type="dxa"/>
            <w:shd w:val="clear" w:color="auto" w:fill="auto"/>
            <w:tcMar>
              <w:left w:w="0" w:type="dxa"/>
            </w:tcMar>
          </w:tcPr>
          <w:p w14:paraId="654A4DAE" w14:textId="77777777" w:rsidR="000A5265" w:rsidRDefault="000A5265" w:rsidP="00102C41">
            <w:pPr>
              <w:pStyle w:val="Marginlie"/>
              <w:rPr>
                <w:spacing w:val="-5"/>
              </w:rPr>
            </w:pPr>
            <w:r>
              <w:rPr>
                <w:spacing w:val="-5"/>
              </w:rPr>
              <w:t xml:space="preserve">Výdaje na důchody se zvýšily relativně nejméně za posledních osm let. </w:t>
            </w:r>
          </w:p>
          <w:p w14:paraId="6E92FE53" w14:textId="77777777" w:rsidR="000A5265" w:rsidRDefault="000A5265" w:rsidP="00102C41">
            <w:pPr>
              <w:pStyle w:val="Marginlie"/>
              <w:rPr>
                <w:spacing w:val="-5"/>
              </w:rPr>
            </w:pPr>
          </w:p>
          <w:p w14:paraId="1833A87F" w14:textId="77777777" w:rsidR="000A5265" w:rsidRDefault="000A5265" w:rsidP="00102C41">
            <w:pPr>
              <w:pStyle w:val="Marginlie"/>
              <w:rPr>
                <w:spacing w:val="-5"/>
              </w:rPr>
            </w:pPr>
          </w:p>
          <w:p w14:paraId="10D3CACF" w14:textId="77777777" w:rsidR="000A5265" w:rsidRDefault="000A5265" w:rsidP="00102C41">
            <w:pPr>
              <w:pStyle w:val="Marginlie"/>
              <w:rPr>
                <w:spacing w:val="-5"/>
              </w:rPr>
            </w:pPr>
          </w:p>
          <w:p w14:paraId="2818234B" w14:textId="77777777" w:rsidR="000A5265" w:rsidRDefault="000A5265" w:rsidP="00102C41">
            <w:pPr>
              <w:pStyle w:val="Marginlie"/>
              <w:rPr>
                <w:spacing w:val="-5"/>
              </w:rPr>
            </w:pPr>
          </w:p>
          <w:p w14:paraId="410EC1A6" w14:textId="77777777" w:rsidR="000A5265" w:rsidRDefault="000A5265" w:rsidP="00102C41">
            <w:pPr>
              <w:pStyle w:val="Marginlie"/>
            </w:pPr>
            <w:r>
              <w:rPr>
                <w:spacing w:val="-5"/>
              </w:rPr>
              <w:t xml:space="preserve">Pololetní deficit důchodového účtu meziročně poklesl o čtvrtinu, i tak byl druhý </w:t>
            </w:r>
            <w:r>
              <w:rPr>
                <w:spacing w:val="-5"/>
              </w:rPr>
              <w:lastRenderedPageBreak/>
              <w:t>nejhlubší v novodobé historii.</w:t>
            </w:r>
          </w:p>
        </w:tc>
        <w:tc>
          <w:tcPr>
            <w:tcW w:w="203" w:type="dxa"/>
            <w:shd w:val="clear" w:color="auto" w:fill="auto"/>
            <w:tcMar>
              <w:left w:w="0" w:type="dxa"/>
            </w:tcMar>
          </w:tcPr>
          <w:p w14:paraId="6E27C921" w14:textId="77777777" w:rsidR="000A5265" w:rsidRDefault="000A5265" w:rsidP="00102C41">
            <w:pPr>
              <w:pStyle w:val="Textpoznpodarou"/>
              <w:jc w:val="both"/>
              <w:rPr>
                <w:spacing w:val="-4"/>
              </w:rPr>
            </w:pPr>
          </w:p>
        </w:tc>
        <w:tc>
          <w:tcPr>
            <w:tcW w:w="7656" w:type="dxa"/>
            <w:shd w:val="clear" w:color="auto" w:fill="auto"/>
            <w:tcMar>
              <w:left w:w="0" w:type="dxa"/>
            </w:tcMar>
          </w:tcPr>
          <w:p w14:paraId="075BF04D" w14:textId="77777777" w:rsidR="000A5265" w:rsidRPr="008828D3" w:rsidRDefault="000A5265" w:rsidP="00102C41">
            <w:pPr>
              <w:rPr>
                <w:color w:val="0D0D0D" w:themeColor="text1" w:themeTint="F2"/>
                <w:spacing w:val="-4"/>
              </w:rPr>
            </w:pPr>
            <w:r w:rsidRPr="008828D3">
              <w:rPr>
                <w:color w:val="0D0D0D" w:themeColor="text1" w:themeTint="F2"/>
                <w:spacing w:val="-4"/>
              </w:rPr>
              <w:t xml:space="preserve">Navzdory výše uvedenému přispěly k letošnímu růstu běžných výdajů nejvíce sociální dávky (+27,2 mld. korun), jež se i přes zpomalení svého meziročního růstu na veškerých výdajích SR podílely 41,6 % </w:t>
            </w:r>
            <w:r w:rsidRPr="008828D3">
              <w:rPr>
                <w:spacing w:val="-4"/>
              </w:rPr>
              <w:t>–</w:t>
            </w:r>
            <w:r w:rsidRPr="008828D3">
              <w:rPr>
                <w:color w:val="0D0D0D" w:themeColor="text1" w:themeTint="F2"/>
                <w:spacing w:val="-4"/>
              </w:rPr>
              <w:t xml:space="preserve"> nejvíce za posledních sedm let</w:t>
            </w:r>
            <w:r w:rsidRPr="008828D3">
              <w:rPr>
                <w:rStyle w:val="Znakapoznpodarou"/>
                <w:color w:val="0D0D0D" w:themeColor="text1" w:themeTint="F2"/>
                <w:spacing w:val="-4"/>
              </w:rPr>
              <w:footnoteReference w:id="105"/>
            </w:r>
            <w:r w:rsidRPr="008828D3">
              <w:rPr>
                <w:color w:val="0D0D0D" w:themeColor="text1" w:themeTint="F2"/>
                <w:spacing w:val="-4"/>
              </w:rPr>
              <w:t>. Drtivá většina letošního navýšení sociálních dávek souvisela tradičně s výdaji na důchody, které po rek</w:t>
            </w:r>
            <w:r>
              <w:rPr>
                <w:color w:val="0D0D0D" w:themeColor="text1" w:themeTint="F2"/>
                <w:spacing w:val="-4"/>
              </w:rPr>
              <w:t>ordním loňském růstu</w:t>
            </w:r>
            <w:r w:rsidRPr="008828D3">
              <w:rPr>
                <w:color w:val="0D0D0D" w:themeColor="text1" w:themeTint="F2"/>
                <w:spacing w:val="-4"/>
              </w:rPr>
              <w:t xml:space="preserve"> vzrostly o 3,9 %. </w:t>
            </w:r>
            <w:r w:rsidRPr="008828D3">
              <w:rPr>
                <w:spacing w:val="-4"/>
              </w:rPr>
              <w:t>Vlivem ústupu inflace i změny valorizačního mechanismu</w:t>
            </w:r>
            <w:r w:rsidRPr="008828D3">
              <w:rPr>
                <w:spacing w:val="-4"/>
                <w:vertAlign w:val="superscript"/>
              </w:rPr>
              <w:footnoteReference w:id="106"/>
            </w:r>
            <w:r w:rsidRPr="008828D3">
              <w:rPr>
                <w:spacing w:val="-4"/>
              </w:rPr>
              <w:t xml:space="preserve"> šlo ale o nejnižší posílení po roce 2016. Současně se ovšem počet příjemců důchodů (po poklesu v předchozích třech letech) opět zvýšil – na s</w:t>
            </w:r>
            <w:r>
              <w:rPr>
                <w:spacing w:val="-4"/>
              </w:rPr>
              <w:t>klonku září 2024 meziročně o 0,4</w:t>
            </w:r>
            <w:r w:rsidRPr="008828D3">
              <w:rPr>
                <w:spacing w:val="-4"/>
              </w:rPr>
              <w:t xml:space="preserve"> % (</w:t>
            </w:r>
            <w:r>
              <w:rPr>
                <w:spacing w:val="-4"/>
              </w:rPr>
              <w:t>spolu s letošním červnem šlo o nejvyšší tempo</w:t>
            </w:r>
            <w:r w:rsidRPr="008828D3">
              <w:rPr>
                <w:spacing w:val="-4"/>
              </w:rPr>
              <w:t xml:space="preserve"> od konce roku 2016). Přibylo držitelů invalidních důchodů, nadále rostl (byť pomaleji než loni) i zájem o předčasné penze</w:t>
            </w:r>
            <w:r w:rsidRPr="008828D3">
              <w:rPr>
                <w:rStyle w:val="Znakapoznpodarou"/>
                <w:color w:val="0D0D0D" w:themeColor="text1" w:themeTint="F2"/>
                <w:spacing w:val="-4"/>
              </w:rPr>
              <w:footnoteReference w:id="107"/>
            </w:r>
            <w:r w:rsidRPr="008828D3">
              <w:rPr>
                <w:spacing w:val="-4"/>
              </w:rPr>
              <w:t xml:space="preserve">. </w:t>
            </w:r>
            <w:r w:rsidRPr="008828D3">
              <w:rPr>
                <w:color w:val="0D0D0D" w:themeColor="text1" w:themeTint="F2"/>
                <w:spacing w:val="-4"/>
              </w:rPr>
              <w:lastRenderedPageBreak/>
              <w:t>Výdaje na důchody rostly poprvé po třech letech pomaleji než příjmy na důchodové pojištění. Deficit</w:t>
            </w:r>
            <w:r w:rsidRPr="008828D3">
              <w:rPr>
                <w:rFonts w:cs="Arial"/>
                <w:color w:val="0D0D0D" w:themeColor="text1" w:themeTint="F2"/>
                <w:spacing w:val="-4"/>
              </w:rPr>
              <w:t xml:space="preserve"> systému důchodového pojištění</w:t>
            </w:r>
            <w:r w:rsidRPr="008828D3">
              <w:rPr>
                <w:rStyle w:val="Znakapoznpodarou"/>
                <w:color w:val="0D0D0D" w:themeColor="text1" w:themeTint="F2"/>
                <w:spacing w:val="-4"/>
              </w:rPr>
              <w:footnoteReference w:id="108"/>
            </w:r>
            <w:r w:rsidRPr="008828D3">
              <w:rPr>
                <w:rFonts w:cs="Arial"/>
                <w:color w:val="0D0D0D" w:themeColor="text1" w:themeTint="F2"/>
                <w:spacing w:val="-4"/>
              </w:rPr>
              <w:t xml:space="preserve"> se tak za tři kvartály snížil z loňských rekordních 58,1 mld. korun na 43,4 mld. korun. </w:t>
            </w:r>
          </w:p>
        </w:tc>
      </w:tr>
      <w:tr w:rsidR="000A5265" w:rsidRPr="007B3A78" w14:paraId="65056776" w14:textId="77777777" w:rsidTr="00102C41">
        <w:trPr>
          <w:trHeight w:val="170"/>
        </w:trPr>
        <w:tc>
          <w:tcPr>
            <w:tcW w:w="1810" w:type="dxa"/>
            <w:shd w:val="clear" w:color="auto" w:fill="auto"/>
            <w:tcMar>
              <w:left w:w="0" w:type="dxa"/>
            </w:tcMar>
          </w:tcPr>
          <w:p w14:paraId="43CCA147" w14:textId="77777777" w:rsidR="000A5265" w:rsidRDefault="000A5265" w:rsidP="00102C41">
            <w:pPr>
              <w:pStyle w:val="Marginlie"/>
              <w:rPr>
                <w:color w:val="0D0D0D" w:themeColor="text1" w:themeTint="F2"/>
              </w:rPr>
            </w:pPr>
            <w:r>
              <w:rPr>
                <w:color w:val="0D0D0D" w:themeColor="text1" w:themeTint="F2"/>
              </w:rPr>
              <w:lastRenderedPageBreak/>
              <w:t>Růst výdajů na nedůchodové sociální dávky zrychlil, především vlivem vyšších příspěvků na péči a na bydlení a též podpory nezaměstnaným.</w:t>
            </w:r>
          </w:p>
          <w:p w14:paraId="1C53EEF2" w14:textId="77777777" w:rsidR="000A5265" w:rsidRDefault="000A5265" w:rsidP="00102C41">
            <w:pPr>
              <w:pStyle w:val="Marginlie"/>
              <w:rPr>
                <w:color w:val="0D0D0D" w:themeColor="text1" w:themeTint="F2"/>
              </w:rPr>
            </w:pPr>
          </w:p>
          <w:p w14:paraId="5B027EB2" w14:textId="77777777" w:rsidR="000A5265" w:rsidRDefault="000A5265" w:rsidP="00102C41">
            <w:pPr>
              <w:pStyle w:val="Marginlie"/>
              <w:rPr>
                <w:color w:val="0D0D0D" w:themeColor="text1" w:themeTint="F2"/>
              </w:rPr>
            </w:pPr>
          </w:p>
          <w:p w14:paraId="09C36921" w14:textId="77777777" w:rsidR="000A5265" w:rsidRDefault="000A5265" w:rsidP="00102C41">
            <w:pPr>
              <w:pStyle w:val="Marginlie"/>
              <w:rPr>
                <w:color w:val="0D0D0D" w:themeColor="text1" w:themeTint="F2"/>
              </w:rPr>
            </w:pPr>
          </w:p>
          <w:p w14:paraId="28A4D122" w14:textId="77777777" w:rsidR="000A5265" w:rsidRDefault="000A5265" w:rsidP="00102C41">
            <w:pPr>
              <w:pStyle w:val="Marginlie"/>
              <w:rPr>
                <w:color w:val="0D0D0D" w:themeColor="text1" w:themeTint="F2"/>
              </w:rPr>
            </w:pPr>
          </w:p>
          <w:p w14:paraId="55F7DD64" w14:textId="77777777" w:rsidR="000A5265" w:rsidRDefault="000A5265" w:rsidP="00102C41">
            <w:pPr>
              <w:pStyle w:val="Marginlie"/>
              <w:rPr>
                <w:color w:val="0D0D0D" w:themeColor="text1" w:themeTint="F2"/>
              </w:rPr>
            </w:pPr>
            <w:r>
              <w:rPr>
                <w:color w:val="0D0D0D" w:themeColor="text1" w:themeTint="F2"/>
              </w:rPr>
              <w:t>Pokles čerpání peněžité pomoci v mateřství i rodičovského příspěvku pokračoval.</w:t>
            </w:r>
          </w:p>
          <w:p w14:paraId="20F52F94" w14:textId="77777777" w:rsidR="000A5265" w:rsidRDefault="000A5265" w:rsidP="00102C41">
            <w:pPr>
              <w:pStyle w:val="Marginlie"/>
              <w:rPr>
                <w:color w:val="0D0D0D" w:themeColor="text1" w:themeTint="F2"/>
              </w:rPr>
            </w:pPr>
          </w:p>
          <w:p w14:paraId="792F09F8" w14:textId="77777777" w:rsidR="000A5265" w:rsidRDefault="000A5265" w:rsidP="00102C41">
            <w:pPr>
              <w:pStyle w:val="Marginlie"/>
              <w:rPr>
                <w:color w:val="0D0D0D" w:themeColor="text1" w:themeTint="F2"/>
              </w:rPr>
            </w:pPr>
          </w:p>
          <w:p w14:paraId="1C9E5AB1" w14:textId="77777777" w:rsidR="000A5265" w:rsidRDefault="000A5265" w:rsidP="00102C41">
            <w:pPr>
              <w:pStyle w:val="Marginlie"/>
              <w:rPr>
                <w:color w:val="0D0D0D" w:themeColor="text1" w:themeTint="F2"/>
              </w:rPr>
            </w:pPr>
          </w:p>
          <w:p w14:paraId="020A0BDA" w14:textId="77777777" w:rsidR="000A5265" w:rsidRDefault="000A5265" w:rsidP="00102C41">
            <w:pPr>
              <w:pStyle w:val="Marginlie"/>
              <w:rPr>
                <w:color w:val="0D0D0D" w:themeColor="text1" w:themeTint="F2"/>
              </w:rPr>
            </w:pPr>
            <w:r>
              <w:rPr>
                <w:color w:val="0D0D0D" w:themeColor="text1" w:themeTint="F2"/>
              </w:rPr>
              <w:t>Vlivem zákonného posílení příjmů skončila bilance nemocenského pojištění v mírném přebytku.</w:t>
            </w:r>
          </w:p>
          <w:p w14:paraId="56754B9D" w14:textId="77777777" w:rsidR="000A5265" w:rsidRPr="00C57B1B" w:rsidRDefault="000A5265" w:rsidP="00102C41">
            <w:pPr>
              <w:pStyle w:val="Marginlie"/>
              <w:rPr>
                <w:color w:val="0D0D0D" w:themeColor="text1" w:themeTint="F2"/>
              </w:rPr>
            </w:pPr>
          </w:p>
        </w:tc>
        <w:tc>
          <w:tcPr>
            <w:tcW w:w="203" w:type="dxa"/>
            <w:shd w:val="clear" w:color="auto" w:fill="auto"/>
            <w:tcMar>
              <w:left w:w="0" w:type="dxa"/>
            </w:tcMar>
          </w:tcPr>
          <w:p w14:paraId="6CE2A053" w14:textId="77777777" w:rsidR="000A5265" w:rsidRPr="00C57B1B" w:rsidRDefault="000A5265" w:rsidP="00102C41">
            <w:pPr>
              <w:pStyle w:val="Textpoznpodarou"/>
              <w:jc w:val="both"/>
              <w:rPr>
                <w:color w:val="0D0D0D" w:themeColor="text1" w:themeTint="F2"/>
                <w:spacing w:val="-4"/>
              </w:rPr>
            </w:pPr>
          </w:p>
        </w:tc>
        <w:tc>
          <w:tcPr>
            <w:tcW w:w="7656" w:type="dxa"/>
            <w:shd w:val="clear" w:color="auto" w:fill="auto"/>
            <w:tcMar>
              <w:left w:w="0" w:type="dxa"/>
            </w:tcMar>
          </w:tcPr>
          <w:p w14:paraId="4D2D7C46" w14:textId="77777777" w:rsidR="000A5265" w:rsidRPr="00774D08" w:rsidRDefault="000A5265" w:rsidP="00102C41">
            <w:pPr>
              <w:rPr>
                <w:color w:val="0D0D0D" w:themeColor="text1" w:themeTint="F2"/>
                <w:spacing w:val="-6"/>
              </w:rPr>
            </w:pPr>
            <w:r w:rsidRPr="007C76F7">
              <w:rPr>
                <w:color w:val="0D0D0D" w:themeColor="text1" w:themeTint="F2"/>
                <w:spacing w:val="-6"/>
              </w:rPr>
              <w:t>M</w:t>
            </w:r>
            <w:r>
              <w:rPr>
                <w:color w:val="0D0D0D" w:themeColor="text1" w:themeTint="F2"/>
                <w:spacing w:val="-6"/>
              </w:rPr>
              <w:t xml:space="preserve">eziroční růst výdajů na ostatní </w:t>
            </w:r>
            <w:r w:rsidRPr="007C76F7">
              <w:rPr>
                <w:color w:val="0D0D0D" w:themeColor="text1" w:themeTint="F2"/>
                <w:spacing w:val="-6"/>
              </w:rPr>
              <w:t>sociální dávky</w:t>
            </w:r>
            <w:r>
              <w:rPr>
                <w:color w:val="0D0D0D" w:themeColor="text1" w:themeTint="F2"/>
                <w:spacing w:val="-6"/>
              </w:rPr>
              <w:t xml:space="preserve"> oproti loňskému roku letos zrychlil na 5,2 % (+7,1 mld. korun) a podobně jako u důchodů zatím mírně překračoval rozpočtové očekávání. K jejich růstu přispěly nejvíce objemově významné příspěvky na péči pro dlouhodobě nemocné (+2,0 mld. korun)</w:t>
            </w:r>
            <w:r>
              <w:rPr>
                <w:rStyle w:val="Znakapoznpodarou"/>
                <w:color w:val="0D0D0D" w:themeColor="text1" w:themeTint="F2"/>
                <w:spacing w:val="-6"/>
              </w:rPr>
              <w:footnoteReference w:id="109"/>
            </w:r>
            <w:r>
              <w:rPr>
                <w:color w:val="0D0D0D" w:themeColor="text1" w:themeTint="F2"/>
                <w:spacing w:val="-6"/>
              </w:rPr>
              <w:t xml:space="preserve">. Opačně působily výplaty </w:t>
            </w:r>
            <w:r w:rsidRPr="0001347E">
              <w:rPr>
                <w:color w:val="0D0D0D" w:themeColor="text1" w:themeTint="F2"/>
                <w:spacing w:val="-6"/>
              </w:rPr>
              <w:t>rodičovského příspěvku (</w:t>
            </w:r>
            <w:r>
              <w:rPr>
                <w:spacing w:val="-6"/>
              </w:rPr>
              <w:t>−</w:t>
            </w:r>
            <w:r w:rsidRPr="0001347E">
              <w:rPr>
                <w:color w:val="0D0D0D" w:themeColor="text1" w:themeTint="F2"/>
                <w:spacing w:val="-6"/>
              </w:rPr>
              <w:t>1,5 mld. korun), jež se hlavně vlivem nepříznivého demografického</w:t>
            </w:r>
            <w:r>
              <w:rPr>
                <w:color w:val="0D0D0D" w:themeColor="text1" w:themeTint="F2"/>
                <w:spacing w:val="-4"/>
              </w:rPr>
              <w:t xml:space="preserve"> vývoje snižovaly čtvrtým rokem v řadě</w:t>
            </w:r>
            <w:r>
              <w:rPr>
                <w:rStyle w:val="Znakapoznpodarou"/>
                <w:color w:val="0D0D0D" w:themeColor="text1" w:themeTint="F2"/>
                <w:spacing w:val="-4"/>
              </w:rPr>
              <w:footnoteReference w:id="110"/>
            </w:r>
            <w:r>
              <w:rPr>
                <w:color w:val="0D0D0D" w:themeColor="text1" w:themeTint="F2"/>
                <w:spacing w:val="-4"/>
              </w:rPr>
              <w:t xml:space="preserve">. </w:t>
            </w:r>
            <w:r>
              <w:rPr>
                <w:color w:val="0D0D0D" w:themeColor="text1" w:themeTint="F2"/>
                <w:spacing w:val="-6"/>
              </w:rPr>
              <w:t xml:space="preserve">Druhým rokem v řadě se zvyšoval objem příspěvků na bydlení. Letos na ně ze SR směřovalo meziročně o šestinu více a počet jejich příjemců narostl skoro o desetinu (na </w:t>
            </w:r>
            <w:r>
              <w:rPr>
                <w:color w:val="0D0D0D" w:themeColor="text1" w:themeTint="F2"/>
                <w:spacing w:val="-6"/>
              </w:rPr>
              <w:br/>
              <w:t xml:space="preserve">290 tis.). </w:t>
            </w:r>
            <w:r>
              <w:rPr>
                <w:rFonts w:cs="Arial"/>
                <w:color w:val="0D0D0D" w:themeColor="text1" w:themeTint="F2"/>
                <w:spacing w:val="-5"/>
              </w:rPr>
              <w:t xml:space="preserve">Stále se zde </w:t>
            </w:r>
            <w:r>
              <w:rPr>
                <w:rFonts w:cs="Arial"/>
                <w:color w:val="0D0D0D" w:themeColor="text1" w:themeTint="F2"/>
                <w:spacing w:val="-4"/>
              </w:rPr>
              <w:t xml:space="preserve">projevoval dopad </w:t>
            </w:r>
            <w:r>
              <w:rPr>
                <w:color w:val="0D0D0D" w:themeColor="text1" w:themeTint="F2"/>
                <w:spacing w:val="-4"/>
              </w:rPr>
              <w:t>zvýšených cen energií</w:t>
            </w:r>
            <w:r>
              <w:rPr>
                <w:spacing w:val="-4"/>
              </w:rPr>
              <w:t>, ale i růstu povědomí o</w:t>
            </w:r>
            <w:r>
              <w:rPr>
                <w:color w:val="0D0D0D" w:themeColor="text1" w:themeTint="F2"/>
                <w:spacing w:val="-4"/>
              </w:rPr>
              <w:t> </w:t>
            </w:r>
            <w:r>
              <w:rPr>
                <w:spacing w:val="-4"/>
              </w:rPr>
              <w:t>možnosti čerpání této pomoci v populaci a zjednodušení procedury podání žádosti o</w:t>
            </w:r>
            <w:r>
              <w:rPr>
                <w:color w:val="0D0D0D" w:themeColor="text1" w:themeTint="F2"/>
                <w:spacing w:val="-4"/>
              </w:rPr>
              <w:t> </w:t>
            </w:r>
            <w:r>
              <w:rPr>
                <w:spacing w:val="-4"/>
              </w:rPr>
              <w:t>dávku.</w:t>
            </w:r>
            <w:r>
              <w:rPr>
                <w:color w:val="0D0D0D" w:themeColor="text1" w:themeTint="F2"/>
                <w:spacing w:val="-6"/>
              </w:rPr>
              <w:t xml:space="preserve"> Další příjmově testované dávky však posílily jen mírně (příspěvek na živobytí +3,1 %), nebo stagnovaly (přídavky na děti). Naopak skoro o čtvrtinu vzrostla podpora nezaměstnaným, na niž SR letos do konce září vydal bezmála 10 mld. korun (88 % celoroční rozpočtované částky). Stál za tím zejména meziročně vyšší počet osob s nárokem na podporu, dílčí vliv měl i nárůst průměrné výše podpory</w:t>
            </w:r>
            <w:r>
              <w:rPr>
                <w:rStyle w:val="Znakapoznpodarou"/>
                <w:color w:val="0D0D0D" w:themeColor="text1" w:themeTint="F2"/>
                <w:spacing w:val="-6"/>
              </w:rPr>
              <w:footnoteReference w:id="111"/>
            </w:r>
            <w:r>
              <w:rPr>
                <w:color w:val="0D0D0D" w:themeColor="text1" w:themeTint="F2"/>
                <w:spacing w:val="-6"/>
              </w:rPr>
              <w:t>. Více letos SR vydal rovněž na dávky nemocenského pojištění (+3,7</w:t>
            </w:r>
            <w:r w:rsidRPr="008828D3">
              <w:rPr>
                <w:color w:val="0D0D0D" w:themeColor="text1" w:themeTint="F2"/>
                <w:spacing w:val="-4"/>
              </w:rPr>
              <w:t> </w:t>
            </w:r>
            <w:r>
              <w:rPr>
                <w:color w:val="0D0D0D" w:themeColor="text1" w:themeTint="F2"/>
                <w:spacing w:val="-6"/>
              </w:rPr>
              <w:t xml:space="preserve">%), jejichž pokles trvající předchozí tři roky se zastavil (proti </w:t>
            </w:r>
            <w:r>
              <w:rPr>
                <w:color w:val="0D0D0D" w:themeColor="text1" w:themeTint="F2"/>
                <w:spacing w:val="-6"/>
              </w:rPr>
              <w:br/>
              <w:t xml:space="preserve">1. až 3. čtvrtletí roku 2019 bylo letos ale vyplaceno skoro o čtvrtinu více). Meziroční růst čerpání byl letos tažen takřka výhradně nemocenskou dávkou, naopak objem vyplaceného ošetřovného i peněžité pomoci v mateřství nadále klesal. </w:t>
            </w:r>
            <w:r>
              <w:rPr>
                <w:rFonts w:cs="Arial"/>
                <w:color w:val="0D0D0D" w:themeColor="text1" w:themeTint="F2"/>
                <w:spacing w:val="-5"/>
              </w:rPr>
              <w:t>Bilance nemocenského pojištění</w:t>
            </w:r>
            <w:r>
              <w:rPr>
                <w:rStyle w:val="Znakapoznpodarou"/>
                <w:color w:val="0D0D0D" w:themeColor="text1" w:themeTint="F2"/>
                <w:spacing w:val="-5"/>
              </w:rPr>
              <w:footnoteReference w:id="112"/>
            </w:r>
            <w:r>
              <w:rPr>
                <w:rFonts w:cs="Arial"/>
                <w:color w:val="0D0D0D" w:themeColor="text1" w:themeTint="F2"/>
                <w:spacing w:val="-5"/>
              </w:rPr>
              <w:t xml:space="preserve"> dosáhla díky významnému posílení jeho příjmové stránky letos přebytku (+5,6</w:t>
            </w:r>
            <w:r>
              <w:rPr>
                <w:color w:val="0D0D0D" w:themeColor="text1" w:themeTint="F2"/>
                <w:spacing w:val="-4"/>
              </w:rPr>
              <w:t> </w:t>
            </w:r>
            <w:r>
              <w:rPr>
                <w:rFonts w:cs="Arial"/>
                <w:color w:val="0D0D0D" w:themeColor="text1" w:themeTint="F2"/>
                <w:spacing w:val="-5"/>
              </w:rPr>
              <w:t>mld. korun), prvního po roce 2018.</w:t>
            </w:r>
          </w:p>
        </w:tc>
      </w:tr>
      <w:tr w:rsidR="000A5265" w:rsidRPr="007B3A78" w14:paraId="67F170C2" w14:textId="77777777" w:rsidTr="00102C41">
        <w:trPr>
          <w:trHeight w:val="170"/>
        </w:trPr>
        <w:tc>
          <w:tcPr>
            <w:tcW w:w="1810" w:type="dxa"/>
            <w:shd w:val="clear" w:color="auto" w:fill="auto"/>
            <w:tcMar>
              <w:left w:w="0" w:type="dxa"/>
            </w:tcMar>
          </w:tcPr>
          <w:p w14:paraId="1B5F1880" w14:textId="77777777" w:rsidR="000A5265" w:rsidRDefault="000A5265" w:rsidP="00102C41">
            <w:pPr>
              <w:pStyle w:val="Marginlie"/>
            </w:pPr>
            <w:r>
              <w:t>Růst výdajů na obsluhu státního dluhu zrychlil.</w:t>
            </w:r>
          </w:p>
          <w:p w14:paraId="2A3B98EE" w14:textId="77777777" w:rsidR="000A5265" w:rsidRDefault="000A5265" w:rsidP="00102C41">
            <w:pPr>
              <w:pStyle w:val="Marginlie"/>
            </w:pPr>
          </w:p>
          <w:p w14:paraId="4B669F4D" w14:textId="77777777" w:rsidR="000A5265" w:rsidRDefault="000A5265" w:rsidP="00102C41">
            <w:pPr>
              <w:pStyle w:val="Marginlie"/>
            </w:pPr>
          </w:p>
          <w:p w14:paraId="3AFA39B2" w14:textId="77777777" w:rsidR="000A5265" w:rsidRDefault="000A5265" w:rsidP="00102C41">
            <w:pPr>
              <w:pStyle w:val="Marginlie"/>
              <w:rPr>
                <w:spacing w:val="-5"/>
              </w:rPr>
            </w:pPr>
            <w:r>
              <w:t xml:space="preserve">Vyšší výdaje na běžné nákupy souvisely s posilováním obrany a bezpečnosti. Došlo také k valorizaci výdajů na platby za státní pojištěnce a k posílení běžných dotací státním fondům. </w:t>
            </w:r>
          </w:p>
        </w:tc>
        <w:tc>
          <w:tcPr>
            <w:tcW w:w="203" w:type="dxa"/>
            <w:shd w:val="clear" w:color="auto" w:fill="auto"/>
            <w:tcMar>
              <w:left w:w="0" w:type="dxa"/>
            </w:tcMar>
          </w:tcPr>
          <w:p w14:paraId="2C842AA5" w14:textId="77777777" w:rsidR="000A5265" w:rsidRDefault="000A5265" w:rsidP="00102C41">
            <w:pPr>
              <w:pStyle w:val="Textpoznpodarou"/>
              <w:jc w:val="both"/>
              <w:rPr>
                <w:spacing w:val="-4"/>
              </w:rPr>
            </w:pPr>
          </w:p>
        </w:tc>
        <w:tc>
          <w:tcPr>
            <w:tcW w:w="7656" w:type="dxa"/>
            <w:shd w:val="clear" w:color="auto" w:fill="auto"/>
            <w:tcMar>
              <w:left w:w="0" w:type="dxa"/>
            </w:tcMar>
          </w:tcPr>
          <w:p w14:paraId="6564D2A2" w14:textId="77777777" w:rsidR="000A5265" w:rsidRPr="001346CF" w:rsidRDefault="000A5265" w:rsidP="00102C41">
            <w:pPr>
              <w:rPr>
                <w:color w:val="0D0D0D" w:themeColor="text1" w:themeTint="F2"/>
                <w:spacing w:val="-6"/>
              </w:rPr>
            </w:pPr>
            <w:r w:rsidRPr="001346CF">
              <w:rPr>
                <w:color w:val="0D0D0D" w:themeColor="text1" w:themeTint="F2"/>
                <w:spacing w:val="-6"/>
              </w:rPr>
              <w:t xml:space="preserve">K růstu běžných výdajů </w:t>
            </w:r>
            <w:r>
              <w:rPr>
                <w:color w:val="0D0D0D" w:themeColor="text1" w:themeTint="F2"/>
                <w:spacing w:val="-6"/>
              </w:rPr>
              <w:t xml:space="preserve">SR letos významně přispěly také dotace státním fondům, jež byly meziročně vyšší o 20 mld. korun (+56 %). Projevila se zejména vyšší alokace </w:t>
            </w:r>
            <w:r w:rsidRPr="001346CF">
              <w:rPr>
                <w:color w:val="0D0D0D" w:themeColor="text1" w:themeTint="F2"/>
                <w:spacing w:val="-6"/>
              </w:rPr>
              <w:t>do oblasti dopravní infrastruktury,</w:t>
            </w:r>
            <w:r>
              <w:rPr>
                <w:color w:val="0D0D0D" w:themeColor="text1" w:themeTint="F2"/>
                <w:spacing w:val="-6"/>
              </w:rPr>
              <w:t xml:space="preserve"> v menší míře i do zemědělství a životního prostředí. Podobný vliv měly i stále svižněji rostoucí výdaje na obsluhu státního dluhu, jež za tři letošní kvartály přesáhly 60</w:t>
            </w:r>
            <w:r w:rsidRPr="00EF55C3">
              <w:rPr>
                <w:color w:val="0D0D0D" w:themeColor="text1" w:themeTint="F2"/>
                <w:spacing w:val="-6"/>
              </w:rPr>
              <w:t> </w:t>
            </w:r>
            <w:r>
              <w:rPr>
                <w:color w:val="0D0D0D" w:themeColor="text1" w:themeTint="F2"/>
                <w:spacing w:val="-6"/>
              </w:rPr>
              <w:t xml:space="preserve">mld. korun (a za poslední dva roky se zdvojnásobily). Bezmála o třetinu, resp. 7 mld. korun, meziročně vzrostly i ostatní </w:t>
            </w:r>
            <w:r w:rsidRPr="00EF55C3">
              <w:rPr>
                <w:color w:val="0D0D0D" w:themeColor="text1" w:themeTint="F2"/>
                <w:spacing w:val="-6"/>
              </w:rPr>
              <w:t>neinvestiční nákupy a související výdaje</w:t>
            </w:r>
            <w:r>
              <w:rPr>
                <w:rStyle w:val="Znakapoznpodarou"/>
                <w:color w:val="0D0D0D" w:themeColor="text1" w:themeTint="F2"/>
                <w:spacing w:val="-6"/>
              </w:rPr>
              <w:footnoteReference w:id="113"/>
            </w:r>
            <w:r>
              <w:rPr>
                <w:color w:val="0D0D0D" w:themeColor="text1" w:themeTint="F2"/>
                <w:spacing w:val="-6"/>
              </w:rPr>
              <w:t>, a to především v</w:t>
            </w:r>
            <w:r w:rsidRPr="00EF55C3">
              <w:rPr>
                <w:color w:val="0D0D0D" w:themeColor="text1" w:themeTint="F2"/>
                <w:spacing w:val="-6"/>
              </w:rPr>
              <w:t> </w:t>
            </w:r>
            <w:r>
              <w:rPr>
                <w:color w:val="0D0D0D" w:themeColor="text1" w:themeTint="F2"/>
                <w:spacing w:val="-6"/>
              </w:rPr>
              <w:t>oblasti</w:t>
            </w:r>
            <w:r w:rsidRPr="00EF55C3">
              <w:rPr>
                <w:color w:val="0D0D0D" w:themeColor="text1" w:themeTint="F2"/>
                <w:spacing w:val="-6"/>
              </w:rPr>
              <w:t xml:space="preserve"> </w:t>
            </w:r>
            <w:r>
              <w:rPr>
                <w:spacing w:val="-6"/>
              </w:rPr>
              <w:t>obrany</w:t>
            </w:r>
            <w:r w:rsidRPr="00EF55C3">
              <w:rPr>
                <w:spacing w:val="-6"/>
              </w:rPr>
              <w:t xml:space="preserve"> a</w:t>
            </w:r>
            <w:r w:rsidRPr="00EF55C3">
              <w:rPr>
                <w:color w:val="0D0D0D" w:themeColor="text1" w:themeTint="F2"/>
                <w:spacing w:val="-6"/>
              </w:rPr>
              <w:t> </w:t>
            </w:r>
            <w:r>
              <w:rPr>
                <w:spacing w:val="-6"/>
              </w:rPr>
              <w:t xml:space="preserve">bezpečnosti, dílčí roli měly i vyšší výdaje za nákupy energií (elektřina, plyn). V souladu s rozpočtovým očekáváním vzrostly </w:t>
            </w:r>
            <w:r w:rsidRPr="00EF55C3">
              <w:rPr>
                <w:color w:val="0D0D0D" w:themeColor="text1" w:themeTint="F2"/>
                <w:spacing w:val="-6"/>
              </w:rPr>
              <w:t>vlivem automatické valorizace</w:t>
            </w:r>
            <w:r w:rsidRPr="00EF55C3">
              <w:rPr>
                <w:rStyle w:val="Znakapoznpodarou"/>
                <w:color w:val="0D0D0D" w:themeColor="text1" w:themeTint="F2"/>
                <w:spacing w:val="-6"/>
              </w:rPr>
              <w:footnoteReference w:id="114"/>
            </w:r>
            <w:r w:rsidRPr="00EF55C3">
              <w:rPr>
                <w:color w:val="0D0D0D" w:themeColor="text1" w:themeTint="F2"/>
                <w:spacing w:val="-6"/>
              </w:rPr>
              <w:t xml:space="preserve"> </w:t>
            </w:r>
            <w:r>
              <w:rPr>
                <w:spacing w:val="-6"/>
              </w:rPr>
              <w:t>bezmála o</w:t>
            </w:r>
            <w:r w:rsidRPr="00EF55C3">
              <w:rPr>
                <w:color w:val="0D0D0D" w:themeColor="text1" w:themeTint="F2"/>
                <w:spacing w:val="-6"/>
              </w:rPr>
              <w:t> </w:t>
            </w:r>
            <w:r>
              <w:rPr>
                <w:spacing w:val="-6"/>
              </w:rPr>
              <w:t xml:space="preserve">desetinu </w:t>
            </w:r>
            <w:r w:rsidRPr="00EF55C3">
              <w:rPr>
                <w:color w:val="0D0D0D" w:themeColor="text1" w:themeTint="F2"/>
                <w:spacing w:val="-6"/>
              </w:rPr>
              <w:t>výdaje na platby veřejného zdravotního pojiš</w:t>
            </w:r>
            <w:r>
              <w:rPr>
                <w:color w:val="0D0D0D" w:themeColor="text1" w:themeTint="F2"/>
                <w:spacing w:val="-6"/>
              </w:rPr>
              <w:t>tění za tzv. státní pojištěnce. Jen velmi mírný růst výdajů nastal u</w:t>
            </w:r>
            <w:r w:rsidRPr="00EF55C3">
              <w:rPr>
                <w:color w:val="0D0D0D" w:themeColor="text1" w:themeTint="F2"/>
                <w:spacing w:val="-6"/>
              </w:rPr>
              <w:t> </w:t>
            </w:r>
            <w:r>
              <w:rPr>
                <w:color w:val="0D0D0D" w:themeColor="text1" w:themeTint="F2"/>
                <w:spacing w:val="-6"/>
              </w:rPr>
              <w:t>příspěvkových organizací (zejména veřejné vysoké školy a</w:t>
            </w:r>
            <w:r w:rsidRPr="00EF55C3">
              <w:rPr>
                <w:color w:val="0D0D0D" w:themeColor="text1" w:themeTint="F2"/>
                <w:spacing w:val="-6"/>
              </w:rPr>
              <w:t> </w:t>
            </w:r>
            <w:r>
              <w:rPr>
                <w:color w:val="0D0D0D" w:themeColor="text1" w:themeTint="F2"/>
                <w:spacing w:val="-6"/>
              </w:rPr>
              <w:t>výzkumné instituce) a</w:t>
            </w:r>
            <w:r w:rsidRPr="00EF55C3">
              <w:rPr>
                <w:color w:val="0D0D0D" w:themeColor="text1" w:themeTint="F2"/>
                <w:spacing w:val="-6"/>
              </w:rPr>
              <w:t> </w:t>
            </w:r>
            <w:r>
              <w:rPr>
                <w:color w:val="0D0D0D" w:themeColor="text1" w:themeTint="F2"/>
                <w:spacing w:val="-6"/>
              </w:rPr>
              <w:t>neziskových institucí (zejména sport, další volnočasové aktivity a</w:t>
            </w:r>
            <w:r w:rsidRPr="00EF55C3">
              <w:rPr>
                <w:color w:val="0D0D0D" w:themeColor="text1" w:themeTint="F2"/>
                <w:spacing w:val="-6"/>
              </w:rPr>
              <w:t> </w:t>
            </w:r>
            <w:r>
              <w:rPr>
                <w:color w:val="0D0D0D" w:themeColor="text1" w:themeTint="F2"/>
                <w:spacing w:val="-6"/>
              </w:rPr>
              <w:t xml:space="preserve">sociální služby). </w:t>
            </w:r>
            <w:r w:rsidRPr="00EF55C3">
              <w:rPr>
                <w:color w:val="0D0D0D" w:themeColor="text1" w:themeTint="F2"/>
                <w:spacing w:val="-6"/>
              </w:rPr>
              <w:t>Obdobné platí i o výdajích na platy v organizačních složkách státu, kd</w:t>
            </w:r>
            <w:r>
              <w:rPr>
                <w:color w:val="0D0D0D" w:themeColor="text1" w:themeTint="F2"/>
                <w:spacing w:val="-6"/>
              </w:rPr>
              <w:t>e se promítá plošné snížení o 2</w:t>
            </w:r>
            <w:r w:rsidRPr="00EF55C3">
              <w:rPr>
                <w:color w:val="0D0D0D" w:themeColor="text1" w:themeTint="F2"/>
                <w:spacing w:val="-6"/>
              </w:rPr>
              <w:t> % související s realizací konsolidačního balíčku.</w:t>
            </w:r>
            <w:r>
              <w:rPr>
                <w:color w:val="0D0D0D" w:themeColor="text1" w:themeTint="F2"/>
                <w:spacing w:val="-6"/>
              </w:rPr>
              <w:t xml:space="preserve"> </w:t>
            </w:r>
          </w:p>
        </w:tc>
      </w:tr>
      <w:tr w:rsidR="000A5265" w:rsidRPr="007B3A78" w14:paraId="258B87D1" w14:textId="77777777" w:rsidTr="00102C41">
        <w:trPr>
          <w:trHeight w:val="170"/>
        </w:trPr>
        <w:tc>
          <w:tcPr>
            <w:tcW w:w="1810" w:type="dxa"/>
            <w:shd w:val="clear" w:color="auto" w:fill="auto"/>
            <w:tcMar>
              <w:left w:w="0" w:type="dxa"/>
            </w:tcMar>
          </w:tcPr>
          <w:p w14:paraId="347FAF80" w14:textId="77777777" w:rsidR="000A5265" w:rsidRDefault="000A5265" w:rsidP="00102C41">
            <w:pPr>
              <w:pStyle w:val="Marginlie"/>
            </w:pPr>
            <w:r>
              <w:t>Běžné transfery podnikatelům klesly na nejnižší úroveň za poslední pětiletí.</w:t>
            </w:r>
          </w:p>
          <w:p w14:paraId="217C7FFE" w14:textId="77777777" w:rsidR="000A5265" w:rsidRDefault="000A5265" w:rsidP="00102C41">
            <w:pPr>
              <w:pStyle w:val="Marginlie"/>
            </w:pPr>
          </w:p>
          <w:p w14:paraId="4046F97B" w14:textId="77777777" w:rsidR="000A5265" w:rsidRDefault="000A5265" w:rsidP="00102C41">
            <w:pPr>
              <w:pStyle w:val="Marginlie"/>
            </w:pPr>
          </w:p>
          <w:p w14:paraId="7DDDC516" w14:textId="77777777" w:rsidR="000A5265" w:rsidRDefault="000A5265" w:rsidP="00102C41">
            <w:pPr>
              <w:pStyle w:val="Marginlie"/>
            </w:pPr>
          </w:p>
          <w:p w14:paraId="3FDEE24A" w14:textId="77777777" w:rsidR="000A5265" w:rsidRDefault="000A5265" w:rsidP="00102C41">
            <w:pPr>
              <w:pStyle w:val="Marginlie"/>
            </w:pPr>
          </w:p>
          <w:p w14:paraId="649C101D" w14:textId="77777777" w:rsidR="000A5265" w:rsidRDefault="000A5265" w:rsidP="00102C41">
            <w:pPr>
              <w:pStyle w:val="Marginlie"/>
            </w:pPr>
            <w:r>
              <w:t>Běžné dotace územním rozpočtům celkově poklesly i přes mírný růst výdajů na platy pracovníků v regionálním školství.</w:t>
            </w:r>
          </w:p>
        </w:tc>
        <w:tc>
          <w:tcPr>
            <w:tcW w:w="203" w:type="dxa"/>
            <w:shd w:val="clear" w:color="auto" w:fill="auto"/>
            <w:tcMar>
              <w:left w:w="0" w:type="dxa"/>
            </w:tcMar>
          </w:tcPr>
          <w:p w14:paraId="52232391" w14:textId="77777777" w:rsidR="000A5265" w:rsidRDefault="000A5265" w:rsidP="00102C41">
            <w:pPr>
              <w:pStyle w:val="Textpoznpodarou"/>
              <w:jc w:val="both"/>
              <w:rPr>
                <w:spacing w:val="-4"/>
              </w:rPr>
            </w:pPr>
          </w:p>
        </w:tc>
        <w:tc>
          <w:tcPr>
            <w:tcW w:w="7656" w:type="dxa"/>
            <w:shd w:val="clear" w:color="auto" w:fill="auto"/>
            <w:tcMar>
              <w:left w:w="0" w:type="dxa"/>
            </w:tcMar>
          </w:tcPr>
          <w:p w14:paraId="29185542" w14:textId="77777777" w:rsidR="000A5265" w:rsidRPr="0001033F" w:rsidRDefault="000A5265" w:rsidP="00102C41">
            <w:pPr>
              <w:rPr>
                <w:color w:val="0D0D0D" w:themeColor="text1" w:themeTint="F2"/>
                <w:spacing w:val="-5"/>
              </w:rPr>
            </w:pPr>
            <w:r w:rsidRPr="0001033F">
              <w:rPr>
                <w:color w:val="0D0D0D" w:themeColor="text1" w:themeTint="F2"/>
                <w:spacing w:val="-5"/>
              </w:rPr>
              <w:t>V hlubokém meziročním poklesu běžných transferů podnikatelům, k němuž došlo letos v</w:t>
            </w:r>
            <w:r>
              <w:rPr>
                <w:color w:val="0D0D0D" w:themeColor="text1" w:themeTint="F2"/>
                <w:spacing w:val="-5"/>
              </w:rPr>
              <w:t> </w:t>
            </w:r>
            <w:r w:rsidRPr="0001033F">
              <w:rPr>
                <w:color w:val="0D0D0D" w:themeColor="text1" w:themeTint="F2"/>
                <w:spacing w:val="-5"/>
              </w:rPr>
              <w:t>1</w:t>
            </w:r>
            <w:r>
              <w:rPr>
                <w:color w:val="0D0D0D" w:themeColor="text1" w:themeTint="F2"/>
                <w:spacing w:val="-5"/>
              </w:rPr>
              <w:t>.</w:t>
            </w:r>
            <w:r w:rsidRPr="0001033F">
              <w:rPr>
                <w:color w:val="0D0D0D" w:themeColor="text1" w:themeTint="F2"/>
                <w:spacing w:val="-5"/>
              </w:rPr>
              <w:t> až 3. čtvrtletí (</w:t>
            </w:r>
            <w:r>
              <w:rPr>
                <w:spacing w:val="-5"/>
              </w:rPr>
              <w:t>−</w:t>
            </w:r>
            <w:r w:rsidRPr="0001033F">
              <w:rPr>
                <w:color w:val="0D0D0D" w:themeColor="text1" w:themeTint="F2"/>
                <w:spacing w:val="-5"/>
              </w:rPr>
              <w:t xml:space="preserve">50 %, </w:t>
            </w:r>
            <w:r>
              <w:rPr>
                <w:spacing w:val="-5"/>
              </w:rPr>
              <w:t>−</w:t>
            </w:r>
            <w:r w:rsidRPr="0001033F">
              <w:rPr>
                <w:color w:val="0D0D0D" w:themeColor="text1" w:themeTint="F2"/>
                <w:spacing w:val="-5"/>
              </w:rPr>
              <w:t>50 mld. korun), se odráží očekávaný útlum podpory v energetice</w:t>
            </w:r>
            <w:r>
              <w:rPr>
                <w:color w:val="0D0D0D" w:themeColor="text1" w:themeTint="F2"/>
                <w:spacing w:val="-5"/>
              </w:rPr>
              <w:t xml:space="preserve">. Jde </w:t>
            </w:r>
            <w:r w:rsidRPr="0001033F">
              <w:rPr>
                <w:color w:val="0D0D0D" w:themeColor="text1" w:themeTint="F2"/>
                <w:spacing w:val="-6"/>
              </w:rPr>
              <w:t>hlavně o kompenzace za dodávku elektřiny a plynu zákazníkům a na ztráty kvůli zastropování</w:t>
            </w:r>
            <w:r w:rsidRPr="0001033F">
              <w:rPr>
                <w:color w:val="0D0D0D" w:themeColor="text1" w:themeTint="F2"/>
                <w:spacing w:val="-5"/>
              </w:rPr>
              <w:t xml:space="preserve"> jejich cen (</w:t>
            </w:r>
            <w:r>
              <w:rPr>
                <w:spacing w:val="-5"/>
              </w:rPr>
              <w:t>−</w:t>
            </w:r>
            <w:r w:rsidRPr="0001033F">
              <w:rPr>
                <w:color w:val="0D0D0D" w:themeColor="text1" w:themeTint="F2"/>
                <w:spacing w:val="-5"/>
              </w:rPr>
              <w:t xml:space="preserve">80 %) a </w:t>
            </w:r>
            <w:r>
              <w:rPr>
                <w:color w:val="0D0D0D" w:themeColor="text1" w:themeTint="F2"/>
                <w:spacing w:val="-5"/>
              </w:rPr>
              <w:t xml:space="preserve">dále </w:t>
            </w:r>
            <w:r w:rsidRPr="0001033F">
              <w:rPr>
                <w:color w:val="0D0D0D" w:themeColor="text1" w:themeTint="F2"/>
                <w:spacing w:val="-5"/>
              </w:rPr>
              <w:t>o dotace provozovateli přenosové soustavy (</w:t>
            </w:r>
            <w:r>
              <w:rPr>
                <w:spacing w:val="-5"/>
              </w:rPr>
              <w:t>−</w:t>
            </w:r>
            <w:r w:rsidRPr="0001033F">
              <w:rPr>
                <w:color w:val="0D0D0D" w:themeColor="text1" w:themeTint="F2"/>
                <w:spacing w:val="-5"/>
              </w:rPr>
              <w:t xml:space="preserve">89 %). Navíc pomoc firmám v energeticky náročných odvětvích byla letos zastavena úplně. Naopak </w:t>
            </w:r>
            <w:r w:rsidRPr="0001033F">
              <w:rPr>
                <w:color w:val="0D0D0D" w:themeColor="text1" w:themeTint="F2"/>
                <w:spacing w:val="-5"/>
              </w:rPr>
              <w:lastRenderedPageBreak/>
              <w:t>u zálohových dotací na obnovitelné zdroje energií nastal jen relativně mírný pokles (</w:t>
            </w:r>
            <w:r>
              <w:rPr>
                <w:spacing w:val="-5"/>
              </w:rPr>
              <w:t>−</w:t>
            </w:r>
            <w:r w:rsidRPr="0001033F">
              <w:rPr>
                <w:color w:val="0D0D0D" w:themeColor="text1" w:themeTint="F2"/>
                <w:spacing w:val="-5"/>
              </w:rPr>
              <w:t>4 %)</w:t>
            </w:r>
            <w:r w:rsidRPr="0001033F">
              <w:rPr>
                <w:rStyle w:val="Znakapoznpodarou"/>
                <w:color w:val="0D0D0D" w:themeColor="text1" w:themeTint="F2"/>
                <w:spacing w:val="-5"/>
              </w:rPr>
              <w:footnoteReference w:id="115"/>
            </w:r>
            <w:r w:rsidRPr="0001033F">
              <w:rPr>
                <w:color w:val="0D0D0D" w:themeColor="text1" w:themeTint="F2"/>
                <w:spacing w:val="-5"/>
              </w:rPr>
              <w:t xml:space="preserve">. Celková výše transferů podnikatelům v 1. až 3. čtvrtletí 2024 (50 mld. korun) </w:t>
            </w:r>
            <w:r>
              <w:rPr>
                <w:color w:val="0D0D0D" w:themeColor="text1" w:themeTint="F2"/>
                <w:spacing w:val="-5"/>
              </w:rPr>
              <w:t xml:space="preserve">tak </w:t>
            </w:r>
            <w:r w:rsidRPr="0001033F">
              <w:rPr>
                <w:color w:val="0D0D0D" w:themeColor="text1" w:themeTint="F2"/>
                <w:spacing w:val="-5"/>
              </w:rPr>
              <w:t>byla nejnižší za posledních pět let. SR letos dle očekávání méně zatížily i objemově významné běžné transfery územním rozpočtům, neboť se meziročně snížily o 3,5 % (</w:t>
            </w:r>
            <w:r>
              <w:rPr>
                <w:spacing w:val="-5"/>
              </w:rPr>
              <w:t>−</w:t>
            </w:r>
            <w:r w:rsidRPr="0001033F">
              <w:rPr>
                <w:color w:val="0D0D0D" w:themeColor="text1" w:themeTint="F2"/>
                <w:spacing w:val="-5"/>
              </w:rPr>
              <w:t xml:space="preserve">7,9 mld. korun). </w:t>
            </w:r>
            <w:r>
              <w:rPr>
                <w:color w:val="0D0D0D" w:themeColor="text1" w:themeTint="F2"/>
                <w:spacing w:val="-5"/>
              </w:rPr>
              <w:t xml:space="preserve">Nižší </w:t>
            </w:r>
            <w:r w:rsidRPr="00CD0BE5">
              <w:rPr>
                <w:color w:val="0D0D0D" w:themeColor="text1" w:themeTint="F2"/>
                <w:spacing w:val="-7"/>
              </w:rPr>
              <w:t>výdaje na evropské projekty (zejména na oblast vzdělávání) spolu s poklesem kompenzačního</w:t>
            </w:r>
            <w:r w:rsidRPr="0001033F">
              <w:rPr>
                <w:color w:val="0D0D0D" w:themeColor="text1" w:themeTint="F2"/>
                <w:spacing w:val="-5"/>
              </w:rPr>
              <w:t xml:space="preserve"> příspěvku na nouzové ubytování uprchlíků z Ukrajiny zde totiž převážil</w:t>
            </w:r>
            <w:r>
              <w:rPr>
                <w:color w:val="0D0D0D" w:themeColor="text1" w:themeTint="F2"/>
                <w:spacing w:val="-5"/>
              </w:rPr>
              <w:t xml:space="preserve">y nad dopadem </w:t>
            </w:r>
            <w:r w:rsidRPr="0001033F">
              <w:rPr>
                <w:color w:val="0D0D0D" w:themeColor="text1" w:themeTint="F2"/>
                <w:spacing w:val="-5"/>
              </w:rPr>
              <w:t>navýšení dotací regionálnímu školství (+2,7 %) urč</w:t>
            </w:r>
            <w:r>
              <w:rPr>
                <w:color w:val="0D0D0D" w:themeColor="text1" w:themeTint="F2"/>
                <w:spacing w:val="-5"/>
              </w:rPr>
              <w:t>ených hlav</w:t>
            </w:r>
            <w:r w:rsidRPr="0001033F">
              <w:rPr>
                <w:color w:val="0D0D0D" w:themeColor="text1" w:themeTint="F2"/>
                <w:spacing w:val="-5"/>
              </w:rPr>
              <w:t>ně na platy jeho pracovníků.</w:t>
            </w:r>
          </w:p>
        </w:tc>
      </w:tr>
      <w:tr w:rsidR="000A5265" w:rsidRPr="007B3A78" w14:paraId="11512E44" w14:textId="77777777" w:rsidTr="00102C41">
        <w:trPr>
          <w:trHeight w:val="170"/>
        </w:trPr>
        <w:tc>
          <w:tcPr>
            <w:tcW w:w="1810" w:type="dxa"/>
            <w:shd w:val="clear" w:color="auto" w:fill="auto"/>
            <w:tcMar>
              <w:left w:w="0" w:type="dxa"/>
            </w:tcMar>
          </w:tcPr>
          <w:p w14:paraId="74E6114C" w14:textId="77777777" w:rsidR="000A5265" w:rsidRDefault="000A5265" w:rsidP="00102C41">
            <w:pPr>
              <w:pStyle w:val="Marginlie"/>
            </w:pPr>
            <w:r>
              <w:lastRenderedPageBreak/>
              <w:t>Investiční výdaje SR po svižném růstu v předchozích dvou letech letos mírně poklesly. To souvisí s přechodem na nové programové období EU.</w:t>
            </w:r>
          </w:p>
          <w:p w14:paraId="39328F8A" w14:textId="77777777" w:rsidR="000A5265" w:rsidRDefault="000A5265" w:rsidP="00102C41">
            <w:pPr>
              <w:pStyle w:val="Marginlie"/>
            </w:pPr>
          </w:p>
          <w:p w14:paraId="63B96F95" w14:textId="77777777" w:rsidR="000A5265" w:rsidRDefault="000A5265" w:rsidP="00102C41">
            <w:pPr>
              <w:pStyle w:val="Marginlie"/>
            </w:pPr>
          </w:p>
          <w:p w14:paraId="5BFA87C9" w14:textId="77777777" w:rsidR="000A5265" w:rsidRDefault="000A5265" w:rsidP="00102C41">
            <w:pPr>
              <w:pStyle w:val="Marginlie"/>
            </w:pPr>
          </w:p>
          <w:p w14:paraId="35380FFF" w14:textId="77777777" w:rsidR="000A5265" w:rsidRDefault="000A5265" w:rsidP="00102C41">
            <w:pPr>
              <w:pStyle w:val="Marginlie"/>
            </w:pPr>
          </w:p>
          <w:p w14:paraId="42CA8BA5" w14:textId="77777777" w:rsidR="000A5265" w:rsidRDefault="000A5265" w:rsidP="00102C41">
            <w:pPr>
              <w:pStyle w:val="Marginlie"/>
            </w:pPr>
            <w:r>
              <w:t>Růst výdajů na investiční nákupy zrychlil díky armádním zakázkám.</w:t>
            </w:r>
          </w:p>
          <w:p w14:paraId="6F5C02E5" w14:textId="77777777" w:rsidR="000A5265" w:rsidRDefault="000A5265" w:rsidP="00102C41">
            <w:pPr>
              <w:pStyle w:val="Marginlie"/>
            </w:pPr>
          </w:p>
        </w:tc>
        <w:tc>
          <w:tcPr>
            <w:tcW w:w="203" w:type="dxa"/>
            <w:shd w:val="clear" w:color="auto" w:fill="auto"/>
            <w:tcMar>
              <w:left w:w="0" w:type="dxa"/>
            </w:tcMar>
          </w:tcPr>
          <w:p w14:paraId="37E7EFBF" w14:textId="77777777" w:rsidR="000A5265" w:rsidRDefault="000A5265" w:rsidP="00102C41">
            <w:pPr>
              <w:pStyle w:val="Textpoznpodarou"/>
              <w:jc w:val="both"/>
              <w:rPr>
                <w:spacing w:val="-4"/>
              </w:rPr>
            </w:pPr>
          </w:p>
        </w:tc>
        <w:tc>
          <w:tcPr>
            <w:tcW w:w="7656" w:type="dxa"/>
            <w:shd w:val="clear" w:color="auto" w:fill="auto"/>
            <w:tcMar>
              <w:left w:w="0" w:type="dxa"/>
            </w:tcMar>
          </w:tcPr>
          <w:p w14:paraId="57E5433C" w14:textId="77777777" w:rsidR="000A5265" w:rsidRPr="001843D5" w:rsidRDefault="000A5265" w:rsidP="00102C41">
            <w:pPr>
              <w:rPr>
                <w:color w:val="0D0D0D" w:themeColor="text1" w:themeTint="F2"/>
                <w:spacing w:val="-4"/>
              </w:rPr>
            </w:pPr>
            <w:r w:rsidRPr="003F3E40">
              <w:rPr>
                <w:color w:val="0D0D0D" w:themeColor="text1" w:themeTint="F2"/>
                <w:spacing w:val="-6"/>
              </w:rPr>
              <w:t>Kapitálové výdaje SR se po dvojciferném růstu, k němuž došlo v 1. až 3. čtvrtletí 2022 i 2023</w:t>
            </w:r>
            <w:r w:rsidRPr="00994A17">
              <w:rPr>
                <w:color w:val="0D0D0D" w:themeColor="text1" w:themeTint="F2"/>
                <w:spacing w:val="-4"/>
              </w:rPr>
              <w:t>,</w:t>
            </w:r>
            <w:r>
              <w:rPr>
                <w:color w:val="0D0D0D" w:themeColor="text1" w:themeTint="F2"/>
                <w:spacing w:val="-4"/>
              </w:rPr>
              <w:t xml:space="preserve"> letos v souladu s rozpočtovým očekáváním meziročně výrazněji snížily o 14 % (</w:t>
            </w:r>
            <w:r>
              <w:rPr>
                <w:spacing w:val="-4"/>
              </w:rPr>
              <w:t>−</w:t>
            </w:r>
            <w:r>
              <w:rPr>
                <w:color w:val="0D0D0D" w:themeColor="text1" w:themeTint="F2"/>
                <w:spacing w:val="-4"/>
              </w:rPr>
              <w:t>18,8</w:t>
            </w:r>
            <w:r w:rsidRPr="00994A17">
              <w:rPr>
                <w:color w:val="0D0D0D" w:themeColor="text1" w:themeTint="F2"/>
                <w:spacing w:val="-4"/>
              </w:rPr>
              <w:t xml:space="preserve"> mld. korun). </w:t>
            </w:r>
            <w:r w:rsidRPr="000E0CA1">
              <w:rPr>
                <w:color w:val="0D0D0D" w:themeColor="text1" w:themeTint="F2"/>
                <w:spacing w:val="-4"/>
              </w:rPr>
              <w:t xml:space="preserve">Mírně nadpoloviční část dosud letos realizovaných investic směřovala </w:t>
            </w:r>
            <w:r>
              <w:rPr>
                <w:color w:val="0D0D0D" w:themeColor="text1" w:themeTint="F2"/>
                <w:spacing w:val="-4"/>
              </w:rPr>
              <w:t>na společné projekty ČR a EU (59</w:t>
            </w:r>
            <w:r w:rsidRPr="000E0CA1">
              <w:rPr>
                <w:color w:val="0D0D0D" w:themeColor="text1" w:themeTint="F2"/>
                <w:spacing w:val="-4"/>
              </w:rPr>
              <w:t xml:space="preserve"> mld. korun). Za celkovým poklesem investic stály nižší výdaje státním fondům – zejména na dopra</w:t>
            </w:r>
            <w:r>
              <w:rPr>
                <w:color w:val="0D0D0D" w:themeColor="text1" w:themeTint="F2"/>
                <w:spacing w:val="-4"/>
              </w:rPr>
              <w:t>vní infrastrukturu a životní prostředí, v menší míře také na</w:t>
            </w:r>
            <w:r w:rsidRPr="000E0CA1">
              <w:rPr>
                <w:color w:val="0D0D0D" w:themeColor="text1" w:themeTint="F2"/>
                <w:spacing w:val="-4"/>
              </w:rPr>
              <w:t xml:space="preserve"> zemědělství. V kontrastu s tím sviž</w:t>
            </w:r>
            <w:r>
              <w:rPr>
                <w:color w:val="0D0D0D" w:themeColor="text1" w:themeTint="F2"/>
                <w:spacing w:val="-4"/>
              </w:rPr>
              <w:t>ně rostly investiční nákupy (+12,8 %, +3,1 mld. korun), především</w:t>
            </w:r>
            <w:r w:rsidRPr="000E0CA1">
              <w:rPr>
                <w:color w:val="0D0D0D" w:themeColor="text1" w:themeTint="F2"/>
                <w:spacing w:val="-4"/>
              </w:rPr>
              <w:t xml:space="preserve"> na obranu ČR. V absolutním vyjádření </w:t>
            </w:r>
            <w:r>
              <w:rPr>
                <w:color w:val="0D0D0D" w:themeColor="text1" w:themeTint="F2"/>
                <w:spacing w:val="-4"/>
              </w:rPr>
              <w:t>se mírněji z</w:t>
            </w:r>
            <w:r w:rsidRPr="000E0CA1">
              <w:rPr>
                <w:color w:val="0D0D0D" w:themeColor="text1" w:themeTint="F2"/>
                <w:spacing w:val="-4"/>
              </w:rPr>
              <w:t>výšily</w:t>
            </w:r>
            <w:r>
              <w:rPr>
                <w:color w:val="0D0D0D" w:themeColor="text1" w:themeTint="F2"/>
                <w:spacing w:val="-4"/>
              </w:rPr>
              <w:t xml:space="preserve"> i</w:t>
            </w:r>
            <w:r w:rsidRPr="000E0CA1">
              <w:rPr>
                <w:color w:val="0D0D0D" w:themeColor="text1" w:themeTint="F2"/>
                <w:spacing w:val="-4"/>
              </w:rPr>
              <w:t xml:space="preserve"> transfery vysokým ško</w:t>
            </w:r>
            <w:r>
              <w:rPr>
                <w:color w:val="0D0D0D" w:themeColor="text1" w:themeTint="F2"/>
                <w:spacing w:val="-4"/>
              </w:rPr>
              <w:t>lám, alokované primárně</w:t>
            </w:r>
            <w:r w:rsidRPr="000E0CA1">
              <w:rPr>
                <w:color w:val="0D0D0D" w:themeColor="text1" w:themeTint="F2"/>
                <w:spacing w:val="-4"/>
              </w:rPr>
              <w:t xml:space="preserve"> na progr</w:t>
            </w:r>
            <w:r>
              <w:rPr>
                <w:color w:val="0D0D0D" w:themeColor="text1" w:themeTint="F2"/>
                <w:spacing w:val="-4"/>
              </w:rPr>
              <w:t>am Národního plánu obnovy a na vzdělávání.</w:t>
            </w:r>
            <w:r w:rsidRPr="000E0CA1">
              <w:rPr>
                <w:color w:val="0D0D0D" w:themeColor="text1" w:themeTint="F2"/>
                <w:spacing w:val="-4"/>
              </w:rPr>
              <w:t xml:space="preserve"> Celkové in</w:t>
            </w:r>
            <w:r>
              <w:rPr>
                <w:color w:val="0D0D0D" w:themeColor="text1" w:themeTint="F2"/>
                <w:spacing w:val="-4"/>
              </w:rPr>
              <w:t>vestice SR tvořily zatím letos 7,1</w:t>
            </w:r>
            <w:r w:rsidRPr="000E0CA1">
              <w:rPr>
                <w:color w:val="0D0D0D" w:themeColor="text1" w:themeTint="F2"/>
                <w:spacing w:val="-4"/>
              </w:rPr>
              <w:t xml:space="preserve"> </w:t>
            </w:r>
            <w:r>
              <w:rPr>
                <w:color w:val="0D0D0D" w:themeColor="text1" w:themeTint="F2"/>
                <w:spacing w:val="-4"/>
              </w:rPr>
              <w:t>% veškerých rozpočtových výdajů, což je nejméně za poslední tři roky V</w:t>
            </w:r>
            <w:r w:rsidRPr="000E0CA1">
              <w:rPr>
                <w:color w:val="0D0D0D" w:themeColor="text1" w:themeTint="F2"/>
                <w:spacing w:val="-4"/>
              </w:rPr>
              <w:t xml:space="preserve"> kontextu </w:t>
            </w:r>
            <w:r>
              <w:rPr>
                <w:color w:val="0D0D0D" w:themeColor="text1" w:themeTint="F2"/>
                <w:spacing w:val="-4"/>
              </w:rPr>
              <w:t xml:space="preserve">za </w:t>
            </w:r>
            <w:r w:rsidRPr="000E0CA1">
              <w:rPr>
                <w:color w:val="0D0D0D" w:themeColor="text1" w:themeTint="F2"/>
                <w:spacing w:val="-4"/>
              </w:rPr>
              <w:t xml:space="preserve">poslední </w:t>
            </w:r>
            <w:r>
              <w:rPr>
                <w:color w:val="0D0D0D" w:themeColor="text1" w:themeTint="F2"/>
                <w:spacing w:val="-4"/>
              </w:rPr>
              <w:t xml:space="preserve">dvě </w:t>
            </w:r>
            <w:r w:rsidRPr="000E0CA1">
              <w:rPr>
                <w:color w:val="0D0D0D" w:themeColor="text1" w:themeTint="F2"/>
                <w:spacing w:val="-4"/>
              </w:rPr>
              <w:t xml:space="preserve">dekády jde za toto období roku o </w:t>
            </w:r>
            <w:r>
              <w:rPr>
                <w:color w:val="0D0D0D" w:themeColor="text1" w:themeTint="F2"/>
                <w:spacing w:val="-4"/>
              </w:rPr>
              <w:t xml:space="preserve">lehce </w:t>
            </w:r>
            <w:r w:rsidRPr="000E0CA1">
              <w:rPr>
                <w:color w:val="0D0D0D" w:themeColor="text1" w:themeTint="F2"/>
                <w:spacing w:val="-4"/>
              </w:rPr>
              <w:t>p</w:t>
            </w:r>
            <w:r>
              <w:rPr>
                <w:color w:val="0D0D0D" w:themeColor="text1" w:themeTint="F2"/>
                <w:spacing w:val="-4"/>
              </w:rPr>
              <w:t>odp</w:t>
            </w:r>
            <w:r w:rsidRPr="000E0CA1">
              <w:rPr>
                <w:color w:val="0D0D0D" w:themeColor="text1" w:themeTint="F2"/>
                <w:spacing w:val="-4"/>
              </w:rPr>
              <w:t xml:space="preserve">růměrný podíl (a současně </w:t>
            </w:r>
            <w:r>
              <w:rPr>
                <w:color w:val="0D0D0D" w:themeColor="text1" w:themeTint="F2"/>
                <w:spacing w:val="-4"/>
              </w:rPr>
              <w:t>ale vyšší než v letech 2016 až</w:t>
            </w:r>
            <w:r w:rsidRPr="000E0CA1">
              <w:rPr>
                <w:color w:val="0D0D0D" w:themeColor="text1" w:themeTint="F2"/>
                <w:spacing w:val="-4"/>
              </w:rPr>
              <w:t xml:space="preserve"> 2018, kdy docházelo k přechodu na nové programové období EU).</w:t>
            </w:r>
          </w:p>
        </w:tc>
      </w:tr>
      <w:tr w:rsidR="000A5265" w:rsidRPr="007B3A78" w14:paraId="3A1AC1EE" w14:textId="77777777" w:rsidTr="00102C41">
        <w:trPr>
          <w:trHeight w:val="170"/>
        </w:trPr>
        <w:tc>
          <w:tcPr>
            <w:tcW w:w="1810" w:type="dxa"/>
            <w:shd w:val="clear" w:color="auto" w:fill="auto"/>
            <w:tcMar>
              <w:left w:w="0" w:type="dxa"/>
            </w:tcMar>
          </w:tcPr>
          <w:p w14:paraId="72689588" w14:textId="77777777" w:rsidR="000A5265" w:rsidRDefault="000A5265" w:rsidP="00102C41">
            <w:pPr>
              <w:pStyle w:val="Marginlie"/>
            </w:pPr>
          </w:p>
        </w:tc>
        <w:tc>
          <w:tcPr>
            <w:tcW w:w="203" w:type="dxa"/>
            <w:shd w:val="clear" w:color="auto" w:fill="auto"/>
            <w:tcMar>
              <w:left w:w="0" w:type="dxa"/>
            </w:tcMar>
          </w:tcPr>
          <w:p w14:paraId="313D7067" w14:textId="77777777" w:rsidR="000A5265" w:rsidRDefault="000A5265" w:rsidP="00102C41">
            <w:pPr>
              <w:pStyle w:val="Textpoznpodarou"/>
              <w:jc w:val="both"/>
              <w:rPr>
                <w:spacing w:val="-4"/>
              </w:rPr>
            </w:pPr>
          </w:p>
        </w:tc>
        <w:tc>
          <w:tcPr>
            <w:tcW w:w="7656" w:type="dxa"/>
            <w:shd w:val="clear" w:color="auto" w:fill="auto"/>
            <w:tcMar>
              <w:left w:w="0" w:type="dxa"/>
            </w:tcMar>
          </w:tcPr>
          <w:p w14:paraId="1D0DEBC6" w14:textId="77777777" w:rsidR="000A5265" w:rsidRPr="008526E0" w:rsidRDefault="000A5265" w:rsidP="00102C41">
            <w:pPr>
              <w:spacing w:after="0"/>
              <w:rPr>
                <w:color w:val="0D0D0D" w:themeColor="text1" w:themeTint="F2"/>
                <w:spacing w:val="-3"/>
              </w:rPr>
            </w:pPr>
            <w:r w:rsidRPr="00E63A41">
              <w:rPr>
                <w:b/>
              </w:rPr>
              <w:t xml:space="preserve">Graf č. 19 </w:t>
            </w:r>
            <w:r w:rsidRPr="00E63A41">
              <w:rPr>
                <w:rFonts w:cs="Arial"/>
                <w:b/>
                <w:bCs/>
              </w:rPr>
              <w:t xml:space="preserve">Vybrané výdaje státního rozpočtu </w:t>
            </w:r>
            <w:r>
              <w:rPr>
                <w:rFonts w:cs="Arial"/>
                <w:b/>
                <w:bCs/>
              </w:rPr>
              <w:t>v rámci 1. až 3. čtvrtletí</w:t>
            </w:r>
          </w:p>
        </w:tc>
      </w:tr>
      <w:tr w:rsidR="000A5265" w:rsidRPr="007B3A78" w14:paraId="4B4D23F2" w14:textId="77777777" w:rsidTr="00102C41">
        <w:tblPrEx>
          <w:tblCellMar>
            <w:left w:w="70" w:type="dxa"/>
            <w:right w:w="70" w:type="dxa"/>
          </w:tblCellMar>
        </w:tblPrEx>
        <w:trPr>
          <w:trHeight w:val="170"/>
        </w:trPr>
        <w:tc>
          <w:tcPr>
            <w:tcW w:w="1810" w:type="dxa"/>
            <w:shd w:val="clear" w:color="auto" w:fill="auto"/>
          </w:tcPr>
          <w:p w14:paraId="2F8E8760" w14:textId="77777777" w:rsidR="000A5265" w:rsidRDefault="000A5265" w:rsidP="00102C41">
            <w:pPr>
              <w:pStyle w:val="Marginlie"/>
            </w:pPr>
          </w:p>
        </w:tc>
        <w:tc>
          <w:tcPr>
            <w:tcW w:w="203" w:type="dxa"/>
            <w:shd w:val="clear" w:color="auto" w:fill="auto"/>
          </w:tcPr>
          <w:p w14:paraId="09EC4565" w14:textId="77777777" w:rsidR="000A5265" w:rsidRDefault="000A5265" w:rsidP="00102C41">
            <w:pPr>
              <w:pStyle w:val="Textpoznpodarou"/>
              <w:jc w:val="both"/>
              <w:rPr>
                <w:spacing w:val="-4"/>
              </w:rPr>
            </w:pPr>
          </w:p>
        </w:tc>
        <w:tc>
          <w:tcPr>
            <w:tcW w:w="7656" w:type="dxa"/>
            <w:shd w:val="clear" w:color="auto" w:fill="auto"/>
          </w:tcPr>
          <w:p w14:paraId="482EED29" w14:textId="77777777" w:rsidR="000A5265" w:rsidRPr="008526E0" w:rsidRDefault="000A5265" w:rsidP="00102C41">
            <w:pPr>
              <w:spacing w:after="0"/>
              <w:rPr>
                <w:color w:val="0D0D0D" w:themeColor="text1" w:themeTint="F2"/>
                <w:spacing w:val="-3"/>
              </w:rPr>
            </w:pPr>
            <w:r>
              <w:rPr>
                <w:noProof/>
              </w:rPr>
              <w:drawing>
                <wp:inline distT="0" distB="0" distL="0" distR="0" wp14:anchorId="690DDDC4" wp14:editId="54018437">
                  <wp:extent cx="4761865" cy="3646380"/>
                  <wp:effectExtent l="0" t="0" r="635" b="0"/>
                  <wp:docPr id="28" name="Graf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0A5265" w:rsidRPr="007B3A78" w14:paraId="22217682" w14:textId="77777777" w:rsidTr="00102C41">
        <w:trPr>
          <w:trHeight w:val="170"/>
        </w:trPr>
        <w:tc>
          <w:tcPr>
            <w:tcW w:w="1810" w:type="dxa"/>
            <w:shd w:val="clear" w:color="auto" w:fill="auto"/>
            <w:tcMar>
              <w:left w:w="0" w:type="dxa"/>
            </w:tcMar>
          </w:tcPr>
          <w:p w14:paraId="6968E3E3" w14:textId="77777777" w:rsidR="000A5265" w:rsidRDefault="000A5265" w:rsidP="00102C41">
            <w:pPr>
              <w:pStyle w:val="Marginlie"/>
            </w:pPr>
          </w:p>
        </w:tc>
        <w:tc>
          <w:tcPr>
            <w:tcW w:w="203" w:type="dxa"/>
            <w:shd w:val="clear" w:color="auto" w:fill="auto"/>
            <w:tcMar>
              <w:left w:w="0" w:type="dxa"/>
            </w:tcMar>
          </w:tcPr>
          <w:p w14:paraId="77FB67A9" w14:textId="77777777" w:rsidR="000A5265" w:rsidRDefault="000A5265" w:rsidP="00102C41">
            <w:pPr>
              <w:pStyle w:val="Textpoznpodarou"/>
              <w:jc w:val="both"/>
              <w:rPr>
                <w:spacing w:val="-4"/>
              </w:rPr>
            </w:pPr>
          </w:p>
        </w:tc>
        <w:tc>
          <w:tcPr>
            <w:tcW w:w="7656" w:type="dxa"/>
            <w:shd w:val="clear" w:color="auto" w:fill="auto"/>
            <w:tcMar>
              <w:left w:w="0" w:type="dxa"/>
            </w:tcMar>
          </w:tcPr>
          <w:p w14:paraId="02C4A354" w14:textId="77777777" w:rsidR="000A5265" w:rsidRPr="008F2BE2" w:rsidRDefault="000A5265" w:rsidP="00102C41">
            <w:pPr>
              <w:pStyle w:val="Textpoznpodarou"/>
              <w:rPr>
                <w:spacing w:val="-4"/>
                <w:sz w:val="14"/>
                <w:szCs w:val="14"/>
              </w:rPr>
            </w:pPr>
            <w:r w:rsidRPr="008F2BE2">
              <w:rPr>
                <w:spacing w:val="-4"/>
                <w:sz w:val="14"/>
                <w:szCs w:val="14"/>
              </w:rPr>
              <w:t>*</w:t>
            </w:r>
            <w:r>
              <w:rPr>
                <w:spacing w:val="-4"/>
                <w:sz w:val="14"/>
                <w:szCs w:val="14"/>
              </w:rPr>
              <w:t xml:space="preserve"> </w:t>
            </w:r>
            <w:r w:rsidRPr="008F2BE2">
              <w:rPr>
                <w:spacing w:val="-4"/>
                <w:sz w:val="14"/>
                <w:szCs w:val="14"/>
              </w:rPr>
              <w:t>Pokrývají výdaje na platy v organizačních složkách státu. Nezahrnují například mzdové výdaje na regionální školství.</w:t>
            </w:r>
          </w:p>
          <w:p w14:paraId="4CBA7467" w14:textId="77777777" w:rsidR="000A5265" w:rsidRDefault="000A5265" w:rsidP="00102C41">
            <w:pPr>
              <w:pStyle w:val="Textpoznpodarou"/>
              <w:rPr>
                <w:spacing w:val="-4"/>
                <w:sz w:val="14"/>
                <w:szCs w:val="14"/>
              </w:rPr>
            </w:pPr>
            <w:r>
              <w:rPr>
                <w:spacing w:val="-4"/>
                <w:sz w:val="14"/>
                <w:szCs w:val="14"/>
              </w:rPr>
              <w:t xml:space="preserve">** Obsahuje také </w:t>
            </w:r>
            <w:r w:rsidRPr="008F2BE2">
              <w:rPr>
                <w:spacing w:val="-4"/>
                <w:sz w:val="14"/>
                <w:szCs w:val="14"/>
              </w:rPr>
              <w:t>dávky pěstounské péče.</w:t>
            </w:r>
          </w:p>
          <w:p w14:paraId="281077AD" w14:textId="77777777" w:rsidR="000A5265" w:rsidRPr="008F2BE2" w:rsidRDefault="000A5265" w:rsidP="00102C41">
            <w:pPr>
              <w:pStyle w:val="Textpoznpodarou"/>
              <w:rPr>
                <w:spacing w:val="-4"/>
                <w:sz w:val="14"/>
                <w:szCs w:val="14"/>
              </w:rPr>
            </w:pPr>
            <w:r>
              <w:rPr>
                <w:spacing w:val="-4"/>
                <w:sz w:val="14"/>
                <w:szCs w:val="14"/>
              </w:rPr>
              <w:t>*** Z</w:t>
            </w:r>
            <w:r w:rsidRPr="008F2BE2">
              <w:rPr>
                <w:spacing w:val="-4"/>
                <w:sz w:val="14"/>
                <w:szCs w:val="14"/>
              </w:rPr>
              <w:t>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1ACBF3AD" w14:textId="77777777" w:rsidR="000A5265" w:rsidRDefault="000A5265" w:rsidP="00102C41">
            <w:pPr>
              <w:pStyle w:val="Textpoznpodarou"/>
              <w:rPr>
                <w:spacing w:val="-4"/>
                <w:sz w:val="14"/>
                <w:szCs w:val="14"/>
              </w:rPr>
            </w:pPr>
            <w:r>
              <w:rPr>
                <w:spacing w:val="-4"/>
                <w:sz w:val="14"/>
                <w:szCs w:val="14"/>
              </w:rPr>
              <w:t>**** O</w:t>
            </w:r>
            <w:r w:rsidRPr="008F2BE2">
              <w:rPr>
                <w:spacing w:val="-4"/>
                <w:sz w:val="14"/>
                <w:szCs w:val="14"/>
              </w:rPr>
              <w:t>bsahují zejména výdaje na nákup služeb, materiálu, energií či ostatních služeb (například výdaje na opravy a udržování).</w:t>
            </w:r>
          </w:p>
          <w:p w14:paraId="1D5006CC" w14:textId="77777777" w:rsidR="000A5265" w:rsidRPr="00257D9C" w:rsidRDefault="000A5265" w:rsidP="00102C41">
            <w:pPr>
              <w:pStyle w:val="Textpoznpodarou"/>
              <w:spacing w:after="180"/>
              <w:rPr>
                <w:spacing w:val="-4"/>
                <w:sz w:val="14"/>
                <w:szCs w:val="14"/>
              </w:rPr>
            </w:pPr>
            <w:r>
              <w:rPr>
                <w:spacing w:val="-4"/>
                <w:sz w:val="14"/>
                <w:szCs w:val="14"/>
              </w:rPr>
              <w:t>*****</w:t>
            </w:r>
            <w:r w:rsidRPr="00257D9C">
              <w:rPr>
                <w:spacing w:val="-4"/>
                <w:sz w:val="14"/>
                <w:szCs w:val="14"/>
              </w:rPr>
              <w:t xml:space="preserve"> Čisté výdaje odpovídají saldu rozpočtové kapitoly Státní dluh (č. 396).</w:t>
            </w:r>
            <w:r>
              <w:rPr>
                <w:spacing w:val="-4"/>
                <w:sz w:val="14"/>
                <w:szCs w:val="14"/>
              </w:rPr>
              <w:t xml:space="preserve">                                                                       Zdroj: MF ČR</w:t>
            </w:r>
          </w:p>
        </w:tc>
      </w:tr>
      <w:tr w:rsidR="000A5265" w14:paraId="46694AB7" w14:textId="77777777" w:rsidTr="00102C41">
        <w:trPr>
          <w:trHeight w:val="170"/>
        </w:trPr>
        <w:tc>
          <w:tcPr>
            <w:tcW w:w="1810" w:type="dxa"/>
            <w:shd w:val="clear" w:color="auto" w:fill="auto"/>
            <w:tcMar>
              <w:left w:w="0" w:type="dxa"/>
            </w:tcMar>
          </w:tcPr>
          <w:p w14:paraId="78CC2E1E" w14:textId="77777777" w:rsidR="000A5265" w:rsidRDefault="000A5265" w:rsidP="00102C41">
            <w:pPr>
              <w:pStyle w:val="Marginlie"/>
            </w:pPr>
            <w:r>
              <w:t xml:space="preserve">Meziroční tempo růstu státního dluhu se od poloviny loňského roku stabilizovalo. </w:t>
            </w:r>
          </w:p>
          <w:p w14:paraId="4C122D62" w14:textId="77777777" w:rsidR="000A5265" w:rsidRDefault="000A5265" w:rsidP="00102C41">
            <w:pPr>
              <w:pStyle w:val="Marginlie"/>
            </w:pPr>
          </w:p>
          <w:p w14:paraId="7063E56F" w14:textId="77777777" w:rsidR="000A5265" w:rsidRDefault="000A5265" w:rsidP="00102C41">
            <w:pPr>
              <w:pStyle w:val="Marginlie"/>
            </w:pPr>
          </w:p>
          <w:p w14:paraId="4365D58D" w14:textId="77777777" w:rsidR="000A5265" w:rsidRDefault="000A5265" w:rsidP="00102C41">
            <w:pPr>
              <w:pStyle w:val="Marginlie"/>
            </w:pPr>
          </w:p>
          <w:p w14:paraId="34BE5060" w14:textId="77777777" w:rsidR="000A5265" w:rsidRDefault="000A5265" w:rsidP="00102C41">
            <w:pPr>
              <w:pStyle w:val="Marginlie"/>
            </w:pPr>
            <w:r>
              <w:t>Navýšení dluhu se týkalo výhradně vnitřní zadluženosti.</w:t>
            </w:r>
          </w:p>
          <w:p w14:paraId="041E37AA" w14:textId="77777777" w:rsidR="000A5265" w:rsidRDefault="000A5265" w:rsidP="00102C41">
            <w:pPr>
              <w:pStyle w:val="Marginlie"/>
            </w:pPr>
          </w:p>
          <w:p w14:paraId="164A1E7F" w14:textId="77777777" w:rsidR="000A5265" w:rsidRDefault="000A5265" w:rsidP="00102C41">
            <w:pPr>
              <w:pStyle w:val="Marginlie"/>
            </w:pPr>
          </w:p>
          <w:p w14:paraId="3480A848" w14:textId="77777777" w:rsidR="000A5265" w:rsidRDefault="000A5265" w:rsidP="00102C41">
            <w:pPr>
              <w:pStyle w:val="Marginlie"/>
            </w:pPr>
            <w:r>
              <w:t>Podíl nerezidentů mezi držiteli tuzemských dluhopisů od počátku letošního roku klesá.</w:t>
            </w:r>
          </w:p>
          <w:p w14:paraId="46C4AA32" w14:textId="77777777" w:rsidR="000A5265" w:rsidRDefault="000A5265" w:rsidP="00102C41">
            <w:pPr>
              <w:pStyle w:val="Marginlie"/>
            </w:pPr>
          </w:p>
        </w:tc>
        <w:tc>
          <w:tcPr>
            <w:tcW w:w="203" w:type="dxa"/>
            <w:shd w:val="clear" w:color="auto" w:fill="auto"/>
            <w:tcMar>
              <w:left w:w="0" w:type="dxa"/>
            </w:tcMar>
          </w:tcPr>
          <w:p w14:paraId="01C22A6B" w14:textId="77777777" w:rsidR="000A5265" w:rsidRDefault="000A5265" w:rsidP="00102C41">
            <w:pPr>
              <w:pStyle w:val="Textpoznpodarou"/>
              <w:jc w:val="both"/>
              <w:rPr>
                <w:spacing w:val="-4"/>
              </w:rPr>
            </w:pPr>
          </w:p>
        </w:tc>
        <w:tc>
          <w:tcPr>
            <w:tcW w:w="7656" w:type="dxa"/>
            <w:shd w:val="clear" w:color="auto" w:fill="auto"/>
            <w:tcMar>
              <w:left w:w="0" w:type="dxa"/>
            </w:tcMar>
          </w:tcPr>
          <w:p w14:paraId="10E1EDB7" w14:textId="77777777" w:rsidR="000A5265" w:rsidRPr="004143BE" w:rsidRDefault="000A5265" w:rsidP="00102C41">
            <w:pPr>
              <w:rPr>
                <w:color w:val="0D0D0D" w:themeColor="text1" w:themeTint="F2"/>
                <w:spacing w:val="-5"/>
              </w:rPr>
            </w:pPr>
            <w:r w:rsidRPr="004143BE">
              <w:rPr>
                <w:color w:val="0D0D0D" w:themeColor="text1" w:themeTint="F2"/>
                <w:spacing w:val="-5"/>
              </w:rPr>
              <w:t>Pokračující deficitní hospodaření SR se promítlo do státního</w:t>
            </w:r>
            <w:r>
              <w:rPr>
                <w:color w:val="0D0D0D" w:themeColor="text1" w:themeTint="F2"/>
                <w:spacing w:val="-5"/>
              </w:rPr>
              <w:t xml:space="preserve"> dluhu. Ten vystoupal na konci 3. čtvrtletí 2024 na 3 334</w:t>
            </w:r>
            <w:r w:rsidRPr="004143BE">
              <w:rPr>
                <w:color w:val="0D0D0D" w:themeColor="text1" w:themeTint="F2"/>
                <w:spacing w:val="-5"/>
              </w:rPr>
              <w:t xml:space="preserve"> mld. korun. Meziročně se </w:t>
            </w:r>
            <w:r>
              <w:rPr>
                <w:color w:val="0D0D0D" w:themeColor="text1" w:themeTint="F2"/>
                <w:spacing w:val="-5"/>
              </w:rPr>
              <w:t>zvyšoval již 21</w:t>
            </w:r>
            <w:r w:rsidRPr="004143BE">
              <w:rPr>
                <w:color w:val="0D0D0D" w:themeColor="text1" w:themeTint="F2"/>
                <w:spacing w:val="-5"/>
              </w:rPr>
              <w:t xml:space="preserve"> k</w:t>
            </w:r>
            <w:r>
              <w:rPr>
                <w:color w:val="0D0D0D" w:themeColor="text1" w:themeTint="F2"/>
                <w:spacing w:val="-5"/>
              </w:rPr>
              <w:t xml:space="preserve">vartálů </w:t>
            </w:r>
            <w:r>
              <w:rPr>
                <w:color w:val="0D0D0D" w:themeColor="text1" w:themeTint="F2"/>
                <w:spacing w:val="-8"/>
              </w:rPr>
              <w:t xml:space="preserve">v řadě, aktuálně vzrostl o rovných 7 % (podobné tempo přetrvává od poloviny loňského roku). </w:t>
            </w:r>
            <w:r w:rsidRPr="004143BE">
              <w:rPr>
                <w:color w:val="0D0D0D" w:themeColor="text1" w:themeTint="F2"/>
                <w:spacing w:val="-8"/>
              </w:rPr>
              <w:t>Od počátku</w:t>
            </w:r>
            <w:r>
              <w:rPr>
                <w:color w:val="0D0D0D" w:themeColor="text1" w:themeTint="F2"/>
                <w:spacing w:val="-5"/>
              </w:rPr>
              <w:t xml:space="preserve"> roku 2024 se dluh navýšil o 223 mld. korun – téměř shodně jako ve stejném období loni </w:t>
            </w:r>
            <w:r>
              <w:rPr>
                <w:color w:val="0D0D0D" w:themeColor="text1" w:themeTint="F2"/>
                <w:spacing w:val="-5"/>
              </w:rPr>
              <w:br/>
            </w:r>
            <w:r>
              <w:rPr>
                <w:color w:val="0D0D0D" w:themeColor="text1" w:themeTint="F2"/>
                <w:spacing w:val="-5"/>
              </w:rPr>
              <w:lastRenderedPageBreak/>
              <w:t>a současně však skoro o polovinu méně než v letech 2020 a 2022. Na letošním růstu se tradičně z drtivé části podílela vnitřní zadluženost. Korunová hodnota vnějšího dluhu se zvýšila jen o</w:t>
            </w:r>
            <w:r>
              <w:rPr>
                <w:color w:val="0D0D0D" w:themeColor="text1" w:themeTint="F2"/>
                <w:spacing w:val="-8"/>
              </w:rPr>
              <w:t> </w:t>
            </w:r>
            <w:r>
              <w:rPr>
                <w:color w:val="0D0D0D" w:themeColor="text1" w:themeTint="F2"/>
                <w:spacing w:val="-5"/>
              </w:rPr>
              <w:t xml:space="preserve">9 mld. korun (na 161 mld.), hlavně vlivem úvěrů realizovaných ve 3. čtvrtletí od Evropské investiční banky (na modernizaci železničního koridoru) a Rozvojové banky Rady </w:t>
            </w:r>
            <w:r w:rsidRPr="00CA3655">
              <w:rPr>
                <w:color w:val="0D0D0D" w:themeColor="text1" w:themeTint="F2"/>
                <w:spacing w:val="-6"/>
              </w:rPr>
              <w:t>Evropy (na výdaje související s pobytem ukrajinských uprchlíků v Česku). Vnitřní zadluženost</w:t>
            </w:r>
            <w:r>
              <w:rPr>
                <w:color w:val="0D0D0D" w:themeColor="text1" w:themeTint="F2"/>
                <w:spacing w:val="-5"/>
              </w:rPr>
              <w:t xml:space="preserve"> rostla jako obvykle hlavně v důsledku</w:t>
            </w:r>
            <w:r w:rsidRPr="004143BE">
              <w:rPr>
                <w:color w:val="0D0D0D" w:themeColor="text1" w:themeTint="F2"/>
                <w:spacing w:val="-5"/>
              </w:rPr>
              <w:t xml:space="preserve"> emise středně</w:t>
            </w:r>
            <w:r>
              <w:rPr>
                <w:color w:val="0D0D0D" w:themeColor="text1" w:themeTint="F2"/>
                <w:spacing w:val="-5"/>
              </w:rPr>
              <w:t>-</w:t>
            </w:r>
            <w:r w:rsidRPr="004143BE">
              <w:rPr>
                <w:color w:val="0D0D0D" w:themeColor="text1" w:themeTint="F2"/>
                <w:spacing w:val="-5"/>
              </w:rPr>
              <w:t xml:space="preserve"> a dlouhodobých státních dluhopisů</w:t>
            </w:r>
            <w:r w:rsidRPr="004143BE">
              <w:rPr>
                <w:rStyle w:val="Znakapoznpodarou"/>
                <w:color w:val="0D0D0D" w:themeColor="text1" w:themeTint="F2"/>
                <w:spacing w:val="-5"/>
              </w:rPr>
              <w:footnoteReference w:id="116"/>
            </w:r>
            <w:r w:rsidRPr="004143BE">
              <w:rPr>
                <w:color w:val="0D0D0D" w:themeColor="text1" w:themeTint="F2"/>
                <w:spacing w:val="-5"/>
              </w:rPr>
              <w:t xml:space="preserve">, v menší míře i emise státních pokladničních poukázek. </w:t>
            </w:r>
            <w:r>
              <w:rPr>
                <w:color w:val="0D0D0D" w:themeColor="text1" w:themeTint="F2"/>
                <w:spacing w:val="-5"/>
              </w:rPr>
              <w:t>Emisní činnost za tři čtvrtletí</w:t>
            </w:r>
            <w:r w:rsidRPr="004143BE">
              <w:rPr>
                <w:color w:val="0D0D0D" w:themeColor="text1" w:themeTint="F2"/>
                <w:spacing w:val="-5"/>
              </w:rPr>
              <w:t xml:space="preserve"> </w:t>
            </w:r>
            <w:r>
              <w:rPr>
                <w:color w:val="0D0D0D" w:themeColor="text1" w:themeTint="F2"/>
                <w:spacing w:val="-5"/>
              </w:rPr>
              <w:t xml:space="preserve">již </w:t>
            </w:r>
            <w:r w:rsidRPr="004143BE">
              <w:rPr>
                <w:color w:val="0D0D0D" w:themeColor="text1" w:themeTint="F2"/>
                <w:spacing w:val="-5"/>
              </w:rPr>
              <w:t xml:space="preserve">stačila k pokrytí </w:t>
            </w:r>
            <w:r>
              <w:rPr>
                <w:color w:val="0D0D0D" w:themeColor="text1" w:themeTint="F2"/>
                <w:spacing w:val="-5"/>
              </w:rPr>
              <w:t>všech letos plánovaných splátek</w:t>
            </w:r>
            <w:r w:rsidRPr="004143BE">
              <w:rPr>
                <w:color w:val="0D0D0D" w:themeColor="text1" w:themeTint="F2"/>
                <w:spacing w:val="-5"/>
              </w:rPr>
              <w:t xml:space="preserve"> státního dlu</w:t>
            </w:r>
            <w:r>
              <w:rPr>
                <w:color w:val="0D0D0D" w:themeColor="text1" w:themeTint="F2"/>
                <w:spacing w:val="-5"/>
              </w:rPr>
              <w:t>hu a z významné části předfinancovala také očekávaný letošní schodek SR.</w:t>
            </w:r>
            <w:r w:rsidRPr="004143BE">
              <w:rPr>
                <w:color w:val="0D0D0D" w:themeColor="text1" w:themeTint="F2"/>
                <w:spacing w:val="-5"/>
              </w:rPr>
              <w:t xml:space="preserve"> </w:t>
            </w:r>
            <w:r>
              <w:rPr>
                <w:color w:val="0D0D0D" w:themeColor="text1" w:themeTint="F2"/>
                <w:spacing w:val="-5"/>
              </w:rPr>
              <w:t>Mezi držiteli veškerých</w:t>
            </w:r>
            <w:r w:rsidRPr="004143BE">
              <w:rPr>
                <w:color w:val="0D0D0D" w:themeColor="text1" w:themeTint="F2"/>
                <w:spacing w:val="-5"/>
              </w:rPr>
              <w:t xml:space="preserve"> domácích dluhopisů v </w:t>
            </w:r>
            <w:r>
              <w:rPr>
                <w:color w:val="0D0D0D" w:themeColor="text1" w:themeTint="F2"/>
                <w:spacing w:val="-5"/>
              </w:rPr>
              <w:t>oběhu dominovaly na konci září 2024 finanční instituce (64,5</w:t>
            </w:r>
            <w:r w:rsidRPr="004143BE">
              <w:rPr>
                <w:color w:val="0D0D0D" w:themeColor="text1" w:themeTint="F2"/>
                <w:spacing w:val="-5"/>
              </w:rPr>
              <w:t xml:space="preserve"> %, zejména banky, ale i pojišťovny </w:t>
            </w:r>
            <w:r>
              <w:rPr>
                <w:color w:val="0D0D0D" w:themeColor="text1" w:themeTint="F2"/>
                <w:spacing w:val="-5"/>
              </w:rPr>
              <w:br/>
            </w:r>
            <w:r w:rsidRPr="004143BE">
              <w:rPr>
                <w:color w:val="0D0D0D" w:themeColor="text1" w:themeTint="F2"/>
                <w:spacing w:val="-5"/>
              </w:rPr>
              <w:t>a investiční a penzijní fond</w:t>
            </w:r>
            <w:r>
              <w:rPr>
                <w:color w:val="0D0D0D" w:themeColor="text1" w:themeTint="F2"/>
                <w:spacing w:val="-5"/>
              </w:rPr>
              <w:t>y), nerezidenti pak vlastnili 28,8 %</w:t>
            </w:r>
            <w:r w:rsidRPr="004143BE">
              <w:rPr>
                <w:color w:val="0D0D0D" w:themeColor="text1" w:themeTint="F2"/>
                <w:spacing w:val="-5"/>
              </w:rPr>
              <w:t xml:space="preserve"> a jejich podíl se od počátku roku sníž</w:t>
            </w:r>
            <w:r>
              <w:rPr>
                <w:color w:val="0D0D0D" w:themeColor="text1" w:themeTint="F2"/>
                <w:spacing w:val="-5"/>
              </w:rPr>
              <w:t>il o necelých 7</w:t>
            </w:r>
            <w:r w:rsidRPr="004143BE">
              <w:rPr>
                <w:color w:val="0D0D0D" w:themeColor="text1" w:themeTint="F2"/>
                <w:spacing w:val="-5"/>
              </w:rPr>
              <w:t xml:space="preserve"> p. b. (současně klesla i hodnota jimi držených dluhopisů).</w:t>
            </w:r>
          </w:p>
        </w:tc>
      </w:tr>
      <w:tr w:rsidR="000A5265" w14:paraId="2A7B7CE9" w14:textId="77777777" w:rsidTr="00102C41">
        <w:trPr>
          <w:trHeight w:val="170"/>
        </w:trPr>
        <w:tc>
          <w:tcPr>
            <w:tcW w:w="1810" w:type="dxa"/>
            <w:shd w:val="clear" w:color="auto" w:fill="auto"/>
            <w:tcMar>
              <w:left w:w="0" w:type="dxa"/>
            </w:tcMar>
          </w:tcPr>
          <w:p w14:paraId="50643907" w14:textId="77777777" w:rsidR="000A5265" w:rsidRDefault="000A5265" w:rsidP="00102C41">
            <w:pPr>
              <w:pStyle w:val="Marginlie"/>
              <w:rPr>
                <w:color w:val="0D0D0D" w:themeColor="text1" w:themeTint="F2"/>
              </w:rPr>
            </w:pPr>
            <w:r>
              <w:rPr>
                <w:color w:val="0D0D0D" w:themeColor="text1" w:themeTint="F2"/>
              </w:rPr>
              <w:lastRenderedPageBreak/>
              <w:t>Růst celkových příjmů vládních institucí byl tažen zejména sociálními</w:t>
            </w:r>
            <w:r>
              <w:t> </w:t>
            </w:r>
            <w:r>
              <w:rPr>
                <w:color w:val="0D0D0D" w:themeColor="text1" w:themeTint="F2"/>
              </w:rPr>
              <w:t xml:space="preserve">příspěvky </w:t>
            </w:r>
            <w:r>
              <w:rPr>
                <w:color w:val="0D0D0D" w:themeColor="text1" w:themeTint="F2"/>
              </w:rPr>
              <w:br/>
              <w:t>a běžnými daněmi z důchodů.</w:t>
            </w:r>
          </w:p>
          <w:p w14:paraId="2FECA69F" w14:textId="77777777" w:rsidR="000A5265" w:rsidRDefault="000A5265" w:rsidP="00102C41">
            <w:pPr>
              <w:pStyle w:val="Marginlie"/>
              <w:rPr>
                <w:color w:val="0D0D0D" w:themeColor="text1" w:themeTint="F2"/>
              </w:rPr>
            </w:pPr>
          </w:p>
          <w:p w14:paraId="24C0FCE0" w14:textId="77777777" w:rsidR="000A5265" w:rsidRDefault="000A5265" w:rsidP="00102C41">
            <w:pPr>
              <w:pStyle w:val="Marginlie"/>
              <w:rPr>
                <w:color w:val="0D0D0D" w:themeColor="text1" w:themeTint="F2"/>
              </w:rPr>
            </w:pPr>
          </w:p>
          <w:p w14:paraId="1AB1F26C" w14:textId="77777777" w:rsidR="000A5265" w:rsidRDefault="000A5265" w:rsidP="00102C41">
            <w:pPr>
              <w:pStyle w:val="Marginlie"/>
              <w:rPr>
                <w:color w:val="0D0D0D" w:themeColor="text1" w:themeTint="F2"/>
              </w:rPr>
            </w:pPr>
          </w:p>
          <w:p w14:paraId="37ADD2EE" w14:textId="77777777" w:rsidR="000A5265" w:rsidRDefault="000A5265" w:rsidP="00102C41">
            <w:pPr>
              <w:pStyle w:val="Marginlie"/>
              <w:rPr>
                <w:color w:val="0D0D0D" w:themeColor="text1" w:themeTint="F2"/>
              </w:rPr>
            </w:pPr>
          </w:p>
          <w:p w14:paraId="2281C90F" w14:textId="77777777" w:rsidR="000A5265" w:rsidRPr="00D31D9C" w:rsidRDefault="000A5265" w:rsidP="00102C41">
            <w:pPr>
              <w:pStyle w:val="Marginlie"/>
              <w:rPr>
                <w:color w:val="0D0D0D" w:themeColor="text1" w:themeTint="F2"/>
              </w:rPr>
            </w:pPr>
            <w:r>
              <w:rPr>
                <w:color w:val="0D0D0D" w:themeColor="text1" w:themeTint="F2"/>
              </w:rPr>
              <w:t>Růst výdajů razantně zvolnil. Stál za tím útlum dotací, ale i zmírnění růstu mezispotřeby či vyplacených mezd. Investice klesly poprvé po roce 2016.</w:t>
            </w:r>
          </w:p>
        </w:tc>
        <w:tc>
          <w:tcPr>
            <w:tcW w:w="203" w:type="dxa"/>
            <w:shd w:val="clear" w:color="auto" w:fill="auto"/>
            <w:tcMar>
              <w:left w:w="0" w:type="dxa"/>
            </w:tcMar>
          </w:tcPr>
          <w:p w14:paraId="680AFAB2" w14:textId="77777777" w:rsidR="000A5265" w:rsidRPr="00D31D9C" w:rsidRDefault="000A5265" w:rsidP="00102C41">
            <w:pPr>
              <w:pStyle w:val="Textpoznpodarou"/>
              <w:jc w:val="both"/>
              <w:rPr>
                <w:color w:val="0D0D0D" w:themeColor="text1" w:themeTint="F2"/>
                <w:spacing w:val="-4"/>
              </w:rPr>
            </w:pPr>
          </w:p>
        </w:tc>
        <w:tc>
          <w:tcPr>
            <w:tcW w:w="7656" w:type="dxa"/>
            <w:shd w:val="clear" w:color="auto" w:fill="auto"/>
            <w:tcMar>
              <w:left w:w="0" w:type="dxa"/>
            </w:tcMar>
          </w:tcPr>
          <w:p w14:paraId="08406BFD" w14:textId="77777777" w:rsidR="000A5265" w:rsidRPr="0016194F" w:rsidRDefault="000A5265" w:rsidP="00102C41">
            <w:pPr>
              <w:rPr>
                <w:color w:val="0D0D0D" w:themeColor="text1" w:themeTint="F2"/>
                <w:spacing w:val="-3"/>
              </w:rPr>
            </w:pPr>
            <w:r w:rsidRPr="00200F58">
              <w:rPr>
                <w:color w:val="0D0D0D" w:themeColor="text1" w:themeTint="F2"/>
                <w:spacing w:val="-3"/>
              </w:rPr>
              <w:t>Sek</w:t>
            </w:r>
            <w:r>
              <w:rPr>
                <w:color w:val="0D0D0D" w:themeColor="text1" w:themeTint="F2"/>
                <w:spacing w:val="-3"/>
              </w:rPr>
              <w:t>tor vládních institucí (VI) v Česku</w:t>
            </w:r>
            <w:r w:rsidRPr="00200F58">
              <w:rPr>
                <w:color w:val="0D0D0D" w:themeColor="text1" w:themeTint="F2"/>
                <w:spacing w:val="-3"/>
              </w:rPr>
              <w:t xml:space="preserve"> </w:t>
            </w:r>
            <w:r>
              <w:rPr>
                <w:color w:val="0D0D0D" w:themeColor="text1" w:themeTint="F2"/>
                <w:spacing w:val="-3"/>
              </w:rPr>
              <w:t>hospodařil v 1. pololetí 2024</w:t>
            </w:r>
            <w:r w:rsidRPr="008526E0">
              <w:rPr>
                <w:rStyle w:val="Znakapoznpodarou"/>
                <w:color w:val="0D0D0D" w:themeColor="text1" w:themeTint="F2"/>
                <w:spacing w:val="-3"/>
              </w:rPr>
              <w:footnoteReference w:id="117"/>
            </w:r>
            <w:r>
              <w:rPr>
                <w:color w:val="0D0D0D" w:themeColor="text1" w:themeTint="F2"/>
                <w:spacing w:val="-3"/>
              </w:rPr>
              <w:t xml:space="preserve"> s deficitem 69</w:t>
            </w:r>
            <w:r w:rsidRPr="008526E0">
              <w:rPr>
                <w:color w:val="0D0D0D" w:themeColor="text1" w:themeTint="F2"/>
                <w:spacing w:val="-3"/>
              </w:rPr>
              <w:t xml:space="preserve"> mld. korun</w:t>
            </w:r>
            <w:r w:rsidRPr="008526E0">
              <w:rPr>
                <w:rStyle w:val="Znakapoznpodarou"/>
                <w:color w:val="0D0D0D" w:themeColor="text1" w:themeTint="F2"/>
                <w:spacing w:val="-3"/>
              </w:rPr>
              <w:footnoteReference w:id="118"/>
            </w:r>
            <w:r w:rsidRPr="008526E0">
              <w:rPr>
                <w:color w:val="0D0D0D" w:themeColor="text1" w:themeTint="F2"/>
                <w:spacing w:val="-3"/>
              </w:rPr>
              <w:t>,</w:t>
            </w:r>
            <w:r>
              <w:rPr>
                <w:color w:val="0D0D0D" w:themeColor="text1" w:themeTint="F2"/>
                <w:spacing w:val="-3"/>
              </w:rPr>
              <w:t xml:space="preserve"> jenž meziročně klesl skoro o polovinu (zároveň šlo o druhý nejnižší pololetní schodek od počátku pandemie covidu-19)</w:t>
            </w:r>
            <w:r>
              <w:rPr>
                <w:rStyle w:val="Znakapoznpodarou"/>
                <w:color w:val="0D0D0D" w:themeColor="text1" w:themeTint="F2"/>
                <w:spacing w:val="-3"/>
              </w:rPr>
              <w:footnoteReference w:id="119"/>
            </w:r>
            <w:r>
              <w:rPr>
                <w:color w:val="0D0D0D" w:themeColor="text1" w:themeTint="F2"/>
                <w:spacing w:val="-3"/>
              </w:rPr>
              <w:t>. Za meziročním zmírněním schodku stálo primárně citelné zvolnění růstu celkových výdajů (na 2,7 %), neboť tempo růstu příjmů (7,</w:t>
            </w:r>
            <w:r>
              <w:rPr>
                <w:color w:val="0D0D0D" w:themeColor="text1" w:themeTint="F2"/>
                <w:spacing w:val="-5"/>
              </w:rPr>
              <w:t>1</w:t>
            </w:r>
            <w:r w:rsidRPr="004143BE">
              <w:rPr>
                <w:color w:val="0D0D0D" w:themeColor="text1" w:themeTint="F2"/>
                <w:spacing w:val="-5"/>
              </w:rPr>
              <w:t> </w:t>
            </w:r>
            <w:r>
              <w:rPr>
                <w:color w:val="0D0D0D" w:themeColor="text1" w:themeTint="F2"/>
                <w:spacing w:val="-3"/>
              </w:rPr>
              <w:t>%) výrazněji nezvolnilo. Růst příjmů byl tažen zejména čistými sociálními příspěvky (i</w:t>
            </w:r>
            <w:r w:rsidRPr="004143BE">
              <w:rPr>
                <w:color w:val="0D0D0D" w:themeColor="text1" w:themeTint="F2"/>
                <w:spacing w:val="-5"/>
              </w:rPr>
              <w:t> </w:t>
            </w:r>
            <w:r>
              <w:rPr>
                <w:color w:val="0D0D0D" w:themeColor="text1" w:themeTint="F2"/>
                <w:spacing w:val="-3"/>
              </w:rPr>
              <w:t xml:space="preserve">vlivem vyšších plateb domácností na nemocenské pojištění), posilujícím výběrem běžných daní z důchodů a jmění a v menší míře i nepřímými daněmi (zejména daněmi z produktů). Naopak negativně působily přijaté důchody z vlastnictví, výhradně vlivem poklesu příjmů z dividend. Růst celkových výdajů byl tažen tradičně hlavně sociálními dávkami (vč. naturálních sociálních transferů), a to přesto, že jejich růst razantně zvolnil (na 5,8 %, v rámci prvních pololetí šlo o nejnižší tempo za posledních šest let). Zhruba na polovinu meziročně zmírnil rovněž růst mezispotřeby (na 7,7 %) a vyplacených náhrad zaměstnancům </w:t>
            </w:r>
            <w:r>
              <w:rPr>
                <w:color w:val="0D0D0D" w:themeColor="text1" w:themeTint="F2"/>
                <w:spacing w:val="-5"/>
              </w:rPr>
              <w:t>(4,1</w:t>
            </w:r>
            <w:r w:rsidRPr="00AB296D">
              <w:rPr>
                <w:color w:val="0D0D0D" w:themeColor="text1" w:themeTint="F2"/>
                <w:spacing w:val="-5"/>
              </w:rPr>
              <w:t> %).</w:t>
            </w:r>
            <w:r>
              <w:rPr>
                <w:color w:val="0D0D0D" w:themeColor="text1" w:themeTint="F2"/>
                <w:spacing w:val="-3"/>
              </w:rPr>
              <w:t xml:space="preserve"> </w:t>
            </w:r>
            <w:r w:rsidRPr="00AB296D">
              <w:rPr>
                <w:color w:val="0D0D0D" w:themeColor="text1" w:themeTint="F2"/>
                <w:spacing w:val="-5"/>
              </w:rPr>
              <w:t xml:space="preserve">Nejvýraznější změnou byl očekávaný hluboký útlum </w:t>
            </w:r>
            <w:r>
              <w:rPr>
                <w:color w:val="0D0D0D" w:themeColor="text1" w:themeTint="F2"/>
                <w:spacing w:val="-5"/>
              </w:rPr>
              <w:t xml:space="preserve">vyplacených </w:t>
            </w:r>
            <w:r w:rsidRPr="00AB296D">
              <w:rPr>
                <w:color w:val="0D0D0D" w:themeColor="text1" w:themeTint="F2"/>
                <w:spacing w:val="-5"/>
              </w:rPr>
              <w:t>dotací (</w:t>
            </w:r>
            <w:r>
              <w:rPr>
                <w:spacing w:val="-5"/>
              </w:rPr>
              <w:t>−</w:t>
            </w:r>
            <w:r>
              <w:rPr>
                <w:color w:val="0D0D0D" w:themeColor="text1" w:themeTint="F2"/>
                <w:spacing w:val="-5"/>
              </w:rPr>
              <w:t>25 %</w:t>
            </w:r>
            <w:r w:rsidRPr="00AB296D">
              <w:rPr>
                <w:color w:val="0D0D0D" w:themeColor="text1" w:themeTint="F2"/>
                <w:spacing w:val="-5"/>
              </w:rPr>
              <w:t>),</w:t>
            </w:r>
            <w:r>
              <w:rPr>
                <w:color w:val="0D0D0D" w:themeColor="text1" w:themeTint="F2"/>
                <w:spacing w:val="-3"/>
              </w:rPr>
              <w:t xml:space="preserve"> jejichž nominální úroveň klesla i pod úroveň 1. pololetí 2020. Došlo také k mírnému meziročnímu poklesu tvorby fixních investic (</w:t>
            </w:r>
            <w:r>
              <w:rPr>
                <w:spacing w:val="-6"/>
              </w:rPr>
              <w:t>−</w:t>
            </w:r>
            <w:r>
              <w:rPr>
                <w:color w:val="0D0D0D" w:themeColor="text1" w:themeTint="F2"/>
                <w:spacing w:val="-3"/>
              </w:rPr>
              <w:t xml:space="preserve">1,6 %), prvnímu po roce 2016. </w:t>
            </w:r>
          </w:p>
        </w:tc>
      </w:tr>
      <w:tr w:rsidR="000A5265" w14:paraId="703E3541" w14:textId="77777777" w:rsidTr="00102C41">
        <w:trPr>
          <w:trHeight w:val="170"/>
        </w:trPr>
        <w:tc>
          <w:tcPr>
            <w:tcW w:w="1810" w:type="dxa"/>
            <w:shd w:val="clear" w:color="auto" w:fill="auto"/>
            <w:tcMar>
              <w:left w:w="0" w:type="dxa"/>
            </w:tcMar>
          </w:tcPr>
          <w:p w14:paraId="5E73D2BB" w14:textId="77777777" w:rsidR="000A5265" w:rsidRDefault="000A5265" w:rsidP="00102C41">
            <w:pPr>
              <w:pStyle w:val="Marginlie"/>
            </w:pPr>
            <w:r>
              <w:t>Schodek hospodaření vládních institucí v EU se ve 2. čtvrtletí 2024 zmírnil. V Česku klesl meziročně o třetinu a třetí kvartál v řadě byla jeho úroveň nižší než v EU.</w:t>
            </w:r>
          </w:p>
          <w:p w14:paraId="1C6832D7" w14:textId="77777777" w:rsidR="000A5265" w:rsidRDefault="000A5265" w:rsidP="00102C41">
            <w:pPr>
              <w:pStyle w:val="Marginlie"/>
            </w:pPr>
          </w:p>
          <w:p w14:paraId="647332F4" w14:textId="77777777" w:rsidR="000A5265" w:rsidRDefault="000A5265" w:rsidP="00102C41">
            <w:pPr>
              <w:pStyle w:val="Marginlie"/>
            </w:pPr>
          </w:p>
          <w:p w14:paraId="3276941B" w14:textId="77777777" w:rsidR="000A5265" w:rsidRDefault="000A5265" w:rsidP="00102C41">
            <w:pPr>
              <w:pStyle w:val="Marginlie"/>
            </w:pPr>
          </w:p>
          <w:p w14:paraId="0A1CA501" w14:textId="77777777" w:rsidR="000A5265" w:rsidRDefault="000A5265" w:rsidP="00102C41">
            <w:pPr>
              <w:pStyle w:val="Marginlie"/>
            </w:pPr>
          </w:p>
          <w:p w14:paraId="07F2DF00" w14:textId="77777777" w:rsidR="000A5265" w:rsidRDefault="000A5265" w:rsidP="00102C41">
            <w:pPr>
              <w:pStyle w:val="Marginlie"/>
            </w:pPr>
            <w:r>
              <w:t>Mezikvartální pokles míry zadluženosti v EU se letos po třech letech zastavil.</w:t>
            </w:r>
          </w:p>
          <w:p w14:paraId="0B61A8FE" w14:textId="77777777" w:rsidR="000A5265" w:rsidRDefault="000A5265" w:rsidP="00102C41">
            <w:pPr>
              <w:pStyle w:val="Marginlie"/>
            </w:pPr>
          </w:p>
          <w:p w14:paraId="3C9CCF45" w14:textId="77777777" w:rsidR="000A5265" w:rsidRDefault="000A5265" w:rsidP="00102C41">
            <w:pPr>
              <w:pStyle w:val="Marginlie"/>
            </w:pPr>
          </w:p>
          <w:p w14:paraId="66C87057" w14:textId="77777777" w:rsidR="000A5265" w:rsidRDefault="000A5265" w:rsidP="00102C41">
            <w:pPr>
              <w:pStyle w:val="Marginlie"/>
            </w:pPr>
          </w:p>
          <w:p w14:paraId="328AB77C" w14:textId="77777777" w:rsidR="000A5265" w:rsidRDefault="000A5265" w:rsidP="00102C41">
            <w:pPr>
              <w:pStyle w:val="Marginlie"/>
            </w:pPr>
          </w:p>
          <w:p w14:paraId="0EADEFE2" w14:textId="77777777" w:rsidR="000A5265" w:rsidRDefault="000A5265" w:rsidP="00102C41">
            <w:pPr>
              <w:pStyle w:val="Marginlie"/>
            </w:pPr>
            <w:r>
              <w:lastRenderedPageBreak/>
              <w:t>Míra zadlužení Česka byla v EU sedmá nejnižší a zároveň nejpříznivější ze všech států střední Evropy. V polovině zemí Unie překračovala 60 % HDP.</w:t>
            </w:r>
          </w:p>
        </w:tc>
        <w:tc>
          <w:tcPr>
            <w:tcW w:w="203" w:type="dxa"/>
            <w:shd w:val="clear" w:color="auto" w:fill="auto"/>
            <w:tcMar>
              <w:left w:w="0" w:type="dxa"/>
            </w:tcMar>
          </w:tcPr>
          <w:p w14:paraId="41D870CA" w14:textId="77777777" w:rsidR="000A5265" w:rsidRDefault="000A5265" w:rsidP="00102C41">
            <w:pPr>
              <w:pStyle w:val="Textpoznpodarou"/>
              <w:jc w:val="both"/>
              <w:rPr>
                <w:spacing w:val="-4"/>
              </w:rPr>
            </w:pPr>
          </w:p>
        </w:tc>
        <w:tc>
          <w:tcPr>
            <w:tcW w:w="7656" w:type="dxa"/>
            <w:shd w:val="clear" w:color="auto" w:fill="auto"/>
            <w:tcMar>
              <w:left w:w="0" w:type="dxa"/>
            </w:tcMar>
          </w:tcPr>
          <w:p w14:paraId="276BDE5C" w14:textId="77777777" w:rsidR="000A5265" w:rsidRPr="0040616A" w:rsidRDefault="000A5265" w:rsidP="00102C41">
            <w:pPr>
              <w:rPr>
                <w:color w:val="0D0D0D" w:themeColor="text1" w:themeTint="F2"/>
                <w:spacing w:val="-6"/>
              </w:rPr>
            </w:pPr>
            <w:r>
              <w:rPr>
                <w:color w:val="0D0D0D" w:themeColor="text1" w:themeTint="F2"/>
                <w:spacing w:val="-6"/>
              </w:rPr>
              <w:t>Zastavil se n</w:t>
            </w:r>
            <w:r w:rsidRPr="0040616A">
              <w:rPr>
                <w:color w:val="0D0D0D" w:themeColor="text1" w:themeTint="F2"/>
                <w:spacing w:val="-6"/>
              </w:rPr>
              <w:t xml:space="preserve">epříznivý trend </w:t>
            </w:r>
            <w:r>
              <w:rPr>
                <w:color w:val="0D0D0D" w:themeColor="text1" w:themeTint="F2"/>
                <w:spacing w:val="-6"/>
              </w:rPr>
              <w:t>související s pomalejším růstem</w:t>
            </w:r>
            <w:r w:rsidRPr="0040616A">
              <w:rPr>
                <w:color w:val="0D0D0D" w:themeColor="text1" w:themeTint="F2"/>
                <w:spacing w:val="-6"/>
              </w:rPr>
              <w:t xml:space="preserve"> celkových příjmů sektoru VI v EU než </w:t>
            </w:r>
            <w:r>
              <w:rPr>
                <w:color w:val="0D0D0D" w:themeColor="text1" w:themeTint="F2"/>
                <w:spacing w:val="-6"/>
              </w:rPr>
              <w:t xml:space="preserve">jejich </w:t>
            </w:r>
            <w:r w:rsidRPr="0040616A">
              <w:rPr>
                <w:color w:val="0D0D0D" w:themeColor="text1" w:themeTint="F2"/>
                <w:spacing w:val="-6"/>
              </w:rPr>
              <w:t>výdajů (vztažených k HDP)</w:t>
            </w:r>
            <w:r w:rsidRPr="0040616A">
              <w:rPr>
                <w:rStyle w:val="Znakapoznpodarou"/>
                <w:color w:val="0D0D0D" w:themeColor="text1" w:themeTint="F2"/>
                <w:spacing w:val="-6"/>
              </w:rPr>
              <w:footnoteReference w:id="120"/>
            </w:r>
            <w:r w:rsidRPr="0040616A">
              <w:rPr>
                <w:color w:val="0D0D0D" w:themeColor="text1" w:themeTint="F2"/>
                <w:spacing w:val="-6"/>
              </w:rPr>
              <w:t>, jenž byl patrný po větši</w:t>
            </w:r>
            <w:r>
              <w:rPr>
                <w:color w:val="0D0D0D" w:themeColor="text1" w:themeTint="F2"/>
                <w:spacing w:val="-6"/>
              </w:rPr>
              <w:t>nu loňského roku</w:t>
            </w:r>
            <w:r>
              <w:rPr>
                <w:color w:val="0D0D0D" w:themeColor="text1" w:themeTint="F2"/>
                <w:spacing w:val="-8"/>
              </w:rPr>
              <w:t>. Ve 2.</w:t>
            </w:r>
            <w:r>
              <w:rPr>
                <w:color w:val="0D0D0D" w:themeColor="text1" w:themeTint="F2"/>
                <w:spacing w:val="-3"/>
              </w:rPr>
              <w:t> </w:t>
            </w:r>
            <w:r>
              <w:rPr>
                <w:color w:val="0D0D0D" w:themeColor="text1" w:themeTint="F2"/>
                <w:spacing w:val="-8"/>
              </w:rPr>
              <w:t>čtvrtletí 2024 dosáhlo saldo hospodaření</w:t>
            </w:r>
            <w:r w:rsidRPr="0040616A">
              <w:rPr>
                <w:color w:val="0D0D0D" w:themeColor="text1" w:themeTint="F2"/>
                <w:spacing w:val="-6"/>
              </w:rPr>
              <w:t xml:space="preserve"> </w:t>
            </w:r>
            <w:r>
              <w:rPr>
                <w:color w:val="0D0D0D" w:themeColor="text1" w:themeTint="F2"/>
                <w:spacing w:val="-6"/>
              </w:rPr>
              <w:t xml:space="preserve">VI </w:t>
            </w:r>
            <w:r>
              <w:rPr>
                <w:spacing w:val="-6"/>
              </w:rPr>
              <w:t>−</w:t>
            </w:r>
            <w:r>
              <w:rPr>
                <w:color w:val="0D0D0D" w:themeColor="text1" w:themeTint="F2"/>
                <w:spacing w:val="-6"/>
              </w:rPr>
              <w:t>3,1 % HDP a stejně jako v předchozím kvartálu se meziročně velmi mírně snížilo (o 0,2 p. b.)</w:t>
            </w:r>
            <w:r w:rsidRPr="0040616A">
              <w:rPr>
                <w:color w:val="0D0D0D" w:themeColor="text1" w:themeTint="F2"/>
                <w:spacing w:val="-6"/>
              </w:rPr>
              <w:t xml:space="preserve">. </w:t>
            </w:r>
            <w:r>
              <w:rPr>
                <w:color w:val="0D0D0D" w:themeColor="text1" w:themeTint="F2"/>
                <w:spacing w:val="-6"/>
              </w:rPr>
              <w:t>V Česku se schodek redukoval vyšším tempem (o 1,3 p</w:t>
            </w:r>
            <w:r w:rsidRPr="0040616A">
              <w:rPr>
                <w:color w:val="0D0D0D" w:themeColor="text1" w:themeTint="F2"/>
                <w:spacing w:val="-6"/>
              </w:rPr>
              <w:t>.</w:t>
            </w:r>
            <w:r>
              <w:rPr>
                <w:color w:val="0D0D0D" w:themeColor="text1" w:themeTint="F2"/>
                <w:spacing w:val="-6"/>
              </w:rPr>
              <w:t xml:space="preserve"> b) na</w:t>
            </w:r>
            <w:r w:rsidRPr="0040616A">
              <w:rPr>
                <w:color w:val="0D0D0D" w:themeColor="text1" w:themeTint="F2"/>
                <w:spacing w:val="-6"/>
              </w:rPr>
              <w:t xml:space="preserve"> </w:t>
            </w:r>
            <w:r>
              <w:rPr>
                <w:spacing w:val="-6"/>
              </w:rPr>
              <w:t>−</w:t>
            </w:r>
            <w:r>
              <w:rPr>
                <w:color w:val="0D0D0D" w:themeColor="text1" w:themeTint="F2"/>
                <w:spacing w:val="-6"/>
              </w:rPr>
              <w:t>2,4</w:t>
            </w:r>
            <w:r w:rsidRPr="0040616A">
              <w:rPr>
                <w:color w:val="0D0D0D" w:themeColor="text1" w:themeTint="F2"/>
                <w:spacing w:val="-6"/>
              </w:rPr>
              <w:t xml:space="preserve"> % HDP </w:t>
            </w:r>
            <w:r>
              <w:rPr>
                <w:color w:val="0D0D0D" w:themeColor="text1" w:themeTint="F2"/>
                <w:spacing w:val="-6"/>
              </w:rPr>
              <w:t>(nižší deficit byl v celém období od počátku pandemie registrován jen v 1. čtvrtletí 2022)</w:t>
            </w:r>
            <w:r w:rsidRPr="0040616A">
              <w:rPr>
                <w:color w:val="0D0D0D" w:themeColor="text1" w:themeTint="F2"/>
                <w:spacing w:val="-6"/>
              </w:rPr>
              <w:t xml:space="preserve">. </w:t>
            </w:r>
            <w:r>
              <w:rPr>
                <w:color w:val="0D0D0D" w:themeColor="text1" w:themeTint="F2"/>
                <w:spacing w:val="-6"/>
              </w:rPr>
              <w:t xml:space="preserve">Obdobný schodek vykázalo i Německo, v ostatních středoevropských státech byl ovšem znatelně hlubší: Polsko (−8,1 %), Slovensko (−5,5 %), Maďarsko (−5,1 %), Rakousko (−3,9 %). Naopak přebytek převyšující 3 % HDP zaznamenaly v rámci celé Unie Dánsko, Irsko a Kypr, nižší kladné saldo měly dále Nizozemsko, Lucembursko, Řecko </w:t>
            </w:r>
            <w:r>
              <w:rPr>
                <w:color w:val="0D0D0D" w:themeColor="text1" w:themeTint="F2"/>
                <w:spacing w:val="-6"/>
              </w:rPr>
              <w:br/>
              <w:t>a Portugalsko. T</w:t>
            </w:r>
            <w:r w:rsidRPr="0040616A">
              <w:rPr>
                <w:color w:val="0D0D0D" w:themeColor="text1" w:themeTint="F2"/>
                <w:spacing w:val="-6"/>
              </w:rPr>
              <w:t xml:space="preserve">rend mezikvartálního poklesu míry zadlužení sektoru VI v EU (i eurozóně), trvající skoro tři roky, se </w:t>
            </w:r>
            <w:r>
              <w:rPr>
                <w:color w:val="0D0D0D" w:themeColor="text1" w:themeTint="F2"/>
                <w:spacing w:val="-6"/>
              </w:rPr>
              <w:t>na počátku roku 2024 zastavil a tento obrat potvrdilo i 2. čtvrtletí. Míra zadluženosti</w:t>
            </w:r>
            <w:r w:rsidRPr="0040616A">
              <w:rPr>
                <w:color w:val="0D0D0D" w:themeColor="text1" w:themeTint="F2"/>
                <w:spacing w:val="-6"/>
              </w:rPr>
              <w:t xml:space="preserve"> </w:t>
            </w:r>
            <w:r>
              <w:rPr>
                <w:color w:val="0D0D0D" w:themeColor="text1" w:themeTint="F2"/>
                <w:spacing w:val="-6"/>
              </w:rPr>
              <w:t>na jeho konci činila 81,5 % HDP (resp. 88,1</w:t>
            </w:r>
            <w:r w:rsidRPr="0040616A">
              <w:rPr>
                <w:color w:val="0D0D0D" w:themeColor="text1" w:themeTint="F2"/>
                <w:spacing w:val="-6"/>
              </w:rPr>
              <w:t xml:space="preserve"> %</w:t>
            </w:r>
            <w:r>
              <w:rPr>
                <w:color w:val="0D0D0D" w:themeColor="text1" w:themeTint="F2"/>
                <w:spacing w:val="-6"/>
              </w:rPr>
              <w:t xml:space="preserve">) a mezikvartálně vzrostla </w:t>
            </w:r>
            <w:r>
              <w:rPr>
                <w:color w:val="0D0D0D" w:themeColor="text1" w:themeTint="F2"/>
                <w:spacing w:val="-6"/>
              </w:rPr>
              <w:br/>
              <w:t>o 0,2</w:t>
            </w:r>
            <w:r w:rsidRPr="0040616A">
              <w:rPr>
                <w:color w:val="0D0D0D" w:themeColor="text1" w:themeTint="F2"/>
                <w:spacing w:val="-6"/>
              </w:rPr>
              <w:t xml:space="preserve"> p. b</w:t>
            </w:r>
            <w:r w:rsidRPr="00B54243">
              <w:rPr>
                <w:color w:val="0D0D0D" w:themeColor="text1" w:themeTint="F2"/>
                <w:spacing w:val="-2"/>
              </w:rPr>
              <w:t xml:space="preserve">. Meziroční pokles zadluženosti </w:t>
            </w:r>
            <w:r>
              <w:rPr>
                <w:color w:val="0D0D0D" w:themeColor="text1" w:themeTint="F2"/>
                <w:spacing w:val="-2"/>
              </w:rPr>
              <w:t xml:space="preserve">ale pokračoval, aktuálně </w:t>
            </w:r>
            <w:r w:rsidRPr="00B54243">
              <w:rPr>
                <w:color w:val="0D0D0D" w:themeColor="text1" w:themeTint="F2"/>
                <w:spacing w:val="-2"/>
              </w:rPr>
              <w:t>nastal ve 14 zemích – nejvýraznější byl na Kypru</w:t>
            </w:r>
            <w:r>
              <w:rPr>
                <w:color w:val="0D0D0D" w:themeColor="text1" w:themeTint="F2"/>
                <w:spacing w:val="-6"/>
              </w:rPr>
              <w:t xml:space="preserve"> (o 10 p. b.). Díky letošnímu přebytku </w:t>
            </w:r>
            <w:r w:rsidRPr="00A7605F">
              <w:rPr>
                <w:color w:val="0D0D0D" w:themeColor="text1" w:themeTint="F2"/>
                <w:spacing w:val="-6"/>
              </w:rPr>
              <w:t xml:space="preserve">hospodaření </w:t>
            </w:r>
            <w:r>
              <w:rPr>
                <w:color w:val="0D0D0D" w:themeColor="text1" w:themeTint="F2"/>
                <w:spacing w:val="-6"/>
              </w:rPr>
              <w:t xml:space="preserve">si polepšily </w:t>
            </w:r>
            <w:r>
              <w:rPr>
                <w:color w:val="0D0D0D" w:themeColor="text1" w:themeTint="F2"/>
                <w:spacing w:val="-6"/>
              </w:rPr>
              <w:br/>
              <w:t>i</w:t>
            </w:r>
            <w:r w:rsidRPr="00A7605F">
              <w:rPr>
                <w:color w:val="0D0D0D" w:themeColor="text1" w:themeTint="F2"/>
                <w:spacing w:val="-6"/>
              </w:rPr>
              <w:t xml:space="preserve"> </w:t>
            </w:r>
            <w:r w:rsidRPr="00F33AC6">
              <w:rPr>
                <w:color w:val="0D0D0D" w:themeColor="text1" w:themeTint="F2"/>
                <w:spacing w:val="-7"/>
              </w:rPr>
              <w:t>některé dlouhodobě vysoce zadlužené státy jako Řecko (</w:t>
            </w:r>
            <w:r>
              <w:rPr>
                <w:color w:val="0D0D0D" w:themeColor="text1" w:themeTint="F2"/>
                <w:spacing w:val="-7"/>
              </w:rPr>
              <w:t>−</w:t>
            </w:r>
            <w:r w:rsidRPr="00F33AC6">
              <w:rPr>
                <w:color w:val="0D0D0D" w:themeColor="text1" w:themeTint="F2"/>
                <w:spacing w:val="-7"/>
              </w:rPr>
              <w:t>8,9 p. b.) a Portugalsko (</w:t>
            </w:r>
            <w:r>
              <w:rPr>
                <w:color w:val="0D0D0D" w:themeColor="text1" w:themeTint="F2"/>
                <w:spacing w:val="-7"/>
              </w:rPr>
              <w:t>−</w:t>
            </w:r>
            <w:r w:rsidRPr="00F33AC6">
              <w:rPr>
                <w:color w:val="0D0D0D" w:themeColor="text1" w:themeTint="F2"/>
                <w:spacing w:val="-7"/>
              </w:rPr>
              <w:t xml:space="preserve">8,2 p. </w:t>
            </w:r>
            <w:r w:rsidRPr="00F33AC6">
              <w:rPr>
                <w:color w:val="0D0D0D" w:themeColor="text1" w:themeTint="F2"/>
                <w:spacing w:val="-7"/>
              </w:rPr>
              <w:lastRenderedPageBreak/>
              <w:t>b.).</w:t>
            </w:r>
            <w:r>
              <w:rPr>
                <w:color w:val="0D0D0D" w:themeColor="text1" w:themeTint="F2"/>
                <w:spacing w:val="-6"/>
              </w:rPr>
              <w:t xml:space="preserve"> V Česku zadluženost stagnovala a její úroveň (42,6 % HDP) byla mezi členskými státy sedmá nejnižší (podobné výše dosahovaly také Irsko či Nizozemsko). V polovině států EU, </w:t>
            </w:r>
            <w:r>
              <w:rPr>
                <w:color w:val="0D0D0D" w:themeColor="text1" w:themeTint="F2"/>
                <w:spacing w:val="-5"/>
              </w:rPr>
              <w:t>včetně všech</w:t>
            </w:r>
            <w:r w:rsidRPr="00F33AC6">
              <w:rPr>
                <w:color w:val="0D0D0D" w:themeColor="text1" w:themeTint="F2"/>
                <w:spacing w:val="-5"/>
              </w:rPr>
              <w:t xml:space="preserve"> klíčových ekonomik, ale zadluženost překračovala 60 % HDP – z novějších</w:t>
            </w:r>
            <w:r>
              <w:rPr>
                <w:color w:val="0D0D0D" w:themeColor="text1" w:themeTint="F2"/>
                <w:spacing w:val="-6"/>
              </w:rPr>
              <w:t xml:space="preserve"> členských zemí šlo hlavně o Maďarsko (s dluhem ve výši 75,8 % HDP) a dále Kypr (70,5 %), Slovinsko (69,6 %). Těšně nad Maastrichtským dluhovým kritériem se pohybovaly Slovensko </w:t>
            </w:r>
            <w:r>
              <w:rPr>
                <w:color w:val="0D0D0D" w:themeColor="text1" w:themeTint="F2"/>
                <w:spacing w:val="-6"/>
              </w:rPr>
              <w:br/>
              <w:t xml:space="preserve">a Chorvatsko. Proti minimální výši </w:t>
            </w:r>
            <w:r w:rsidRPr="0040616A">
              <w:rPr>
                <w:color w:val="0D0D0D" w:themeColor="text1" w:themeTint="F2"/>
                <w:spacing w:val="-6"/>
              </w:rPr>
              <w:t>z konjunkturního obd</w:t>
            </w:r>
            <w:r>
              <w:rPr>
                <w:color w:val="0D0D0D" w:themeColor="text1" w:themeTint="F2"/>
                <w:spacing w:val="-6"/>
              </w:rPr>
              <w:t xml:space="preserve">obí (2015 až 2019) byla aktuální míra zadlužení v EU vyšší o 4 p. b., v Česku dokonce o 13 p. b. (ještě nepatrně horší pozici </w:t>
            </w:r>
            <w:r w:rsidRPr="006738D2">
              <w:rPr>
                <w:color w:val="0D0D0D" w:themeColor="text1" w:themeTint="F2"/>
                <w:spacing w:val="-8"/>
              </w:rPr>
              <w:t>měly Rumunsko, Estonsko, Finsko a Francie). Naopak osm členských států vykázalo zadlužení</w:t>
            </w:r>
            <w:r w:rsidRPr="006738D2">
              <w:rPr>
                <w:color w:val="0D0D0D" w:themeColor="text1" w:themeTint="F2"/>
                <w:spacing w:val="-7"/>
              </w:rPr>
              <w:t xml:space="preserve"> pod úr</w:t>
            </w:r>
            <w:r>
              <w:rPr>
                <w:color w:val="0D0D0D" w:themeColor="text1" w:themeTint="F2"/>
                <w:spacing w:val="-7"/>
              </w:rPr>
              <w:t>ovní výše uvedeného minima (mj</w:t>
            </w:r>
            <w:r w:rsidRPr="006738D2">
              <w:rPr>
                <w:color w:val="0D0D0D" w:themeColor="text1" w:themeTint="F2"/>
                <w:spacing w:val="-7"/>
              </w:rPr>
              <w:t>. Dánsko, Švédsko, Irsko, Nizozemsko či Chorvatsko).</w:t>
            </w:r>
          </w:p>
        </w:tc>
      </w:tr>
    </w:tbl>
    <w:p w14:paraId="1D8DE38B" w14:textId="77777777" w:rsidR="000A5265" w:rsidRPr="00777B55" w:rsidRDefault="000A5265" w:rsidP="000A5265">
      <w:pPr>
        <w:pStyle w:val="Nadpis11"/>
        <w:spacing w:after="0" w:line="240" w:lineRule="auto"/>
        <w:outlineLvl w:val="9"/>
        <w:rPr>
          <w:b w:val="0"/>
          <w:sz w:val="2"/>
          <w:szCs w:val="2"/>
        </w:rPr>
      </w:pPr>
    </w:p>
    <w:p w14:paraId="2143296F" w14:textId="5F703470" w:rsidR="00A50D73" w:rsidRDefault="00A50D73" w:rsidP="00800216">
      <w:pPr>
        <w:spacing w:after="0"/>
      </w:pPr>
    </w:p>
    <w:sectPr w:rsidR="00A50D73" w:rsidSect="006F5416">
      <w:headerReference w:type="even" r:id="rId34"/>
      <w:headerReference w:type="default" r:id="rId35"/>
      <w:footerReference w:type="even" r:id="rId36"/>
      <w:footerReference w:type="default" r:id="rId37"/>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2EF3C" w14:textId="77777777" w:rsidR="0083516C" w:rsidRDefault="0083516C" w:rsidP="00E71A58">
      <w:r>
        <w:separator/>
      </w:r>
    </w:p>
  </w:endnote>
  <w:endnote w:type="continuationSeparator" w:id="0">
    <w:p w14:paraId="70B7E2B6" w14:textId="77777777" w:rsidR="0083516C" w:rsidRDefault="0083516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83516C" w14:paraId="7190CBD2" w14:textId="77777777" w:rsidTr="7BDB84E4">
      <w:trPr>
        <w:trHeight w:val="300"/>
      </w:trPr>
      <w:tc>
        <w:tcPr>
          <w:tcW w:w="3210" w:type="dxa"/>
        </w:tcPr>
        <w:p w14:paraId="2103B00D" w14:textId="05992450" w:rsidR="0083516C" w:rsidRDefault="0083516C" w:rsidP="7BDB84E4">
          <w:pPr>
            <w:pStyle w:val="Zhlav"/>
            <w:ind w:left="-115"/>
          </w:pPr>
        </w:p>
      </w:tc>
      <w:tc>
        <w:tcPr>
          <w:tcW w:w="3210" w:type="dxa"/>
        </w:tcPr>
        <w:p w14:paraId="7E4EC8CC" w14:textId="060F96F9" w:rsidR="0083516C" w:rsidRDefault="0083516C" w:rsidP="7BDB84E4">
          <w:pPr>
            <w:pStyle w:val="Zhlav"/>
            <w:jc w:val="center"/>
          </w:pPr>
        </w:p>
      </w:tc>
      <w:tc>
        <w:tcPr>
          <w:tcW w:w="3210" w:type="dxa"/>
        </w:tcPr>
        <w:p w14:paraId="16BBC583" w14:textId="6855A288" w:rsidR="0083516C" w:rsidRDefault="0083516C" w:rsidP="7BDB84E4">
          <w:pPr>
            <w:pStyle w:val="Zhlav"/>
            <w:ind w:right="-115"/>
            <w:jc w:val="right"/>
          </w:pPr>
        </w:p>
      </w:tc>
    </w:tr>
  </w:tbl>
  <w:p w14:paraId="6C27F8FA" w14:textId="20C55B48" w:rsidR="0083516C" w:rsidRDefault="0083516C" w:rsidP="7BDB84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83516C" w14:paraId="18EA34D8" w14:textId="77777777" w:rsidTr="7BDB84E4">
      <w:trPr>
        <w:trHeight w:val="300"/>
      </w:trPr>
      <w:tc>
        <w:tcPr>
          <w:tcW w:w="3210" w:type="dxa"/>
        </w:tcPr>
        <w:p w14:paraId="181DBAB7" w14:textId="02D77831" w:rsidR="0083516C" w:rsidRDefault="0083516C" w:rsidP="7BDB84E4">
          <w:pPr>
            <w:pStyle w:val="Zhlav"/>
            <w:ind w:left="-115"/>
          </w:pPr>
        </w:p>
      </w:tc>
      <w:tc>
        <w:tcPr>
          <w:tcW w:w="3210" w:type="dxa"/>
        </w:tcPr>
        <w:p w14:paraId="5B9D9AD1" w14:textId="74FB0172" w:rsidR="0083516C" w:rsidRDefault="0083516C" w:rsidP="7BDB84E4">
          <w:pPr>
            <w:pStyle w:val="Zhlav"/>
            <w:jc w:val="center"/>
          </w:pPr>
        </w:p>
      </w:tc>
      <w:tc>
        <w:tcPr>
          <w:tcW w:w="3210" w:type="dxa"/>
        </w:tcPr>
        <w:p w14:paraId="641FB2DE" w14:textId="73F7F7F2" w:rsidR="0083516C" w:rsidRDefault="0083516C" w:rsidP="7BDB84E4">
          <w:pPr>
            <w:pStyle w:val="Zhlav"/>
            <w:ind w:right="-115"/>
            <w:jc w:val="right"/>
          </w:pPr>
        </w:p>
      </w:tc>
    </w:tr>
  </w:tbl>
  <w:p w14:paraId="72D422D1" w14:textId="17FE3811" w:rsidR="0083516C" w:rsidRDefault="0083516C" w:rsidP="7BDB84E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0D8DC0ED" w:rsidR="0083516C" w:rsidRPr="00932443" w:rsidRDefault="0083516C"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773220">
      <w:rPr>
        <w:szCs w:val="16"/>
      </w:rPr>
      <w:t>4</w:t>
    </w:r>
    <w:r w:rsidRPr="00932443">
      <w:rPr>
        <w:szCs w:val="16"/>
      </w:rPr>
      <w:fldChar w:fldCharType="end"/>
    </w:r>
    <w:r w:rsidRPr="00932443">
      <w:rPr>
        <w:szCs w:val="16"/>
      </w:rPr>
      <w:tab/>
    </w:r>
    <w:r>
      <w:rPr>
        <w:szCs w:val="16"/>
      </w:rPr>
      <w:t>1. až 3. čtvrtletí 2024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0AE3D24C" w:rsidR="0083516C" w:rsidRPr="00932443" w:rsidRDefault="0083516C"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1. až 3.čtvrtletí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773220">
      <w:rPr>
        <w:rStyle w:val="ZpatChar"/>
        <w:szCs w:val="16"/>
      </w:rPr>
      <w:t>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0D8F6" w14:textId="77777777" w:rsidR="0083516C" w:rsidRDefault="0083516C" w:rsidP="00EA4302">
      <w:pPr>
        <w:spacing w:after="0"/>
      </w:pPr>
      <w:r>
        <w:separator/>
      </w:r>
    </w:p>
  </w:footnote>
  <w:footnote w:type="continuationSeparator" w:id="0">
    <w:p w14:paraId="70CDBF0C" w14:textId="77777777" w:rsidR="0083516C" w:rsidRDefault="0083516C" w:rsidP="00E71A58">
      <w:r>
        <w:continuationSeparator/>
      </w:r>
    </w:p>
  </w:footnote>
  <w:footnote w:id="1">
    <w:p w14:paraId="5EAD1454" w14:textId="77777777" w:rsidR="0083516C" w:rsidRDefault="0083516C" w:rsidP="00AD4F16">
      <w:pPr>
        <w:pStyle w:val="Textpoznpodarou"/>
        <w:rPr>
          <w:spacing w:val="-2"/>
          <w:sz w:val="16"/>
          <w:szCs w:val="16"/>
        </w:rPr>
      </w:pPr>
      <w:r>
        <w:rPr>
          <w:rStyle w:val="Znakapoznpodarou"/>
          <w:spacing w:val="-2"/>
          <w:sz w:val="16"/>
          <w:szCs w:val="16"/>
        </w:rPr>
        <w:footnoteRef/>
      </w:r>
      <w:r>
        <w:rPr>
          <w:spacing w:val="-2"/>
          <w:sz w:val="16"/>
          <w:szCs w:val="16"/>
        </w:rPr>
        <w:t xml:space="preserve"> Data o HDP, hrubé přidané hodnotě a jejích složkách jsou vyjádřena ve stálých cenách a v očištění o sezónní a kalendářní vlivy.</w:t>
      </w:r>
    </w:p>
  </w:footnote>
  <w:footnote w:id="2">
    <w:p w14:paraId="30F1B2A2" w14:textId="77777777" w:rsidR="0083516C" w:rsidRDefault="0083516C" w:rsidP="00AD4F16">
      <w:pPr>
        <w:pStyle w:val="Textpoznpodarou"/>
        <w:rPr>
          <w:sz w:val="16"/>
          <w:szCs w:val="16"/>
        </w:rPr>
      </w:pPr>
      <w:r>
        <w:rPr>
          <w:rStyle w:val="Znakapoznpodarou"/>
          <w:sz w:val="16"/>
          <w:szCs w:val="16"/>
        </w:rPr>
        <w:footnoteRef/>
      </w:r>
      <w:r>
        <w:rPr>
          <w:sz w:val="16"/>
          <w:szCs w:val="16"/>
        </w:rPr>
        <w:t xml:space="preserve"> Podle metodiky čtvrtletních národních účtů (vývoz a dovoz v ocenění FOB/FOB).</w:t>
      </w:r>
    </w:p>
  </w:footnote>
  <w:footnote w:id="3">
    <w:p w14:paraId="435EBBB4" w14:textId="77777777" w:rsidR="0083516C" w:rsidRDefault="0083516C" w:rsidP="00AD4F16">
      <w:pPr>
        <w:pStyle w:val="Textpoznpodarou"/>
        <w:jc w:val="both"/>
        <w:rPr>
          <w:sz w:val="16"/>
          <w:szCs w:val="16"/>
        </w:rPr>
      </w:pPr>
      <w:r>
        <w:rPr>
          <w:rStyle w:val="Znakapoznpodarou"/>
          <w:spacing w:val="-2"/>
          <w:sz w:val="16"/>
          <w:szCs w:val="16"/>
        </w:rPr>
        <w:footnoteRef/>
      </w:r>
      <w:r>
        <w:rPr>
          <w:spacing w:val="-2"/>
          <w:sz w:val="16"/>
          <w:szCs w:val="16"/>
        </w:rPr>
        <w:t xml:space="preserve"> Údaje o zaměstnanosti jsou uvedeny v pojetí národních účtů a očištěny o sezónní vlivy.</w:t>
      </w:r>
    </w:p>
  </w:footnote>
  <w:footnote w:id="4">
    <w:p w14:paraId="032EB70C" w14:textId="77777777" w:rsidR="0083516C" w:rsidRPr="000348AF" w:rsidRDefault="0083516C" w:rsidP="00FA7115">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w:t>
      </w:r>
      <w:r>
        <w:rPr>
          <w:sz w:val="16"/>
          <w:szCs w:val="16"/>
        </w:rPr>
        <w:t xml:space="preserve"> 29. 11. </w:t>
      </w:r>
      <w:r w:rsidRPr="000348AF">
        <w:rPr>
          <w:sz w:val="16"/>
          <w:szCs w:val="16"/>
        </w:rPr>
        <w:t>202</w:t>
      </w:r>
      <w:r>
        <w:rPr>
          <w:sz w:val="16"/>
          <w:szCs w:val="16"/>
        </w:rPr>
        <w:t>4</w:t>
      </w:r>
      <w:r w:rsidRPr="000348AF">
        <w:rPr>
          <w:sz w:val="16"/>
          <w:szCs w:val="16"/>
        </w:rPr>
        <w:t>.</w:t>
      </w:r>
    </w:p>
  </w:footnote>
  <w:footnote w:id="5">
    <w:p w14:paraId="3230FAFC" w14:textId="77777777" w:rsidR="0083516C" w:rsidRDefault="0083516C" w:rsidP="00FA7115">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6">
    <w:p w14:paraId="1C197529" w14:textId="77777777" w:rsidR="0083516C" w:rsidRPr="005F75B1" w:rsidRDefault="0083516C" w:rsidP="00FA7115">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7">
    <w:p w14:paraId="17B067AF" w14:textId="77777777" w:rsidR="0083516C" w:rsidRPr="0053191D" w:rsidRDefault="0083516C" w:rsidP="00FA7115">
      <w:pPr>
        <w:pStyle w:val="Textpoznpodarou"/>
        <w:rPr>
          <w:sz w:val="16"/>
          <w:szCs w:val="16"/>
        </w:rPr>
      </w:pPr>
      <w:r w:rsidRPr="0053191D">
        <w:rPr>
          <w:rStyle w:val="Znakapoznpodarou"/>
          <w:sz w:val="16"/>
          <w:szCs w:val="16"/>
        </w:rPr>
        <w:footnoteRef/>
      </w:r>
      <w:r w:rsidRPr="0053191D">
        <w:rPr>
          <w:sz w:val="16"/>
          <w:szCs w:val="16"/>
        </w:rPr>
        <w:t xml:space="preserve"> Tato sekce zahrnuje činnosti organizací sdružujících osoby za účelem prosazování společných zájmů, opravy počítačů a výrobků pro osobní potřebu a převážně pro domácnost a řadu jiných osobních služeb</w:t>
      </w:r>
      <w:r>
        <w:rPr>
          <w:sz w:val="16"/>
          <w:szCs w:val="16"/>
        </w:rPr>
        <w:t xml:space="preserve"> (kosmetické, kadeřnické apod.).</w:t>
      </w:r>
    </w:p>
  </w:footnote>
  <w:footnote w:id="8">
    <w:p w14:paraId="65866A7B" w14:textId="77777777" w:rsidR="0083516C" w:rsidRPr="009C6EA8" w:rsidRDefault="0083516C" w:rsidP="00FA7115">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9">
    <w:p w14:paraId="70AFDC94" w14:textId="77777777" w:rsidR="0083516C" w:rsidRPr="00954992" w:rsidRDefault="0083516C" w:rsidP="00FA7115">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10">
    <w:p w14:paraId="25AE0930" w14:textId="77777777" w:rsidR="0083516C" w:rsidRPr="004831F6" w:rsidRDefault="0083516C" w:rsidP="00FA7115">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neočištěná)</w:t>
      </w:r>
      <w:r w:rsidRPr="004831F6">
        <w:rPr>
          <w:sz w:val="16"/>
          <w:szCs w:val="16"/>
        </w:rPr>
        <w:t xml:space="preserve"> </w:t>
      </w:r>
      <w:r>
        <w:rPr>
          <w:sz w:val="16"/>
          <w:szCs w:val="16"/>
        </w:rPr>
        <w:t xml:space="preserve">ve 3. čtvrtletí 2024 dosáhla 63,6 mld. korun a v roce 2023 to bylo 75,9 mld. </w:t>
      </w:r>
    </w:p>
  </w:footnote>
  <w:footnote w:id="11">
    <w:p w14:paraId="20A32DD0" w14:textId="77777777" w:rsidR="0083516C" w:rsidRPr="00167B30" w:rsidRDefault="0083516C" w:rsidP="00FA7115">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xml:space="preserve">. Bilance zahraničního obchodu v běžných cenách </w:t>
      </w:r>
      <w:r>
        <w:rPr>
          <w:sz w:val="16"/>
          <w:szCs w:val="16"/>
        </w:rPr>
        <w:br/>
        <w:t>a po sezónním očištění.</w:t>
      </w:r>
    </w:p>
  </w:footnote>
  <w:footnote w:id="12">
    <w:p w14:paraId="413768DC" w14:textId="77777777" w:rsidR="0083516C" w:rsidRDefault="0083516C" w:rsidP="004E7C6B">
      <w:pPr>
        <w:pStyle w:val="Textpoznpodarou"/>
        <w:jc w:val="both"/>
        <w:rPr>
          <w:rFonts w:cs="Arial"/>
          <w:color w:val="0D0D0D" w:themeColor="text1" w:themeTint="F2"/>
          <w:spacing w:val="-2"/>
          <w:sz w:val="16"/>
          <w:szCs w:val="16"/>
        </w:rPr>
      </w:pPr>
      <w:r>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Údaje o HPH jsou vyjádřeny ve stálých cenách a v očištění o sezónní a kalendářní vlivy.</w:t>
      </w:r>
    </w:p>
  </w:footnote>
  <w:footnote w:id="13">
    <w:p w14:paraId="05BEA7ED"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V informačních a komunikačních činnostech převýšila HPH předkrizovou úroveň o třetinu, v peněžnictví a pojišťovnictví o pětinu </w:t>
      </w:r>
      <w:r>
        <w:rPr>
          <w:sz w:val="16"/>
          <w:szCs w:val="16"/>
        </w:rPr>
        <w:br/>
        <w:t xml:space="preserve">a v podnikových službách (profesní, vědecké, technické a administrativní činnosti) o desetinu. Naopak výkon průmyslu zaostával za </w:t>
      </w:r>
      <w:r>
        <w:rPr>
          <w:sz w:val="16"/>
          <w:szCs w:val="16"/>
        </w:rPr>
        <w:br/>
        <w:t xml:space="preserve">3. čtvrtletím 2019 o 7 %, primárního sektoru ekonomiky o 10 % a stavebnictví o 18 %. </w:t>
      </w:r>
    </w:p>
  </w:footnote>
  <w:footnote w:id="14">
    <w:p w14:paraId="7E3CE711"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Sklizeň všech obilovin v roce 2024 (dle posledního odhadu k 30. září) dosáhla 7,412 mil. tun (meziročně o 7,2 % méně, obdobně </w:t>
      </w:r>
      <w:r>
        <w:rPr>
          <w:sz w:val="16"/>
          <w:szCs w:val="16"/>
        </w:rPr>
        <w:br/>
        <w:t xml:space="preserve">i proti 10letému průměru). Za posledních 12 let byla slabší sklizeň jen ve velmi suchém roce 2018 (6,97 mil). Meziročně vyšší byla úroda jen některých jarních plodin (ječmen jarní, oves) a také kukuřice na zrno (+11 %, proti velmi nízké loňské úrodě), a to výhradně díky rozšíření ploch osevů. Obilovin se meziročně sklidilo méně ve všech krajích – především v Praze a Zlínském kraji (o více než </w:t>
      </w:r>
      <w:r>
        <w:rPr>
          <w:sz w:val="16"/>
          <w:szCs w:val="16"/>
        </w:rPr>
        <w:br/>
        <w:t xml:space="preserve">10 %), nejmenší pokles nastal v kraji Olomouckém (-4 %). Sklizeň řepky (952 tis. tun, meziročně o 27,3 % méně) byla nejslabší za posledních 18 let. Projevil se jak pokles osevní plochy (−9,6 %), tak nižší hektarový výnos (−19,5 %). Letošní úroda řepky je o pětinu nižší ve srovnání s pětiletým průměrem (osevní plocha −5,4 %; hektarový výnos −14,8 %). Sklizeň brambor 630 tis. tun byla o desetinu vyšší než v loňském podprůměrném roce (hlavně díky rozšíření osázené plochy o 8,6 %). Ve srovnání s pětiletým průměrem je úroda </w:t>
      </w:r>
      <w:r>
        <w:rPr>
          <w:sz w:val="16"/>
          <w:szCs w:val="16"/>
        </w:rPr>
        <w:br/>
        <w:t xml:space="preserve">o 2,2 % nižší. Úroda řepy cukrové dosáhla 4 435 tis. tun, meziročně byla o 15,7 % vyšší, hlavně díky nárůstu osevní plochy (+12,1 %). Proti roku 2017, kdy skončil systém produkčních kvót na cukr, je letošní osevní plocha řepy cukrové téměř totožná. Dařilo se i většině dalších technických plodin. Hlavně díky rozšíření osevů vzrostla letos úroda máku (na 29 tis. t., meziročně +59 %). Podobný efekt nastal i u sóji (úroda +11 %). Velmi dobrá letošní sklizeň obou plodin ještě více vynikne i ve srovnání s víceletým průměrem. Zhruba na úrovni 5letého průměru je letos úroda slunečnice na semeno, avšak meziročně zaostává (-12,5 %), výhradně kvůli poklesu plochy. Dostatek srážek po většinu vegetačního období se příznivě odrazil v meziročně vyšší sklizni většiny pícnin (kukuřice na zeleno +14 %, jetel </w:t>
      </w:r>
      <w:r>
        <w:rPr>
          <w:sz w:val="16"/>
          <w:szCs w:val="16"/>
        </w:rPr>
        <w:br/>
        <w:t xml:space="preserve">+5 %), klesla pouze sklizeň vojtěšky (-6 %). Produkce hrachu polního na zrno meziročně klesla o 9,7 % na 95 tis. tun. Osevní plocha se rozšířila o 12,4 %, ale hektarový výnos se snížil o pětinu. Odhad sklizně hrachu je srovnatelný s pětiletým průměrem. </w:t>
      </w:r>
    </w:p>
  </w:footnote>
  <w:footnote w:id="15">
    <w:p w14:paraId="01796B52" w14:textId="77777777" w:rsidR="0083516C" w:rsidRDefault="0083516C" w:rsidP="004E7C6B">
      <w:pPr>
        <w:spacing w:after="0" w:line="240" w:lineRule="auto"/>
        <w:rPr>
          <w:rFonts w:cs="Arial"/>
          <w:color w:val="0D0D0D" w:themeColor="text1" w:themeTint="F2"/>
          <w:spacing w:val="-4"/>
          <w:sz w:val="16"/>
          <w:szCs w:val="16"/>
        </w:rPr>
      </w:pPr>
      <w:r>
        <w:rPr>
          <w:rStyle w:val="Znakapoznpodarou"/>
          <w:spacing w:val="-4"/>
          <w:sz w:val="16"/>
          <w:szCs w:val="16"/>
        </w:rPr>
        <w:footnoteRef/>
      </w:r>
      <w:r>
        <w:rPr>
          <w:spacing w:val="-4"/>
          <w:sz w:val="16"/>
          <w:szCs w:val="16"/>
        </w:rPr>
        <w:t xml:space="preserve"> </w:t>
      </w:r>
      <w:r>
        <w:rPr>
          <w:rFonts w:cs="Arial"/>
          <w:color w:val="0D0D0D" w:themeColor="text1" w:themeTint="F2"/>
          <w:spacing w:val="-4"/>
          <w:sz w:val="16"/>
          <w:szCs w:val="16"/>
        </w:rPr>
        <w:t>Zahrnuje odvětví těžby a dobývání, zpracovatelského průmyslu a také energetiky (zde pojímané jako odvětví výroby a rozvodu elektřiny, plynu, tepla a klimatizovaného vzduchu). Všechna meziroční tempa produkce jsou očištěna o kalendářní vlivy, mezičtvrtletní tempa i o vliv sezónnosti.</w:t>
      </w:r>
    </w:p>
  </w:footnote>
  <w:footnote w:id="16">
    <w:p w14:paraId="2A16CAE2" w14:textId="77777777" w:rsidR="0083516C" w:rsidRDefault="0083516C" w:rsidP="004E7C6B">
      <w:pPr>
        <w:pStyle w:val="Textpoznpodarou"/>
        <w:rPr>
          <w:spacing w:val="-1"/>
          <w:sz w:val="16"/>
          <w:szCs w:val="16"/>
        </w:rPr>
      </w:pPr>
      <w:r>
        <w:rPr>
          <w:rStyle w:val="Znakapoznpodarou"/>
          <w:sz w:val="16"/>
          <w:szCs w:val="16"/>
        </w:rPr>
        <w:footnoteRef/>
      </w:r>
      <w:r>
        <w:rPr>
          <w:sz w:val="16"/>
          <w:szCs w:val="16"/>
        </w:rPr>
        <w:t xml:space="preserve"> </w:t>
      </w:r>
      <w:r>
        <w:rPr>
          <w:color w:val="0D0D0D" w:themeColor="text1" w:themeTint="F2"/>
          <w:spacing w:val="-1"/>
          <w:sz w:val="16"/>
          <w:szCs w:val="16"/>
        </w:rPr>
        <w:t xml:space="preserve">Za svým vrcholem z období let 2015 až 2019 </w:t>
      </w:r>
      <w:r>
        <w:rPr>
          <w:spacing w:val="-1"/>
          <w:sz w:val="16"/>
          <w:szCs w:val="16"/>
        </w:rPr>
        <w:t>letos ve 3. čtvrtletí zaostávaly více než dvě třetiny hlavních průmyslových oborů – především ty provázané s oblastí energetiky (</w:t>
      </w:r>
      <w:r>
        <w:rPr>
          <w:color w:val="0D0D0D" w:themeColor="text1" w:themeTint="F2"/>
          <w:spacing w:val="-4"/>
          <w:sz w:val="16"/>
          <w:szCs w:val="16"/>
        </w:rPr>
        <w:t>−</w:t>
      </w:r>
      <w:r>
        <w:rPr>
          <w:spacing w:val="-1"/>
          <w:sz w:val="16"/>
          <w:szCs w:val="16"/>
        </w:rPr>
        <w:t>22 %) a ty zaměřené na produkci dlouhodobé spotřeby (</w:t>
      </w:r>
      <w:r>
        <w:rPr>
          <w:color w:val="0D0D0D" w:themeColor="text1" w:themeTint="F2"/>
          <w:spacing w:val="-4"/>
          <w:sz w:val="16"/>
          <w:szCs w:val="16"/>
        </w:rPr>
        <w:t>−</w:t>
      </w:r>
      <w:r>
        <w:rPr>
          <w:spacing w:val="-1"/>
          <w:sz w:val="16"/>
          <w:szCs w:val="16"/>
        </w:rPr>
        <w:t>18 %). Na úrovni jednotlivých oborů šlo zejména o těžbu uhlí (</w:t>
      </w:r>
      <w:r>
        <w:rPr>
          <w:rFonts w:cs="Arial"/>
          <w:color w:val="0D0D0D" w:themeColor="text1" w:themeTint="F2"/>
          <w:spacing w:val="-1"/>
          <w:sz w:val="16"/>
          <w:szCs w:val="16"/>
        </w:rPr>
        <w:t>o </w:t>
      </w:r>
      <w:r>
        <w:rPr>
          <w:spacing w:val="-1"/>
          <w:sz w:val="16"/>
          <w:szCs w:val="16"/>
        </w:rPr>
        <w:t>54</w:t>
      </w:r>
      <w:r>
        <w:rPr>
          <w:rFonts w:cs="Arial"/>
          <w:color w:val="0D0D0D" w:themeColor="text1" w:themeTint="F2"/>
          <w:spacing w:val="-1"/>
          <w:sz w:val="16"/>
          <w:szCs w:val="16"/>
        </w:rPr>
        <w:t> </w:t>
      </w:r>
      <w:r>
        <w:rPr>
          <w:spacing w:val="-1"/>
          <w:sz w:val="16"/>
          <w:szCs w:val="16"/>
        </w:rPr>
        <w:t>%), výrobu kovů, hutnictví a slévárenství (−34 %), tiskárenství (−23 %), textilní průmysl (−22 %), těžbu stavebních materiálů (−21</w:t>
      </w:r>
      <w:r>
        <w:rPr>
          <w:rFonts w:cs="Arial"/>
          <w:color w:val="0D0D0D" w:themeColor="text1" w:themeTint="F2"/>
          <w:spacing w:val="-1"/>
          <w:sz w:val="16"/>
          <w:szCs w:val="16"/>
        </w:rPr>
        <w:t> </w:t>
      </w:r>
      <w:r>
        <w:rPr>
          <w:spacing w:val="-1"/>
          <w:sz w:val="16"/>
          <w:szCs w:val="16"/>
        </w:rPr>
        <w:t xml:space="preserve">%) a energetiku (18 %). Z větších oborů se jednalo dále o chemický průmysl (−16 %), strojírenství </w:t>
      </w:r>
      <w:r>
        <w:rPr>
          <w:spacing w:val="-1"/>
          <w:sz w:val="16"/>
          <w:szCs w:val="16"/>
        </w:rPr>
        <w:br/>
        <w:t>a výrobu stavebních hmot (shodně −14</w:t>
      </w:r>
      <w:r>
        <w:rPr>
          <w:rFonts w:cs="Arial"/>
          <w:color w:val="0D0D0D" w:themeColor="text1" w:themeTint="F2"/>
          <w:spacing w:val="-1"/>
          <w:sz w:val="16"/>
          <w:szCs w:val="16"/>
        </w:rPr>
        <w:t> </w:t>
      </w:r>
      <w:r>
        <w:rPr>
          <w:spacing w:val="-1"/>
          <w:sz w:val="16"/>
          <w:szCs w:val="16"/>
        </w:rPr>
        <w:t>%), gumárenství a plastikářství (−7 %). Naopak nad předkrizovou úrovní produkce se aktuálně nacházela zejména výroba ostatních dopravních prostředků (+29 %), farmacie (+22 %), automobilový průmysl (+14 %), elektrotechnika (+11 %), ostatní zpracovatelský průmysl a papírenství (shodně +10 %).</w:t>
      </w:r>
    </w:p>
  </w:footnote>
  <w:footnote w:id="17">
    <w:p w14:paraId="47720C61" w14:textId="77777777" w:rsidR="0083516C" w:rsidRDefault="0083516C" w:rsidP="004E7C6B">
      <w:pPr>
        <w:pStyle w:val="Textpoznpodarou"/>
        <w:rPr>
          <w:color w:val="0D0D0D" w:themeColor="text1" w:themeTint="F2"/>
          <w:spacing w:val="-2"/>
          <w:sz w:val="16"/>
          <w:szCs w:val="16"/>
        </w:rPr>
      </w:pPr>
      <w:r>
        <w:rPr>
          <w:rStyle w:val="Znakapoznpodarou"/>
          <w:spacing w:val="-2"/>
          <w:sz w:val="16"/>
          <w:szCs w:val="16"/>
        </w:rPr>
        <w:footnoteRef/>
      </w:r>
      <w:r>
        <w:rPr>
          <w:spacing w:val="-2"/>
          <w:sz w:val="16"/>
          <w:szCs w:val="16"/>
        </w:rPr>
        <w:t xml:space="preserve"> Průmysl je </w:t>
      </w:r>
      <w:r>
        <w:rPr>
          <w:color w:val="0D0D0D" w:themeColor="text1" w:themeTint="F2"/>
          <w:spacing w:val="-2"/>
          <w:sz w:val="16"/>
          <w:szCs w:val="16"/>
        </w:rPr>
        <w:t>od loňského jara v útlumu také v EU. V 1. až 3. čtvrtletí 2024 se jeho produkce v Unii meziročně snížila o 2,7 %. Nejvíce klesl výkon odvětví zaměřených na produkci investičních výrobků (</w:t>
      </w:r>
      <w:r>
        <w:rPr>
          <w:color w:val="0D0D0D" w:themeColor="text1" w:themeTint="F2"/>
          <w:spacing w:val="-1"/>
          <w:sz w:val="16"/>
          <w:szCs w:val="16"/>
        </w:rPr>
        <w:t>−</w:t>
      </w:r>
      <w:r>
        <w:rPr>
          <w:color w:val="0D0D0D" w:themeColor="text1" w:themeTint="F2"/>
          <w:spacing w:val="-2"/>
          <w:sz w:val="16"/>
          <w:szCs w:val="16"/>
        </w:rPr>
        <w:t>5,1 %, hlavně elektronika, motorová vozidla a stroje) a produktů dlouhodobé spotřeby (</w:t>
      </w:r>
      <w:r>
        <w:rPr>
          <w:color w:val="0D0D0D" w:themeColor="text1" w:themeTint="F2"/>
          <w:spacing w:val="-1"/>
          <w:sz w:val="16"/>
          <w:szCs w:val="16"/>
        </w:rPr>
        <w:t>−</w:t>
      </w:r>
      <w:r>
        <w:rPr>
          <w:color w:val="0D0D0D" w:themeColor="text1" w:themeTint="F2"/>
          <w:spacing w:val="-2"/>
          <w:sz w:val="16"/>
          <w:szCs w:val="16"/>
        </w:rPr>
        <w:t>4,1 %, např. nábytek, spotřebiče pro domácnost) a mezispotřeby (</w:t>
      </w:r>
      <w:r>
        <w:rPr>
          <w:color w:val="0D0D0D" w:themeColor="text1" w:themeTint="F2"/>
          <w:spacing w:val="-1"/>
          <w:sz w:val="16"/>
          <w:szCs w:val="16"/>
        </w:rPr>
        <w:t>−</w:t>
      </w:r>
      <w:r>
        <w:rPr>
          <w:color w:val="0D0D0D" w:themeColor="text1" w:themeTint="F2"/>
          <w:spacing w:val="-2"/>
          <w:sz w:val="16"/>
          <w:szCs w:val="16"/>
        </w:rPr>
        <w:t>2,7 %, zejména elektrická zařízení, stavební materiály, kovovýroba), naopak nepatrně posílily obory zacílené na produkty krátkodobé spotřeby (+0,8 %), a to zejména potravinářství a tabákový průmysl. Z pohledu členských států se celková průmyslová produkce snížila nejvíce v Irsku (</w:t>
      </w:r>
      <w:r>
        <w:rPr>
          <w:color w:val="0D0D0D" w:themeColor="text1" w:themeTint="F2"/>
          <w:spacing w:val="-1"/>
          <w:sz w:val="16"/>
          <w:szCs w:val="16"/>
        </w:rPr>
        <w:t>−</w:t>
      </w:r>
      <w:r>
        <w:rPr>
          <w:color w:val="0D0D0D" w:themeColor="text1" w:themeTint="F2"/>
          <w:spacing w:val="-2"/>
          <w:sz w:val="16"/>
          <w:szCs w:val="16"/>
        </w:rPr>
        <w:t>8,8 %), z klíčových producentů pak v Německu (</w:t>
      </w:r>
      <w:r>
        <w:rPr>
          <w:color w:val="0D0D0D" w:themeColor="text1" w:themeTint="F2"/>
          <w:spacing w:val="-1"/>
          <w:sz w:val="16"/>
          <w:szCs w:val="16"/>
        </w:rPr>
        <w:t>−</w:t>
      </w:r>
      <w:r>
        <w:rPr>
          <w:color w:val="0D0D0D" w:themeColor="text1" w:themeTint="F2"/>
          <w:spacing w:val="-2"/>
          <w:sz w:val="16"/>
          <w:szCs w:val="16"/>
        </w:rPr>
        <w:t>5,0 %) a Itálii (</w:t>
      </w:r>
      <w:r>
        <w:rPr>
          <w:color w:val="0D0D0D" w:themeColor="text1" w:themeTint="F2"/>
          <w:spacing w:val="-1"/>
          <w:sz w:val="16"/>
          <w:szCs w:val="16"/>
        </w:rPr>
        <w:t>−</w:t>
      </w:r>
      <w:r>
        <w:rPr>
          <w:color w:val="0D0D0D" w:themeColor="text1" w:themeTint="F2"/>
          <w:spacing w:val="-2"/>
          <w:sz w:val="16"/>
          <w:szCs w:val="16"/>
        </w:rPr>
        <w:t>3,4 %). Kromě Polska (+0,4 %) klesla ve všech středoevropských státech. Růst naopak nastal jen v osmi státech Unie – především v Dánsku (+9,4 %) a Řecku (+6,4 %), z klíčových ekonomik ovšem pouze ve Španělsku (+0,2 %).</w:t>
      </w:r>
    </w:p>
  </w:footnote>
  <w:footnote w:id="18">
    <w:p w14:paraId="7D51C721" w14:textId="77777777" w:rsidR="0083516C" w:rsidRDefault="0083516C" w:rsidP="004E7C6B">
      <w:pPr>
        <w:pStyle w:val="Textpoznpodarou"/>
        <w:rPr>
          <w:color w:val="0D0D0D" w:themeColor="text1" w:themeTint="F2"/>
          <w:sz w:val="16"/>
          <w:szCs w:val="16"/>
        </w:rPr>
      </w:pPr>
      <w:r>
        <w:rPr>
          <w:rStyle w:val="Znakapoznpodarou"/>
          <w:color w:val="0D0D0D" w:themeColor="text1" w:themeTint="F2"/>
          <w:sz w:val="16"/>
          <w:szCs w:val="16"/>
        </w:rPr>
        <w:footnoteRef/>
      </w:r>
      <w:r>
        <w:rPr>
          <w:color w:val="0D0D0D" w:themeColor="text1" w:themeTint="F2"/>
          <w:sz w:val="16"/>
          <w:szCs w:val="16"/>
        </w:rPr>
        <w:t xml:space="preserve"> Strojírenství působilo proti růstu průmyslu nejvíce ze všech oborů ve všech dosavadních letošních kvartálech i ve 4. čtvrtletí 2023.</w:t>
      </w:r>
    </w:p>
  </w:footnote>
  <w:footnote w:id="19">
    <w:p w14:paraId="45513613" w14:textId="77777777" w:rsidR="0083516C" w:rsidRDefault="0083516C" w:rsidP="004E7C6B">
      <w:pPr>
        <w:pStyle w:val="Textpoznpodarou"/>
        <w:rPr>
          <w:color w:val="0D0D0D" w:themeColor="text1" w:themeTint="F2"/>
          <w:sz w:val="16"/>
          <w:szCs w:val="16"/>
        </w:rPr>
      </w:pPr>
      <w:r>
        <w:rPr>
          <w:rStyle w:val="Znakapoznpodarou"/>
          <w:color w:val="0D0D0D" w:themeColor="text1" w:themeTint="F2"/>
          <w:sz w:val="16"/>
          <w:szCs w:val="16"/>
        </w:rPr>
        <w:footnoteRef/>
      </w:r>
      <w:r>
        <w:rPr>
          <w:color w:val="0D0D0D" w:themeColor="text1" w:themeTint="F2"/>
          <w:sz w:val="16"/>
          <w:szCs w:val="16"/>
        </w:rPr>
        <w:t xml:space="preserve"> Oproti 1. až 3. čtvrtletí 2021 byla letošní produkce v tomto oboru o více než čtvrtinu nižší. </w:t>
      </w:r>
    </w:p>
  </w:footnote>
  <w:footnote w:id="20">
    <w:p w14:paraId="57943EC2" w14:textId="77777777" w:rsidR="0083516C" w:rsidRDefault="0083516C" w:rsidP="004E7C6B">
      <w:pPr>
        <w:pStyle w:val="Textpoznpodarou"/>
        <w:rPr>
          <w:color w:val="0D0D0D" w:themeColor="text1" w:themeTint="F2"/>
          <w:sz w:val="16"/>
          <w:szCs w:val="16"/>
        </w:rPr>
      </w:pPr>
      <w:r>
        <w:rPr>
          <w:rStyle w:val="Znakapoznpodarou"/>
          <w:color w:val="0D0D0D" w:themeColor="text1" w:themeTint="F2"/>
          <w:sz w:val="16"/>
          <w:szCs w:val="16"/>
        </w:rPr>
        <w:footnoteRef/>
      </w:r>
      <w:r>
        <w:rPr>
          <w:color w:val="0D0D0D" w:themeColor="text1" w:themeTint="F2"/>
          <w:sz w:val="16"/>
          <w:szCs w:val="16"/>
        </w:rPr>
        <w:t xml:space="preserve"> Na tento výsledek měla patrně vliv zhoršená pozice některých přímých subdodavatelů (v rámci odvětví automobilového průmyslu). Samotná finální fyzická výroba ale rostla. Dle údajů </w:t>
      </w:r>
      <w:r>
        <w:rPr>
          <w:color w:val="0D0D0D" w:themeColor="text1" w:themeTint="F2"/>
          <w:spacing w:val="-3"/>
          <w:sz w:val="16"/>
          <w:szCs w:val="16"/>
        </w:rPr>
        <w:t>Sdružení</w:t>
      </w:r>
      <w:r>
        <w:rPr>
          <w:color w:val="0D0D0D" w:themeColor="text1" w:themeTint="F2"/>
          <w:sz w:val="16"/>
          <w:szCs w:val="16"/>
        </w:rPr>
        <w:t xml:space="preserve"> automobilového průmyslu se letos za tři čtvrtletí v tuzemsku vyrobilo </w:t>
      </w:r>
      <w:r>
        <w:rPr>
          <w:color w:val="0D0D0D" w:themeColor="text1" w:themeTint="F2"/>
          <w:sz w:val="16"/>
          <w:szCs w:val="16"/>
        </w:rPr>
        <w:br/>
        <w:t xml:space="preserve">1,097 mil. osobních automobilů, meziročně o 8 % více (a současně 3 % více než v rekordním roce 2019). Přispělo k tomu svižné tempo výroby na samém počátku roku, i na konci 3. čtvrtletí. </w:t>
      </w:r>
      <w:r>
        <w:rPr>
          <w:color w:val="0D0D0D" w:themeColor="text1" w:themeTint="F2"/>
          <w:spacing w:val="-3"/>
          <w:sz w:val="16"/>
          <w:szCs w:val="16"/>
        </w:rPr>
        <w:t>Na rozdíl od předchozích let se výroba automobilů během letošního roku vyznačovala větší rovnoměrností, což naznačuje výrazné zklidnění v oblasti dodavatelských řetězců. K meziročnímu poklesu došlo ve výrobě elektrických vozidel (vč. vozů s hybridním pohonem), které se zatím letos na celkové produkci osobních automobilů podílely rovnými 9,7 % (o rok dříve 13,7 %). Oproti tomu posílila letos výroba většiny producentů ostatních druhů silničních motorových vozidel.</w:t>
      </w:r>
    </w:p>
  </w:footnote>
  <w:footnote w:id="21">
    <w:p w14:paraId="6D3879BB" w14:textId="77777777" w:rsidR="0083516C" w:rsidRDefault="0083516C" w:rsidP="004E7C6B">
      <w:pPr>
        <w:pStyle w:val="Textpoznpodarou"/>
        <w:rPr>
          <w:color w:val="0D0D0D" w:themeColor="text1" w:themeTint="F2"/>
          <w:sz w:val="16"/>
          <w:szCs w:val="16"/>
        </w:rPr>
      </w:pPr>
      <w:r>
        <w:rPr>
          <w:rStyle w:val="Znakapoznpodarou"/>
          <w:color w:val="0D0D0D" w:themeColor="text1" w:themeTint="F2"/>
          <w:sz w:val="16"/>
          <w:szCs w:val="16"/>
        </w:rPr>
        <w:footnoteRef/>
      </w:r>
      <w:r>
        <w:rPr>
          <w:color w:val="0D0D0D" w:themeColor="text1" w:themeTint="F2"/>
          <w:sz w:val="16"/>
          <w:szCs w:val="16"/>
        </w:rPr>
        <w:t xml:space="preserve"> </w:t>
      </w:r>
      <w:r>
        <w:rPr>
          <w:color w:val="0D0D0D" w:themeColor="text1" w:themeTint="F2"/>
          <w:spacing w:val="-4"/>
          <w:sz w:val="16"/>
          <w:szCs w:val="16"/>
        </w:rPr>
        <w:t>To souviselo i s vyšší srovnávací základnou. Letošní produkce již neudržela velmi vysoké tempo výroby z předchozích dvou let, jež zčásti pramenilo z finalizace většího objemu zakázek nahromaděných z období ovlivněného narušením dodavatelských řetězců.</w:t>
      </w:r>
    </w:p>
  </w:footnote>
  <w:footnote w:id="22">
    <w:p w14:paraId="2AA2F24C" w14:textId="77777777" w:rsidR="0083516C" w:rsidRDefault="0083516C" w:rsidP="004E7C6B">
      <w:pPr>
        <w:pStyle w:val="Textpoznpodarou"/>
      </w:pPr>
      <w:r>
        <w:rPr>
          <w:rStyle w:val="Znakapoznpodarou"/>
          <w:color w:val="0D0D0D" w:themeColor="text1" w:themeTint="F2"/>
          <w:sz w:val="16"/>
          <w:szCs w:val="16"/>
        </w:rPr>
        <w:footnoteRef/>
      </w:r>
      <w:r>
        <w:rPr>
          <w:color w:val="0D0D0D" w:themeColor="text1" w:themeTint="F2"/>
          <w:sz w:val="16"/>
          <w:szCs w:val="16"/>
        </w:rPr>
        <w:t xml:space="preserve"> V celé EU klesla v 1</w:t>
      </w:r>
      <w:r>
        <w:rPr>
          <w:sz w:val="16"/>
          <w:szCs w:val="16"/>
        </w:rPr>
        <w:t>. až 3. čtvrtletí produkce ve výrobě motorových vozidel meziročně o 7,4 % (v eurozóně o 8,5 %). O více než pětinu se propadala v Belgii, Nizozemsku a Itálii, významně se snížila např. i ve Francii (</w:t>
      </w:r>
      <w:r>
        <w:rPr>
          <w:spacing w:val="-1"/>
          <w:sz w:val="16"/>
          <w:szCs w:val="16"/>
        </w:rPr>
        <w:t>−</w:t>
      </w:r>
      <w:r>
        <w:rPr>
          <w:sz w:val="16"/>
          <w:szCs w:val="16"/>
        </w:rPr>
        <w:t>12 %) či Německu (</w:t>
      </w:r>
      <w:r>
        <w:rPr>
          <w:spacing w:val="-1"/>
          <w:sz w:val="16"/>
          <w:szCs w:val="16"/>
        </w:rPr>
        <w:t>−</w:t>
      </w:r>
      <w:r>
        <w:rPr>
          <w:sz w:val="16"/>
          <w:szCs w:val="16"/>
        </w:rPr>
        <w:t>7 %).</w:t>
      </w:r>
    </w:p>
  </w:footnote>
  <w:footnote w:id="23">
    <w:p w14:paraId="48360EB9"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Dle Českého hydrometeorologického ústavu dosáhla v Česku v prvních devíti měsících letošního roku průměrná teplota vzduchu </w:t>
      </w:r>
      <w:r>
        <w:rPr>
          <w:sz w:val="16"/>
          <w:szCs w:val="16"/>
        </w:rPr>
        <w:br/>
        <w:t>12,2 stupně Celsia (dlouhodobý normál z období let 1991–2020 překročila o 2,3 stupně, když vyšší byla ve všech letošních měsících). Oproti stejnému období loňského roku byla letos teplota vyšší o 1,2 stupně, k čemuž přispěly všechny měsíce kromě ledna a září.</w:t>
      </w:r>
    </w:p>
  </w:footnote>
  <w:footnote w:id="24">
    <w:p w14:paraId="5CDFA320" w14:textId="77777777" w:rsidR="0083516C" w:rsidRDefault="0083516C" w:rsidP="004E7C6B">
      <w:pPr>
        <w:pStyle w:val="Textpoznpodarou"/>
      </w:pPr>
      <w:r>
        <w:rPr>
          <w:rStyle w:val="Znakapoznpodarou"/>
          <w:sz w:val="16"/>
          <w:szCs w:val="16"/>
        </w:rPr>
        <w:footnoteRef/>
      </w:r>
      <w:r>
        <w:rPr>
          <w:sz w:val="16"/>
          <w:szCs w:val="16"/>
        </w:rPr>
        <w:t xml:space="preserve"> </w:t>
      </w:r>
      <w:r>
        <w:rPr>
          <w:color w:val="0D0D0D" w:themeColor="text1" w:themeTint="F2"/>
          <w:spacing w:val="-4"/>
          <w:sz w:val="16"/>
          <w:szCs w:val="16"/>
        </w:rPr>
        <w:t xml:space="preserve">Dle údajů Energetického regulačního úřadu přispěly k meziročnímu poklesu výroby v 1. až 3. čtvrtletí 2024 hlavně tepelné elektrárny </w:t>
      </w:r>
      <w:r>
        <w:rPr>
          <w:color w:val="0D0D0D" w:themeColor="text1" w:themeTint="F2"/>
          <w:spacing w:val="-4"/>
          <w:sz w:val="16"/>
          <w:szCs w:val="16"/>
        </w:rPr>
        <w:br/>
        <w:t>a jaderné zdroje. Celkový pokles produkce naopak tlumily především rozvíjející se obnovitelné zdroje – fotovoltaické elektrárny a především (díky svižnému růstu instalovaného výkonu nejmenších zdrojů – do 10 kW) větrné elektrárny.</w:t>
      </w:r>
    </w:p>
  </w:footnote>
  <w:footnote w:id="25">
    <w:p w14:paraId="0A81ED40"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Jeho výroba klesla hlavně vlivem propadu u černého i hnědého uhlí, v menší míře i zemního plynu. Z významnějších zdrojů bylo vyrobeno více tepla jen z biomasy.</w:t>
      </w:r>
    </w:p>
  </w:footnote>
  <w:footnote w:id="26">
    <w:p w14:paraId="357775EF"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Produkce ve výrobě nábytku se letos meziročně snížila o 3,5 %, za poslední dva roky dokonce o 14 %. Zatímco loni vázl především odbyt v zahraničí, letos se negativně projevuje slabší poptávka z tuzemska.</w:t>
      </w:r>
    </w:p>
  </w:footnote>
  <w:footnote w:id="27">
    <w:p w14:paraId="42F428D1"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Produkce má v tomto relativně malém oboru</w:t>
      </w:r>
      <w:r>
        <w:rPr>
          <w:color w:val="0D0D0D" w:themeColor="text1" w:themeTint="F2"/>
          <w:spacing w:val="-4"/>
          <w:sz w:val="16"/>
          <w:szCs w:val="16"/>
        </w:rPr>
        <w:t xml:space="preserve"> tradičně dosti kolísavý charakter. Dobré vyhlídky oboru se opírají o silnou domácí poptávku spojenou s rozvojem dopravní infrastruktury i modernizací armády.</w:t>
      </w:r>
    </w:p>
  </w:footnote>
  <w:footnote w:id="28">
    <w:p w14:paraId="2BCEAF58" w14:textId="77777777" w:rsidR="0083516C" w:rsidRDefault="0083516C" w:rsidP="004E7C6B">
      <w:pPr>
        <w:pStyle w:val="Textpoznpodarou"/>
        <w:jc w:val="both"/>
        <w:rPr>
          <w:rFonts w:cs="Arial"/>
          <w:color w:val="0D0D0D" w:themeColor="text1" w:themeTint="F2"/>
          <w:spacing w:val="-2"/>
          <w:sz w:val="16"/>
          <w:szCs w:val="16"/>
        </w:rPr>
      </w:pPr>
      <w:r>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Zjišťování zakázek probíhá ve dvanácti zpracovatelských odvětvích vyrábějících převážně na zakázku, s dlouhodobějším výrobním cyklem a s většími zásobami zakázek. Meziroční tempa zakázek jsou očištěna o kalendářní vlivy, mezikvartální tempa také o vliv sezónnosti.</w:t>
      </w:r>
    </w:p>
  </w:footnote>
  <w:footnote w:id="29">
    <w:p w14:paraId="33299F82"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V samotném 3. čtvrtletí 2024 zde však růst zvolnil pod 2 %, což bylo nejnižší tempo za posledních dva a půl roku.</w:t>
      </w:r>
    </w:p>
  </w:footnote>
  <w:footnote w:id="30">
    <w:p w14:paraId="5ED8FE37"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Podniky mohou uvést více růstových bariér současně. Vyjma krátkého období na počátku období šíření pandemie covidu-19 je aktuální naléhavost nedostatečné poptávky v průmyslu nejvyšší za posledních 10 let.</w:t>
      </w:r>
    </w:p>
  </w:footnote>
  <w:footnote w:id="31">
    <w:p w14:paraId="459D6277"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V některých zejména menších oborech se však stále jednalo o významnou bariéru (potravinářský, nápojový a kožedělný průmysl), výjimečně i dominantní růstové omezení (výroba ostatních dopravních prostředků, oprava a instalace strojů a zařízení).</w:t>
      </w:r>
    </w:p>
  </w:footnote>
  <w:footnote w:id="32">
    <w:p w14:paraId="41D74AF1" w14:textId="77777777" w:rsidR="0083516C" w:rsidRDefault="0083516C" w:rsidP="004E7C6B">
      <w:pPr>
        <w:pStyle w:val="Textpoznpodarou"/>
      </w:pPr>
      <w:r>
        <w:rPr>
          <w:rStyle w:val="Znakapoznpodarou"/>
          <w:sz w:val="16"/>
          <w:szCs w:val="16"/>
        </w:rPr>
        <w:footnoteRef/>
      </w:r>
      <w:r>
        <w:rPr>
          <w:sz w:val="16"/>
          <w:szCs w:val="16"/>
        </w:rPr>
        <w:t xml:space="preserve"> Tento efekt nicméně není zdaleka tak výrazný jako v roce 2016. V 1. až 3. čtvrtletí 2024 klesly</w:t>
      </w:r>
      <w:r>
        <w:t xml:space="preserve"> </w:t>
      </w:r>
      <w:r>
        <w:rPr>
          <w:sz w:val="16"/>
          <w:szCs w:val="16"/>
        </w:rPr>
        <w:t>celkové kapitálové výdaje státního rozpočtu ČR meziročně o 9,7 %. Státní fond dopravní infrastruktury počítá na celý letošní rok (při pokračování modelu vícezdrojového financování) s výdaji ve výši 150 mld. korun, což je jen nepatrně méně než v rekordním loňském roce (151 mld.). Stavebnictví by mělo perspektivně stále více těžit také z prostředků z Národního plánu obnovy určených např. na snižování energetické náročnosti budov.</w:t>
      </w:r>
    </w:p>
  </w:footnote>
  <w:footnote w:id="33">
    <w:p w14:paraId="7B62E5F9" w14:textId="77777777" w:rsidR="0083516C" w:rsidRDefault="0083516C" w:rsidP="004E7C6B">
      <w:pPr>
        <w:pStyle w:val="Textpoznpodarou"/>
        <w:jc w:val="both"/>
        <w:rPr>
          <w:sz w:val="16"/>
          <w:szCs w:val="16"/>
        </w:rPr>
      </w:pPr>
      <w:r>
        <w:rPr>
          <w:rStyle w:val="Znakapoznpodarou"/>
          <w:rFonts w:cs="Arial"/>
          <w:color w:val="0D0D0D" w:themeColor="text1" w:themeTint="F2"/>
          <w:sz w:val="16"/>
          <w:szCs w:val="16"/>
        </w:rPr>
        <w:footnoteRef/>
      </w:r>
      <w:r>
        <w:rPr>
          <w:rFonts w:cs="Arial"/>
          <w:color w:val="0D0D0D" w:themeColor="text1" w:themeTint="F2"/>
          <w:sz w:val="16"/>
          <w:szCs w:val="16"/>
        </w:rPr>
        <w:t xml:space="preserve"> Údaje o stavební produkci jsou ve stálých cenách, meziroční tempa jsou očištěna o kalendářní vlivy, mezičtvrtletní též o vliv sezónnosti.</w:t>
      </w:r>
    </w:p>
  </w:footnote>
  <w:footnote w:id="34">
    <w:p w14:paraId="1C1D8D47"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w:t>
      </w:r>
      <w:r>
        <w:rPr>
          <w:rStyle w:val="normaltextrun"/>
          <w:rFonts w:cs="Arial"/>
          <w:color w:val="000000"/>
          <w:spacing w:val="-5"/>
        </w:rPr>
        <w:t>Tyto činnosti zahrnují např. kompletační, dokončovací elektroinstalační či instalatérské práce a jsou spíše doménou menších stavebních firem. V roce 2023 přitom ještě profitovaly z mírného růstu poptávky.</w:t>
      </w:r>
    </w:p>
  </w:footnote>
  <w:footnote w:id="35">
    <w:p w14:paraId="34C18E2C" w14:textId="77777777" w:rsidR="0083516C" w:rsidRDefault="0083516C" w:rsidP="004E7C6B">
      <w:pPr>
        <w:spacing w:after="0" w:line="240" w:lineRule="auto"/>
        <w:rPr>
          <w:spacing w:val="-2"/>
        </w:rPr>
      </w:pPr>
      <w:r>
        <w:rPr>
          <w:rStyle w:val="Znakapoznpodarou"/>
          <w:color w:val="0D0D0D" w:themeColor="text1" w:themeTint="F2"/>
          <w:spacing w:val="-2"/>
          <w:sz w:val="16"/>
          <w:szCs w:val="16"/>
        </w:rPr>
        <w:footnoteRef/>
      </w:r>
      <w:r>
        <w:rPr>
          <w:color w:val="0D0D0D" w:themeColor="text1" w:themeTint="F2"/>
          <w:spacing w:val="-2"/>
          <w:sz w:val="16"/>
          <w:szCs w:val="16"/>
        </w:rPr>
        <w:t xml:space="preserve"> Bez obchodu, peněžnictví, pojišťovnictví, vědy, výzkumu a veřejných služeb. Všechny údaje za tržby ve službách jsou ve stálých cenách, meziroční data jsou očištěna o kalendářní vlivy, mezičtvrtletní jsou očištěna o sezónní vlivy (včetně vlivu počtu pracovních dnů).</w:t>
      </w:r>
    </w:p>
  </w:footnote>
  <w:footnote w:id="36">
    <w:p w14:paraId="0077FC5D" w14:textId="77777777" w:rsidR="0083516C" w:rsidRDefault="0083516C" w:rsidP="004E7C6B">
      <w:pPr>
        <w:pStyle w:val="Textpoznpodarou"/>
      </w:pPr>
      <w:r>
        <w:rPr>
          <w:rStyle w:val="Znakapoznpodarou"/>
          <w:sz w:val="16"/>
          <w:szCs w:val="16"/>
        </w:rPr>
        <w:footnoteRef/>
      </w:r>
      <w:r>
        <w:rPr>
          <w:sz w:val="16"/>
          <w:szCs w:val="16"/>
        </w:rPr>
        <w:t xml:space="preserve"> </w:t>
      </w:r>
      <w:r>
        <w:rPr>
          <w:spacing w:val="-4"/>
          <w:sz w:val="16"/>
          <w:szCs w:val="16"/>
        </w:rPr>
        <w:t>Za svou maximální úrovní z konjunkturního období let 2015 až 2019 zaostávaly letos ve 3. čtvrtletí tržby z hlavních odvětví nejvíce v ubytování, stravování a pohostinství (</w:t>
      </w:r>
      <w:r>
        <w:rPr>
          <w:color w:val="0D0D0D" w:themeColor="text1" w:themeTint="F2"/>
          <w:spacing w:val="-4"/>
          <w:sz w:val="16"/>
          <w:szCs w:val="16"/>
        </w:rPr>
        <w:t>−</w:t>
      </w:r>
      <w:r>
        <w:rPr>
          <w:spacing w:val="-4"/>
          <w:sz w:val="16"/>
          <w:szCs w:val="16"/>
        </w:rPr>
        <w:t xml:space="preserve">20 %) a v </w:t>
      </w:r>
      <w:r>
        <w:rPr>
          <w:rFonts w:cs="Arial"/>
          <w:color w:val="0D0D0D" w:themeColor="text1" w:themeTint="F2"/>
          <w:spacing w:val="-4"/>
          <w:sz w:val="16"/>
          <w:szCs w:val="16"/>
        </w:rPr>
        <w:t>administrativních a podpůrných činnostech (</w:t>
      </w:r>
      <w:r>
        <w:rPr>
          <w:color w:val="0D0D0D" w:themeColor="text1" w:themeTint="F2"/>
          <w:spacing w:val="-4"/>
          <w:sz w:val="16"/>
          <w:szCs w:val="16"/>
        </w:rPr>
        <w:t>−</w:t>
      </w:r>
      <w:r>
        <w:rPr>
          <w:rFonts w:cs="Arial"/>
          <w:color w:val="0D0D0D" w:themeColor="text1" w:themeTint="F2"/>
          <w:spacing w:val="-4"/>
          <w:sz w:val="16"/>
          <w:szCs w:val="16"/>
        </w:rPr>
        <w:t>10 %). Naopak tuto úroveň překonaly zejména</w:t>
      </w:r>
      <w:r>
        <w:rPr>
          <w:spacing w:val="-4"/>
          <w:sz w:val="16"/>
          <w:szCs w:val="16"/>
        </w:rPr>
        <w:t> </w:t>
      </w:r>
      <w:r>
        <w:rPr>
          <w:rFonts w:cs="Arial"/>
          <w:color w:val="0D0D0D" w:themeColor="text1" w:themeTint="F2"/>
          <w:spacing w:val="-4"/>
          <w:sz w:val="16"/>
          <w:szCs w:val="16"/>
        </w:rPr>
        <w:t>informační a</w:t>
      </w:r>
      <w:r>
        <w:rPr>
          <w:spacing w:val="-2"/>
          <w:sz w:val="16"/>
          <w:szCs w:val="16"/>
        </w:rPr>
        <w:t> </w:t>
      </w:r>
      <w:r>
        <w:rPr>
          <w:rFonts w:cs="Arial"/>
          <w:color w:val="0D0D0D" w:themeColor="text1" w:themeTint="F2"/>
          <w:spacing w:val="-4"/>
          <w:sz w:val="16"/>
          <w:szCs w:val="16"/>
        </w:rPr>
        <w:t>komunikační činnosti (+10 %).</w:t>
      </w:r>
    </w:p>
  </w:footnote>
  <w:footnote w:id="37">
    <w:p w14:paraId="16192F1D"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Ve 3. čtvrtletí 2024 klesly tržby jak v ubytování, tak ve stravování a pohostinství o rovná 2 %. Přestože nejde o výraznější útlum, je souběžný pokles v obou výše uvedených segmentech v letní turistické sezóně v posledních letech ojedinělý (kromě roku 2020 nastal naposledy v roce 2009).</w:t>
      </w:r>
    </w:p>
  </w:footnote>
  <w:footnote w:id="38">
    <w:p w14:paraId="5F312F45" w14:textId="77777777" w:rsidR="0083516C" w:rsidRDefault="0083516C" w:rsidP="004E7C6B">
      <w:pPr>
        <w:pStyle w:val="Textpoznpodarou"/>
        <w:rPr>
          <w:spacing w:val="-2"/>
          <w:sz w:val="16"/>
          <w:szCs w:val="16"/>
        </w:rPr>
      </w:pPr>
      <w:r>
        <w:rPr>
          <w:rStyle w:val="Znakapoznpodarou"/>
          <w:spacing w:val="-2"/>
          <w:sz w:val="16"/>
          <w:szCs w:val="16"/>
        </w:rPr>
        <w:footnoteRef/>
      </w:r>
      <w:r>
        <w:rPr>
          <w:spacing w:val="-2"/>
          <w:sz w:val="16"/>
          <w:szCs w:val="16"/>
        </w:rPr>
        <w:t xml:space="preserve"> Tento pokles byl však u zahraniční klientely kompenzován svižným růstem poptávky hostů z Velké Británie, Španělska, USA a Izraele (navýšení přenocování v HUZ od 14 % do 22 %) a také postupným znovuoživením zájmu hostů ze vzdálených asijských států. Celkový počet přenocování hostů ze zahraničí tak ve 3. čtvrtletí překonal loňskou úroveň o 5,2 % (v kumulaci od počátku letošního roku o 8,5 %).</w:t>
      </w:r>
    </w:p>
  </w:footnote>
  <w:footnote w:id="39">
    <w:p w14:paraId="7CEF5732"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Ty </w:t>
      </w:r>
      <w:r>
        <w:rPr>
          <w:color w:val="0D0D0D" w:themeColor="text1" w:themeTint="F2"/>
          <w:spacing w:val="-6"/>
          <w:sz w:val="16"/>
          <w:szCs w:val="16"/>
        </w:rPr>
        <w:t>zahrnují zejména programování, poradenství v oblasti informačních technologií či správu počítačového vybavení.</w:t>
      </w:r>
    </w:p>
  </w:footnote>
  <w:footnote w:id="40">
    <w:p w14:paraId="04F11BB1" w14:textId="77777777" w:rsidR="0083516C" w:rsidRDefault="0083516C" w:rsidP="004E7C6B">
      <w:pPr>
        <w:pStyle w:val="Textpoznpodarou"/>
      </w:pPr>
      <w:r>
        <w:rPr>
          <w:rStyle w:val="Znakapoznpodarou"/>
          <w:sz w:val="16"/>
          <w:szCs w:val="16"/>
        </w:rPr>
        <w:footnoteRef/>
      </w:r>
      <w:r>
        <w:rPr>
          <w:sz w:val="16"/>
          <w:szCs w:val="16"/>
        </w:rPr>
        <w:t xml:space="preserve"> Jde především o činnosti webových portálů, zpravodajských tiskových kanceláří a agentur či zpracování dat a hosting.</w:t>
      </w:r>
    </w:p>
  </w:footnote>
  <w:footnote w:id="41">
    <w:p w14:paraId="30C018F6"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Podstatně lépe si vedl segment filmové distribuce. </w:t>
      </w:r>
      <w:r>
        <w:rPr>
          <w:rFonts w:cs="Arial"/>
          <w:color w:val="0D0D0D" w:themeColor="text1" w:themeTint="F2"/>
          <w:spacing w:val="-3"/>
          <w:sz w:val="16"/>
          <w:szCs w:val="16"/>
        </w:rPr>
        <w:t xml:space="preserve">Dle údajů </w:t>
      </w:r>
      <w:r>
        <w:rPr>
          <w:spacing w:val="-3"/>
          <w:sz w:val="16"/>
          <w:szCs w:val="16"/>
        </w:rPr>
        <w:t>Unie filmových distributorů klesly letos od ledna do října hrubé nominální tržby provozovatelů tuzemských kin meziročně jen o 1,6 % (díky silným výkonům během letních prázdninových měsíců). Celková návštěvnost se analogicky snížila o 4,2 %, naopak počet odehraných představení narostl o rovná 3 %. Ve srovnání se stejným obdobím rekordního roku 2019 ovšem letos stále scházela více než čtvrtina diváků a desetina tržeb.</w:t>
      </w:r>
    </w:p>
  </w:footnote>
  <w:footnote w:id="42">
    <w:p w14:paraId="548A7008"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Toto dílčí odvětví, v němž hrají významnou roli drobní podnikatelé, zahrnuje především zprostředkovatelské činnosti, návrhářské, překladatelské a fotografické služby nebo činnosti stavebního dozoru.</w:t>
      </w:r>
    </w:p>
  </w:footnote>
  <w:footnote w:id="43">
    <w:p w14:paraId="5DF8B480"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Ve zbývající části odstavce jde o věcně detailnější údaje bez očištění o pracovní dny.</w:t>
      </w:r>
    </w:p>
  </w:footnote>
  <w:footnote w:id="44">
    <w:p w14:paraId="29318B49"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Obdobně jako loni naopak stagnovala poptávka po pronájmu a leasingu automobilů a jiných lehkých motorových vozidel.</w:t>
      </w:r>
    </w:p>
  </w:footnote>
  <w:footnote w:id="45">
    <w:p w14:paraId="6CB941DD"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K poklesu tržeb zde došlo i při vysokém růstu počtu pracujících cizinců v ČR. Na něm se v posledních dvou letech významně podíleli uprchlíci z Ukrajiny. Vzhledem ke statutu dočasné ochrany, který byl těmto osobám přiznán, je jejich zaměstnávání v tuzemsku administrativně jednodušší (oproti ostatním skupinám migrantů z tzv. třetích zemí) a ti tak mohou snáze nalézt práci „napřímo“ (bez zprostředkovatele). Kromě výše uvedeného se na poklesu tržeb může podílet i snížená poptávka pracovních agentur ze strany klíčových výrobních odvětví procházejících recesí (průmysl a stavebnictví).</w:t>
      </w:r>
    </w:p>
  </w:footnote>
  <w:footnote w:id="46">
    <w:p w14:paraId="1A20AD07" w14:textId="77777777" w:rsidR="0083516C" w:rsidRDefault="0083516C" w:rsidP="004E7C6B">
      <w:pPr>
        <w:spacing w:after="0" w:line="240" w:lineRule="auto"/>
        <w:rPr>
          <w:spacing w:val="-2"/>
        </w:rPr>
      </w:pPr>
      <w:r>
        <w:rPr>
          <w:rStyle w:val="Znakapoznpodarou"/>
          <w:color w:val="0D0D0D" w:themeColor="text1" w:themeTint="F2"/>
          <w:spacing w:val="-2"/>
          <w:sz w:val="16"/>
          <w:szCs w:val="16"/>
        </w:rPr>
        <w:footnoteRef/>
      </w:r>
      <w:r>
        <w:rPr>
          <w:color w:val="0D0D0D" w:themeColor="text1" w:themeTint="F2"/>
          <w:spacing w:val="-2"/>
          <w:sz w:val="16"/>
          <w:szCs w:val="16"/>
        </w:rPr>
        <w:t xml:space="preserve"> Všechna meziroční tempa tržeb za maloobchod jsou uvedena ve stálých cenách a očištěna o kalendářní vlivy, mezičtvrtletní tempa jsou očištěna o sezónní vlivy (včetně vlivu počtu pracovních dnů). Maloobchod zahrnuje pouze odvětví CZ-NACE 47.</w:t>
      </w:r>
    </w:p>
  </w:footnote>
  <w:footnote w:id="47">
    <w:p w14:paraId="729AB530"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To souvisí primárně s propadem tržeb za potraviny (</w:t>
      </w:r>
      <w:r>
        <w:rPr>
          <w:color w:val="0D0D0D" w:themeColor="text1" w:themeTint="F2"/>
          <w:spacing w:val="-2"/>
          <w:sz w:val="16"/>
          <w:szCs w:val="16"/>
        </w:rPr>
        <w:t>−</w:t>
      </w:r>
      <w:r>
        <w:rPr>
          <w:sz w:val="16"/>
          <w:szCs w:val="16"/>
        </w:rPr>
        <w:t>9,5 %), naopak aktuální poptávka po nepotravinářském zboží se nachází mírně nad úrovní z konce roku 2019 (+2,4 %), hlavně zásluhou internetového prodeje (+44,7 %). Na úrovni různých specializovaných prodejen byl vývoj velmi odlišný, např. oděvy, obuv a kožené zboží (</w:t>
      </w:r>
      <w:r>
        <w:rPr>
          <w:color w:val="0D0D0D" w:themeColor="text1" w:themeTint="F2"/>
          <w:spacing w:val="-2"/>
          <w:sz w:val="16"/>
          <w:szCs w:val="16"/>
        </w:rPr>
        <w:t>−</w:t>
      </w:r>
      <w:r>
        <w:rPr>
          <w:sz w:val="16"/>
          <w:szCs w:val="16"/>
        </w:rPr>
        <w:t>25,7 %) vs. kosmetické a toaletní výrobky (+26,4 %).</w:t>
      </w:r>
    </w:p>
  </w:footnote>
  <w:footnote w:id="48">
    <w:p w14:paraId="3425F5DD"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Ty zahrnují např. masné výrobky, pečivo, cukrářské výrobky či nápoje. Největší váhu zde však mají prodejny s tabákovými výrobky.</w:t>
      </w:r>
    </w:p>
  </w:footnote>
  <w:footnote w:id="49">
    <w:p w14:paraId="2F55E9D7" w14:textId="77777777" w:rsidR="0083516C" w:rsidRDefault="0083516C" w:rsidP="004E7C6B">
      <w:pPr>
        <w:pStyle w:val="Textpoznpodarou"/>
        <w:rPr>
          <w:sz w:val="16"/>
          <w:szCs w:val="16"/>
        </w:rPr>
      </w:pPr>
      <w:r>
        <w:rPr>
          <w:rStyle w:val="Znakapoznpodarou"/>
          <w:sz w:val="16"/>
          <w:szCs w:val="16"/>
        </w:rPr>
        <w:footnoteRef/>
      </w:r>
      <w:r>
        <w:rPr>
          <w:sz w:val="16"/>
          <w:szCs w:val="16"/>
        </w:rPr>
        <w:t xml:space="preserve"> </w:t>
      </w:r>
      <w:r>
        <w:rPr>
          <w:rFonts w:cs="Arial"/>
          <w:color w:val="0D0D0D" w:themeColor="text1" w:themeTint="F2"/>
          <w:sz w:val="16"/>
          <w:szCs w:val="16"/>
        </w:rPr>
        <w:t>Spotřebitelské ceny benzínu i nafty letos klesaly netypicky i během hlavní motoristické sezóny.  Nafta se v říjnu na tuzemských čerpacích stanicích v průměru prodávala zhruba za 34,2 korun za litr a benzín Natural 95 pak za 35,6 korun. V případě nafty to byla nejnižší hodnota od loňského července a u Naturalu pak dokonce od října roku 2021. Na tento vývoj kromě tuzemských domácností i firem patrně reagovali také zahraniční dopravci, již přes Česko realizují tranzitní dopravu.</w:t>
      </w:r>
    </w:p>
  </w:footnote>
  <w:footnote w:id="50">
    <w:p w14:paraId="2B3C4DE9" w14:textId="77777777" w:rsidR="0083516C" w:rsidRPr="001F1881" w:rsidRDefault="0083516C" w:rsidP="00FB4423">
      <w:pPr>
        <w:pStyle w:val="Textpoznpodarou"/>
        <w:rPr>
          <w:rFonts w:cs="Arial"/>
          <w:iCs/>
          <w:sz w:val="16"/>
          <w:szCs w:val="16"/>
        </w:rPr>
      </w:pPr>
      <w:r w:rsidRPr="00B6522D">
        <w:rPr>
          <w:rStyle w:val="Znakapoznpodarou"/>
          <w:rFonts w:cs="Arial"/>
          <w:i/>
          <w:sz w:val="16"/>
          <w:szCs w:val="16"/>
        </w:rPr>
        <w:footnoteRef/>
      </w:r>
      <w:r w:rsidRPr="00B6522D">
        <w:rPr>
          <w:rFonts w:cs="Arial"/>
          <w:i/>
          <w:iCs/>
          <w:sz w:val="16"/>
          <w:szCs w:val="16"/>
        </w:rPr>
        <w:t xml:space="preserve"> </w:t>
      </w:r>
      <w:r w:rsidRPr="00B6522D">
        <w:rPr>
          <w:rStyle w:val="Zdraznn"/>
          <w:rFonts w:cs="Arial"/>
          <w:i w:val="0"/>
          <w:sz w:val="16"/>
          <w:szCs w:val="16"/>
          <w:bdr w:val="none" w:sz="0" w:space="0" w:color="auto" w:frame="1"/>
          <w:shd w:val="clear" w:color="auto" w:fill="FFFFFF"/>
        </w:rPr>
        <w:t>Údaje za zahraniční obchod se zbožím jsou od roku 2020 přepočítávány aktualizovanou metodou založenou na vyšší míře detailu, viz </w:t>
      </w:r>
      <w:hyperlink r:id="rId1" w:history="1">
        <w:r w:rsidRPr="00B6522D">
          <w:rPr>
            <w:rStyle w:val="Hypertextovodkaz"/>
            <w:rFonts w:cs="Arial"/>
            <w:i/>
            <w:sz w:val="16"/>
            <w:szCs w:val="16"/>
            <w:bdr w:val="none" w:sz="0" w:space="0" w:color="auto" w:frame="1"/>
            <w:shd w:val="clear" w:color="auto" w:fill="FFFFFF"/>
          </w:rPr>
          <w:t>https://www.czso.cz/csu/czso/aktualizace-metody-propoctu-zahranicni-obchod-se-zbozim</w:t>
        </w:r>
      </w:hyperlink>
      <w:r w:rsidRPr="00B6522D">
        <w:rPr>
          <w:rStyle w:val="Hypertextovodkaz"/>
          <w:rFonts w:cs="Arial"/>
          <w:i/>
          <w:sz w:val="16"/>
          <w:szCs w:val="16"/>
          <w:bdr w:val="none" w:sz="0" w:space="0" w:color="auto" w:frame="1"/>
          <w:shd w:val="clear" w:color="auto" w:fill="FFFFFF"/>
        </w:rPr>
        <w:t xml:space="preserve">. </w:t>
      </w:r>
      <w:r w:rsidRPr="00B6522D">
        <w:rPr>
          <w:sz w:val="16"/>
          <w:szCs w:val="16"/>
        </w:rPr>
        <w:t>Není-li uvedeno jinak, jsou všechny údaje</w:t>
      </w:r>
      <w:r w:rsidRPr="001F1881">
        <w:rPr>
          <w:sz w:val="16"/>
          <w:szCs w:val="16"/>
        </w:rPr>
        <w:t xml:space="preserve"> sezónně neočištěné a v běžných cenách.</w:t>
      </w:r>
    </w:p>
  </w:footnote>
  <w:footnote w:id="51">
    <w:p w14:paraId="4385B0E5" w14:textId="77777777" w:rsidR="0083516C" w:rsidRPr="001F1881" w:rsidRDefault="0083516C" w:rsidP="00FB4423">
      <w:pPr>
        <w:pStyle w:val="Textpoznpodarou"/>
        <w:rPr>
          <w:sz w:val="16"/>
          <w:szCs w:val="16"/>
        </w:rPr>
      </w:pPr>
      <w:r w:rsidRPr="000A5229">
        <w:rPr>
          <w:rStyle w:val="Znakapoznpodarou"/>
          <w:sz w:val="16"/>
          <w:szCs w:val="16"/>
        </w:rPr>
        <w:footnoteRef/>
      </w:r>
      <w:r w:rsidRPr="000A5229">
        <w:rPr>
          <w:sz w:val="16"/>
          <w:szCs w:val="16"/>
        </w:rPr>
        <w:t xml:space="preserve"> Ceny vývozu zboží ve </w:t>
      </w:r>
      <w:r>
        <w:rPr>
          <w:sz w:val="16"/>
          <w:szCs w:val="16"/>
        </w:rPr>
        <w:t>3</w:t>
      </w:r>
      <w:r w:rsidRPr="000A5229">
        <w:rPr>
          <w:sz w:val="16"/>
          <w:szCs w:val="16"/>
        </w:rPr>
        <w:t xml:space="preserve">. čtvrtletí byly meziročně vyšší o </w:t>
      </w:r>
      <w:r>
        <w:rPr>
          <w:sz w:val="16"/>
          <w:szCs w:val="16"/>
        </w:rPr>
        <w:t>3,8 %. Mezičtvrtletně vzrostly o 0,8 %</w:t>
      </w:r>
      <w:r w:rsidRPr="000A5229">
        <w:rPr>
          <w:sz w:val="16"/>
          <w:szCs w:val="16"/>
        </w:rPr>
        <w:t>.</w:t>
      </w:r>
      <w:r w:rsidRPr="001F1881">
        <w:rPr>
          <w:sz w:val="16"/>
          <w:szCs w:val="16"/>
        </w:rPr>
        <w:t xml:space="preserve"> </w:t>
      </w:r>
      <w:r w:rsidRPr="001F1881">
        <w:rPr>
          <w:sz w:val="16"/>
          <w:szCs w:val="16"/>
        </w:rPr>
        <w:br/>
        <w:t>Ceny ostatních surovin se loni propadly o 18,6</w:t>
      </w:r>
      <w:r>
        <w:rPr>
          <w:sz w:val="16"/>
          <w:szCs w:val="16"/>
        </w:rPr>
        <w:t> %</w:t>
      </w:r>
      <w:r w:rsidRPr="001F1881">
        <w:rPr>
          <w:sz w:val="16"/>
          <w:szCs w:val="16"/>
        </w:rPr>
        <w:t xml:space="preserve"> a minerálních paliv o 0,9</w:t>
      </w:r>
      <w:r>
        <w:rPr>
          <w:sz w:val="16"/>
          <w:szCs w:val="16"/>
        </w:rPr>
        <w:t> %</w:t>
      </w:r>
      <w:r w:rsidRPr="001F1881">
        <w:rPr>
          <w:sz w:val="16"/>
          <w:szCs w:val="16"/>
        </w:rPr>
        <w:t>. Ve 4. čtvrtletí ale ceny minerálních paliv meziročně klesly o 13,7</w:t>
      </w:r>
      <w:r>
        <w:rPr>
          <w:sz w:val="16"/>
          <w:szCs w:val="16"/>
        </w:rPr>
        <w:t> %</w:t>
      </w:r>
      <w:r w:rsidRPr="001F1881">
        <w:rPr>
          <w:sz w:val="16"/>
          <w:szCs w:val="16"/>
        </w:rPr>
        <w:t>.</w:t>
      </w:r>
    </w:p>
  </w:footnote>
  <w:footnote w:id="52">
    <w:p w14:paraId="7AE02571" w14:textId="77777777" w:rsidR="0083516C" w:rsidRPr="00B20923" w:rsidRDefault="0083516C" w:rsidP="00FB4423">
      <w:pPr>
        <w:pStyle w:val="Textpoznpodarou"/>
        <w:rPr>
          <w:sz w:val="16"/>
          <w:szCs w:val="16"/>
        </w:rPr>
      </w:pPr>
      <w:r w:rsidRPr="00B20923">
        <w:rPr>
          <w:rStyle w:val="Znakapoznpodarou"/>
          <w:sz w:val="16"/>
          <w:szCs w:val="16"/>
        </w:rPr>
        <w:footnoteRef/>
      </w:r>
      <w:r w:rsidRPr="00B20923">
        <w:rPr>
          <w:sz w:val="16"/>
          <w:szCs w:val="16"/>
        </w:rPr>
        <w:t xml:space="preserve"> Prudce se zvýšil zejména export motorových vozidel.</w:t>
      </w:r>
    </w:p>
  </w:footnote>
  <w:footnote w:id="53">
    <w:p w14:paraId="0409619B" w14:textId="77777777" w:rsidR="0083516C" w:rsidRPr="000A5229" w:rsidRDefault="0083516C" w:rsidP="00FB4423">
      <w:pPr>
        <w:pStyle w:val="Textpoznpodarou"/>
        <w:rPr>
          <w:sz w:val="16"/>
          <w:szCs w:val="16"/>
        </w:rPr>
      </w:pPr>
      <w:r w:rsidRPr="000A5229">
        <w:rPr>
          <w:rStyle w:val="Znakapoznpodarou"/>
          <w:sz w:val="16"/>
          <w:szCs w:val="16"/>
        </w:rPr>
        <w:footnoteRef/>
      </w:r>
      <w:r w:rsidRPr="000A5229">
        <w:rPr>
          <w:sz w:val="16"/>
          <w:szCs w:val="16"/>
        </w:rPr>
        <w:t xml:space="preserve"> Ceny dovozu zboží byly ve</w:t>
      </w:r>
      <w:r>
        <w:rPr>
          <w:sz w:val="16"/>
          <w:szCs w:val="16"/>
        </w:rPr>
        <w:t xml:space="preserve"> 3</w:t>
      </w:r>
      <w:r w:rsidRPr="000A5229">
        <w:rPr>
          <w:sz w:val="16"/>
          <w:szCs w:val="16"/>
        </w:rPr>
        <w:t xml:space="preserve">. čtvrtletí meziročně vyšší o </w:t>
      </w:r>
      <w:r>
        <w:rPr>
          <w:sz w:val="16"/>
          <w:szCs w:val="16"/>
        </w:rPr>
        <w:t>2,7 %</w:t>
      </w:r>
      <w:r w:rsidRPr="000A5229">
        <w:rPr>
          <w:sz w:val="16"/>
          <w:szCs w:val="16"/>
        </w:rPr>
        <w:t xml:space="preserve"> a mezičtvrtletně vzrostly o </w:t>
      </w:r>
      <w:r>
        <w:rPr>
          <w:sz w:val="16"/>
          <w:szCs w:val="16"/>
        </w:rPr>
        <w:t>1,0 %</w:t>
      </w:r>
      <w:r w:rsidRPr="000A5229">
        <w:rPr>
          <w:sz w:val="16"/>
          <w:szCs w:val="16"/>
        </w:rPr>
        <w:t>.</w:t>
      </w:r>
    </w:p>
  </w:footnote>
  <w:footnote w:id="54">
    <w:p w14:paraId="76F22D07" w14:textId="77777777" w:rsidR="0083516C" w:rsidRPr="001F1881" w:rsidRDefault="0083516C" w:rsidP="00FB4423">
      <w:pPr>
        <w:pStyle w:val="Textpoznpodarou"/>
        <w:rPr>
          <w:sz w:val="16"/>
          <w:szCs w:val="16"/>
        </w:rPr>
      </w:pPr>
      <w:r w:rsidRPr="000A5229">
        <w:rPr>
          <w:rStyle w:val="Znakapoznpodarou"/>
          <w:sz w:val="16"/>
          <w:szCs w:val="16"/>
        </w:rPr>
        <w:footnoteRef/>
      </w:r>
      <w:r w:rsidRPr="000A5229">
        <w:rPr>
          <w:sz w:val="16"/>
          <w:szCs w:val="16"/>
        </w:rPr>
        <w:t xml:space="preserve"> N</w:t>
      </w:r>
      <w:r w:rsidRPr="000A5229">
        <w:rPr>
          <w:spacing w:val="-4"/>
          <w:sz w:val="16"/>
          <w:szCs w:val="16"/>
          <w:lang w:eastAsia="en-US"/>
        </w:rPr>
        <w:t>árůst u Tchaj-wanu souvisel s nárůstem dovozu počítačů a elektronických a optických přístrojů.</w:t>
      </w:r>
    </w:p>
  </w:footnote>
  <w:footnote w:id="55">
    <w:p w14:paraId="43B66ED0" w14:textId="77777777" w:rsidR="0083516C" w:rsidRPr="00370717" w:rsidRDefault="0083516C" w:rsidP="00FB4423">
      <w:pPr>
        <w:pStyle w:val="Textpoznpodarou"/>
        <w:rPr>
          <w:sz w:val="16"/>
          <w:szCs w:val="16"/>
        </w:rPr>
      </w:pPr>
      <w:r w:rsidRPr="00370717">
        <w:rPr>
          <w:rStyle w:val="Znakapoznpodarou"/>
          <w:sz w:val="16"/>
          <w:szCs w:val="16"/>
        </w:rPr>
        <w:footnoteRef/>
      </w:r>
      <w:r w:rsidRPr="00370717">
        <w:rPr>
          <w:sz w:val="16"/>
          <w:szCs w:val="16"/>
        </w:rPr>
        <w:t xml:space="preserve"> Letošní pokles souvisí s</w:t>
      </w:r>
      <w:r>
        <w:rPr>
          <w:sz w:val="16"/>
          <w:szCs w:val="16"/>
        </w:rPr>
        <w:t xml:space="preserve"> loňskou </w:t>
      </w:r>
      <w:r w:rsidRPr="00370717">
        <w:rPr>
          <w:sz w:val="16"/>
          <w:szCs w:val="16"/>
        </w:rPr>
        <w:t>vysokou srovnávací základnou u</w:t>
      </w:r>
      <w:r>
        <w:rPr>
          <w:sz w:val="16"/>
          <w:szCs w:val="16"/>
        </w:rPr>
        <w:t xml:space="preserve"> výrobků potřebných k instalaci fotovoltaických elektráren (zejména baterie). Dovoz vrcholil v první polovině roku 2023 a následně začal klesat.</w:t>
      </w:r>
      <w:r w:rsidRPr="00370717">
        <w:rPr>
          <w:sz w:val="16"/>
          <w:szCs w:val="16"/>
        </w:rPr>
        <w:t xml:space="preserve"> </w:t>
      </w:r>
    </w:p>
  </w:footnote>
  <w:footnote w:id="56">
    <w:p w14:paraId="48C5F269" w14:textId="77777777" w:rsidR="0083516C" w:rsidRPr="008C2D39" w:rsidRDefault="0083516C" w:rsidP="00FB4423">
      <w:pPr>
        <w:pStyle w:val="Textpoznpodarou"/>
        <w:rPr>
          <w:sz w:val="16"/>
          <w:szCs w:val="16"/>
        </w:rPr>
      </w:pPr>
      <w:r w:rsidRPr="008C2D39">
        <w:rPr>
          <w:rStyle w:val="Znakapoznpodarou"/>
          <w:sz w:val="16"/>
          <w:szCs w:val="16"/>
        </w:rPr>
        <w:footnoteRef/>
      </w:r>
      <w:r w:rsidRPr="008C2D39">
        <w:rPr>
          <w:sz w:val="16"/>
          <w:szCs w:val="16"/>
        </w:rPr>
        <w:t xml:space="preserve"> </w:t>
      </w:r>
      <w:r>
        <w:rPr>
          <w:sz w:val="16"/>
          <w:szCs w:val="16"/>
        </w:rPr>
        <w:t xml:space="preserve">Zpětný pohled na období před rokem 2020 ukazuje, že jde o </w:t>
      </w:r>
      <w:r w:rsidRPr="008C2D39">
        <w:rPr>
          <w:sz w:val="16"/>
          <w:szCs w:val="16"/>
        </w:rPr>
        <w:t xml:space="preserve">standardní výsledek </w:t>
      </w:r>
      <w:r>
        <w:rPr>
          <w:sz w:val="16"/>
          <w:szCs w:val="16"/>
        </w:rPr>
        <w:t xml:space="preserve">pro 3. čtvrtletí </w:t>
      </w:r>
      <w:r w:rsidRPr="008C2D39">
        <w:rPr>
          <w:sz w:val="16"/>
          <w:szCs w:val="16"/>
        </w:rPr>
        <w:t>odpovídající obvyklému vývoji v průběhu roku.</w:t>
      </w:r>
    </w:p>
  </w:footnote>
  <w:footnote w:id="57">
    <w:p w14:paraId="0013F30D" w14:textId="77777777" w:rsidR="0083516C" w:rsidRDefault="0083516C" w:rsidP="00FD66F9">
      <w:pPr>
        <w:pStyle w:val="Textpoznpodarou"/>
        <w:rPr>
          <w:sz w:val="16"/>
          <w:szCs w:val="16"/>
        </w:rPr>
      </w:pPr>
      <w:r>
        <w:rPr>
          <w:rStyle w:val="Znakapoznpodarou"/>
          <w:sz w:val="16"/>
          <w:szCs w:val="16"/>
        </w:rPr>
        <w:footnoteRef/>
      </w:r>
      <w:r>
        <w:rPr>
          <w:sz w:val="16"/>
          <w:szCs w:val="16"/>
        </w:rPr>
        <w:t xml:space="preserve"> Imputované nájemné vyjadřuje náklady vlastnického bydlení. Kromě samotných cen bydlení zahrnuje i náklady na výstavbu a renovace a další poplatky. Více na: </w:t>
      </w:r>
      <w:hyperlink r:id="rId2" w:history="1">
        <w:r>
          <w:rPr>
            <w:rStyle w:val="Hypertextovodkaz"/>
            <w:sz w:val="16"/>
            <w:szCs w:val="16"/>
          </w:rPr>
          <w:t>https://www.czso.cz/csu/czso/metodicka-poznamka-k-indexu-spotrebitelskych-cen-imputovane-najemne</w:t>
        </w:r>
      </w:hyperlink>
      <w:r>
        <w:rPr>
          <w:rStyle w:val="Hypertextovodkaz"/>
          <w:sz w:val="16"/>
          <w:szCs w:val="16"/>
        </w:rPr>
        <w:t>.</w:t>
      </w:r>
    </w:p>
  </w:footnote>
  <w:footnote w:id="58">
    <w:p w14:paraId="185FF631" w14:textId="77777777" w:rsidR="0083516C" w:rsidRDefault="0083516C" w:rsidP="00FD66F9">
      <w:pPr>
        <w:pStyle w:val="Textpoznpodarou"/>
        <w:rPr>
          <w:sz w:val="16"/>
          <w:szCs w:val="16"/>
        </w:rPr>
      </w:pPr>
      <w:r>
        <w:rPr>
          <w:rStyle w:val="Znakapoznpodarou"/>
          <w:sz w:val="16"/>
          <w:szCs w:val="16"/>
        </w:rPr>
        <w:footnoteRef/>
      </w:r>
      <w:r>
        <w:rPr>
          <w:sz w:val="16"/>
          <w:szCs w:val="16"/>
        </w:rPr>
        <w:t xml:space="preserve"> Zahrnuje služby osobní péče a osobní potřeby a doplňky, sociální péči, pojištění a další finanční služby apod.</w:t>
      </w:r>
    </w:p>
  </w:footnote>
  <w:footnote w:id="59">
    <w:p w14:paraId="34747FAF" w14:textId="77777777" w:rsidR="0083516C" w:rsidRDefault="0083516C" w:rsidP="00FD66F9">
      <w:pPr>
        <w:pStyle w:val="Textpoznpodarou"/>
        <w:rPr>
          <w:sz w:val="16"/>
          <w:szCs w:val="16"/>
        </w:rPr>
      </w:pPr>
      <w:r>
        <w:rPr>
          <w:rStyle w:val="Znakapoznpodarou"/>
          <w:sz w:val="16"/>
          <w:szCs w:val="16"/>
        </w:rPr>
        <w:footnoteRef/>
      </w:r>
      <w:r>
        <w:rPr>
          <w:sz w:val="16"/>
          <w:szCs w:val="16"/>
        </w:rPr>
        <w:t xml:space="preserve"> Oproti indexu spotřebitelských cen, který ČSÚ pro českou ekonomiku sestavuje, HICP neobsahuje imputované nájemné, což bývá zdrojem rozdílů mezi HICP a Indexem spotřebitelských cen.</w:t>
      </w:r>
    </w:p>
  </w:footnote>
  <w:footnote w:id="60">
    <w:p w14:paraId="74532173" w14:textId="77777777" w:rsidR="0083516C" w:rsidRDefault="0083516C" w:rsidP="00FD66F9">
      <w:pPr>
        <w:pStyle w:val="Textpoznpodarou"/>
        <w:rPr>
          <w:sz w:val="16"/>
          <w:szCs w:val="16"/>
        </w:rPr>
      </w:pPr>
      <w:r>
        <w:rPr>
          <w:rStyle w:val="Znakapoznpodarou"/>
          <w:sz w:val="16"/>
          <w:szCs w:val="16"/>
        </w:rPr>
        <w:footnoteRef/>
      </w:r>
      <w:r>
        <w:rPr>
          <w:sz w:val="16"/>
          <w:szCs w:val="16"/>
        </w:rPr>
        <w:t xml:space="preserve"> Bez cen zásobování vodou a služeb souvisejících s odpadními vodami.</w:t>
      </w:r>
    </w:p>
  </w:footnote>
  <w:footnote w:id="61">
    <w:p w14:paraId="34372E57" w14:textId="77777777" w:rsidR="0083516C" w:rsidRDefault="0083516C" w:rsidP="00FD66F9">
      <w:pPr>
        <w:pStyle w:val="Textpoznpodarou"/>
        <w:rPr>
          <w:sz w:val="16"/>
          <w:szCs w:val="16"/>
        </w:rPr>
      </w:pPr>
      <w:r>
        <w:rPr>
          <w:rStyle w:val="Znakapoznpodarou"/>
          <w:sz w:val="16"/>
          <w:szCs w:val="16"/>
        </w:rPr>
        <w:footnoteRef/>
      </w:r>
      <w:r>
        <w:rPr>
          <w:sz w:val="16"/>
          <w:szCs w:val="16"/>
        </w:rPr>
        <w:t xml:space="preserve"> Podle údajů ČNB byl ve 3. čtvrtletí 2024 průměrný kurz koruny vůči euru 25,196 CZK/EUR. Ve 3. čtvrtletí 2023 to bylo </w:t>
      </w:r>
      <w:r>
        <w:rPr>
          <w:sz w:val="16"/>
          <w:szCs w:val="16"/>
        </w:rPr>
        <w:br/>
        <w:t>24,136 CZK/EUR. Kurz vůči dolaru též oslaboval. Ve 3. čtvrtletí 2024 činil průměr 22,939 CZK/USD. Ve stejném období roku 2023 to bylo 22,173 CZK/USD.</w:t>
      </w:r>
    </w:p>
  </w:footnote>
  <w:footnote w:id="62">
    <w:p w14:paraId="0596792F" w14:textId="77777777" w:rsidR="0083516C" w:rsidRDefault="0083516C" w:rsidP="0038123E">
      <w:pPr>
        <w:pStyle w:val="Textpoznpodarou"/>
        <w:jc w:val="both"/>
        <w:rPr>
          <w:color w:val="0D0D0D" w:themeColor="text1" w:themeTint="F2"/>
          <w:spacing w:val="-2"/>
          <w:sz w:val="16"/>
          <w:szCs w:val="16"/>
        </w:rPr>
      </w:pPr>
      <w:r>
        <w:rPr>
          <w:rStyle w:val="Znakapoznpodarou"/>
          <w:color w:val="0D0D0D" w:themeColor="text1" w:themeTint="F2"/>
          <w:spacing w:val="-2"/>
        </w:rPr>
        <w:footnoteRef/>
      </w:r>
      <w:r>
        <w:rPr>
          <w:color w:val="0D0D0D" w:themeColor="text1" w:themeTint="F2"/>
          <w:spacing w:val="-2"/>
          <w:sz w:val="16"/>
          <w:szCs w:val="16"/>
        </w:rPr>
        <w:t xml:space="preserve"> Údaje o zaměstnanosti vycházejí z pojetí národních účtů. Jsou vyjádřeny ve fyzických osobách a očištěny o sezónní vlivy. Na rozdíl od údajů z podnikové statistiky či z </w:t>
      </w:r>
      <w:r>
        <w:rPr>
          <w:sz w:val="16"/>
          <w:szCs w:val="16"/>
        </w:rPr>
        <w:t>výběrového šetření pracovních sil (VŠPS) zahrnují např. i odhad vlivu šedé ekonomiky.</w:t>
      </w:r>
    </w:p>
  </w:footnote>
  <w:footnote w:id="63">
    <w:p w14:paraId="78B3ABC1" w14:textId="77777777" w:rsidR="0083516C" w:rsidRDefault="0083516C" w:rsidP="0038123E">
      <w:pPr>
        <w:pStyle w:val="Textpoznpodarou"/>
        <w:rPr>
          <w:spacing w:val="-3"/>
          <w:sz w:val="16"/>
          <w:szCs w:val="16"/>
        </w:rPr>
      </w:pPr>
      <w:r>
        <w:rPr>
          <w:rStyle w:val="Znakapoznpodarou"/>
          <w:spacing w:val="-3"/>
        </w:rPr>
        <w:footnoteRef/>
      </w:r>
      <w:r>
        <w:rPr>
          <w:spacing w:val="-3"/>
          <w:sz w:val="16"/>
          <w:szCs w:val="16"/>
        </w:rPr>
        <w:t xml:space="preserve"> Zaměstnanost v Česku roste v posledních letech pomaleji než v EU. V celé Unii se ve 3. čtvrtletí 2024 meziročně zvýšil počet pracovníků </w:t>
      </w:r>
      <w:r>
        <w:rPr>
          <w:spacing w:val="-3"/>
          <w:sz w:val="16"/>
          <w:szCs w:val="16"/>
        </w:rPr>
        <w:br/>
        <w:t xml:space="preserve">o 0,7 % (stejně jako v tuzemsku šlo o jedno z nejnižších temp od jara 2021). Také v EU spočívalo těžiště růstu zaměstnanosti v terciární sféře – nejvíce se zvyšovala ve veřejných službách (+1,5 %) a dále v informačních a komunikačních činnostech (+1,4 %). Místa naopak ztrácel průmysl (−0,2 %) a zejména zemědělství, lesnictví a rybářství (5 %). Z jednotlivých států vzrostl celkový počet pracovníků nejvíce </w:t>
      </w:r>
      <w:r>
        <w:rPr>
          <w:spacing w:val="-3"/>
          <w:sz w:val="16"/>
          <w:szCs w:val="16"/>
        </w:rPr>
        <w:br/>
        <w:t>v Chorvatsku (+7,1 %) či Irsku (+3,6 %), z významných ekonomik ve Španělsku (+2,1 %) a v Itálii (+1,8 %). Počet pracovníků klesl jen v šesti vesměs menších zemích – zejména v Lotyšsku (−1,2 %) a Finsku (−1,1 %), ale též v Polsku (−0,7 %) či Rumunsku (−0,2 %), ve většině případů hlavně vinou nepříznivého vývoje v průmyslu. I velmi mírný celkový růst v Česku znamenal nejvyšší tempo v regionu střední Evropy. V Německu sice pracovníků celkově mírně přibylo (+0,2 %), v samotném zpracovatelském průmyslu se ale jejich úbytek prohloubil na 1,2 %.</w:t>
      </w:r>
    </w:p>
  </w:footnote>
  <w:footnote w:id="64">
    <w:p w14:paraId="1FD10759" w14:textId="77777777" w:rsidR="0083516C" w:rsidRDefault="0083516C" w:rsidP="0038123E">
      <w:pPr>
        <w:pStyle w:val="Textpoznpodarou"/>
      </w:pPr>
      <w:r>
        <w:rPr>
          <w:rStyle w:val="Znakapoznpodarou"/>
        </w:rPr>
        <w:footnoteRef/>
      </w:r>
      <w:r>
        <w:rPr>
          <w:sz w:val="16"/>
          <w:szCs w:val="16"/>
        </w:rPr>
        <w:t xml:space="preserve"> </w:t>
      </w:r>
      <w:r>
        <w:rPr>
          <w:spacing w:val="-2"/>
          <w:sz w:val="16"/>
          <w:szCs w:val="16"/>
        </w:rPr>
        <w:t>Zahrnují odvětví Veřejná správa a obrana, vzdělávání, zdravotní a sociální péče.</w:t>
      </w:r>
    </w:p>
  </w:footnote>
  <w:footnote w:id="65">
    <w:p w14:paraId="31139B1A" w14:textId="77777777" w:rsidR="0083516C" w:rsidRDefault="0083516C" w:rsidP="0038123E">
      <w:pPr>
        <w:pStyle w:val="Textpoznpodarou"/>
        <w:rPr>
          <w:sz w:val="16"/>
          <w:szCs w:val="16"/>
        </w:rPr>
      </w:pPr>
      <w:r>
        <w:rPr>
          <w:rStyle w:val="Znakapoznpodarou"/>
        </w:rPr>
        <w:footnoteRef/>
      </w:r>
      <w:r>
        <w:rPr>
          <w:sz w:val="16"/>
          <w:szCs w:val="16"/>
        </w:rPr>
        <w:t xml:space="preserve"> Pracovníků přibylo nejvíce v sekci ostatní služby (+2,3 %) zahrnující vedle kulturních, zábavních a rekreačních činností např. různé služby pro domácnosti (opravy výrobků, kadeřnické a kosmetické činnosti aj.). Zaměstnanost v této sekci, citelně postižená v období protipandemických restrikcí, ovšem stále mírně zaostávala za úrovní z roku 2019 (o 1,5 %).</w:t>
      </w:r>
    </w:p>
  </w:footnote>
  <w:footnote w:id="66">
    <w:p w14:paraId="58321002" w14:textId="77777777" w:rsidR="0083516C" w:rsidRDefault="0083516C" w:rsidP="0038123E">
      <w:pPr>
        <w:pStyle w:val="Textpoznpodarou"/>
        <w:rPr>
          <w:sz w:val="16"/>
          <w:szCs w:val="16"/>
        </w:rPr>
      </w:pPr>
      <w:r>
        <w:rPr>
          <w:rStyle w:val="Znakapoznpodarou"/>
        </w:rPr>
        <w:footnoteRef/>
      </w:r>
      <w:r>
        <w:rPr>
          <w:sz w:val="16"/>
          <w:szCs w:val="16"/>
        </w:rPr>
        <w:t xml:space="preserve"> Pokles zaměstnanosti (vyjádřený ve fyzických osobách) nastal ve 3. čtvrtletí napříč takřka všemi zpracovatelskými obory. Výjimkou bylo potravinářství (3,4 %) a také chemický a kovodělný průmysl, kde se zaměstnanost stabilizovala.</w:t>
      </w:r>
    </w:p>
  </w:footnote>
  <w:footnote w:id="67">
    <w:p w14:paraId="139CF538" w14:textId="77777777" w:rsidR="0083516C" w:rsidRDefault="0083516C" w:rsidP="0038123E">
      <w:pPr>
        <w:pStyle w:val="Textpoznpodarou"/>
        <w:rPr>
          <w:sz w:val="16"/>
          <w:szCs w:val="16"/>
        </w:rPr>
      </w:pPr>
      <w:r>
        <w:rPr>
          <w:rStyle w:val="Znakapoznpodarou"/>
        </w:rPr>
        <w:footnoteRef/>
      </w:r>
      <w:r>
        <w:rPr>
          <w:sz w:val="16"/>
          <w:szCs w:val="16"/>
        </w:rPr>
        <w:t xml:space="preserve"> Dle údajů z VŠPS vzrostl v Česku ve 2. čtvrtletí 2024 podíl osob ve věku 15 až 74 let pracujících na zkrácené úvazky meziročně o 1,1 p. b., na rekordních 8,9 %. Hned po Dánsku jde o nejvýraznější nárůst v rámci EU. Mezi ženami ve věku 25 až 49 let jich touto formou pracovalo již 13,1 %. To bylo sice stále skoro o polovinu méně než v EU, avšak v rámci zemí, jež do Unie vstoupily až po roce 2000, mělo aktuálně vyšší podíl takto pracujících žen jen Estonsko (15,9 %) a Malta (13,9 %). </w:t>
      </w:r>
    </w:p>
  </w:footnote>
  <w:footnote w:id="68">
    <w:p w14:paraId="07782CAE" w14:textId="77777777" w:rsidR="0083516C" w:rsidRDefault="0083516C" w:rsidP="0038123E">
      <w:pPr>
        <w:pStyle w:val="Textpoznpodarou"/>
        <w:rPr>
          <w:sz w:val="16"/>
          <w:szCs w:val="16"/>
        </w:rPr>
      </w:pPr>
      <w:r>
        <w:rPr>
          <w:rStyle w:val="Znakapoznpodarou"/>
        </w:rPr>
        <w:footnoteRef/>
      </w:r>
      <w:r>
        <w:rPr>
          <w:sz w:val="16"/>
          <w:szCs w:val="16"/>
        </w:rPr>
        <w:t xml:space="preserve"> Dle experimentální statistiky ČSÚ klesl ve 3. čtvrtletí 2024 počet osob pracujících na dohodu o provedení práce meziročně o 6 % </w:t>
      </w:r>
      <w:r>
        <w:rPr>
          <w:sz w:val="16"/>
          <w:szCs w:val="16"/>
        </w:rPr>
        <w:br/>
        <w:t>a počet jimi odpracovaných hodin o 13 % (snižoval se přitom ve všech dosavadních letošních kvartálech). Poznámka: osoby pracující na dohody současně u více zaměstnavatelů jsou zahrnuty vícenásobně (tj. samostatně u každého zaměstnavatele).</w:t>
      </w:r>
    </w:p>
  </w:footnote>
  <w:footnote w:id="69">
    <w:p w14:paraId="2856BFB1" w14:textId="77777777" w:rsidR="0083516C" w:rsidRDefault="0083516C" w:rsidP="0038123E">
      <w:pPr>
        <w:pStyle w:val="Textpoznpodarou"/>
        <w:rPr>
          <w:sz w:val="16"/>
          <w:szCs w:val="16"/>
        </w:rPr>
      </w:pPr>
      <w:r>
        <w:rPr>
          <w:rStyle w:val="Znakapoznpodarou"/>
        </w:rPr>
        <w:footnoteRef/>
      </w:r>
      <w:r>
        <w:rPr>
          <w:sz w:val="16"/>
          <w:szCs w:val="16"/>
        </w:rPr>
        <w:t xml:space="preserve"> V celé EU mělo ve 3. čtvrtletí dvě zaměstnání 4,1 % pracovníků. Mezi členskými státy měly nejvyšší podíl takto zaměstnaných Nizozemsko a Dánsko (10 %), nadprůměrný byl také v severských zemích a Pobaltí.</w:t>
      </w:r>
    </w:p>
  </w:footnote>
  <w:footnote w:id="70">
    <w:p w14:paraId="2304B0C9" w14:textId="77777777" w:rsidR="0083516C" w:rsidRDefault="0083516C" w:rsidP="0038123E">
      <w:pPr>
        <w:pStyle w:val="Textpoznpodarou"/>
        <w:rPr>
          <w:sz w:val="16"/>
          <w:szCs w:val="16"/>
        </w:rPr>
      </w:pPr>
      <w:r>
        <w:rPr>
          <w:rStyle w:val="Znakapoznpodarou"/>
        </w:rPr>
        <w:footnoteRef/>
      </w:r>
      <w:r>
        <w:rPr>
          <w:sz w:val="16"/>
          <w:szCs w:val="16"/>
        </w:rPr>
        <w:t xml:space="preserve"> Skoro čtyři pětiny veškerých občanů Ukrajiny (resp. 67 % mužů a 88 % žen) působících v ČR v zaměstnaneckém postavení nepotřebovalo na konci 3. čtvrtletí 2024 oprávnění k zaměstnání (pracovní povolení, zaměstnanecké či modré karty). </w:t>
      </w:r>
    </w:p>
  </w:footnote>
  <w:footnote w:id="71">
    <w:p w14:paraId="05FECD70" w14:textId="77777777" w:rsidR="0083516C" w:rsidRDefault="0083516C" w:rsidP="0038123E">
      <w:pPr>
        <w:pStyle w:val="Textpoznpodarou"/>
        <w:rPr>
          <w:sz w:val="16"/>
          <w:szCs w:val="16"/>
        </w:rPr>
      </w:pPr>
      <w:r>
        <w:rPr>
          <w:rStyle w:val="Znakapoznpodarou"/>
        </w:rPr>
        <w:footnoteRef/>
      </w:r>
      <w:r>
        <w:rPr>
          <w:sz w:val="16"/>
          <w:szCs w:val="16"/>
        </w:rPr>
        <w:t xml:space="preserve"> Od 1. července 2024 nově nepotřebují v Česku pracovní povolení ani zaměstnanecké karty cizinci z některých ekonomicky vyspělých zemí mimo EU (USA, Velká Británie, Kanada, Austrálie, Nový Zéland, Japonsko, Jižní Korea, Izrael a Singapur).</w:t>
      </w:r>
    </w:p>
  </w:footnote>
  <w:footnote w:id="72">
    <w:p w14:paraId="1B1C00EE" w14:textId="77777777" w:rsidR="0083516C" w:rsidRDefault="0083516C" w:rsidP="0038123E">
      <w:pPr>
        <w:pStyle w:val="Textpoznpodarou"/>
        <w:rPr>
          <w:sz w:val="16"/>
          <w:szCs w:val="16"/>
        </w:rPr>
      </w:pPr>
      <w:r>
        <w:rPr>
          <w:rStyle w:val="Znakapoznpodarou"/>
        </w:rPr>
        <w:footnoteRef/>
      </w:r>
      <w:r>
        <w:rPr>
          <w:sz w:val="16"/>
          <w:szCs w:val="16"/>
        </w:rPr>
        <w:t xml:space="preserve"> Vedle toho evidovalo MPO ve stejném období 127 tis. </w:t>
      </w:r>
      <w:r>
        <w:rPr>
          <w:color w:val="0D0D0D" w:themeColor="text1" w:themeTint="F2"/>
          <w:spacing w:val="-6"/>
          <w:sz w:val="16"/>
          <w:szCs w:val="16"/>
        </w:rPr>
        <w:t xml:space="preserve">cizích státních příslušníků s živnostenským oprávněním v Česku. K jejich meziročnímu růstu (+10 %) skoro ze dvou třetin přispěli Ukrajinci, jichž v Česku podnikalo 40 tis. Mezi podnikajícími cizinci se na rozdíl od </w:t>
      </w:r>
      <w:r>
        <w:rPr>
          <w:sz w:val="16"/>
          <w:szCs w:val="16"/>
        </w:rPr>
        <w:t>cizinců v zaměstnaneckém postavení častěji vyskytují lidé v Česku dlouhodobě usazení (např. Vietnamci).</w:t>
      </w:r>
    </w:p>
  </w:footnote>
  <w:footnote w:id="73">
    <w:p w14:paraId="1C5C69A1" w14:textId="77777777" w:rsidR="0083516C" w:rsidRDefault="0083516C" w:rsidP="0038123E">
      <w:pPr>
        <w:pStyle w:val="Textpoznpodarou"/>
        <w:rPr>
          <w:sz w:val="16"/>
          <w:szCs w:val="16"/>
        </w:rPr>
      </w:pPr>
      <w:r>
        <w:rPr>
          <w:rStyle w:val="Znakapoznpodarou"/>
        </w:rPr>
        <w:footnoteRef/>
      </w:r>
      <w:r>
        <w:rPr>
          <w:sz w:val="16"/>
          <w:szCs w:val="16"/>
        </w:rPr>
        <w:t xml:space="preserve"> Není-li uvedeno jinak, jsou dále použity sezónně očištěné údaje.</w:t>
      </w:r>
    </w:p>
  </w:footnote>
  <w:footnote w:id="74">
    <w:p w14:paraId="204CFDB0" w14:textId="77777777" w:rsidR="0083516C" w:rsidRPr="00443556" w:rsidRDefault="0083516C" w:rsidP="00443556">
      <w:pPr>
        <w:pStyle w:val="Textpoznpodarou"/>
        <w:rPr>
          <w:color w:val="0D0D0D" w:themeColor="text1" w:themeTint="F2"/>
          <w:spacing w:val="-2"/>
          <w:sz w:val="16"/>
          <w:szCs w:val="16"/>
        </w:rPr>
      </w:pPr>
      <w:r w:rsidRPr="00443556">
        <w:rPr>
          <w:rStyle w:val="Znakapoznpodarou"/>
          <w:color w:val="0D0D0D" w:themeColor="text1" w:themeTint="F2"/>
          <w:spacing w:val="-2"/>
          <w:sz w:val="16"/>
          <w:szCs w:val="16"/>
        </w:rPr>
        <w:footnoteRef/>
      </w:r>
      <w:r w:rsidRPr="00443556">
        <w:rPr>
          <w:color w:val="0D0D0D" w:themeColor="text1" w:themeTint="F2"/>
          <w:spacing w:val="-2"/>
          <w:sz w:val="16"/>
          <w:szCs w:val="16"/>
        </w:rPr>
        <w:t xml:space="preserve"> Převažující negativní očekávání zaměstnanosti vyjádřily (dle šetření z listopadu 2024) podniky v 90 % zpracovatelských průmyslových oborů. Nejhorší vyhlídky měly hutnictví, elektronický průmysl, oděvnictví a výroba nápojů. Naopak pozitivní perspektivy přetrvávaly pouze ve výrobě kolejových dopravních prostředků, potravinářství a obuvnickém průmyslu.</w:t>
      </w:r>
    </w:p>
    <w:p w14:paraId="44AD0541" w14:textId="77777777" w:rsidR="0083516C" w:rsidRPr="00443556" w:rsidRDefault="0083516C" w:rsidP="00443556">
      <w:pPr>
        <w:pStyle w:val="Textpoznpodarou"/>
        <w:rPr>
          <w:color w:val="0D0D0D" w:themeColor="text1" w:themeTint="F2"/>
          <w:spacing w:val="-2"/>
          <w:sz w:val="16"/>
          <w:szCs w:val="16"/>
        </w:rPr>
      </w:pPr>
      <w:r w:rsidRPr="00443556">
        <w:rPr>
          <w:color w:val="0D0D0D" w:themeColor="text1" w:themeTint="F2"/>
          <w:spacing w:val="-2"/>
          <w:sz w:val="16"/>
          <w:szCs w:val="16"/>
        </w:rPr>
        <w:t>Ve službách převažovala negativní očekávání v necelé polovině dílčích odvětví. Nejvíce byla patrná v tvůrčích, uměleckých a zábavních činnostech, ve veterinárních činnostech, vodní i letecké dopravě, vydavatelství, s odstupem pak v peněžnictví, pozemní dopravě či cestovních agenturách. Naopak optimismus převládal v poštovních a kurýrních činnostech, pojišťovnictví, právních a účetnických činnostech, vědě a výzkumu, pracovních agenturách a většině oborů informačních a komunikačních činností.</w:t>
      </w:r>
    </w:p>
  </w:footnote>
  <w:footnote w:id="75">
    <w:p w14:paraId="3CAF70EB" w14:textId="77777777" w:rsidR="0083516C" w:rsidRPr="00443556" w:rsidRDefault="0083516C" w:rsidP="00443556">
      <w:pPr>
        <w:pStyle w:val="Textpoznpodarou"/>
        <w:rPr>
          <w:rFonts w:cs="Arial"/>
          <w:sz w:val="16"/>
          <w:szCs w:val="16"/>
        </w:rPr>
      </w:pPr>
      <w:r w:rsidRPr="00443556">
        <w:rPr>
          <w:rStyle w:val="Znakapoznpodarou"/>
          <w:rFonts w:cs="Arial"/>
          <w:color w:val="0D0D0D" w:themeColor="text1" w:themeTint="F2"/>
          <w:sz w:val="16"/>
          <w:szCs w:val="16"/>
        </w:rPr>
        <w:footnoteRef/>
      </w:r>
      <w:r w:rsidRPr="00443556">
        <w:rPr>
          <w:rFonts w:cs="Arial"/>
          <w:color w:val="0D0D0D" w:themeColor="text1" w:themeTint="F2"/>
          <w:sz w:val="16"/>
          <w:szCs w:val="16"/>
        </w:rPr>
        <w:t xml:space="preserve"> Podniky mohly uvést více bariér současně.</w:t>
      </w:r>
    </w:p>
  </w:footnote>
  <w:footnote w:id="76">
    <w:p w14:paraId="318BCD33" w14:textId="77777777" w:rsidR="0083516C" w:rsidRPr="00443556" w:rsidRDefault="0083516C" w:rsidP="00443556">
      <w:pPr>
        <w:pStyle w:val="Textpoznpodarou"/>
        <w:rPr>
          <w:rFonts w:cs="Arial"/>
          <w:spacing w:val="-3"/>
          <w:sz w:val="16"/>
          <w:szCs w:val="16"/>
        </w:rPr>
      </w:pPr>
      <w:r w:rsidRPr="00443556">
        <w:rPr>
          <w:rStyle w:val="Znakapoznpodarou"/>
          <w:rFonts w:cs="Arial"/>
          <w:spacing w:val="-3"/>
          <w:sz w:val="16"/>
          <w:szCs w:val="16"/>
        </w:rPr>
        <w:footnoteRef/>
      </w:r>
      <w:r w:rsidRPr="00443556">
        <w:rPr>
          <w:rFonts w:cs="Arial"/>
          <w:spacing w:val="-3"/>
          <w:sz w:val="16"/>
          <w:szCs w:val="16"/>
        </w:rPr>
        <w:t xml:space="preserve"> Není-li uvedeno jinak, vycházejí všechny údaje o mírách nezaměstnanosti z VŠPS (dle metodiky ILO) a jsou očištěny o sezónní vlivy.</w:t>
      </w:r>
    </w:p>
  </w:footnote>
  <w:footnote w:id="77">
    <w:p w14:paraId="5B4BF198" w14:textId="2A879EA7" w:rsidR="0083516C" w:rsidRPr="00443556" w:rsidRDefault="0083516C" w:rsidP="00443556">
      <w:pPr>
        <w:pStyle w:val="paragraph"/>
        <w:spacing w:before="0" w:beforeAutospacing="0" w:after="0" w:afterAutospacing="0"/>
        <w:textAlignment w:val="baseline"/>
        <w:rPr>
          <w:rFonts w:ascii="Arial" w:eastAsia="Calibri" w:hAnsi="Arial"/>
          <w:color w:val="0D0D0D" w:themeColor="text1" w:themeTint="F2"/>
          <w:spacing w:val="-3"/>
          <w:sz w:val="16"/>
          <w:szCs w:val="16"/>
        </w:rPr>
      </w:pPr>
      <w:r w:rsidRPr="00443556">
        <w:rPr>
          <w:rStyle w:val="Znakapoznpodarou"/>
          <w:rFonts w:ascii="Arial" w:hAnsi="Arial" w:cs="Arial"/>
          <w:color w:val="0D0D0D" w:themeColor="text1" w:themeTint="F2"/>
          <w:sz w:val="16"/>
          <w:szCs w:val="16"/>
        </w:rPr>
        <w:footnoteRef/>
      </w:r>
      <w:r w:rsidRPr="00443556">
        <w:rPr>
          <w:rFonts w:ascii="Arial" w:hAnsi="Arial" w:cs="Arial"/>
          <w:color w:val="0D0D0D" w:themeColor="text1" w:themeTint="F2"/>
          <w:sz w:val="16"/>
          <w:szCs w:val="16"/>
        </w:rPr>
        <w:t xml:space="preserve"> </w:t>
      </w:r>
      <w:r w:rsidRPr="00443556">
        <w:rPr>
          <w:rFonts w:ascii="Arial" w:eastAsia="Calibri" w:hAnsi="Arial" w:cs="Arial"/>
          <w:color w:val="0D0D0D" w:themeColor="text1" w:themeTint="F2"/>
          <w:spacing w:val="-3"/>
          <w:sz w:val="16"/>
          <w:szCs w:val="16"/>
        </w:rPr>
        <w:t xml:space="preserve">Nízká </w:t>
      </w:r>
      <w:r w:rsidRPr="00443556">
        <w:rPr>
          <w:rFonts w:ascii="Arial" w:eastAsia="Calibri" w:hAnsi="Arial" w:cs="Arial"/>
          <w:color w:val="0D0D0D" w:themeColor="text1" w:themeTint="F2"/>
          <w:spacing w:val="-2"/>
          <w:sz w:val="16"/>
          <w:szCs w:val="16"/>
        </w:rPr>
        <w:t>nezaměstnanost přetrvává rovněž v EU – letos v říjnu dosáhla ve skupině 15 až 74letých 5,9 % (v eurozóně 6,3 %). Meziměsíčně se sice podruhé v řadě nezměnila, avšak meziročně byla lehce nižší – o 0,2 p. b. (resp. 0,3 p. b.), zejména díky zlepšení u žen. Jejich nezaměstnanost</w:t>
      </w:r>
      <w:r w:rsidRPr="00443556">
        <w:rPr>
          <w:rFonts w:ascii="Arial" w:eastAsia="Calibri" w:hAnsi="Arial"/>
          <w:color w:val="0D0D0D" w:themeColor="text1" w:themeTint="F2"/>
          <w:spacing w:val="-2"/>
          <w:sz w:val="16"/>
          <w:szCs w:val="16"/>
        </w:rPr>
        <w:t xml:space="preserve"> činila 6,1 % (u mužů klesla v Unii na 5,7 %). Celková nezaměstnanost v EU je v dostupné řadě od roku 2000 nejnižší a proti počátku roku 2008 je příznivější o 1 p. b. (v EU i eurozóně). Celková nezaměstnanost v Česku (2,6 %) byla nepřetržitě již osm let nejnižší v Unii – aktuálně před Maltou (3,0 %), Polskem (3,1 %), Německem (3,4 %) a Nizozemskem (3,7 %). Výsadní postavení mělo Česko tradičně díky mužům (2,4 %). Ale i u žen, kde nezaměstnanost tradičně více kolísá, dosáhla aktuálně lehce nižší úrovně než v tuzemsku (2,9 %) jen Malta. Ve 12 členských státech celková nezaměstnanost meziročně vzrostla – nejvíce v Estonsku (z 6,2 % na 8,1 %), jež bojuje s dozvuky hospodářské recese z předchozích dvou let, dále ve Slovinsku (+1,4 p. b.) a Finsku (+1,3 p. b.). Naopak zlepšení nastalo hlavně na jihu -  zejména v Itálii (ze 7,8 % na 5,8 % – nejnižší úroveň od roku 2007), Kypru a v Chorvatsku (−1,2 p. b.), Řecku (−1,0 p. b.) a Španělsku, kde došlo k poklesu o 0,7 p. b., i tak zde byla nezaměstnanost nejvyšší v EU (11,2 %), a to u mužů i žen. </w:t>
      </w:r>
      <w:r w:rsidRPr="00443556">
        <w:rPr>
          <w:rFonts w:ascii="Arial" w:eastAsia="Calibri" w:hAnsi="Arial"/>
          <w:color w:val="0D0D0D" w:themeColor="text1" w:themeTint="F2"/>
          <w:spacing w:val="-3"/>
          <w:sz w:val="16"/>
          <w:szCs w:val="16"/>
        </w:rPr>
        <w:t>Příznivé postavení má Česko i v nezaměstnanosti osob do 25 let, neboť dlouhodobě patří do třetiny zemí Unie s nejnižší nezaměstnaností mladých. Ta aktuálně v tuzemsku dosahovala 10,4 % (v EU 15,2 %) a více než 20% nezaměstnanost sužovala hned sedm členských zemí – zejména státy jižního křídla eurozóny, ale také Rumunsko a Švédsko.</w:t>
      </w:r>
    </w:p>
  </w:footnote>
  <w:footnote w:id="78">
    <w:p w14:paraId="0B804CC8" w14:textId="77777777" w:rsidR="0083516C" w:rsidRPr="00443556" w:rsidRDefault="0083516C" w:rsidP="00443556">
      <w:pPr>
        <w:pStyle w:val="Textpoznpodarou"/>
        <w:rPr>
          <w:sz w:val="16"/>
          <w:szCs w:val="16"/>
        </w:rPr>
      </w:pPr>
      <w:r w:rsidRPr="00443556">
        <w:rPr>
          <w:rStyle w:val="Znakapoznpodarou"/>
          <w:sz w:val="16"/>
          <w:szCs w:val="16"/>
        </w:rPr>
        <w:footnoteRef/>
      </w:r>
      <w:r w:rsidRPr="00443556">
        <w:rPr>
          <w:sz w:val="16"/>
          <w:szCs w:val="16"/>
        </w:rPr>
        <w:t xml:space="preserve"> Pouze šestina z tohoto počtu je ovšem schopna nastoupit bezprostředně do práce. Významnou část pracovních rezerv totiž tvoří studenti a ženy na rodičovské dovolené.</w:t>
      </w:r>
    </w:p>
  </w:footnote>
  <w:footnote w:id="79">
    <w:p w14:paraId="540E5219" w14:textId="77777777" w:rsidR="0083516C" w:rsidRPr="00443556" w:rsidRDefault="0083516C" w:rsidP="00443556">
      <w:pPr>
        <w:pStyle w:val="Textpoznpodarou"/>
        <w:rPr>
          <w:sz w:val="16"/>
          <w:szCs w:val="16"/>
        </w:rPr>
      </w:pPr>
      <w:r w:rsidRPr="00443556">
        <w:rPr>
          <w:rStyle w:val="Znakapoznpodarou"/>
          <w:sz w:val="16"/>
          <w:szCs w:val="16"/>
        </w:rPr>
        <w:footnoteRef/>
      </w:r>
      <w:r w:rsidRPr="00443556">
        <w:rPr>
          <w:sz w:val="16"/>
          <w:szCs w:val="16"/>
        </w:rPr>
        <w:t xml:space="preserve"> Výjimkou byla jen místa pro uchazeče bez vzdělání, jichž přibylo o 4 tis. a na celkové nabídce míst se podílely 8 % (spolu s pozicemi pro osoby se základním vzděláním pak 74 %).</w:t>
      </w:r>
    </w:p>
  </w:footnote>
  <w:footnote w:id="80">
    <w:p w14:paraId="447060D3" w14:textId="77777777" w:rsidR="0083516C" w:rsidRDefault="0083516C" w:rsidP="00443556">
      <w:pPr>
        <w:pStyle w:val="Textpoznpodarou"/>
        <w:rPr>
          <w:sz w:val="16"/>
          <w:szCs w:val="16"/>
        </w:rPr>
      </w:pPr>
      <w:r w:rsidRPr="00443556">
        <w:rPr>
          <w:rStyle w:val="Znakapoznpodarou"/>
          <w:sz w:val="16"/>
          <w:szCs w:val="16"/>
        </w:rPr>
        <w:footnoteRef/>
      </w:r>
      <w:r w:rsidRPr="00443556">
        <w:rPr>
          <w:sz w:val="16"/>
          <w:szCs w:val="16"/>
        </w:rPr>
        <w:t xml:space="preserve"> </w:t>
      </w:r>
      <w:r w:rsidRPr="00443556">
        <w:rPr>
          <w:rStyle w:val="eop"/>
          <w:rFonts w:cs="Arial"/>
          <w:sz w:val="16"/>
          <w:szCs w:val="16"/>
        </w:rPr>
        <w:t>Jen menší část míst lze považovat za aktivní – méně než půl roku bylo na ÚP inzerováno jen 122 tis. míst (46 % z celku). Dle experimentální statistiky ČSÚ (šetření u podniků od roku 2020) byla ve 3. čtvrtletí 2024 nabídka tuzemských firem odhadnuta na 107 tis.</w:t>
      </w:r>
      <w:r>
        <w:rPr>
          <w:rStyle w:val="eop"/>
          <w:rFonts w:cs="Arial"/>
          <w:sz w:val="16"/>
          <w:szCs w:val="16"/>
        </w:rPr>
        <w:t xml:space="preserve"> volných míst (jedná se jen o místa v pracovním poměru, nejde o přechodná zaměstnání, např. různé typy dohod). Počet míst se meziročně zvýšil o 9 % (mírně dosud rostl ve všech letošních kvartálech). Aktuálně se zvýšila zejména nabídka míst ve veřejných službách (napříč odvětvími), dále v obchodě, cestovním ruchu, v administrativních a podpůrných činnostech. Stejně jako po celý loňský rok naopak klesl počet míst v průmyslu a v odvětví dopravy a skladování. Letos navíc klesala i nabídka pozic ve stavebnictví.</w:t>
      </w:r>
    </w:p>
  </w:footnote>
  <w:footnote w:id="81">
    <w:p w14:paraId="263F4D07" w14:textId="77777777" w:rsidR="0083516C" w:rsidRDefault="0083516C" w:rsidP="0038123E">
      <w:pPr>
        <w:pStyle w:val="Textpoznpodarou"/>
        <w:rPr>
          <w:sz w:val="16"/>
          <w:szCs w:val="16"/>
        </w:rPr>
      </w:pPr>
      <w:r>
        <w:rPr>
          <w:rStyle w:val="Znakapoznpodarou"/>
        </w:rPr>
        <w:footnoteRef/>
      </w:r>
      <w:r>
        <w:rPr>
          <w:sz w:val="16"/>
          <w:szCs w:val="16"/>
        </w:rPr>
        <w:t xml:space="preserve"> Např. v roce 2023 působilo v Česku v nejkvalifikovanějších třídách zaměstnanosti (vedoucí a řídící pracovníci, specialisté, techničtí </w:t>
      </w:r>
      <w:r>
        <w:rPr>
          <w:sz w:val="16"/>
          <w:szCs w:val="16"/>
        </w:rPr>
        <w:br/>
        <w:t>a odborní pracovníci) pouze 13 % ze všech cizinců ze států mimo EU, 24 % ze všech cizinců ze zemí EU, ale 44 % z veškerých zaměstnanců s českým občanstvím.</w:t>
      </w:r>
    </w:p>
  </w:footnote>
  <w:footnote w:id="82">
    <w:p w14:paraId="657ADF3B" w14:textId="77777777" w:rsidR="0083516C" w:rsidRDefault="0083516C" w:rsidP="0038123E">
      <w:pPr>
        <w:pStyle w:val="Textpoznpodarou"/>
        <w:rPr>
          <w:sz w:val="16"/>
          <w:szCs w:val="16"/>
        </w:rPr>
      </w:pPr>
      <w:r>
        <w:rPr>
          <w:rStyle w:val="Znakapoznpodarou"/>
        </w:rPr>
        <w:footnoteRef/>
      </w:r>
      <w:r>
        <w:rPr>
          <w:sz w:val="16"/>
          <w:szCs w:val="16"/>
        </w:rPr>
        <w:t xml:space="preserve"> </w:t>
      </w:r>
      <w:r>
        <w:rPr>
          <w:rFonts w:eastAsia="Times New Roman"/>
          <w:color w:val="0D0D0D" w:themeColor="text1" w:themeTint="F2"/>
          <w:sz w:val="16"/>
          <w:szCs w:val="16"/>
        </w:rPr>
        <w:t>Od ledna 2024 zde došlo k úpravám tarifů a u velké části zaměstnanců se zvýšily osobní příplatky.</w:t>
      </w:r>
    </w:p>
  </w:footnote>
  <w:footnote w:id="83">
    <w:p w14:paraId="4E792F32" w14:textId="77777777" w:rsidR="0083516C" w:rsidRDefault="0083516C" w:rsidP="0079124F">
      <w:pPr>
        <w:pStyle w:val="Textpoznpodarou"/>
        <w:rPr>
          <w:sz w:val="16"/>
          <w:szCs w:val="16"/>
        </w:rPr>
      </w:pPr>
      <w:r>
        <w:rPr>
          <w:rStyle w:val="Znakapoznpodarou"/>
          <w:sz w:val="16"/>
          <w:szCs w:val="16"/>
        </w:rPr>
        <w:footnoteRef/>
      </w:r>
      <w:r>
        <w:rPr>
          <w:sz w:val="16"/>
          <w:szCs w:val="16"/>
        </w:rPr>
        <w:t xml:space="preserve"> Není-li uvedeno jinak, je zdrojem údajů v této kapitole databáze ARAD České národní banky. Hodnoty směnných kurzů jsou rovněž převzaty od ČNB.</w:t>
      </w:r>
    </w:p>
  </w:footnote>
  <w:footnote w:id="84">
    <w:p w14:paraId="1A146948" w14:textId="77777777" w:rsidR="0083516C" w:rsidRPr="001F5F82" w:rsidRDefault="0083516C" w:rsidP="0079124F">
      <w:pPr>
        <w:pStyle w:val="Textpoznpodarou"/>
        <w:rPr>
          <w:sz w:val="16"/>
          <w:szCs w:val="16"/>
        </w:rPr>
      </w:pPr>
      <w:r w:rsidRPr="001F5F82">
        <w:rPr>
          <w:rStyle w:val="Znakapoznpodarou"/>
          <w:sz w:val="16"/>
          <w:szCs w:val="16"/>
        </w:rPr>
        <w:footnoteRef/>
      </w:r>
      <w:r w:rsidRPr="001F5F82">
        <w:rPr>
          <w:sz w:val="16"/>
          <w:szCs w:val="16"/>
        </w:rPr>
        <w:t xml:space="preserve"> Není</w:t>
      </w:r>
      <w:r>
        <w:rPr>
          <w:sz w:val="16"/>
          <w:szCs w:val="16"/>
        </w:rPr>
        <w:t>-</w:t>
      </w:r>
      <w:r w:rsidRPr="001F5F82">
        <w:rPr>
          <w:sz w:val="16"/>
          <w:szCs w:val="16"/>
        </w:rPr>
        <w:t>li uvedeno jinak, je změnou úrokových sazeb myšlen rozdíl mezi hodnotou ke dni 3</w:t>
      </w:r>
      <w:r>
        <w:rPr>
          <w:sz w:val="16"/>
          <w:szCs w:val="16"/>
        </w:rPr>
        <w:t>0. 9</w:t>
      </w:r>
      <w:r w:rsidRPr="001F5F82">
        <w:rPr>
          <w:sz w:val="16"/>
          <w:szCs w:val="16"/>
        </w:rPr>
        <w:t>.</w:t>
      </w:r>
      <w:r>
        <w:rPr>
          <w:sz w:val="16"/>
          <w:szCs w:val="16"/>
        </w:rPr>
        <w:t xml:space="preserve"> 2024</w:t>
      </w:r>
      <w:r w:rsidRPr="001F5F82">
        <w:rPr>
          <w:sz w:val="16"/>
          <w:szCs w:val="16"/>
        </w:rPr>
        <w:t xml:space="preserve"> a</w:t>
      </w:r>
      <w:r>
        <w:rPr>
          <w:sz w:val="16"/>
          <w:szCs w:val="16"/>
        </w:rPr>
        <w:t> </w:t>
      </w:r>
      <w:r w:rsidRPr="001F5F82">
        <w:rPr>
          <w:sz w:val="16"/>
          <w:szCs w:val="16"/>
        </w:rPr>
        <w:t>3</w:t>
      </w:r>
      <w:r>
        <w:rPr>
          <w:sz w:val="16"/>
          <w:szCs w:val="16"/>
        </w:rPr>
        <w:t>0. 6</w:t>
      </w:r>
      <w:r w:rsidRPr="001F5F82">
        <w:rPr>
          <w:sz w:val="16"/>
          <w:szCs w:val="16"/>
        </w:rPr>
        <w:t>.</w:t>
      </w:r>
      <w:r>
        <w:rPr>
          <w:sz w:val="16"/>
          <w:szCs w:val="16"/>
        </w:rPr>
        <w:t xml:space="preserve"> 2024.</w:t>
      </w:r>
    </w:p>
  </w:footnote>
  <w:footnote w:id="85">
    <w:p w14:paraId="1C17BA03" w14:textId="77777777" w:rsidR="0083516C" w:rsidRPr="00651A71" w:rsidRDefault="0083516C" w:rsidP="0079124F">
      <w:pPr>
        <w:pStyle w:val="Textpoznpodarou"/>
        <w:rPr>
          <w:sz w:val="16"/>
          <w:szCs w:val="16"/>
        </w:rPr>
      </w:pPr>
      <w:r w:rsidRPr="00651A71">
        <w:rPr>
          <w:rStyle w:val="Znakapoznpodarou"/>
          <w:sz w:val="16"/>
          <w:szCs w:val="16"/>
        </w:rPr>
        <w:footnoteRef/>
      </w:r>
      <w:r w:rsidRPr="00651A71">
        <w:rPr>
          <w:sz w:val="16"/>
          <w:szCs w:val="16"/>
        </w:rPr>
        <w:t xml:space="preserve"> O</w:t>
      </w:r>
      <w:r w:rsidRPr="00651A71">
        <w:rPr>
          <w:spacing w:val="-3"/>
          <w:sz w:val="16"/>
          <w:szCs w:val="16"/>
          <w:lang w:eastAsia="en-US"/>
        </w:rPr>
        <w:t>byvatelstvo</w:t>
      </w:r>
      <w:r>
        <w:rPr>
          <w:spacing w:val="-3"/>
          <w:sz w:val="16"/>
          <w:szCs w:val="16"/>
          <w:lang w:eastAsia="en-US"/>
        </w:rPr>
        <w:t xml:space="preserve"> včetně </w:t>
      </w:r>
      <w:r w:rsidRPr="00651A71">
        <w:rPr>
          <w:spacing w:val="-3"/>
          <w:sz w:val="16"/>
          <w:szCs w:val="16"/>
          <w:lang w:eastAsia="en-US"/>
        </w:rPr>
        <w:t>živnostníků.</w:t>
      </w:r>
    </w:p>
  </w:footnote>
  <w:footnote w:id="86">
    <w:p w14:paraId="5547CA2C" w14:textId="77777777" w:rsidR="0083516C" w:rsidRPr="00A90EF9" w:rsidRDefault="0083516C" w:rsidP="0079124F">
      <w:pPr>
        <w:pStyle w:val="Textpoznpodarou"/>
        <w:rPr>
          <w:sz w:val="16"/>
          <w:szCs w:val="16"/>
        </w:rPr>
      </w:pPr>
      <w:r w:rsidRPr="00A90EF9">
        <w:rPr>
          <w:rStyle w:val="Znakapoznpodarou"/>
          <w:sz w:val="16"/>
          <w:szCs w:val="16"/>
        </w:rPr>
        <w:footnoteRef/>
      </w:r>
      <w:r w:rsidRPr="00A90EF9">
        <w:rPr>
          <w:sz w:val="16"/>
          <w:szCs w:val="16"/>
        </w:rPr>
        <w:t xml:space="preserve"> Dvouciferné tempo si drží úvěry ze stavebních spoření od konce roku 2022</w:t>
      </w:r>
      <w:r>
        <w:rPr>
          <w:sz w:val="16"/>
          <w:szCs w:val="16"/>
        </w:rPr>
        <w:t xml:space="preserve">. Jejich </w:t>
      </w:r>
      <w:r w:rsidRPr="00A90EF9">
        <w:rPr>
          <w:sz w:val="16"/>
          <w:szCs w:val="16"/>
        </w:rPr>
        <w:t xml:space="preserve">maximální úročení </w:t>
      </w:r>
      <w:r>
        <w:rPr>
          <w:sz w:val="16"/>
          <w:szCs w:val="16"/>
        </w:rPr>
        <w:t xml:space="preserve">je </w:t>
      </w:r>
      <w:r w:rsidRPr="00A90EF9">
        <w:rPr>
          <w:sz w:val="16"/>
          <w:szCs w:val="16"/>
        </w:rPr>
        <w:t xml:space="preserve">zákonem omezeno, </w:t>
      </w:r>
      <w:r>
        <w:rPr>
          <w:sz w:val="16"/>
          <w:szCs w:val="16"/>
        </w:rPr>
        <w:t xml:space="preserve">takže </w:t>
      </w:r>
      <w:r w:rsidRPr="00A90EF9">
        <w:rPr>
          <w:sz w:val="16"/>
          <w:szCs w:val="16"/>
        </w:rPr>
        <w:t xml:space="preserve">se ve srovnání s hypotečními úvěry </w:t>
      </w:r>
      <w:r>
        <w:rPr>
          <w:sz w:val="16"/>
          <w:szCs w:val="16"/>
        </w:rPr>
        <w:t xml:space="preserve">staly </w:t>
      </w:r>
      <w:r w:rsidRPr="00A90EF9">
        <w:rPr>
          <w:sz w:val="16"/>
          <w:szCs w:val="16"/>
        </w:rPr>
        <w:t xml:space="preserve">pro dlužníky výhodnějším nástrojem financování. </w:t>
      </w:r>
    </w:p>
  </w:footnote>
  <w:footnote w:id="87">
    <w:p w14:paraId="3E23E5F5" w14:textId="77777777" w:rsidR="0083516C" w:rsidRPr="00284DA5" w:rsidRDefault="0083516C" w:rsidP="0079124F">
      <w:pPr>
        <w:pStyle w:val="Textpoznpodarou"/>
        <w:rPr>
          <w:sz w:val="16"/>
          <w:szCs w:val="16"/>
        </w:rPr>
      </w:pPr>
      <w:r w:rsidRPr="00284DA5">
        <w:rPr>
          <w:rStyle w:val="Znakapoznpodarou"/>
          <w:sz w:val="16"/>
          <w:szCs w:val="16"/>
        </w:rPr>
        <w:footnoteRef/>
      </w:r>
      <w:r w:rsidRPr="00284DA5">
        <w:rPr>
          <w:sz w:val="16"/>
          <w:szCs w:val="16"/>
        </w:rPr>
        <w:t xml:space="preserve"> V nových smlouvách jsou zahrnuty i</w:t>
      </w:r>
      <w:r>
        <w:rPr>
          <w:sz w:val="16"/>
          <w:szCs w:val="16"/>
        </w:rPr>
        <w:t> </w:t>
      </w:r>
      <w:r w:rsidRPr="00284DA5">
        <w:rPr>
          <w:sz w:val="16"/>
          <w:szCs w:val="16"/>
        </w:rPr>
        <w:t>refinancované úvěry a</w:t>
      </w:r>
      <w:r>
        <w:rPr>
          <w:sz w:val="16"/>
          <w:szCs w:val="16"/>
        </w:rPr>
        <w:t> </w:t>
      </w:r>
      <w:r w:rsidRPr="00284DA5">
        <w:rPr>
          <w:sz w:val="16"/>
          <w:szCs w:val="16"/>
        </w:rPr>
        <w:t>ostatní ujednání.</w:t>
      </w:r>
      <w:r>
        <w:rPr>
          <w:sz w:val="16"/>
          <w:szCs w:val="16"/>
        </w:rPr>
        <w:t xml:space="preserve"> Refinancované úvěry zahrnují stávající smlouvy sjednané nově u jiné banky, zatímco ostatní nová ujednání jsou stávající smlouvy sjednané s novými podmínkami u stejné banky.</w:t>
      </w:r>
    </w:p>
  </w:footnote>
  <w:footnote w:id="88">
    <w:p w14:paraId="0239B808" w14:textId="77777777" w:rsidR="0083516C" w:rsidRPr="00724B7B" w:rsidRDefault="0083516C" w:rsidP="0079124F">
      <w:pPr>
        <w:pStyle w:val="Textpoznpodarou"/>
        <w:rPr>
          <w:sz w:val="16"/>
          <w:szCs w:val="16"/>
        </w:rPr>
      </w:pPr>
      <w:r w:rsidRPr="00724B7B">
        <w:rPr>
          <w:rStyle w:val="Znakapoznpodarou"/>
          <w:sz w:val="16"/>
          <w:szCs w:val="16"/>
        </w:rPr>
        <w:footnoteRef/>
      </w:r>
      <w:r w:rsidRPr="00724B7B">
        <w:rPr>
          <w:sz w:val="16"/>
          <w:szCs w:val="16"/>
        </w:rPr>
        <w:t xml:space="preserve"> Úvěry v cizí měně začaly prudce</w:t>
      </w:r>
      <w:r>
        <w:rPr>
          <w:sz w:val="16"/>
          <w:szCs w:val="16"/>
        </w:rPr>
        <w:t xml:space="preserve"> růst</w:t>
      </w:r>
      <w:r w:rsidRPr="00724B7B">
        <w:rPr>
          <w:sz w:val="16"/>
          <w:szCs w:val="16"/>
        </w:rPr>
        <w:t xml:space="preserve"> po začátku opětovného zvyšování měnověpolitických sazeb v červnu 2021.</w:t>
      </w:r>
    </w:p>
  </w:footnote>
  <w:footnote w:id="89">
    <w:p w14:paraId="593A0DEB" w14:textId="77777777" w:rsidR="0083516C" w:rsidRPr="008332EA" w:rsidRDefault="0083516C" w:rsidP="000A5265">
      <w:pPr>
        <w:pStyle w:val="Textpoznpodarou"/>
        <w:jc w:val="both"/>
        <w:rPr>
          <w:spacing w:val="-2"/>
          <w:sz w:val="16"/>
          <w:szCs w:val="16"/>
        </w:rPr>
      </w:pPr>
      <w:r w:rsidRPr="008332EA">
        <w:rPr>
          <w:rStyle w:val="Znakapoznpodarou"/>
          <w:spacing w:val="-2"/>
          <w:sz w:val="16"/>
          <w:szCs w:val="16"/>
        </w:rPr>
        <w:footnoteRef/>
      </w:r>
      <w:r w:rsidRPr="008332EA">
        <w:rPr>
          <w:spacing w:val="-2"/>
          <w:sz w:val="16"/>
          <w:szCs w:val="16"/>
        </w:rPr>
        <w:t xml:space="preserve"> </w:t>
      </w:r>
      <w:r w:rsidRPr="008332EA">
        <w:rPr>
          <w:color w:val="0D0D0D" w:themeColor="text1" w:themeTint="F2"/>
          <w:spacing w:val="-2"/>
          <w:sz w:val="16"/>
          <w:szCs w:val="16"/>
        </w:rPr>
        <w:t xml:space="preserve">Pokud není uvedeno jinak, vycházejí všechny údaje týkající se státního rozpočtu </w:t>
      </w:r>
      <w:r w:rsidRPr="008332EA">
        <w:rPr>
          <w:rFonts w:cs="Arial"/>
          <w:color w:val="0D0D0D" w:themeColor="text1" w:themeTint="F2"/>
          <w:spacing w:val="-2"/>
          <w:sz w:val="16"/>
          <w:szCs w:val="16"/>
        </w:rPr>
        <w:t xml:space="preserve">z dat Ministerstva financí </w:t>
      </w:r>
      <w:r>
        <w:rPr>
          <w:rFonts w:cs="Arial"/>
          <w:color w:val="0D0D0D" w:themeColor="text1" w:themeTint="F2"/>
          <w:spacing w:val="-2"/>
          <w:sz w:val="16"/>
          <w:szCs w:val="16"/>
        </w:rPr>
        <w:t xml:space="preserve">(MF) </w:t>
      </w:r>
      <w:r w:rsidRPr="008332EA">
        <w:rPr>
          <w:rFonts w:cs="Arial"/>
          <w:color w:val="0D0D0D" w:themeColor="text1" w:themeTint="F2"/>
          <w:spacing w:val="-2"/>
          <w:sz w:val="16"/>
          <w:szCs w:val="16"/>
        </w:rPr>
        <w:t>ČR o pokladním plnění.</w:t>
      </w:r>
    </w:p>
  </w:footnote>
  <w:footnote w:id="90">
    <w:p w14:paraId="2334C558" w14:textId="77777777" w:rsidR="0083516C" w:rsidRPr="008332EA" w:rsidRDefault="0083516C" w:rsidP="000A5265">
      <w:pPr>
        <w:pStyle w:val="Textpoznpodarou"/>
        <w:rPr>
          <w:spacing w:val="-2"/>
          <w:sz w:val="16"/>
          <w:szCs w:val="16"/>
        </w:rPr>
      </w:pPr>
      <w:r w:rsidRPr="008332EA">
        <w:rPr>
          <w:rStyle w:val="Znakapoznpodarou"/>
          <w:spacing w:val="-2"/>
          <w:sz w:val="16"/>
          <w:szCs w:val="16"/>
        </w:rPr>
        <w:footnoteRef/>
      </w:r>
      <w:r>
        <w:rPr>
          <w:spacing w:val="-2"/>
          <w:sz w:val="16"/>
          <w:szCs w:val="16"/>
        </w:rPr>
        <w:t xml:space="preserve"> To představuje více než 70</w:t>
      </w:r>
      <w:r w:rsidRPr="008332EA">
        <w:rPr>
          <w:spacing w:val="-2"/>
          <w:sz w:val="16"/>
          <w:szCs w:val="16"/>
        </w:rPr>
        <w:t xml:space="preserve"> % </w:t>
      </w:r>
      <w:r>
        <w:rPr>
          <w:spacing w:val="-2"/>
          <w:sz w:val="16"/>
          <w:szCs w:val="16"/>
        </w:rPr>
        <w:t xml:space="preserve">původně </w:t>
      </w:r>
      <w:r w:rsidRPr="008332EA">
        <w:rPr>
          <w:spacing w:val="-2"/>
          <w:sz w:val="16"/>
          <w:szCs w:val="16"/>
        </w:rPr>
        <w:t>plánov</w:t>
      </w:r>
      <w:r>
        <w:rPr>
          <w:spacing w:val="-2"/>
          <w:sz w:val="16"/>
          <w:szCs w:val="16"/>
        </w:rPr>
        <w:t>aného celoročního schodku dle z</w:t>
      </w:r>
      <w:r w:rsidRPr="008332EA">
        <w:rPr>
          <w:spacing w:val="-2"/>
          <w:sz w:val="16"/>
          <w:szCs w:val="16"/>
        </w:rPr>
        <w:t xml:space="preserve">ákona </w:t>
      </w:r>
      <w:r>
        <w:rPr>
          <w:spacing w:val="-2"/>
          <w:sz w:val="16"/>
          <w:szCs w:val="16"/>
        </w:rPr>
        <w:t>o státním rozpočtu na rok 2024 (</w:t>
      </w:r>
      <w:r w:rsidRPr="008332EA">
        <w:rPr>
          <w:spacing w:val="-2"/>
          <w:sz w:val="16"/>
          <w:szCs w:val="16"/>
        </w:rPr>
        <w:t>schválenéh</w:t>
      </w:r>
      <w:r>
        <w:rPr>
          <w:spacing w:val="-2"/>
          <w:sz w:val="16"/>
          <w:szCs w:val="16"/>
        </w:rPr>
        <w:t xml:space="preserve">o na konci listopadu 2023). Na počátku října 2024 byla následně schválena jeho novela, jež kvůli rychlému a pružnému řešení následků zářijových povodní počítá se zvýšením výdajů o 30 mld. korun a o stejnou částku navyšuje i rozpočtový schodek. </w:t>
      </w:r>
    </w:p>
  </w:footnote>
  <w:footnote w:id="91">
    <w:p w14:paraId="3A8373B2" w14:textId="77777777" w:rsidR="0083516C" w:rsidRPr="008332EA" w:rsidRDefault="0083516C" w:rsidP="000A5265">
      <w:pPr>
        <w:autoSpaceDE w:val="0"/>
        <w:autoSpaceDN w:val="0"/>
        <w:adjustRightInd w:val="0"/>
        <w:spacing w:after="0" w:line="240" w:lineRule="auto"/>
        <w:jc w:val="left"/>
        <w:rPr>
          <w:rFonts w:eastAsia="Calibri" w:cs="Arial"/>
          <w:spacing w:val="-2"/>
          <w:sz w:val="16"/>
          <w:szCs w:val="16"/>
          <w:lang w:eastAsia="en-US"/>
        </w:rPr>
      </w:pPr>
      <w:r w:rsidRPr="008332EA">
        <w:rPr>
          <w:rStyle w:val="Znakapoznpodarou"/>
          <w:spacing w:val="-2"/>
          <w:sz w:val="16"/>
          <w:szCs w:val="16"/>
        </w:rPr>
        <w:footnoteRef/>
      </w:r>
      <w:r w:rsidRPr="008332EA">
        <w:rPr>
          <w:spacing w:val="-2"/>
          <w:sz w:val="16"/>
          <w:szCs w:val="16"/>
        </w:rPr>
        <w:t xml:space="preserve"> </w:t>
      </w:r>
      <w:r>
        <w:rPr>
          <w:spacing w:val="-2"/>
          <w:sz w:val="16"/>
          <w:szCs w:val="16"/>
        </w:rPr>
        <w:t xml:space="preserve">Trend vývoje schodku je příznivější po jeho </w:t>
      </w:r>
      <w:r w:rsidRPr="008332EA">
        <w:rPr>
          <w:spacing w:val="-2"/>
          <w:sz w:val="16"/>
          <w:szCs w:val="16"/>
        </w:rPr>
        <w:t>očištění o</w:t>
      </w:r>
      <w:r>
        <w:rPr>
          <w:spacing w:val="-2"/>
          <w:sz w:val="16"/>
          <w:szCs w:val="16"/>
        </w:rPr>
        <w:t xml:space="preserve"> vliv prostředků z rozpočtu EU, vč.</w:t>
      </w:r>
      <w:r w:rsidRPr="008332EA">
        <w:rPr>
          <w:spacing w:val="-2"/>
          <w:sz w:val="16"/>
          <w:szCs w:val="16"/>
        </w:rPr>
        <w:t xml:space="preserve"> </w:t>
      </w:r>
      <w:r>
        <w:rPr>
          <w:spacing w:val="-2"/>
          <w:sz w:val="16"/>
          <w:szCs w:val="16"/>
        </w:rPr>
        <w:t xml:space="preserve">finančních </w:t>
      </w:r>
      <w:r w:rsidRPr="008332EA">
        <w:rPr>
          <w:spacing w:val="-2"/>
          <w:sz w:val="16"/>
          <w:szCs w:val="16"/>
        </w:rPr>
        <w:t>mechanismů</w:t>
      </w:r>
      <w:r>
        <w:rPr>
          <w:spacing w:val="-2"/>
          <w:sz w:val="16"/>
          <w:szCs w:val="16"/>
        </w:rPr>
        <w:t xml:space="preserve"> (FM). Jde o</w:t>
      </w:r>
      <w:r w:rsidRPr="008332EA">
        <w:rPr>
          <w:spacing w:val="-2"/>
          <w:sz w:val="16"/>
          <w:szCs w:val="16"/>
        </w:rPr>
        <w:t> prostředky na programy</w:t>
      </w:r>
      <w:r>
        <w:rPr>
          <w:rFonts w:cs="Arial"/>
          <w:spacing w:val="-2"/>
          <w:sz w:val="16"/>
          <w:szCs w:val="16"/>
        </w:rPr>
        <w:t xml:space="preserve"> z rozpočtu EU a FM, jež</w:t>
      </w:r>
      <w:r w:rsidRPr="008332EA">
        <w:rPr>
          <w:rFonts w:cs="Arial"/>
          <w:spacing w:val="-2"/>
          <w:sz w:val="16"/>
          <w:szCs w:val="16"/>
        </w:rPr>
        <w:t xml:space="preserve"> byly předfinanc</w:t>
      </w:r>
      <w:r>
        <w:rPr>
          <w:rFonts w:cs="Arial"/>
          <w:spacing w:val="-2"/>
          <w:sz w:val="16"/>
          <w:szCs w:val="16"/>
        </w:rPr>
        <w:t xml:space="preserve">ovány ze SR a následně </w:t>
      </w:r>
      <w:r w:rsidRPr="008332EA">
        <w:rPr>
          <w:rFonts w:cs="Arial"/>
          <w:spacing w:val="-2"/>
          <w:sz w:val="16"/>
          <w:szCs w:val="16"/>
        </w:rPr>
        <w:t>proplaceny z</w:t>
      </w:r>
      <w:r w:rsidRPr="008332EA">
        <w:rPr>
          <w:spacing w:val="-2"/>
          <w:sz w:val="16"/>
          <w:szCs w:val="16"/>
        </w:rPr>
        <w:t> </w:t>
      </w:r>
      <w:r w:rsidRPr="008332EA">
        <w:rPr>
          <w:rFonts w:cs="Arial"/>
          <w:spacing w:val="-2"/>
          <w:sz w:val="16"/>
          <w:szCs w:val="16"/>
        </w:rPr>
        <w:t xml:space="preserve">rozpočtu EU a FM. </w:t>
      </w:r>
      <w:r>
        <w:rPr>
          <w:rFonts w:eastAsia="Calibri" w:cs="Arial"/>
          <w:spacing w:val="-2"/>
          <w:sz w:val="16"/>
          <w:szCs w:val="16"/>
          <w:lang w:eastAsia="en-US"/>
        </w:rPr>
        <w:t>Bez těchto prostředků, jež jsou ve</w:t>
      </w:r>
      <w:r w:rsidRPr="008332EA">
        <w:rPr>
          <w:rFonts w:eastAsia="Calibri" w:cs="Arial"/>
          <w:spacing w:val="-2"/>
          <w:sz w:val="16"/>
          <w:szCs w:val="16"/>
          <w:lang w:eastAsia="en-US"/>
        </w:rPr>
        <w:t xml:space="preserve"> </w:t>
      </w:r>
      <w:r>
        <w:rPr>
          <w:rFonts w:eastAsia="Calibri" w:cs="Arial"/>
          <w:spacing w:val="-2"/>
          <w:sz w:val="16"/>
          <w:szCs w:val="16"/>
          <w:lang w:eastAsia="en-US"/>
        </w:rPr>
        <w:t xml:space="preserve">schváleném </w:t>
      </w:r>
      <w:r w:rsidRPr="008332EA">
        <w:rPr>
          <w:rFonts w:eastAsia="Calibri" w:cs="Arial"/>
          <w:spacing w:val="-2"/>
          <w:sz w:val="16"/>
          <w:szCs w:val="16"/>
          <w:lang w:eastAsia="en-US"/>
        </w:rPr>
        <w:t xml:space="preserve">SR zahrnuty s neutrálním dopadem, </w:t>
      </w:r>
      <w:r w:rsidRPr="008332EA">
        <w:rPr>
          <w:rFonts w:cs="Arial"/>
          <w:spacing w:val="-2"/>
          <w:sz w:val="16"/>
          <w:szCs w:val="16"/>
          <w:lang w:eastAsia="en-US"/>
        </w:rPr>
        <w:t xml:space="preserve">činil </w:t>
      </w:r>
      <w:r>
        <w:rPr>
          <w:rFonts w:cs="Arial"/>
          <w:spacing w:val="-2"/>
          <w:sz w:val="16"/>
          <w:szCs w:val="16"/>
          <w:lang w:eastAsia="en-US"/>
        </w:rPr>
        <w:t xml:space="preserve">schodek za tři </w:t>
      </w:r>
      <w:r w:rsidRPr="008332EA">
        <w:rPr>
          <w:rFonts w:cs="Arial"/>
          <w:spacing w:val="-2"/>
          <w:sz w:val="16"/>
          <w:szCs w:val="16"/>
          <w:lang w:eastAsia="en-US"/>
        </w:rPr>
        <w:t xml:space="preserve">letošní </w:t>
      </w:r>
      <w:r>
        <w:rPr>
          <w:rFonts w:cs="Arial"/>
          <w:spacing w:val="-2"/>
          <w:sz w:val="16"/>
          <w:szCs w:val="16"/>
          <w:lang w:eastAsia="en-US"/>
        </w:rPr>
        <w:t>čtvrtletí 188</w:t>
      </w:r>
      <w:r w:rsidRPr="008332EA">
        <w:rPr>
          <w:rFonts w:cs="Arial"/>
          <w:spacing w:val="-2"/>
          <w:sz w:val="16"/>
          <w:szCs w:val="16"/>
          <w:lang w:eastAsia="en-US"/>
        </w:rPr>
        <w:t>,2</w:t>
      </w:r>
      <w:r>
        <w:rPr>
          <w:rFonts w:eastAsia="Calibri" w:cs="Arial"/>
          <w:spacing w:val="-2"/>
          <w:sz w:val="16"/>
          <w:szCs w:val="16"/>
          <w:lang w:eastAsia="en-US"/>
        </w:rPr>
        <w:t xml:space="preserve"> mld. korun a</w:t>
      </w:r>
      <w:r w:rsidRPr="008332EA">
        <w:rPr>
          <w:spacing w:val="-2"/>
          <w:sz w:val="16"/>
          <w:szCs w:val="16"/>
        </w:rPr>
        <w:t> </w:t>
      </w:r>
      <w:r>
        <w:rPr>
          <w:rFonts w:eastAsia="Calibri" w:cs="Arial"/>
          <w:spacing w:val="-2"/>
          <w:sz w:val="16"/>
          <w:szCs w:val="16"/>
          <w:lang w:eastAsia="en-US"/>
        </w:rPr>
        <w:t>meziročně byl o 23,5 mld. nižší.</w:t>
      </w:r>
    </w:p>
  </w:footnote>
  <w:footnote w:id="92">
    <w:p w14:paraId="5FFA4C61" w14:textId="77777777" w:rsidR="0083516C" w:rsidRPr="008332EA" w:rsidRDefault="0083516C" w:rsidP="000A5265">
      <w:pPr>
        <w:pStyle w:val="Textpoznpodarou"/>
        <w:rPr>
          <w:spacing w:val="-2"/>
          <w:sz w:val="16"/>
          <w:szCs w:val="16"/>
        </w:rPr>
      </w:pPr>
      <w:r w:rsidRPr="008332EA">
        <w:rPr>
          <w:rStyle w:val="Znakapoznpodarou"/>
          <w:spacing w:val="-2"/>
          <w:sz w:val="16"/>
          <w:szCs w:val="16"/>
        </w:rPr>
        <w:footnoteRef/>
      </w:r>
      <w:r w:rsidRPr="008332EA">
        <w:rPr>
          <w:spacing w:val="-2"/>
          <w:sz w:val="16"/>
          <w:szCs w:val="16"/>
        </w:rPr>
        <w:t xml:space="preserve"> Díky této úpravě je letos dle odhadu MF očekáváno celoroční zvýšení inkasa SR u DPH o 5,6 mld. korun, u daně z příjmu fyzických osob o 2,3 mld. </w:t>
      </w:r>
      <w:r>
        <w:rPr>
          <w:spacing w:val="-2"/>
          <w:sz w:val="16"/>
          <w:szCs w:val="16"/>
        </w:rPr>
        <w:t xml:space="preserve">korun </w:t>
      </w:r>
      <w:r w:rsidRPr="008332EA">
        <w:rPr>
          <w:spacing w:val="-2"/>
          <w:sz w:val="16"/>
          <w:szCs w:val="16"/>
        </w:rPr>
        <w:t>a u korporátní daně o 2,9 mld.</w:t>
      </w:r>
      <w:r>
        <w:rPr>
          <w:spacing w:val="-2"/>
          <w:sz w:val="16"/>
          <w:szCs w:val="16"/>
        </w:rPr>
        <w:t xml:space="preserve"> korun. Za 1. až 3. čtvrtletí 2024 vlivem změny RUD již získal SR navíc 7,9 mld. korun.</w:t>
      </w:r>
    </w:p>
  </w:footnote>
  <w:footnote w:id="93">
    <w:p w14:paraId="2051017A" w14:textId="77777777" w:rsidR="0083516C" w:rsidRPr="008332EA" w:rsidRDefault="0083516C" w:rsidP="000A5265">
      <w:pPr>
        <w:spacing w:after="0" w:line="240" w:lineRule="auto"/>
        <w:rPr>
          <w:spacing w:val="-2"/>
        </w:rPr>
      </w:pPr>
      <w:r w:rsidRPr="008332EA">
        <w:rPr>
          <w:rStyle w:val="Znakapoznpodarou"/>
          <w:spacing w:val="-2"/>
          <w:sz w:val="16"/>
          <w:szCs w:val="16"/>
        </w:rPr>
        <w:footnoteRef/>
      </w:r>
      <w:r w:rsidRPr="008332EA">
        <w:rPr>
          <w:spacing w:val="-2"/>
          <w:sz w:val="16"/>
          <w:szCs w:val="16"/>
        </w:rPr>
        <w:t xml:space="preserve"> </w:t>
      </w:r>
      <w:r w:rsidRPr="008332EA">
        <w:rPr>
          <w:rFonts w:cs="Arial"/>
          <w:spacing w:val="-2"/>
          <w:sz w:val="16"/>
          <w:szCs w:val="16"/>
        </w:rPr>
        <w:t>Jedná se zejména o znovuzavedení placení pojistného z nemocenského pojištění hrazeného zaměstnancem (0,6 % vyměřovacího základu, do roku 2008 činila tato sazba 1,1 %). Rozpočtově méně významné je zvýšení vyměřovacího základu pro osoby samostatně výdělečně činné a stanovení limitů pro vznik účasti na pojištění zaměstnance pracujícího na základě dohody o provedení práce.</w:t>
      </w:r>
      <w:r w:rsidRPr="008332EA">
        <w:rPr>
          <w:rFonts w:cstheme="minorHAnsi"/>
          <w:spacing w:val="-2"/>
        </w:rPr>
        <w:t xml:space="preserve"> </w:t>
      </w:r>
      <w:r w:rsidRPr="008332EA">
        <w:rPr>
          <w:spacing w:val="-2"/>
          <w:sz w:val="16"/>
          <w:szCs w:val="16"/>
        </w:rPr>
        <w:t>Dle odhadu MF je vlivem těchto úprav letos očekáváno celoroční zvýšení inkasa SR o 18 mld. korun.</w:t>
      </w:r>
    </w:p>
  </w:footnote>
  <w:footnote w:id="94">
    <w:p w14:paraId="5EB26FCC" w14:textId="77777777" w:rsidR="0083516C" w:rsidRDefault="0083516C" w:rsidP="000A5265">
      <w:pPr>
        <w:pStyle w:val="Textpoznpodarou"/>
      </w:pPr>
      <w:r w:rsidRPr="004E0DF3">
        <w:rPr>
          <w:rStyle w:val="Znakapoznpodarou"/>
          <w:sz w:val="16"/>
          <w:szCs w:val="16"/>
        </w:rPr>
        <w:footnoteRef/>
      </w:r>
      <w:r w:rsidRPr="004E0DF3">
        <w:rPr>
          <w:sz w:val="16"/>
          <w:szCs w:val="16"/>
        </w:rPr>
        <w:t xml:space="preserve"> </w:t>
      </w:r>
      <w:r w:rsidRPr="004E0DF3">
        <w:rPr>
          <w:spacing w:val="-2"/>
          <w:sz w:val="16"/>
          <w:szCs w:val="16"/>
        </w:rPr>
        <w:t>Tento nástroj vznikl v souvislosti s potřebou řešit hosp</w:t>
      </w:r>
      <w:r>
        <w:rPr>
          <w:spacing w:val="-2"/>
          <w:sz w:val="16"/>
          <w:szCs w:val="16"/>
        </w:rPr>
        <w:t>odářské a sociální dopady pandemie</w:t>
      </w:r>
      <w:r w:rsidRPr="004E0DF3">
        <w:rPr>
          <w:spacing w:val="-2"/>
          <w:sz w:val="16"/>
          <w:szCs w:val="16"/>
        </w:rPr>
        <w:t xml:space="preserve"> covid</w:t>
      </w:r>
      <w:r>
        <w:rPr>
          <w:spacing w:val="-2"/>
          <w:sz w:val="16"/>
          <w:szCs w:val="16"/>
        </w:rPr>
        <w:t>u</w:t>
      </w:r>
      <w:r w:rsidRPr="004E0DF3">
        <w:rPr>
          <w:spacing w:val="-2"/>
          <w:sz w:val="16"/>
          <w:szCs w:val="16"/>
        </w:rPr>
        <w:t xml:space="preserve">-19. </w:t>
      </w:r>
      <w:r>
        <w:rPr>
          <w:spacing w:val="-2"/>
          <w:sz w:val="16"/>
          <w:szCs w:val="16"/>
        </w:rPr>
        <w:t>Cílí</w:t>
      </w:r>
      <w:r w:rsidRPr="004E0DF3">
        <w:rPr>
          <w:spacing w:val="-2"/>
          <w:sz w:val="16"/>
          <w:szCs w:val="16"/>
        </w:rPr>
        <w:t xml:space="preserve"> </w:t>
      </w:r>
      <w:r>
        <w:rPr>
          <w:spacing w:val="-2"/>
          <w:sz w:val="16"/>
          <w:szCs w:val="16"/>
        </w:rPr>
        <w:t xml:space="preserve">zejména </w:t>
      </w:r>
      <w:r w:rsidRPr="004E0DF3">
        <w:rPr>
          <w:spacing w:val="-2"/>
          <w:sz w:val="16"/>
          <w:szCs w:val="16"/>
        </w:rPr>
        <w:t>na obnovu trhu práce, sociální ochranu a systémy zdravotní péče, oživení potenciálu pro udržitelný růst a zaměstnanost, transformaci na zelenou a digitální ekonomiku, výzkum a inovace, podporu zemědělství a rozvoje venkova.</w:t>
      </w:r>
    </w:p>
  </w:footnote>
  <w:footnote w:id="95">
    <w:p w14:paraId="7E77D413" w14:textId="77777777" w:rsidR="0083516C" w:rsidRPr="00B4204A" w:rsidRDefault="0083516C" w:rsidP="000A5265">
      <w:pPr>
        <w:pStyle w:val="Textpoznpodarou"/>
        <w:rPr>
          <w:sz w:val="16"/>
          <w:szCs w:val="16"/>
        </w:rPr>
      </w:pPr>
      <w:r w:rsidRPr="00B4204A">
        <w:rPr>
          <w:rStyle w:val="Znakapoznpodarou"/>
          <w:sz w:val="16"/>
          <w:szCs w:val="16"/>
        </w:rPr>
        <w:footnoteRef/>
      </w:r>
      <w:r w:rsidRPr="00B4204A">
        <w:rPr>
          <w:sz w:val="16"/>
          <w:szCs w:val="16"/>
        </w:rPr>
        <w:t xml:space="preserve"> </w:t>
      </w:r>
      <w:r w:rsidRPr="008534DA">
        <w:rPr>
          <w:spacing w:val="-2"/>
          <w:sz w:val="16"/>
          <w:szCs w:val="16"/>
        </w:rPr>
        <w:t>Ta se týká energetických, petrochemických a těžebních firem</w:t>
      </w:r>
      <w:r>
        <w:rPr>
          <w:spacing w:val="-2"/>
          <w:sz w:val="16"/>
          <w:szCs w:val="16"/>
        </w:rPr>
        <w:t xml:space="preserve"> (v oblasti fosilních paliv) a zahrnuje rovněž velké banky</w:t>
      </w:r>
      <w:r w:rsidRPr="008534DA">
        <w:rPr>
          <w:spacing w:val="-2"/>
          <w:sz w:val="16"/>
          <w:szCs w:val="16"/>
        </w:rPr>
        <w:t xml:space="preserve">. </w:t>
      </w:r>
      <w:r w:rsidRPr="004E6893">
        <w:rPr>
          <w:spacing w:val="-2"/>
          <w:sz w:val="16"/>
          <w:szCs w:val="16"/>
        </w:rPr>
        <w:t>Funguje jako 60% daňová přirážka aplikovaná na nadměrný zisk těchto firem stanovený jako rozdíl mezi základem daně v letech 2023–2025 a průměrem základů daně za roky 2018 až 2021 navýšeným o 20 procent.</w:t>
      </w:r>
      <w:r>
        <w:rPr>
          <w:spacing w:val="-2"/>
          <w:sz w:val="16"/>
          <w:szCs w:val="16"/>
        </w:rPr>
        <w:t xml:space="preserve"> </w:t>
      </w:r>
      <w:r w:rsidRPr="008534DA">
        <w:rPr>
          <w:spacing w:val="-2"/>
          <w:sz w:val="16"/>
          <w:szCs w:val="16"/>
        </w:rPr>
        <w:t xml:space="preserve">Drtivá </w:t>
      </w:r>
      <w:r>
        <w:rPr>
          <w:spacing w:val="-2"/>
          <w:sz w:val="16"/>
          <w:szCs w:val="16"/>
        </w:rPr>
        <w:t xml:space="preserve">většina inkasa této daně ovšem plynula do SR </w:t>
      </w:r>
      <w:r w:rsidRPr="008534DA">
        <w:rPr>
          <w:spacing w:val="-2"/>
          <w:sz w:val="16"/>
          <w:szCs w:val="16"/>
        </w:rPr>
        <w:t>z odvětví energetiky</w:t>
      </w:r>
      <w:r>
        <w:rPr>
          <w:spacing w:val="-2"/>
          <w:sz w:val="16"/>
          <w:szCs w:val="16"/>
        </w:rPr>
        <w:t>.</w:t>
      </w:r>
    </w:p>
  </w:footnote>
  <w:footnote w:id="96">
    <w:p w14:paraId="560FDD7A" w14:textId="77777777" w:rsidR="0083516C" w:rsidRPr="002437ED" w:rsidRDefault="0083516C" w:rsidP="000A5265">
      <w:pPr>
        <w:pStyle w:val="Textpoznpodarou"/>
        <w:rPr>
          <w:sz w:val="16"/>
          <w:szCs w:val="16"/>
        </w:rPr>
      </w:pPr>
      <w:r w:rsidRPr="002437ED">
        <w:rPr>
          <w:rStyle w:val="Znakapoznpodarou"/>
          <w:sz w:val="16"/>
          <w:szCs w:val="16"/>
        </w:rPr>
        <w:footnoteRef/>
      </w:r>
      <w:r w:rsidRPr="002437ED">
        <w:rPr>
          <w:sz w:val="16"/>
          <w:szCs w:val="16"/>
        </w:rPr>
        <w:t xml:space="preserve"> Po výrazném nenaplnění příjmů této daně za celý loňský rok (plán: 85 mld. korun, skutečnost: 39 mld.), bylo na letošní rok rozpočtové očekávání stanoveno jen na 17 mld. korun.</w:t>
      </w:r>
    </w:p>
  </w:footnote>
  <w:footnote w:id="97">
    <w:p w14:paraId="39B085D6" w14:textId="77777777" w:rsidR="0083516C" w:rsidRDefault="0083516C" w:rsidP="000A5265">
      <w:pPr>
        <w:pStyle w:val="Textpoznpodarou"/>
      </w:pPr>
      <w:r w:rsidRPr="00B4204A">
        <w:rPr>
          <w:rStyle w:val="Znakapoznpodarou"/>
          <w:sz w:val="16"/>
          <w:szCs w:val="16"/>
        </w:rPr>
        <w:footnoteRef/>
      </w:r>
      <w:r>
        <w:t xml:space="preserve"> </w:t>
      </w:r>
      <w:r w:rsidRPr="008534DA">
        <w:rPr>
          <w:spacing w:val="-2"/>
          <w:sz w:val="16"/>
          <w:szCs w:val="16"/>
        </w:rPr>
        <w:t>Tento odvod (zdaněný 90% sazbou) představuje rozdíl mezi skutečným příjmem a stropem tržního příjmu z prodeje elektřiny nad stanovenou hranici (za období od 1. prosince 2022 do konce roku 2023).</w:t>
      </w:r>
    </w:p>
  </w:footnote>
  <w:footnote w:id="98">
    <w:p w14:paraId="440B2787" w14:textId="77777777" w:rsidR="0083516C" w:rsidRPr="008332EA" w:rsidRDefault="0083516C" w:rsidP="000A5265">
      <w:pPr>
        <w:pStyle w:val="Textpoznpodarou"/>
        <w:rPr>
          <w:spacing w:val="-2"/>
          <w:sz w:val="16"/>
          <w:szCs w:val="16"/>
        </w:rPr>
      </w:pPr>
      <w:r w:rsidRPr="008332EA">
        <w:rPr>
          <w:rStyle w:val="Znakapoznpodarou"/>
          <w:spacing w:val="-2"/>
          <w:sz w:val="16"/>
          <w:szCs w:val="16"/>
        </w:rPr>
        <w:footnoteRef/>
      </w:r>
      <w:r w:rsidRPr="008332EA">
        <w:rPr>
          <w:spacing w:val="-2"/>
          <w:sz w:val="16"/>
          <w:szCs w:val="16"/>
        </w:rPr>
        <w:t xml:space="preserve"> Reálné výdaje na konečnou spotřebu domácností </w:t>
      </w:r>
      <w:r>
        <w:rPr>
          <w:spacing w:val="-2"/>
          <w:sz w:val="16"/>
          <w:szCs w:val="16"/>
        </w:rPr>
        <w:t>se v 1. polo</w:t>
      </w:r>
      <w:r w:rsidRPr="008332EA">
        <w:rPr>
          <w:spacing w:val="-2"/>
          <w:sz w:val="16"/>
          <w:szCs w:val="16"/>
        </w:rPr>
        <w:t xml:space="preserve">letí 2024 po </w:t>
      </w:r>
      <w:r>
        <w:rPr>
          <w:spacing w:val="-2"/>
          <w:sz w:val="16"/>
          <w:szCs w:val="16"/>
        </w:rPr>
        <w:t>očištění meziročně zvýšily o 1,3</w:t>
      </w:r>
      <w:r w:rsidRPr="008332EA">
        <w:rPr>
          <w:spacing w:val="-2"/>
          <w:sz w:val="16"/>
          <w:szCs w:val="16"/>
        </w:rPr>
        <w:t xml:space="preserve"> % (vzr</w:t>
      </w:r>
      <w:r>
        <w:rPr>
          <w:spacing w:val="-2"/>
          <w:sz w:val="16"/>
          <w:szCs w:val="16"/>
        </w:rPr>
        <w:t xml:space="preserve">ostly poprvé od poloviny </w:t>
      </w:r>
      <w:r w:rsidRPr="002636F0">
        <w:rPr>
          <w:spacing w:val="-4"/>
          <w:sz w:val="16"/>
          <w:szCs w:val="16"/>
        </w:rPr>
        <w:t>roku 2022). Dle 1. odhadu HDP se tyto výdaje zvyšovaly i ve 3. čtvrtletí. Ještě svižněji vzrostly výdaje na spotřebu vládních institucí (+3,8 %).</w:t>
      </w:r>
    </w:p>
  </w:footnote>
  <w:footnote w:id="99">
    <w:p w14:paraId="7AF83623" w14:textId="77777777" w:rsidR="0083516C" w:rsidRPr="002632CD" w:rsidRDefault="0083516C" w:rsidP="000A5265">
      <w:pPr>
        <w:pStyle w:val="Textpoznpodarou"/>
        <w:rPr>
          <w:spacing w:val="-2"/>
          <w:sz w:val="16"/>
          <w:szCs w:val="16"/>
        </w:rPr>
      </w:pPr>
      <w:r w:rsidRPr="008332EA">
        <w:rPr>
          <w:rStyle w:val="Znakapoznpodarou"/>
          <w:spacing w:val="-2"/>
          <w:sz w:val="16"/>
          <w:szCs w:val="16"/>
        </w:rPr>
        <w:footnoteRef/>
      </w:r>
      <w:r w:rsidRPr="008332EA">
        <w:rPr>
          <w:spacing w:val="-2"/>
          <w:sz w:val="16"/>
          <w:szCs w:val="16"/>
        </w:rPr>
        <w:t xml:space="preserve"> </w:t>
      </w:r>
      <w:r w:rsidRPr="00040E85">
        <w:rPr>
          <w:spacing w:val="-4"/>
          <w:sz w:val="16"/>
          <w:szCs w:val="16"/>
        </w:rPr>
        <w:t>To se týká sjednocení dvou snížených sazeb (10 % a 15 %) do jedné ve výši 12 % (vyjma knih, jež jsou nově od DPH zcela osvobozeny). Řada zboží a služeb nově podléhá nižšímu zdanění (např. základní potraviny, léky, zdravotnické výrobky, stavební práce). Negativní rozpočtový dopad je současně tlumen hlavně přesunem některých položek bez prokazatelného sociálního či zdravotního významu do základní 21% sazby daně (pivo, nealkoholické nápoje, služby autorů a umělců, kadeřnické služby, palivové dřevo, komunální odpad, úklidové práce).</w:t>
      </w:r>
    </w:p>
  </w:footnote>
  <w:footnote w:id="100">
    <w:p w14:paraId="1F41E397" w14:textId="77777777" w:rsidR="0083516C" w:rsidRPr="003C3705" w:rsidRDefault="0083516C" w:rsidP="000A5265">
      <w:pPr>
        <w:pStyle w:val="Textpoznpodarou"/>
        <w:rPr>
          <w:spacing w:val="-2"/>
          <w:sz w:val="16"/>
          <w:szCs w:val="16"/>
        </w:rPr>
      </w:pPr>
      <w:r w:rsidRPr="003C3705">
        <w:rPr>
          <w:rStyle w:val="Znakapoznpodarou"/>
          <w:spacing w:val="-2"/>
          <w:sz w:val="16"/>
          <w:szCs w:val="16"/>
        </w:rPr>
        <w:footnoteRef/>
      </w:r>
      <w:r w:rsidRPr="003C3705">
        <w:rPr>
          <w:spacing w:val="-2"/>
          <w:sz w:val="16"/>
          <w:szCs w:val="16"/>
        </w:rPr>
        <w:t xml:space="preserve"> Na letošní nižší inkaso této daně má vliv dřívější předzásobení nakupujících (kvůli navýšení sazby daně o 10 % platné od ledna 2024).</w:t>
      </w:r>
    </w:p>
  </w:footnote>
  <w:footnote w:id="101">
    <w:p w14:paraId="3DC4C989" w14:textId="77777777" w:rsidR="0083516C" w:rsidRDefault="0083516C" w:rsidP="000A5265">
      <w:pPr>
        <w:pStyle w:val="Textpoznpodarou"/>
      </w:pPr>
      <w:r w:rsidRPr="00441D45">
        <w:rPr>
          <w:rStyle w:val="Znakapoznpodarou"/>
          <w:sz w:val="16"/>
          <w:szCs w:val="16"/>
        </w:rPr>
        <w:footnoteRef/>
      </w:r>
      <w:r w:rsidRPr="00441D45">
        <w:rPr>
          <w:sz w:val="16"/>
          <w:szCs w:val="16"/>
        </w:rPr>
        <w:t xml:space="preserve"> K t</w:t>
      </w:r>
      <w:r>
        <w:rPr>
          <w:sz w:val="16"/>
          <w:szCs w:val="16"/>
        </w:rPr>
        <w:t>omuto zvýšení došlo loni od</w:t>
      </w:r>
      <w:r w:rsidRPr="00441D45">
        <w:rPr>
          <w:sz w:val="16"/>
          <w:szCs w:val="16"/>
        </w:rPr>
        <w:t xml:space="preserve"> srpna (o 1,5 korun na litr). Sazba spotřební daně z motorové nafty se tak vrátila na původní výši </w:t>
      </w:r>
      <w:r>
        <w:rPr>
          <w:sz w:val="16"/>
          <w:szCs w:val="16"/>
        </w:rPr>
        <w:br/>
      </w:r>
      <w:r w:rsidRPr="00441D45">
        <w:rPr>
          <w:sz w:val="16"/>
          <w:szCs w:val="16"/>
        </w:rPr>
        <w:t xml:space="preserve">(9,95 </w:t>
      </w:r>
      <w:r>
        <w:rPr>
          <w:sz w:val="16"/>
          <w:szCs w:val="16"/>
        </w:rPr>
        <w:t>korun/l) platnou do května 2022</w:t>
      </w:r>
      <w:r w:rsidRPr="00C2781C">
        <w:rPr>
          <w:sz w:val="16"/>
          <w:szCs w:val="16"/>
        </w:rPr>
        <w:t>.</w:t>
      </w:r>
    </w:p>
  </w:footnote>
  <w:footnote w:id="102">
    <w:p w14:paraId="417450A8" w14:textId="77777777" w:rsidR="0083516C" w:rsidRPr="00D1495C" w:rsidRDefault="0083516C" w:rsidP="000A5265">
      <w:pPr>
        <w:pStyle w:val="Textpoznpodarou"/>
        <w:rPr>
          <w:sz w:val="16"/>
          <w:szCs w:val="16"/>
        </w:rPr>
      </w:pPr>
      <w:r w:rsidRPr="00D1495C">
        <w:rPr>
          <w:rStyle w:val="Znakapoznpodarou"/>
          <w:sz w:val="16"/>
          <w:szCs w:val="16"/>
        </w:rPr>
        <w:footnoteRef/>
      </w:r>
      <w:r w:rsidRPr="00D1495C">
        <w:rPr>
          <w:sz w:val="16"/>
          <w:szCs w:val="16"/>
        </w:rPr>
        <w:t xml:space="preserve"> Dle údajů ČSÚ vzrostla od ledna do července 2024 spotřeba váhově nejvýznamnější položky – motorové nafty – meziročně o 1,1 %,</w:t>
      </w:r>
      <w:r>
        <w:rPr>
          <w:sz w:val="16"/>
          <w:szCs w:val="16"/>
        </w:rPr>
        <w:t xml:space="preserve"> motorového benzínu u 5,5 % a leteckého </w:t>
      </w:r>
      <w:r w:rsidRPr="00D1495C">
        <w:rPr>
          <w:sz w:val="16"/>
          <w:szCs w:val="16"/>
        </w:rPr>
        <w:t>petrolej</w:t>
      </w:r>
      <w:r>
        <w:rPr>
          <w:sz w:val="16"/>
          <w:szCs w:val="16"/>
        </w:rPr>
        <w:t xml:space="preserve">e bezmála o 30 %. Letos v září činila </w:t>
      </w:r>
      <w:r w:rsidRPr="00D1495C">
        <w:rPr>
          <w:sz w:val="16"/>
          <w:szCs w:val="16"/>
        </w:rPr>
        <w:t>průměrná spotřebitelská cena</w:t>
      </w:r>
      <w:r>
        <w:rPr>
          <w:sz w:val="16"/>
          <w:szCs w:val="16"/>
        </w:rPr>
        <w:t xml:space="preserve"> benzinu Natural 95 35,83 Kč/l a</w:t>
      </w:r>
      <w:r w:rsidRPr="00D1495C">
        <w:rPr>
          <w:sz w:val="16"/>
          <w:szCs w:val="16"/>
        </w:rPr>
        <w:t xml:space="preserve"> byla </w:t>
      </w:r>
      <w:r>
        <w:rPr>
          <w:sz w:val="16"/>
          <w:szCs w:val="16"/>
        </w:rPr>
        <w:t xml:space="preserve">to tak </w:t>
      </w:r>
      <w:r w:rsidRPr="00D1495C">
        <w:rPr>
          <w:sz w:val="16"/>
          <w:szCs w:val="16"/>
        </w:rPr>
        <w:t>ne</w:t>
      </w:r>
      <w:r>
        <w:rPr>
          <w:sz w:val="16"/>
          <w:szCs w:val="16"/>
        </w:rPr>
        <w:t>jnižší hodnota od října 2021. Průměrná cena motorové nafty dosahovala 34,22 Kč/l, nejméně</w:t>
      </w:r>
      <w:r w:rsidRPr="00D1495C">
        <w:rPr>
          <w:sz w:val="16"/>
          <w:szCs w:val="16"/>
        </w:rPr>
        <w:t xml:space="preserve"> od července 2023.</w:t>
      </w:r>
    </w:p>
  </w:footnote>
  <w:footnote w:id="103">
    <w:p w14:paraId="2647063D" w14:textId="77777777" w:rsidR="0083516C" w:rsidRPr="00F61BB1" w:rsidRDefault="0083516C" w:rsidP="000A5265">
      <w:pPr>
        <w:pStyle w:val="Textpoznpodarou"/>
        <w:rPr>
          <w:spacing w:val="-2"/>
          <w:sz w:val="16"/>
          <w:szCs w:val="16"/>
        </w:rPr>
      </w:pPr>
      <w:r w:rsidRPr="00F61BB1">
        <w:rPr>
          <w:rStyle w:val="Znakapoznpodarou"/>
          <w:sz w:val="16"/>
          <w:szCs w:val="16"/>
        </w:rPr>
        <w:footnoteRef/>
      </w:r>
      <w:r w:rsidRPr="00F61BB1">
        <w:rPr>
          <w:sz w:val="16"/>
          <w:szCs w:val="16"/>
        </w:rPr>
        <w:t xml:space="preserve"> </w:t>
      </w:r>
      <w:r>
        <w:rPr>
          <w:sz w:val="16"/>
          <w:szCs w:val="16"/>
        </w:rPr>
        <w:t>I</w:t>
      </w:r>
      <w:r w:rsidRPr="00F61BB1">
        <w:rPr>
          <w:sz w:val="16"/>
          <w:szCs w:val="16"/>
        </w:rPr>
        <w:t>n</w:t>
      </w:r>
      <w:r w:rsidRPr="00F61BB1">
        <w:rPr>
          <w:spacing w:val="-2"/>
          <w:sz w:val="16"/>
          <w:szCs w:val="16"/>
        </w:rPr>
        <w:t xml:space="preserve">kaso </w:t>
      </w:r>
      <w:r>
        <w:rPr>
          <w:spacing w:val="-2"/>
          <w:sz w:val="16"/>
          <w:szCs w:val="16"/>
        </w:rPr>
        <w:t>DPFO odvedené plátci posílilo</w:t>
      </w:r>
      <w:r w:rsidRPr="00F61BB1">
        <w:rPr>
          <w:spacing w:val="-2"/>
          <w:sz w:val="16"/>
          <w:szCs w:val="16"/>
        </w:rPr>
        <w:t xml:space="preserve"> </w:t>
      </w:r>
      <w:r w:rsidRPr="00592FF3">
        <w:rPr>
          <w:spacing w:val="-2"/>
          <w:sz w:val="16"/>
          <w:szCs w:val="16"/>
        </w:rPr>
        <w:t>(na úrov</w:t>
      </w:r>
      <w:r>
        <w:rPr>
          <w:spacing w:val="-2"/>
          <w:sz w:val="16"/>
          <w:szCs w:val="16"/>
        </w:rPr>
        <w:t xml:space="preserve">ni všech veřejných rozpočtů) v 1. až 3. čtvrtletí 2024 meziročně o 14,8 %. Ačkoli svižně rostlo již třetím rokem v řadě (ve stejném období loni dokonce o 20,9 %), stále se nacházelo zřetelně pod úrovní z </w:t>
      </w:r>
      <w:r w:rsidRPr="00592FF3">
        <w:rPr>
          <w:spacing w:val="-2"/>
          <w:sz w:val="16"/>
          <w:szCs w:val="16"/>
        </w:rPr>
        <w:t>r</w:t>
      </w:r>
      <w:r>
        <w:rPr>
          <w:spacing w:val="-2"/>
          <w:sz w:val="16"/>
          <w:szCs w:val="16"/>
        </w:rPr>
        <w:t>ekordního roku 2019 (o 7,4 %, resp. 11,7</w:t>
      </w:r>
      <w:r w:rsidRPr="00592FF3">
        <w:rPr>
          <w:spacing w:val="-2"/>
          <w:sz w:val="16"/>
          <w:szCs w:val="16"/>
        </w:rPr>
        <w:t xml:space="preserve"> mld. korun). Klíčovou r</w:t>
      </w:r>
      <w:r>
        <w:rPr>
          <w:spacing w:val="-2"/>
          <w:sz w:val="16"/>
          <w:szCs w:val="16"/>
        </w:rPr>
        <w:t>oli zde sehrálo zrušení tzv. superhrubé mzdy</w:t>
      </w:r>
      <w:r w:rsidRPr="00592FF3">
        <w:rPr>
          <w:spacing w:val="-2"/>
          <w:sz w:val="16"/>
          <w:szCs w:val="16"/>
        </w:rPr>
        <w:t>.</w:t>
      </w:r>
      <w:r>
        <w:rPr>
          <w:spacing w:val="-2"/>
          <w:sz w:val="16"/>
          <w:szCs w:val="16"/>
        </w:rPr>
        <w:t xml:space="preserve"> Naproti tomu inkaso korporátní daně (bez mimořádných daní) obdobnou úroveň převyšovalo o 57 % (+83 mld. korun).</w:t>
      </w:r>
    </w:p>
  </w:footnote>
  <w:footnote w:id="104">
    <w:p w14:paraId="0DC71766" w14:textId="77777777" w:rsidR="0083516C" w:rsidRPr="009124F8" w:rsidRDefault="0083516C" w:rsidP="000A5265">
      <w:pPr>
        <w:pStyle w:val="Textpoznpodarou"/>
        <w:rPr>
          <w:sz w:val="16"/>
          <w:szCs w:val="16"/>
        </w:rPr>
      </w:pPr>
      <w:r w:rsidRPr="009124F8">
        <w:rPr>
          <w:rStyle w:val="Znakapoznpodarou"/>
          <w:sz w:val="16"/>
          <w:szCs w:val="16"/>
        </w:rPr>
        <w:footnoteRef/>
      </w:r>
      <w:r w:rsidRPr="009124F8">
        <w:rPr>
          <w:sz w:val="16"/>
          <w:szCs w:val="16"/>
        </w:rPr>
        <w:t xml:space="preserve"> Od ledna 2023 se zvýšil limit </w:t>
      </w:r>
      <w:r>
        <w:rPr>
          <w:sz w:val="16"/>
          <w:szCs w:val="16"/>
        </w:rPr>
        <w:t xml:space="preserve">maximálních ročních příjmů </w:t>
      </w:r>
      <w:r w:rsidRPr="009124F8">
        <w:rPr>
          <w:sz w:val="16"/>
          <w:szCs w:val="16"/>
        </w:rPr>
        <w:t>pro vstup do paušálního režimu platby (z 1 na 2 mil. korun).</w:t>
      </w:r>
    </w:p>
  </w:footnote>
  <w:footnote w:id="105">
    <w:p w14:paraId="29D9513D" w14:textId="77777777" w:rsidR="0083516C" w:rsidRPr="005F5C7C" w:rsidRDefault="0083516C" w:rsidP="000A5265">
      <w:pPr>
        <w:pStyle w:val="Textpoznpodarou"/>
        <w:rPr>
          <w:sz w:val="16"/>
          <w:szCs w:val="16"/>
        </w:rPr>
      </w:pPr>
      <w:r w:rsidRPr="005F5C7C">
        <w:rPr>
          <w:rStyle w:val="Znakapoznpodarou"/>
          <w:sz w:val="16"/>
          <w:szCs w:val="16"/>
        </w:rPr>
        <w:footnoteRef/>
      </w:r>
      <w:r w:rsidRPr="005F5C7C">
        <w:rPr>
          <w:sz w:val="16"/>
          <w:szCs w:val="16"/>
        </w:rPr>
        <w:t xml:space="preserve"> V dlouhodobém p</w:t>
      </w:r>
      <w:r>
        <w:rPr>
          <w:sz w:val="16"/>
          <w:szCs w:val="16"/>
        </w:rPr>
        <w:t>ohledu však patřil letošní podíl</w:t>
      </w:r>
      <w:r w:rsidRPr="005F5C7C">
        <w:rPr>
          <w:sz w:val="16"/>
          <w:szCs w:val="16"/>
        </w:rPr>
        <w:t xml:space="preserve"> sociálních dávek </w:t>
      </w:r>
      <w:r>
        <w:rPr>
          <w:sz w:val="16"/>
          <w:szCs w:val="16"/>
        </w:rPr>
        <w:t xml:space="preserve">na všech výdajích </w:t>
      </w:r>
      <w:r w:rsidRPr="005F5C7C">
        <w:rPr>
          <w:sz w:val="16"/>
          <w:szCs w:val="16"/>
        </w:rPr>
        <w:t>k průměrným.</w:t>
      </w:r>
    </w:p>
  </w:footnote>
  <w:footnote w:id="106">
    <w:p w14:paraId="110E58F2" w14:textId="77777777" w:rsidR="0083516C" w:rsidRPr="00592FF3" w:rsidRDefault="0083516C" w:rsidP="000A5265">
      <w:pPr>
        <w:pStyle w:val="Textpoznpodarou"/>
        <w:rPr>
          <w:spacing w:val="-2"/>
          <w:sz w:val="16"/>
          <w:szCs w:val="16"/>
        </w:rPr>
      </w:pPr>
      <w:r w:rsidRPr="00592FF3">
        <w:rPr>
          <w:rStyle w:val="Znakapoznpodarou"/>
          <w:spacing w:val="-2"/>
          <w:sz w:val="16"/>
          <w:szCs w:val="16"/>
        </w:rPr>
        <w:footnoteRef/>
      </w:r>
      <w:r w:rsidRPr="00592FF3">
        <w:rPr>
          <w:spacing w:val="-2"/>
          <w:sz w:val="16"/>
          <w:szCs w:val="16"/>
        </w:rPr>
        <w:t xml:space="preserve"> Jde zejména o to, že při zvýšení důchodu se nově nezohledňuje polovina, ale pouze třetina nárůstu reálné</w:t>
      </w:r>
      <w:r>
        <w:rPr>
          <w:spacing w:val="-2"/>
          <w:sz w:val="16"/>
          <w:szCs w:val="16"/>
        </w:rPr>
        <w:t xml:space="preserve"> mzdy. Od ledna 2024 došlo</w:t>
      </w:r>
      <w:r w:rsidRPr="00592FF3">
        <w:rPr>
          <w:spacing w:val="-2"/>
          <w:sz w:val="16"/>
          <w:szCs w:val="16"/>
        </w:rPr>
        <w:t xml:space="preserve"> k navýšení </w:t>
      </w:r>
      <w:r>
        <w:rPr>
          <w:spacing w:val="-2"/>
          <w:sz w:val="16"/>
          <w:szCs w:val="16"/>
        </w:rPr>
        <w:t xml:space="preserve">pouze </w:t>
      </w:r>
      <w:r w:rsidRPr="00592FF3">
        <w:rPr>
          <w:spacing w:val="-2"/>
          <w:sz w:val="16"/>
          <w:szCs w:val="16"/>
        </w:rPr>
        <w:t xml:space="preserve">základní výměry všech důchodů (o 360 korun), procentní výměra nevzrostla. Průměrný </w:t>
      </w:r>
      <w:r>
        <w:rPr>
          <w:spacing w:val="-2"/>
          <w:sz w:val="16"/>
          <w:szCs w:val="16"/>
        </w:rPr>
        <w:t xml:space="preserve">měsíční </w:t>
      </w:r>
      <w:r w:rsidRPr="00592FF3">
        <w:rPr>
          <w:spacing w:val="-2"/>
          <w:sz w:val="16"/>
          <w:szCs w:val="16"/>
        </w:rPr>
        <w:t>s</w:t>
      </w:r>
      <w:r>
        <w:rPr>
          <w:spacing w:val="-2"/>
          <w:sz w:val="16"/>
          <w:szCs w:val="16"/>
        </w:rPr>
        <w:t xml:space="preserve">tarobní důchod </w:t>
      </w:r>
      <w:r w:rsidRPr="00592FF3">
        <w:rPr>
          <w:spacing w:val="-2"/>
          <w:sz w:val="16"/>
          <w:szCs w:val="16"/>
        </w:rPr>
        <w:t xml:space="preserve">(bez souběhu s ostatními důchody) </w:t>
      </w:r>
      <w:r>
        <w:rPr>
          <w:spacing w:val="-2"/>
          <w:sz w:val="16"/>
          <w:szCs w:val="16"/>
        </w:rPr>
        <w:t>byl na konci září</w:t>
      </w:r>
      <w:r w:rsidRPr="00592FF3">
        <w:rPr>
          <w:spacing w:val="-2"/>
          <w:sz w:val="16"/>
          <w:szCs w:val="16"/>
        </w:rPr>
        <w:t xml:space="preserve"> </w:t>
      </w:r>
      <w:r>
        <w:rPr>
          <w:spacing w:val="-2"/>
          <w:sz w:val="16"/>
          <w:szCs w:val="16"/>
        </w:rPr>
        <w:t xml:space="preserve">2024 meziročně vyšší o 2,1 %, když dosáhl </w:t>
      </w:r>
      <w:r w:rsidRPr="00592FF3">
        <w:rPr>
          <w:spacing w:val="-2"/>
          <w:sz w:val="16"/>
          <w:szCs w:val="16"/>
        </w:rPr>
        <w:t>u mužů 21,9 tis. korun</w:t>
      </w:r>
      <w:r>
        <w:rPr>
          <w:spacing w:val="-2"/>
          <w:sz w:val="16"/>
          <w:szCs w:val="16"/>
        </w:rPr>
        <w:t>, u žen 19,5</w:t>
      </w:r>
      <w:r w:rsidRPr="00592FF3">
        <w:rPr>
          <w:spacing w:val="-2"/>
          <w:sz w:val="16"/>
          <w:szCs w:val="16"/>
        </w:rPr>
        <w:t xml:space="preserve"> tis. korun.</w:t>
      </w:r>
    </w:p>
  </w:footnote>
  <w:footnote w:id="107">
    <w:p w14:paraId="6E76EFD6" w14:textId="77777777" w:rsidR="0083516C" w:rsidRPr="004A6934" w:rsidRDefault="0083516C" w:rsidP="000A5265">
      <w:pPr>
        <w:pStyle w:val="Textpoznpodarou"/>
        <w:rPr>
          <w:sz w:val="16"/>
          <w:szCs w:val="16"/>
        </w:rPr>
      </w:pPr>
      <w:r w:rsidRPr="00592FF3">
        <w:rPr>
          <w:rStyle w:val="Znakapoznpodarou"/>
          <w:spacing w:val="-2"/>
          <w:sz w:val="16"/>
          <w:szCs w:val="16"/>
        </w:rPr>
        <w:footnoteRef/>
      </w:r>
      <w:r w:rsidRPr="00592FF3">
        <w:rPr>
          <w:spacing w:val="-2"/>
          <w:sz w:val="16"/>
          <w:szCs w:val="16"/>
        </w:rPr>
        <w:t xml:space="preserve"> Růst počtu všech příjemců trvale krácených starobních důchodů (KSD) během loňského roku zrychloval </w:t>
      </w:r>
      <w:r>
        <w:rPr>
          <w:spacing w:val="-2"/>
          <w:sz w:val="16"/>
          <w:szCs w:val="16"/>
        </w:rPr>
        <w:t>a tento vývoj pokračoval i na počátku roku 2024 (v 1. čtvrtletí na 8,5</w:t>
      </w:r>
      <w:r w:rsidRPr="00592FF3">
        <w:rPr>
          <w:spacing w:val="-2"/>
          <w:sz w:val="16"/>
          <w:szCs w:val="16"/>
        </w:rPr>
        <w:t xml:space="preserve"> % meziročně, nejvíce od roku 2012)</w:t>
      </w:r>
      <w:r>
        <w:rPr>
          <w:spacing w:val="-2"/>
          <w:sz w:val="16"/>
          <w:szCs w:val="16"/>
        </w:rPr>
        <w:t xml:space="preserve">. Následně ale zvolnilo tempo i vlivem nové legislativní úpravy schválené v roce 2023 pro výpočet těchto důchodů (ve 3. čtvrtletí na 6,2 %). </w:t>
      </w:r>
      <w:r w:rsidRPr="00592FF3">
        <w:rPr>
          <w:spacing w:val="-2"/>
          <w:sz w:val="16"/>
          <w:szCs w:val="16"/>
        </w:rPr>
        <w:t xml:space="preserve">Do počtu KSD nejsou zahrnuty osoby, které podaly žádost </w:t>
      </w:r>
      <w:r>
        <w:rPr>
          <w:spacing w:val="-2"/>
          <w:sz w:val="16"/>
          <w:szCs w:val="16"/>
        </w:rPr>
        <w:br/>
      </w:r>
      <w:r w:rsidRPr="00592FF3">
        <w:rPr>
          <w:spacing w:val="-2"/>
          <w:sz w:val="16"/>
          <w:szCs w:val="16"/>
        </w:rPr>
        <w:t>o předčasný důchod, ale zahájení jeho výplaty si odložily.</w:t>
      </w:r>
    </w:p>
  </w:footnote>
  <w:footnote w:id="108">
    <w:p w14:paraId="63DBE039" w14:textId="77777777" w:rsidR="0083516C" w:rsidRPr="00777350" w:rsidRDefault="0083516C" w:rsidP="000A5265">
      <w:pPr>
        <w:pStyle w:val="Textpoznpodarou"/>
        <w:jc w:val="both"/>
        <w:rPr>
          <w:rFonts w:cs="Arial"/>
          <w:color w:val="000000" w:themeColor="text1"/>
          <w:spacing w:val="-4"/>
          <w:sz w:val="16"/>
          <w:szCs w:val="16"/>
        </w:rPr>
      </w:pPr>
      <w:r w:rsidRPr="00777350">
        <w:rPr>
          <w:rStyle w:val="Znakapoznpodarou"/>
          <w:spacing w:val="-4"/>
          <w:sz w:val="16"/>
          <w:szCs w:val="16"/>
        </w:rPr>
        <w:footnoteRef/>
      </w:r>
      <w:r w:rsidRPr="00777350">
        <w:rPr>
          <w:spacing w:val="-4"/>
          <w:sz w:val="16"/>
          <w:szCs w:val="16"/>
        </w:rPr>
        <w:t xml:space="preserve"> To vyjadřuje r</w:t>
      </w:r>
      <w:r w:rsidRPr="00777350">
        <w:rPr>
          <w:rFonts w:cs="Arial"/>
          <w:color w:val="000000" w:themeColor="text1"/>
          <w:spacing w:val="-4"/>
          <w:sz w:val="16"/>
          <w:szCs w:val="16"/>
        </w:rPr>
        <w:t>ozdíl mezi příjmy z pojistného na důchodové pojištění</w:t>
      </w:r>
      <w:r w:rsidRPr="00777350">
        <w:rPr>
          <w:rFonts w:ascii="Segoe UI" w:eastAsia="Times New Roman" w:hAnsi="Segoe UI" w:cs="Segoe UI"/>
          <w:b/>
          <w:bCs/>
          <w:color w:val="000000"/>
          <w:spacing w:val="-4"/>
          <w:sz w:val="16"/>
          <w:szCs w:val="16"/>
        </w:rPr>
        <w:t xml:space="preserve"> </w:t>
      </w:r>
      <w:r>
        <w:rPr>
          <w:rFonts w:cs="Arial"/>
          <w:color w:val="000000" w:themeColor="text1"/>
          <w:spacing w:val="-4"/>
          <w:sz w:val="16"/>
          <w:szCs w:val="16"/>
        </w:rPr>
        <w:t>a výdaji na dávky z tohoto</w:t>
      </w:r>
      <w:r w:rsidRPr="00777350">
        <w:rPr>
          <w:rFonts w:cs="Arial"/>
          <w:color w:val="000000" w:themeColor="text1"/>
          <w:spacing w:val="-4"/>
          <w:sz w:val="16"/>
          <w:szCs w:val="16"/>
        </w:rPr>
        <w:t xml:space="preserve"> </w:t>
      </w:r>
      <w:r w:rsidRPr="00777350">
        <w:rPr>
          <w:rFonts w:cs="Arial"/>
          <w:color w:val="0D0D0D" w:themeColor="text1" w:themeTint="F2"/>
          <w:spacing w:val="-4"/>
          <w:sz w:val="16"/>
          <w:szCs w:val="16"/>
        </w:rPr>
        <w:t>pojištění</w:t>
      </w:r>
      <w:r>
        <w:rPr>
          <w:rFonts w:cs="Arial"/>
          <w:color w:val="000000" w:themeColor="text1"/>
          <w:spacing w:val="-4"/>
          <w:sz w:val="16"/>
          <w:szCs w:val="16"/>
        </w:rPr>
        <w:t xml:space="preserve"> (vč. prostředků na správu systému) dle účetní bilance MF.</w:t>
      </w:r>
    </w:p>
  </w:footnote>
  <w:footnote w:id="109">
    <w:p w14:paraId="0535D1BD" w14:textId="77777777" w:rsidR="0083516C" w:rsidRPr="00310355" w:rsidRDefault="0083516C" w:rsidP="000A5265">
      <w:pPr>
        <w:pStyle w:val="Textpoznpodarou"/>
        <w:rPr>
          <w:sz w:val="16"/>
          <w:szCs w:val="16"/>
        </w:rPr>
      </w:pPr>
      <w:r w:rsidRPr="00310355">
        <w:rPr>
          <w:rStyle w:val="Znakapoznpodarou"/>
          <w:sz w:val="16"/>
          <w:szCs w:val="16"/>
        </w:rPr>
        <w:footnoteRef/>
      </w:r>
      <w:r w:rsidRPr="00310355">
        <w:rPr>
          <w:sz w:val="16"/>
          <w:szCs w:val="16"/>
        </w:rPr>
        <w:t xml:space="preserve"> Klíčovou roli zde sehrálo </w:t>
      </w:r>
      <w:r w:rsidRPr="00310355">
        <w:rPr>
          <w:color w:val="0D0D0D" w:themeColor="text1" w:themeTint="F2"/>
          <w:spacing w:val="-6"/>
          <w:sz w:val="16"/>
          <w:szCs w:val="16"/>
        </w:rPr>
        <w:t xml:space="preserve">zákonné navýšení částek pro osoby ve 2. až 4. stupni závislosti </w:t>
      </w:r>
      <w:r>
        <w:rPr>
          <w:color w:val="0D0D0D" w:themeColor="text1" w:themeTint="F2"/>
          <w:spacing w:val="-6"/>
          <w:sz w:val="16"/>
          <w:szCs w:val="16"/>
        </w:rPr>
        <w:t>(</w:t>
      </w:r>
      <w:r w:rsidRPr="00310355">
        <w:rPr>
          <w:color w:val="0D0D0D" w:themeColor="text1" w:themeTint="F2"/>
          <w:spacing w:val="-6"/>
          <w:sz w:val="16"/>
          <w:szCs w:val="16"/>
        </w:rPr>
        <w:t>od července 2024</w:t>
      </w:r>
      <w:r>
        <w:rPr>
          <w:color w:val="0D0D0D" w:themeColor="text1" w:themeTint="F2"/>
          <w:spacing w:val="-6"/>
          <w:sz w:val="16"/>
          <w:szCs w:val="16"/>
        </w:rPr>
        <w:t>)</w:t>
      </w:r>
      <w:r w:rsidRPr="00310355">
        <w:rPr>
          <w:color w:val="0D0D0D" w:themeColor="text1" w:themeTint="F2"/>
          <w:spacing w:val="-6"/>
          <w:sz w:val="16"/>
          <w:szCs w:val="16"/>
        </w:rPr>
        <w:t>.</w:t>
      </w:r>
    </w:p>
  </w:footnote>
  <w:footnote w:id="110">
    <w:p w14:paraId="7CBBE9C4" w14:textId="77777777" w:rsidR="0083516C" w:rsidRPr="00635BB8" w:rsidRDefault="0083516C" w:rsidP="000A5265">
      <w:pPr>
        <w:pStyle w:val="Textpoznpodarou"/>
        <w:rPr>
          <w:sz w:val="16"/>
          <w:szCs w:val="16"/>
        </w:rPr>
      </w:pPr>
      <w:r w:rsidRPr="00310355">
        <w:rPr>
          <w:rStyle w:val="Znakapoznpodarou"/>
          <w:sz w:val="16"/>
          <w:szCs w:val="16"/>
        </w:rPr>
        <w:footnoteRef/>
      </w:r>
      <w:r w:rsidRPr="00310355">
        <w:rPr>
          <w:sz w:val="16"/>
          <w:szCs w:val="16"/>
        </w:rPr>
        <w:t xml:space="preserve"> </w:t>
      </w:r>
      <w:r w:rsidRPr="00CD0BE5">
        <w:rPr>
          <w:color w:val="0D0D0D" w:themeColor="text1" w:themeTint="F2"/>
          <w:spacing w:val="-2"/>
          <w:sz w:val="16"/>
          <w:szCs w:val="16"/>
        </w:rPr>
        <w:t>K letošnímu pokle</w:t>
      </w:r>
      <w:r>
        <w:rPr>
          <w:color w:val="0D0D0D" w:themeColor="text1" w:themeTint="F2"/>
          <w:spacing w:val="-2"/>
          <w:sz w:val="16"/>
          <w:szCs w:val="16"/>
        </w:rPr>
        <w:t>su čerpání zde došlo i přesto</w:t>
      </w:r>
      <w:r w:rsidRPr="00CD0BE5">
        <w:rPr>
          <w:color w:val="0D0D0D" w:themeColor="text1" w:themeTint="F2"/>
          <w:spacing w:val="-2"/>
          <w:sz w:val="16"/>
          <w:szCs w:val="16"/>
        </w:rPr>
        <w:t xml:space="preserve">, že hodnota příspěvků u letos narozených dětí byla navýšena. </w:t>
      </w:r>
      <w:r w:rsidRPr="00CD0BE5">
        <w:rPr>
          <w:spacing w:val="-2"/>
          <w:sz w:val="16"/>
          <w:szCs w:val="16"/>
        </w:rPr>
        <w:t>Od ledna 2024 základní příspěvek vzrostl z 300 tis. na 350 tis. korun. Zároveň se zkrátila maximální doba pobírání příspěvku do 3 let věku dítěte (z</w:t>
      </w:r>
      <w:r w:rsidRPr="00CD0BE5">
        <w:rPr>
          <w:color w:val="0D0D0D" w:themeColor="text1" w:themeTint="F2"/>
          <w:spacing w:val="-2"/>
          <w:sz w:val="16"/>
          <w:szCs w:val="16"/>
        </w:rPr>
        <w:t> </w:t>
      </w:r>
      <w:r w:rsidRPr="00CD0BE5">
        <w:rPr>
          <w:spacing w:val="-2"/>
          <w:sz w:val="16"/>
          <w:szCs w:val="16"/>
        </w:rPr>
        <w:t>dřívějších 4 let).</w:t>
      </w:r>
    </w:p>
  </w:footnote>
  <w:footnote w:id="111">
    <w:p w14:paraId="5004078D" w14:textId="77777777" w:rsidR="0083516C" w:rsidRPr="00CD0BE5" w:rsidRDefault="0083516C" w:rsidP="000A5265">
      <w:pPr>
        <w:pStyle w:val="Textpoznpodarou"/>
        <w:rPr>
          <w:spacing w:val="-2"/>
          <w:sz w:val="16"/>
          <w:szCs w:val="16"/>
        </w:rPr>
      </w:pPr>
      <w:r w:rsidRPr="00CD0BE5">
        <w:rPr>
          <w:rStyle w:val="Znakapoznpodarou"/>
          <w:spacing w:val="-2"/>
          <w:sz w:val="16"/>
          <w:szCs w:val="16"/>
        </w:rPr>
        <w:footnoteRef/>
      </w:r>
      <w:r w:rsidRPr="00CD0BE5">
        <w:rPr>
          <w:spacing w:val="-2"/>
          <w:sz w:val="16"/>
          <w:szCs w:val="16"/>
        </w:rPr>
        <w:t xml:space="preserve"> Nárok na podporu mělo letos v září 84 tis. osob (29 % všech uchazečů o práci), o rok dříve 73 tis. (28 % uchazečů). Průměrná měsíční výše podpory činila letos analogicky 11,6 tis. korun, loni v září 10,7 tis.</w:t>
      </w:r>
      <w:r>
        <w:rPr>
          <w:spacing w:val="-2"/>
          <w:sz w:val="16"/>
          <w:szCs w:val="16"/>
        </w:rPr>
        <w:t xml:space="preserve"> korun. To souviselo i s rostou</w:t>
      </w:r>
      <w:r>
        <w:rPr>
          <w:color w:val="0D0D0D" w:themeColor="text1" w:themeTint="F2"/>
          <w:spacing w:val="-2"/>
          <w:sz w:val="16"/>
          <w:szCs w:val="16"/>
        </w:rPr>
        <w:t>cí</w:t>
      </w:r>
      <w:r w:rsidRPr="00CD0BE5">
        <w:rPr>
          <w:color w:val="0D0D0D" w:themeColor="text1" w:themeTint="F2"/>
          <w:spacing w:val="-2"/>
          <w:sz w:val="16"/>
          <w:szCs w:val="16"/>
        </w:rPr>
        <w:t xml:space="preserve"> mzdovou úrovní v ekonomice.</w:t>
      </w:r>
    </w:p>
  </w:footnote>
  <w:footnote w:id="112">
    <w:p w14:paraId="45A29619" w14:textId="77777777" w:rsidR="0083516C" w:rsidRPr="00C70FDA" w:rsidRDefault="0083516C" w:rsidP="000A5265">
      <w:pPr>
        <w:pStyle w:val="Textpoznpodarou"/>
        <w:rPr>
          <w:sz w:val="16"/>
          <w:szCs w:val="16"/>
        </w:rPr>
      </w:pPr>
      <w:r w:rsidRPr="00C70FDA">
        <w:rPr>
          <w:rStyle w:val="Znakapoznpodarou"/>
          <w:sz w:val="16"/>
          <w:szCs w:val="16"/>
        </w:rPr>
        <w:footnoteRef/>
      </w:r>
      <w:r w:rsidRPr="00C70FDA">
        <w:rPr>
          <w:sz w:val="16"/>
          <w:szCs w:val="16"/>
        </w:rPr>
        <w:t xml:space="preserve"> </w:t>
      </w:r>
      <w:r w:rsidRPr="00C70FDA">
        <w:rPr>
          <w:spacing w:val="-4"/>
          <w:sz w:val="16"/>
          <w:szCs w:val="16"/>
        </w:rPr>
        <w:t>To vyjadřuje r</w:t>
      </w:r>
      <w:r w:rsidRPr="00C70FDA">
        <w:rPr>
          <w:rFonts w:cs="Arial"/>
          <w:color w:val="000000" w:themeColor="text1"/>
          <w:spacing w:val="-4"/>
          <w:sz w:val="16"/>
          <w:szCs w:val="16"/>
        </w:rPr>
        <w:t>ozdíl mezi příjmy z pojistného na nemocenské pojištění</w:t>
      </w:r>
      <w:r w:rsidRPr="00C70FDA">
        <w:rPr>
          <w:rFonts w:ascii="Segoe UI" w:eastAsia="Times New Roman" w:hAnsi="Segoe UI" w:cs="Segoe UI"/>
          <w:b/>
          <w:bCs/>
          <w:color w:val="000000"/>
          <w:spacing w:val="-4"/>
          <w:sz w:val="16"/>
          <w:szCs w:val="16"/>
        </w:rPr>
        <w:t xml:space="preserve"> </w:t>
      </w:r>
      <w:r w:rsidRPr="00C70FDA">
        <w:rPr>
          <w:rFonts w:cs="Arial"/>
          <w:color w:val="000000" w:themeColor="text1"/>
          <w:spacing w:val="-4"/>
          <w:sz w:val="16"/>
          <w:szCs w:val="16"/>
        </w:rPr>
        <w:t xml:space="preserve">a výdaji na dávky z tohoto </w:t>
      </w:r>
      <w:r w:rsidRPr="00C70FDA">
        <w:rPr>
          <w:rFonts w:cs="Arial"/>
          <w:color w:val="0D0D0D" w:themeColor="text1" w:themeTint="F2"/>
          <w:spacing w:val="-4"/>
          <w:sz w:val="16"/>
          <w:szCs w:val="16"/>
        </w:rPr>
        <w:t>pojištění</w:t>
      </w:r>
      <w:r w:rsidRPr="00C70FDA">
        <w:rPr>
          <w:rFonts w:cs="Arial"/>
          <w:color w:val="000000" w:themeColor="text1"/>
          <w:spacing w:val="-4"/>
          <w:sz w:val="16"/>
          <w:szCs w:val="16"/>
        </w:rPr>
        <w:t xml:space="preserve"> dle účetní bilance ČSSZ.</w:t>
      </w:r>
    </w:p>
  </w:footnote>
  <w:footnote w:id="113">
    <w:p w14:paraId="096509D0" w14:textId="77777777" w:rsidR="0083516C" w:rsidRPr="0009704D" w:rsidRDefault="0083516C" w:rsidP="000A5265">
      <w:pPr>
        <w:pStyle w:val="Textpoznpodarou"/>
        <w:rPr>
          <w:sz w:val="16"/>
          <w:szCs w:val="16"/>
        </w:rPr>
      </w:pPr>
      <w:r w:rsidRPr="0009704D">
        <w:rPr>
          <w:rStyle w:val="Znakapoznpodarou"/>
          <w:sz w:val="16"/>
          <w:szCs w:val="16"/>
        </w:rPr>
        <w:footnoteRef/>
      </w:r>
      <w:r w:rsidRPr="0009704D">
        <w:rPr>
          <w:sz w:val="16"/>
          <w:szCs w:val="16"/>
        </w:rPr>
        <w:t xml:space="preserve"> Ty </w:t>
      </w:r>
      <w:r w:rsidRPr="0009704D">
        <w:rPr>
          <w:color w:val="0D0D0D" w:themeColor="text1" w:themeTint="F2"/>
          <w:spacing w:val="-6"/>
          <w:sz w:val="16"/>
          <w:szCs w:val="16"/>
        </w:rPr>
        <w:t>i tak stále skoro o desetinu zaostávaly za rekordním rokem 2022 ovlivněným zvýšenými nákupy státu</w:t>
      </w:r>
      <w:r>
        <w:rPr>
          <w:color w:val="0D0D0D" w:themeColor="text1" w:themeTint="F2"/>
          <w:spacing w:val="-6"/>
          <w:sz w:val="16"/>
          <w:szCs w:val="16"/>
        </w:rPr>
        <w:t xml:space="preserve"> v souvislosti s pandemií covidu</w:t>
      </w:r>
      <w:r w:rsidRPr="0009704D">
        <w:rPr>
          <w:color w:val="0D0D0D" w:themeColor="text1" w:themeTint="F2"/>
          <w:spacing w:val="-6"/>
          <w:sz w:val="16"/>
          <w:szCs w:val="16"/>
        </w:rPr>
        <w:t>-19 (vakcíny, zdravotnický materiál) a nastupující energetickou krizí (doplňování plynových zásobníků</w:t>
      </w:r>
      <w:r>
        <w:rPr>
          <w:color w:val="0D0D0D" w:themeColor="text1" w:themeTint="F2"/>
          <w:spacing w:val="-6"/>
          <w:sz w:val="16"/>
          <w:szCs w:val="16"/>
        </w:rPr>
        <w:t>).</w:t>
      </w:r>
    </w:p>
  </w:footnote>
  <w:footnote w:id="114">
    <w:p w14:paraId="0436240B" w14:textId="77777777" w:rsidR="0083516C" w:rsidRPr="00C52456" w:rsidRDefault="0083516C" w:rsidP="000A5265">
      <w:pPr>
        <w:pStyle w:val="Textpoznpodarou"/>
        <w:rPr>
          <w:sz w:val="16"/>
          <w:szCs w:val="16"/>
        </w:rPr>
      </w:pPr>
      <w:r w:rsidRPr="00C52456">
        <w:rPr>
          <w:rStyle w:val="Znakapoznpodarou"/>
          <w:sz w:val="16"/>
          <w:szCs w:val="16"/>
        </w:rPr>
        <w:footnoteRef/>
      </w:r>
      <w:r w:rsidRPr="00C52456">
        <w:rPr>
          <w:sz w:val="16"/>
          <w:szCs w:val="16"/>
        </w:rPr>
        <w:t xml:space="preserve"> Od letošního </w:t>
      </w:r>
      <w:r>
        <w:rPr>
          <w:sz w:val="16"/>
          <w:szCs w:val="16"/>
        </w:rPr>
        <w:t xml:space="preserve">ledna </w:t>
      </w:r>
      <w:r w:rsidRPr="00C52456">
        <w:rPr>
          <w:sz w:val="16"/>
          <w:szCs w:val="16"/>
        </w:rPr>
        <w:t>se zvýšila měsíční platba za osobu z 1 900 korun na 2 085 korun.</w:t>
      </w:r>
    </w:p>
  </w:footnote>
  <w:footnote w:id="115">
    <w:p w14:paraId="2C11654E" w14:textId="77777777" w:rsidR="0083516C" w:rsidRPr="00210566" w:rsidRDefault="0083516C" w:rsidP="000A5265">
      <w:pPr>
        <w:pStyle w:val="Textpoznpodarou"/>
        <w:rPr>
          <w:sz w:val="16"/>
          <w:szCs w:val="16"/>
        </w:rPr>
      </w:pPr>
      <w:r w:rsidRPr="00210566">
        <w:rPr>
          <w:rStyle w:val="Znakapoznpodarou"/>
          <w:sz w:val="16"/>
          <w:szCs w:val="16"/>
        </w:rPr>
        <w:footnoteRef/>
      </w:r>
      <w:r w:rsidRPr="00210566">
        <w:rPr>
          <w:sz w:val="16"/>
          <w:szCs w:val="16"/>
        </w:rPr>
        <w:t xml:space="preserve"> Celoroční plánovaná alokace na tuto oblast byla ve SR během letošního roku dokonce navýšena o 5</w:t>
      </w:r>
      <w:r>
        <w:rPr>
          <w:sz w:val="16"/>
          <w:szCs w:val="16"/>
        </w:rPr>
        <w:t>,8</w:t>
      </w:r>
      <w:r w:rsidRPr="00210566">
        <w:rPr>
          <w:sz w:val="16"/>
          <w:szCs w:val="16"/>
        </w:rPr>
        <w:t xml:space="preserve"> mld. korun.</w:t>
      </w:r>
    </w:p>
  </w:footnote>
  <w:footnote w:id="116">
    <w:p w14:paraId="32683ABA" w14:textId="77777777" w:rsidR="0083516C" w:rsidRPr="00C36080" w:rsidRDefault="0083516C" w:rsidP="000A5265">
      <w:pPr>
        <w:pStyle w:val="Textpoznpodarou"/>
        <w:rPr>
          <w:color w:val="0D0D0D" w:themeColor="text1" w:themeTint="F2"/>
          <w:spacing w:val="-2"/>
          <w:sz w:val="16"/>
          <w:szCs w:val="16"/>
        </w:rPr>
      </w:pPr>
      <w:r w:rsidRPr="00BA6711">
        <w:rPr>
          <w:rStyle w:val="Znakapoznpodarou"/>
          <w:spacing w:val="-2"/>
          <w:sz w:val="16"/>
          <w:szCs w:val="16"/>
        </w:rPr>
        <w:footnoteRef/>
      </w:r>
      <w:r>
        <w:rPr>
          <w:spacing w:val="-2"/>
          <w:sz w:val="16"/>
          <w:szCs w:val="16"/>
        </w:rPr>
        <w:t xml:space="preserve"> V 1. až 3. čtvrtletí </w:t>
      </w:r>
      <w:r w:rsidRPr="00BA6711">
        <w:rPr>
          <w:spacing w:val="-2"/>
          <w:sz w:val="16"/>
          <w:szCs w:val="16"/>
        </w:rPr>
        <w:t xml:space="preserve">2024 byly prodány </w:t>
      </w:r>
      <w:r>
        <w:rPr>
          <w:spacing w:val="-2"/>
          <w:sz w:val="16"/>
          <w:szCs w:val="16"/>
        </w:rPr>
        <w:t xml:space="preserve">korunové </w:t>
      </w:r>
      <w:r w:rsidRPr="00BA6711">
        <w:rPr>
          <w:spacing w:val="-2"/>
          <w:sz w:val="16"/>
          <w:szCs w:val="16"/>
        </w:rPr>
        <w:t xml:space="preserve">státní dluhopisy </w:t>
      </w:r>
      <w:r>
        <w:rPr>
          <w:spacing w:val="-2"/>
          <w:sz w:val="16"/>
          <w:szCs w:val="16"/>
        </w:rPr>
        <w:t xml:space="preserve">(se splatností nad 1 rok) </w:t>
      </w:r>
      <w:r w:rsidRPr="00BA6711">
        <w:rPr>
          <w:spacing w:val="-2"/>
          <w:sz w:val="16"/>
          <w:szCs w:val="16"/>
        </w:rPr>
        <w:t>v celkov</w:t>
      </w:r>
      <w:r>
        <w:rPr>
          <w:spacing w:val="-2"/>
          <w:sz w:val="16"/>
          <w:szCs w:val="16"/>
        </w:rPr>
        <w:t>é hodnotě 254 mld. korun, z drtivé části šlo o nové fixně úročené dluhopisy (s průměrným ročním výnosem 3,9 %</w:t>
      </w:r>
      <w:r w:rsidRPr="00BA6711">
        <w:rPr>
          <w:spacing w:val="-2"/>
          <w:sz w:val="16"/>
          <w:szCs w:val="16"/>
        </w:rPr>
        <w:t xml:space="preserve"> průměrnou </w:t>
      </w:r>
      <w:r>
        <w:rPr>
          <w:spacing w:val="-2"/>
          <w:sz w:val="16"/>
          <w:szCs w:val="16"/>
        </w:rPr>
        <w:t>zbytkovou dobou do splatnosti 10,1 let)</w:t>
      </w:r>
      <w:r w:rsidRPr="00BA6711">
        <w:rPr>
          <w:spacing w:val="-2"/>
          <w:sz w:val="16"/>
          <w:szCs w:val="16"/>
        </w:rPr>
        <w:t>.</w:t>
      </w:r>
      <w:r>
        <w:rPr>
          <w:spacing w:val="-2"/>
          <w:sz w:val="16"/>
          <w:szCs w:val="16"/>
        </w:rPr>
        <w:t xml:space="preserve"> Ve stejném období loni činila analogicky celková </w:t>
      </w:r>
      <w:r w:rsidRPr="001649A4">
        <w:rPr>
          <w:color w:val="0D0D0D" w:themeColor="text1" w:themeTint="F2"/>
          <w:spacing w:val="-2"/>
          <w:sz w:val="16"/>
          <w:szCs w:val="16"/>
        </w:rPr>
        <w:t xml:space="preserve">emise </w:t>
      </w:r>
      <w:r>
        <w:rPr>
          <w:color w:val="0D0D0D" w:themeColor="text1" w:themeTint="F2"/>
          <w:spacing w:val="-2"/>
          <w:sz w:val="16"/>
          <w:szCs w:val="16"/>
        </w:rPr>
        <w:t>dluhopisů 417</w:t>
      </w:r>
      <w:r w:rsidRPr="001649A4">
        <w:rPr>
          <w:color w:val="0D0D0D" w:themeColor="text1" w:themeTint="F2"/>
          <w:spacing w:val="-2"/>
          <w:sz w:val="16"/>
          <w:szCs w:val="16"/>
        </w:rPr>
        <w:t xml:space="preserve"> mld. korun, z toh</w:t>
      </w:r>
      <w:r>
        <w:rPr>
          <w:color w:val="0D0D0D" w:themeColor="text1" w:themeTint="F2"/>
          <w:spacing w:val="-2"/>
          <w:sz w:val="16"/>
          <w:szCs w:val="16"/>
        </w:rPr>
        <w:t>o fixně úročených za 362 mld. (s průměrným ročním výnosem 4,5 % a dobou splatnosti do 8,5</w:t>
      </w:r>
      <w:r w:rsidRPr="001649A4">
        <w:rPr>
          <w:color w:val="0D0D0D" w:themeColor="text1" w:themeTint="F2"/>
          <w:spacing w:val="-2"/>
          <w:sz w:val="16"/>
          <w:szCs w:val="16"/>
        </w:rPr>
        <w:t xml:space="preserve"> let</w:t>
      </w:r>
      <w:r>
        <w:rPr>
          <w:color w:val="0D0D0D" w:themeColor="text1" w:themeTint="F2"/>
          <w:spacing w:val="-2"/>
          <w:sz w:val="16"/>
          <w:szCs w:val="16"/>
        </w:rPr>
        <w:t>)</w:t>
      </w:r>
      <w:r w:rsidRPr="001649A4">
        <w:rPr>
          <w:color w:val="0D0D0D" w:themeColor="text1" w:themeTint="F2"/>
          <w:spacing w:val="-2"/>
          <w:sz w:val="16"/>
          <w:szCs w:val="16"/>
        </w:rPr>
        <w:t>.</w:t>
      </w:r>
    </w:p>
  </w:footnote>
  <w:footnote w:id="117">
    <w:p w14:paraId="63A1BFCB" w14:textId="77777777" w:rsidR="0083516C" w:rsidRPr="00E74176" w:rsidRDefault="0083516C" w:rsidP="000A5265">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Údaje o hospodaření</w:t>
      </w:r>
      <w:r>
        <w:rPr>
          <w:spacing w:val="-4"/>
          <w:sz w:val="16"/>
          <w:szCs w:val="16"/>
        </w:rPr>
        <w:t xml:space="preserve"> sektoru vládních institucí v ČR za 3. čtvrtletí 2024 zveřejní ČSÚ 3. ledna 2025, Eurostat za členské státy Unie následovně 22. ledna</w:t>
      </w:r>
      <w:r w:rsidRPr="00E74176">
        <w:rPr>
          <w:spacing w:val="-4"/>
          <w:sz w:val="16"/>
          <w:szCs w:val="16"/>
        </w:rPr>
        <w:t>. Detailnější z</w:t>
      </w:r>
      <w:r>
        <w:rPr>
          <w:spacing w:val="-4"/>
          <w:sz w:val="16"/>
          <w:szCs w:val="16"/>
        </w:rPr>
        <w:t>hodnocení tuzemského vývoje za 2. čtvrtletí 2024 nabízí publikace</w:t>
      </w:r>
      <w:r w:rsidRPr="00E74176">
        <w:rPr>
          <w:spacing w:val="-4"/>
          <w:sz w:val="16"/>
          <w:szCs w:val="16"/>
        </w:rPr>
        <w:t xml:space="preserve"> </w:t>
      </w:r>
      <w:hyperlink r:id="rId3" w:history="1">
        <w:r w:rsidRPr="00281EB4">
          <w:rPr>
            <w:rStyle w:val="Hypertextovodkaz"/>
            <w:i/>
            <w:spacing w:val="-4"/>
            <w:sz w:val="16"/>
            <w:szCs w:val="16"/>
          </w:rPr>
          <w:t>Analýza sektorových účtů</w:t>
        </w:r>
      </w:hyperlink>
      <w:r>
        <w:rPr>
          <w:rStyle w:val="Hypertextovodkaz"/>
          <w:i/>
          <w:spacing w:val="-4"/>
          <w:sz w:val="16"/>
          <w:szCs w:val="16"/>
        </w:rPr>
        <w:t>.</w:t>
      </w:r>
    </w:p>
  </w:footnote>
  <w:footnote w:id="118">
    <w:p w14:paraId="4F47C0DC" w14:textId="77777777" w:rsidR="0083516C" w:rsidRPr="00E74176" w:rsidRDefault="0083516C" w:rsidP="000A5265">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Není-li uvedeno jinak, jsou údaje o hospodaření sektoru VI v ČR vyjádřeny bez sezónního očištění.</w:t>
      </w:r>
    </w:p>
  </w:footnote>
  <w:footnote w:id="119">
    <w:p w14:paraId="0EBEAA44" w14:textId="77777777" w:rsidR="0083516C" w:rsidRPr="009160CF" w:rsidRDefault="0083516C" w:rsidP="000A5265">
      <w:pPr>
        <w:pStyle w:val="Textpoznpodarou"/>
        <w:rPr>
          <w:sz w:val="16"/>
          <w:szCs w:val="16"/>
        </w:rPr>
      </w:pPr>
      <w:r w:rsidRPr="009160CF">
        <w:rPr>
          <w:rStyle w:val="Znakapoznpodarou"/>
          <w:sz w:val="16"/>
          <w:szCs w:val="16"/>
        </w:rPr>
        <w:footnoteRef/>
      </w:r>
      <w:r w:rsidRPr="009160CF">
        <w:rPr>
          <w:sz w:val="16"/>
          <w:szCs w:val="16"/>
        </w:rPr>
        <w:t xml:space="preserve"> </w:t>
      </w:r>
      <w:r w:rsidRPr="00B65605">
        <w:rPr>
          <w:spacing w:val="-2"/>
          <w:sz w:val="16"/>
          <w:szCs w:val="16"/>
        </w:rPr>
        <w:t>Tento vývoj odrážel hlavně hospodaření ústředních vládních institucí, jež soustřeďovaly mimořádné výdaje související s dopady vnějších šoků na tuzemskou ekonomiku. Přebytek hospodaření místních vládních institucí (resp. rozpočtů měst a obcí) v posledních letech naopak rostl a v 1. pololetí 2024 činil rekordních 89 mld. korun. Stalo se tak i díky slabší dynamice tvorby fixních investic. Podíl místních vládních institucí na investicích celého sektoru vládních institucí zatím letos dosáhl 43 %, v letech 2018 i 2019 však mírně překračoval 50 %.</w:t>
      </w:r>
    </w:p>
  </w:footnote>
  <w:footnote w:id="120">
    <w:p w14:paraId="4396AD39" w14:textId="77777777" w:rsidR="0083516C" w:rsidRPr="00F0024E" w:rsidRDefault="0083516C" w:rsidP="000A5265">
      <w:pPr>
        <w:pStyle w:val="Textpoznpodarou"/>
        <w:rPr>
          <w:sz w:val="16"/>
          <w:szCs w:val="16"/>
        </w:rPr>
      </w:pPr>
      <w:r w:rsidRPr="00F0024E">
        <w:rPr>
          <w:rStyle w:val="Znakapoznpodarou"/>
          <w:sz w:val="16"/>
          <w:szCs w:val="16"/>
        </w:rPr>
        <w:footnoteRef/>
      </w:r>
      <w:r w:rsidRPr="00F0024E">
        <w:rPr>
          <w:sz w:val="16"/>
          <w:szCs w:val="16"/>
        </w:rPr>
        <w:t xml:space="preserve"> </w:t>
      </w:r>
      <w:r>
        <w:rPr>
          <w:sz w:val="16"/>
          <w:szCs w:val="16"/>
        </w:rPr>
        <w:t>V</w:t>
      </w:r>
      <w:r w:rsidRPr="00F0024E">
        <w:rPr>
          <w:sz w:val="16"/>
          <w:szCs w:val="16"/>
        </w:rPr>
        <w:t xml:space="preserve">šechny níže uvedené údaje o příjmech, výdajích a saldu </w:t>
      </w:r>
      <w:r>
        <w:rPr>
          <w:sz w:val="16"/>
          <w:szCs w:val="16"/>
        </w:rPr>
        <w:t xml:space="preserve">jsou </w:t>
      </w:r>
      <w:r w:rsidRPr="00F0024E">
        <w:rPr>
          <w:sz w:val="16"/>
          <w:szCs w:val="16"/>
        </w:rPr>
        <w:t xml:space="preserve">vyjádřeny po očištění o sezónnost </w:t>
      </w:r>
      <w:r>
        <w:rPr>
          <w:sz w:val="16"/>
          <w:szCs w:val="16"/>
        </w:rPr>
        <w:t xml:space="preserve">i </w:t>
      </w:r>
      <w:r w:rsidRPr="00F0024E">
        <w:rPr>
          <w:sz w:val="16"/>
          <w:szCs w:val="16"/>
        </w:rPr>
        <w:t>pracovní dny.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83516C" w14:paraId="63EB0BA1" w14:textId="77777777" w:rsidTr="7BDB84E4">
      <w:trPr>
        <w:trHeight w:val="300"/>
      </w:trPr>
      <w:tc>
        <w:tcPr>
          <w:tcW w:w="3210" w:type="dxa"/>
        </w:tcPr>
        <w:p w14:paraId="357BF5F4" w14:textId="22EABFF2" w:rsidR="0083516C" w:rsidRDefault="0083516C" w:rsidP="7BDB84E4">
          <w:pPr>
            <w:pStyle w:val="Zhlav"/>
            <w:ind w:left="-115"/>
          </w:pPr>
        </w:p>
      </w:tc>
      <w:tc>
        <w:tcPr>
          <w:tcW w:w="3210" w:type="dxa"/>
        </w:tcPr>
        <w:p w14:paraId="2B8B2F90" w14:textId="25F76AAE" w:rsidR="0083516C" w:rsidRDefault="0083516C" w:rsidP="7BDB84E4">
          <w:pPr>
            <w:pStyle w:val="Zhlav"/>
            <w:jc w:val="center"/>
          </w:pPr>
        </w:p>
      </w:tc>
      <w:tc>
        <w:tcPr>
          <w:tcW w:w="3210" w:type="dxa"/>
        </w:tcPr>
        <w:p w14:paraId="63170252" w14:textId="0C92FE13" w:rsidR="0083516C" w:rsidRDefault="0083516C" w:rsidP="7BDB84E4">
          <w:pPr>
            <w:pStyle w:val="Zhlav"/>
            <w:ind w:right="-115"/>
            <w:jc w:val="right"/>
          </w:pPr>
        </w:p>
      </w:tc>
    </w:tr>
  </w:tbl>
  <w:p w14:paraId="7C250868" w14:textId="2D1B868B" w:rsidR="0083516C" w:rsidRDefault="0083516C" w:rsidP="7BDB84E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83516C" w14:paraId="3353788A" w14:textId="77777777" w:rsidTr="7BDB84E4">
      <w:trPr>
        <w:trHeight w:val="300"/>
      </w:trPr>
      <w:tc>
        <w:tcPr>
          <w:tcW w:w="3210" w:type="dxa"/>
        </w:tcPr>
        <w:p w14:paraId="1FBBBEEE" w14:textId="678CCEA8" w:rsidR="0083516C" w:rsidRDefault="0083516C" w:rsidP="7BDB84E4">
          <w:pPr>
            <w:pStyle w:val="Zhlav"/>
            <w:ind w:left="-115"/>
          </w:pPr>
        </w:p>
      </w:tc>
      <w:tc>
        <w:tcPr>
          <w:tcW w:w="3210" w:type="dxa"/>
        </w:tcPr>
        <w:p w14:paraId="0386F6B5" w14:textId="59E86013" w:rsidR="0083516C" w:rsidRDefault="0083516C" w:rsidP="7BDB84E4">
          <w:pPr>
            <w:pStyle w:val="Zhlav"/>
            <w:jc w:val="center"/>
          </w:pPr>
        </w:p>
      </w:tc>
      <w:tc>
        <w:tcPr>
          <w:tcW w:w="3210" w:type="dxa"/>
        </w:tcPr>
        <w:p w14:paraId="55DF6978" w14:textId="7A91F53E" w:rsidR="0083516C" w:rsidRDefault="0083516C" w:rsidP="7BDB84E4">
          <w:pPr>
            <w:pStyle w:val="Zhlav"/>
            <w:ind w:right="-115"/>
            <w:jc w:val="right"/>
          </w:pPr>
        </w:p>
      </w:tc>
    </w:tr>
  </w:tbl>
  <w:p w14:paraId="07352E89" w14:textId="3FA50847" w:rsidR="0083516C" w:rsidRDefault="0083516C" w:rsidP="7BDB84E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C11EE3B" w:rsidR="0083516C" w:rsidRPr="00C27E4F" w:rsidRDefault="0083516C" w:rsidP="00C27E4F">
    <w:pPr>
      <w:pStyle w:val="Zhlav"/>
    </w:pPr>
    <w:r>
      <w:t>Vývoj ekonomiky České republiky</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4F78F164" w:rsidR="0083516C" w:rsidRPr="006F5416" w:rsidRDefault="0083516C"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2143297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054EEC40"/>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409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610E1"/>
    <w:rsid w:val="00062EC5"/>
    <w:rsid w:val="00062F22"/>
    <w:rsid w:val="000712B3"/>
    <w:rsid w:val="0008263E"/>
    <w:rsid w:val="00082C19"/>
    <w:rsid w:val="00085395"/>
    <w:rsid w:val="00087634"/>
    <w:rsid w:val="00087F2B"/>
    <w:rsid w:val="00095135"/>
    <w:rsid w:val="000974D1"/>
    <w:rsid w:val="0009799E"/>
    <w:rsid w:val="000A1183"/>
    <w:rsid w:val="000A256D"/>
    <w:rsid w:val="000A3A2C"/>
    <w:rsid w:val="000A5265"/>
    <w:rsid w:val="000A57D4"/>
    <w:rsid w:val="000B7C8D"/>
    <w:rsid w:val="000C3408"/>
    <w:rsid w:val="000C6AFD"/>
    <w:rsid w:val="000D5637"/>
    <w:rsid w:val="000E6FBD"/>
    <w:rsid w:val="00100F5C"/>
    <w:rsid w:val="00101CDA"/>
    <w:rsid w:val="00102C41"/>
    <w:rsid w:val="00104C4C"/>
    <w:rsid w:val="00117623"/>
    <w:rsid w:val="0012192F"/>
    <w:rsid w:val="00125D69"/>
    <w:rsid w:val="001405FA"/>
    <w:rsid w:val="001425C3"/>
    <w:rsid w:val="001476BD"/>
    <w:rsid w:val="001612F4"/>
    <w:rsid w:val="0016256B"/>
    <w:rsid w:val="00163793"/>
    <w:rsid w:val="001706D6"/>
    <w:rsid w:val="001714F2"/>
    <w:rsid w:val="00175B9F"/>
    <w:rsid w:val="00181BBC"/>
    <w:rsid w:val="00184B08"/>
    <w:rsid w:val="00185010"/>
    <w:rsid w:val="0019143B"/>
    <w:rsid w:val="001A0487"/>
    <w:rsid w:val="001A552F"/>
    <w:rsid w:val="001B2CA9"/>
    <w:rsid w:val="001B3110"/>
    <w:rsid w:val="001B4729"/>
    <w:rsid w:val="001B6310"/>
    <w:rsid w:val="001B6C09"/>
    <w:rsid w:val="001C05CD"/>
    <w:rsid w:val="001D40D7"/>
    <w:rsid w:val="001D48D4"/>
    <w:rsid w:val="001D68B2"/>
    <w:rsid w:val="001E1C2E"/>
    <w:rsid w:val="001E504C"/>
    <w:rsid w:val="001E6062"/>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2C10"/>
    <w:rsid w:val="002436BA"/>
    <w:rsid w:val="00244A15"/>
    <w:rsid w:val="00247319"/>
    <w:rsid w:val="0024799E"/>
    <w:rsid w:val="00253C0F"/>
    <w:rsid w:val="002558C1"/>
    <w:rsid w:val="00271465"/>
    <w:rsid w:val="0028207A"/>
    <w:rsid w:val="00285412"/>
    <w:rsid w:val="00291640"/>
    <w:rsid w:val="002A16D4"/>
    <w:rsid w:val="002A230C"/>
    <w:rsid w:val="002A66B0"/>
    <w:rsid w:val="002B2299"/>
    <w:rsid w:val="002B4845"/>
    <w:rsid w:val="002C43BD"/>
    <w:rsid w:val="002D0E59"/>
    <w:rsid w:val="002E02A1"/>
    <w:rsid w:val="002E42AC"/>
    <w:rsid w:val="002E4E4C"/>
    <w:rsid w:val="00302ADD"/>
    <w:rsid w:val="00304771"/>
    <w:rsid w:val="0030495D"/>
    <w:rsid w:val="003052D4"/>
    <w:rsid w:val="00306C5B"/>
    <w:rsid w:val="003103E0"/>
    <w:rsid w:val="00314F9F"/>
    <w:rsid w:val="003209D6"/>
    <w:rsid w:val="00321924"/>
    <w:rsid w:val="0032656E"/>
    <w:rsid w:val="00332190"/>
    <w:rsid w:val="0034335E"/>
    <w:rsid w:val="00344668"/>
    <w:rsid w:val="003462D9"/>
    <w:rsid w:val="00360C86"/>
    <w:rsid w:val="00360FBC"/>
    <w:rsid w:val="00362E90"/>
    <w:rsid w:val="00364FA0"/>
    <w:rsid w:val="003657F3"/>
    <w:rsid w:val="0038123E"/>
    <w:rsid w:val="003818DC"/>
    <w:rsid w:val="00384327"/>
    <w:rsid w:val="00385D98"/>
    <w:rsid w:val="003A2B4D"/>
    <w:rsid w:val="003A2D12"/>
    <w:rsid w:val="003A478C"/>
    <w:rsid w:val="003A5525"/>
    <w:rsid w:val="003A6B38"/>
    <w:rsid w:val="003B461F"/>
    <w:rsid w:val="003B5A32"/>
    <w:rsid w:val="003C3490"/>
    <w:rsid w:val="003C6550"/>
    <w:rsid w:val="003C7E62"/>
    <w:rsid w:val="003D6920"/>
    <w:rsid w:val="003E48F2"/>
    <w:rsid w:val="003E4C91"/>
    <w:rsid w:val="003E62A5"/>
    <w:rsid w:val="003F313C"/>
    <w:rsid w:val="003F37FC"/>
    <w:rsid w:val="003F4B2C"/>
    <w:rsid w:val="003F551C"/>
    <w:rsid w:val="003F62B0"/>
    <w:rsid w:val="003F72ED"/>
    <w:rsid w:val="003F7D23"/>
    <w:rsid w:val="00400DF4"/>
    <w:rsid w:val="00407C13"/>
    <w:rsid w:val="0041041D"/>
    <w:rsid w:val="00410638"/>
    <w:rsid w:val="0041501E"/>
    <w:rsid w:val="004159C3"/>
    <w:rsid w:val="00416EB7"/>
    <w:rsid w:val="00432A58"/>
    <w:rsid w:val="00434617"/>
    <w:rsid w:val="00440900"/>
    <w:rsid w:val="00441BF6"/>
    <w:rsid w:val="00443556"/>
    <w:rsid w:val="004441A0"/>
    <w:rsid w:val="004455BA"/>
    <w:rsid w:val="0045078A"/>
    <w:rsid w:val="0045086D"/>
    <w:rsid w:val="00451504"/>
    <w:rsid w:val="00460FB3"/>
    <w:rsid w:val="0046627E"/>
    <w:rsid w:val="00476240"/>
    <w:rsid w:val="00476439"/>
    <w:rsid w:val="0047735C"/>
    <w:rsid w:val="004776BC"/>
    <w:rsid w:val="0048139F"/>
    <w:rsid w:val="00481E40"/>
    <w:rsid w:val="00484ECE"/>
    <w:rsid w:val="00485567"/>
    <w:rsid w:val="004915CB"/>
    <w:rsid w:val="004924DC"/>
    <w:rsid w:val="004A14E4"/>
    <w:rsid w:val="004A3212"/>
    <w:rsid w:val="004A5494"/>
    <w:rsid w:val="004A61C5"/>
    <w:rsid w:val="004A77DF"/>
    <w:rsid w:val="004B1417"/>
    <w:rsid w:val="004B55B7"/>
    <w:rsid w:val="004B5A60"/>
    <w:rsid w:val="004B6468"/>
    <w:rsid w:val="004B7125"/>
    <w:rsid w:val="004C384C"/>
    <w:rsid w:val="004C3867"/>
    <w:rsid w:val="004C4CD0"/>
    <w:rsid w:val="004C70DC"/>
    <w:rsid w:val="004D0211"/>
    <w:rsid w:val="004D0794"/>
    <w:rsid w:val="004D5C93"/>
    <w:rsid w:val="004E7C6B"/>
    <w:rsid w:val="004F06F5"/>
    <w:rsid w:val="004F33A0"/>
    <w:rsid w:val="0050689D"/>
    <w:rsid w:val="005108C0"/>
    <w:rsid w:val="00511873"/>
    <w:rsid w:val="00512A2F"/>
    <w:rsid w:val="00513B7E"/>
    <w:rsid w:val="00515C74"/>
    <w:rsid w:val="0052007E"/>
    <w:rsid w:val="0052337A"/>
    <w:rsid w:val="00525137"/>
    <w:rsid w:val="005251DD"/>
    <w:rsid w:val="00532CE7"/>
    <w:rsid w:val="0053324C"/>
    <w:rsid w:val="00534A28"/>
    <w:rsid w:val="00541508"/>
    <w:rsid w:val="00543498"/>
    <w:rsid w:val="0055599F"/>
    <w:rsid w:val="00556D68"/>
    <w:rsid w:val="00563EB8"/>
    <w:rsid w:val="005647BF"/>
    <w:rsid w:val="00564AF1"/>
    <w:rsid w:val="0057364B"/>
    <w:rsid w:val="00574773"/>
    <w:rsid w:val="0058308D"/>
    <w:rsid w:val="00583FFD"/>
    <w:rsid w:val="005911BE"/>
    <w:rsid w:val="00593152"/>
    <w:rsid w:val="005A10F2"/>
    <w:rsid w:val="005A21E0"/>
    <w:rsid w:val="005A28FF"/>
    <w:rsid w:val="005A3DF8"/>
    <w:rsid w:val="005A5113"/>
    <w:rsid w:val="005A5549"/>
    <w:rsid w:val="005A7038"/>
    <w:rsid w:val="005B121D"/>
    <w:rsid w:val="005C06ED"/>
    <w:rsid w:val="005C2609"/>
    <w:rsid w:val="005D5802"/>
    <w:rsid w:val="005D7119"/>
    <w:rsid w:val="005D7890"/>
    <w:rsid w:val="005E7C78"/>
    <w:rsid w:val="005F18C5"/>
    <w:rsid w:val="005F3EB1"/>
    <w:rsid w:val="005F46D8"/>
    <w:rsid w:val="005F5469"/>
    <w:rsid w:val="00603FF5"/>
    <w:rsid w:val="00604307"/>
    <w:rsid w:val="0060487F"/>
    <w:rsid w:val="00604EAD"/>
    <w:rsid w:val="006104FB"/>
    <w:rsid w:val="00612A2F"/>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F438E"/>
    <w:rsid w:val="006F5416"/>
    <w:rsid w:val="006F7076"/>
    <w:rsid w:val="00705242"/>
    <w:rsid w:val="00706AD4"/>
    <w:rsid w:val="00707150"/>
    <w:rsid w:val="007140BE"/>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B85"/>
    <w:rsid w:val="00764744"/>
    <w:rsid w:val="0076521E"/>
    <w:rsid w:val="007661E9"/>
    <w:rsid w:val="00773220"/>
    <w:rsid w:val="00776169"/>
    <w:rsid w:val="00776527"/>
    <w:rsid w:val="00780EF1"/>
    <w:rsid w:val="00790711"/>
    <w:rsid w:val="00790764"/>
    <w:rsid w:val="0079124F"/>
    <w:rsid w:val="0079453C"/>
    <w:rsid w:val="00794677"/>
    <w:rsid w:val="00797445"/>
    <w:rsid w:val="007A516D"/>
    <w:rsid w:val="007B6689"/>
    <w:rsid w:val="007C6BBD"/>
    <w:rsid w:val="007D40DF"/>
    <w:rsid w:val="007E29B4"/>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516C"/>
    <w:rsid w:val="00836086"/>
    <w:rsid w:val="00846121"/>
    <w:rsid w:val="008462A8"/>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53CB"/>
    <w:rsid w:val="008D1E6A"/>
    <w:rsid w:val="008D2A16"/>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427A"/>
    <w:rsid w:val="00945245"/>
    <w:rsid w:val="0095759C"/>
    <w:rsid w:val="009721DB"/>
    <w:rsid w:val="0097239B"/>
    <w:rsid w:val="00974923"/>
    <w:rsid w:val="009808F7"/>
    <w:rsid w:val="00980D3D"/>
    <w:rsid w:val="009855E1"/>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4114"/>
    <w:rsid w:val="00A1537C"/>
    <w:rsid w:val="00A16413"/>
    <w:rsid w:val="00A16E1D"/>
    <w:rsid w:val="00A17D5B"/>
    <w:rsid w:val="00A23E43"/>
    <w:rsid w:val="00A25216"/>
    <w:rsid w:val="00A30F65"/>
    <w:rsid w:val="00A33A89"/>
    <w:rsid w:val="00A40EAC"/>
    <w:rsid w:val="00A418BC"/>
    <w:rsid w:val="00A46DE0"/>
    <w:rsid w:val="00A47FCA"/>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B535B"/>
    <w:rsid w:val="00AC45BD"/>
    <w:rsid w:val="00AD168E"/>
    <w:rsid w:val="00AD306C"/>
    <w:rsid w:val="00AD4F16"/>
    <w:rsid w:val="00AD68C4"/>
    <w:rsid w:val="00AE09B3"/>
    <w:rsid w:val="00AE0ED3"/>
    <w:rsid w:val="00AE1A83"/>
    <w:rsid w:val="00AE31A7"/>
    <w:rsid w:val="00AF6128"/>
    <w:rsid w:val="00B00913"/>
    <w:rsid w:val="00B01593"/>
    <w:rsid w:val="00B023F2"/>
    <w:rsid w:val="00B04705"/>
    <w:rsid w:val="00B07BBB"/>
    <w:rsid w:val="00B10A4D"/>
    <w:rsid w:val="00B14BC1"/>
    <w:rsid w:val="00B17E71"/>
    <w:rsid w:val="00B17FDE"/>
    <w:rsid w:val="00B2379C"/>
    <w:rsid w:val="00B25189"/>
    <w:rsid w:val="00B2687D"/>
    <w:rsid w:val="00B32DDB"/>
    <w:rsid w:val="00B34528"/>
    <w:rsid w:val="00B34CC9"/>
    <w:rsid w:val="00B402FC"/>
    <w:rsid w:val="00B439DA"/>
    <w:rsid w:val="00B46604"/>
    <w:rsid w:val="00B530CD"/>
    <w:rsid w:val="00B55F5E"/>
    <w:rsid w:val="00B5752E"/>
    <w:rsid w:val="00B63A11"/>
    <w:rsid w:val="00B63B6A"/>
    <w:rsid w:val="00B64C24"/>
    <w:rsid w:val="00B6608F"/>
    <w:rsid w:val="00B679FB"/>
    <w:rsid w:val="00B71EF7"/>
    <w:rsid w:val="00B76D1E"/>
    <w:rsid w:val="00B8028A"/>
    <w:rsid w:val="00B80EC6"/>
    <w:rsid w:val="00B84CF6"/>
    <w:rsid w:val="00B92D1D"/>
    <w:rsid w:val="00B938C5"/>
    <w:rsid w:val="00B95940"/>
    <w:rsid w:val="00BA6C2B"/>
    <w:rsid w:val="00BB46F3"/>
    <w:rsid w:val="00BB4CB1"/>
    <w:rsid w:val="00BB4F98"/>
    <w:rsid w:val="00BC5C12"/>
    <w:rsid w:val="00BC7154"/>
    <w:rsid w:val="00BC731E"/>
    <w:rsid w:val="00BD366B"/>
    <w:rsid w:val="00BD6D50"/>
    <w:rsid w:val="00BE18B9"/>
    <w:rsid w:val="00BE2495"/>
    <w:rsid w:val="00BF1578"/>
    <w:rsid w:val="00BF723F"/>
    <w:rsid w:val="00C21F94"/>
    <w:rsid w:val="00C27913"/>
    <w:rsid w:val="00C27E4F"/>
    <w:rsid w:val="00C32964"/>
    <w:rsid w:val="00C33B68"/>
    <w:rsid w:val="00C36A79"/>
    <w:rsid w:val="00C401D2"/>
    <w:rsid w:val="00C405D4"/>
    <w:rsid w:val="00C4431F"/>
    <w:rsid w:val="00C4513B"/>
    <w:rsid w:val="00C5390B"/>
    <w:rsid w:val="00C54697"/>
    <w:rsid w:val="00C65535"/>
    <w:rsid w:val="00C71E85"/>
    <w:rsid w:val="00C72884"/>
    <w:rsid w:val="00C73885"/>
    <w:rsid w:val="00C747B1"/>
    <w:rsid w:val="00C82191"/>
    <w:rsid w:val="00C83134"/>
    <w:rsid w:val="00C85545"/>
    <w:rsid w:val="00C90CF4"/>
    <w:rsid w:val="00C92EB6"/>
    <w:rsid w:val="00C93389"/>
    <w:rsid w:val="00CA0914"/>
    <w:rsid w:val="00CA6AB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51DA"/>
    <w:rsid w:val="00D8084C"/>
    <w:rsid w:val="00D915EA"/>
    <w:rsid w:val="00DA7C0C"/>
    <w:rsid w:val="00DB08A9"/>
    <w:rsid w:val="00DB2EC8"/>
    <w:rsid w:val="00DB6566"/>
    <w:rsid w:val="00DC48F1"/>
    <w:rsid w:val="00DC5B3B"/>
    <w:rsid w:val="00DD129F"/>
    <w:rsid w:val="00DD4EFE"/>
    <w:rsid w:val="00DE02BD"/>
    <w:rsid w:val="00DF42FF"/>
    <w:rsid w:val="00E01C0E"/>
    <w:rsid w:val="00E03F9A"/>
    <w:rsid w:val="00E04694"/>
    <w:rsid w:val="00E063CE"/>
    <w:rsid w:val="00E12B1E"/>
    <w:rsid w:val="00E17262"/>
    <w:rsid w:val="00E253A2"/>
    <w:rsid w:val="00E3309D"/>
    <w:rsid w:val="00E43C1C"/>
    <w:rsid w:val="00E47EBA"/>
    <w:rsid w:val="00E50156"/>
    <w:rsid w:val="00E51643"/>
    <w:rsid w:val="00E53470"/>
    <w:rsid w:val="00E53874"/>
    <w:rsid w:val="00E539F6"/>
    <w:rsid w:val="00E6519D"/>
    <w:rsid w:val="00E67696"/>
    <w:rsid w:val="00E71A58"/>
    <w:rsid w:val="00E72A7A"/>
    <w:rsid w:val="00E75C94"/>
    <w:rsid w:val="00E93820"/>
    <w:rsid w:val="00E94A86"/>
    <w:rsid w:val="00E96143"/>
    <w:rsid w:val="00EA0987"/>
    <w:rsid w:val="00EA0C68"/>
    <w:rsid w:val="00EA32BC"/>
    <w:rsid w:val="00EA4302"/>
    <w:rsid w:val="00EB39C7"/>
    <w:rsid w:val="00EB3D8F"/>
    <w:rsid w:val="00EB4511"/>
    <w:rsid w:val="00EC03D7"/>
    <w:rsid w:val="00ED62C6"/>
    <w:rsid w:val="00ED64C1"/>
    <w:rsid w:val="00EE3446"/>
    <w:rsid w:val="00EE3E78"/>
    <w:rsid w:val="00EE4B1B"/>
    <w:rsid w:val="00EE7F19"/>
    <w:rsid w:val="00EF150D"/>
    <w:rsid w:val="00EF1F5A"/>
    <w:rsid w:val="00EF47BF"/>
    <w:rsid w:val="00EF6DB3"/>
    <w:rsid w:val="00F04811"/>
    <w:rsid w:val="00F0488C"/>
    <w:rsid w:val="00F10F11"/>
    <w:rsid w:val="00F15AAA"/>
    <w:rsid w:val="00F15BEF"/>
    <w:rsid w:val="00F24407"/>
    <w:rsid w:val="00F24931"/>
    <w:rsid w:val="00F24FAA"/>
    <w:rsid w:val="00F3364D"/>
    <w:rsid w:val="00F437CC"/>
    <w:rsid w:val="00F44537"/>
    <w:rsid w:val="00F44B6A"/>
    <w:rsid w:val="00F47067"/>
    <w:rsid w:val="00F50FC3"/>
    <w:rsid w:val="00F525EB"/>
    <w:rsid w:val="00F63DDE"/>
    <w:rsid w:val="00F63FB7"/>
    <w:rsid w:val="00F6421B"/>
    <w:rsid w:val="00F649D2"/>
    <w:rsid w:val="00F6602B"/>
    <w:rsid w:val="00F67C4E"/>
    <w:rsid w:val="00F73A0C"/>
    <w:rsid w:val="00F756DB"/>
    <w:rsid w:val="00F84E7D"/>
    <w:rsid w:val="00F85066"/>
    <w:rsid w:val="00F87A4D"/>
    <w:rsid w:val="00F9785E"/>
    <w:rsid w:val="00FA5D4D"/>
    <w:rsid w:val="00FA7115"/>
    <w:rsid w:val="00FB0EE2"/>
    <w:rsid w:val="00FB4423"/>
    <w:rsid w:val="00FB542E"/>
    <w:rsid w:val="00FC0E5F"/>
    <w:rsid w:val="00FC1A95"/>
    <w:rsid w:val="00FC56DE"/>
    <w:rsid w:val="00FC684B"/>
    <w:rsid w:val="00FD3265"/>
    <w:rsid w:val="00FD5F92"/>
    <w:rsid w:val="00FD66F9"/>
    <w:rsid w:val="00FE2F78"/>
    <w:rsid w:val="00FF7B96"/>
    <w:rsid w:val="11D0C0D9"/>
    <w:rsid w:val="30D0B3BE"/>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7"/>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chart" Target="charts/chart3.xml"/><Relationship Id="rId26" Type="http://schemas.openxmlformats.org/officeDocument/2006/relationships/chart" Target="charts/chart11.xml"/><Relationship Id="rId39" Type="http://schemas.openxmlformats.org/officeDocument/2006/relationships/theme" Target="theme/theme1.xml"/><Relationship Id="rId21" Type="http://schemas.openxmlformats.org/officeDocument/2006/relationships/chart" Target="charts/chart6.xm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chart" Target="charts/chart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hart" Target="charts/chart4.xml"/><Relationship Id="rId31" Type="http://schemas.openxmlformats.org/officeDocument/2006/relationships/chart" Target="charts/chart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csu.gov.cz/rychle-informace/analyza-ctvrtletnich-sektorovych-uctu-2-ctvrtleti-2024" TargetMode="External"/><Relationship Id="rId2" Type="http://schemas.openxmlformats.org/officeDocument/2006/relationships/hyperlink" Target="https://www.czso.cz/csu/czso/metodicka-poznamka-k-indexu-spotrebitelskych-cen-imputovane-najemne" TargetMode="External"/><Relationship Id="rId1" Type="http://schemas.openxmlformats.org/officeDocument/2006/relationships/hyperlink" Target="https://www.czso.cz/csu/czso/aktualizace-metody-propoctu-zahranicni-obchod-se-zbozi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E:\Qmakro-2024\1.a&#382;%203.%20&#269;tvrtlet&#237;\Trh%20pr&#225;ce\Grafy-TRH%20PR&#193;CE%20celorok-rok-1-33q2024.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E:\Qmakro-2024\1.a&#382;%203.%20&#269;tvrtlet&#237;\Trh%20pr&#225;ce\Grafy-TRH%20PR&#193;CE%20celorok-rok-1-33q2024.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E:\Qmakro-2024\1.a&#382;%203.%20&#269;tvrtlet&#237;\Trh%20pr&#225;ce\Grafy-TRH%20PR&#193;CE%20celorok-rok-1-33q2024.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E:\Qmakro-2024\1.a&#382;%203.%20&#269;tvrtlet&#237;\Grafy-st&#225;tn&#237;%20rozpo&#269;et-1.-3q-2024.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E:\Qmakro-2024\1.a&#382;%203.%20&#269;tvrtlet&#237;\Grafy-st&#225;tn&#237;%20rozpo&#269;et-1.-3q-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3/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Qmakro-2024\1.a&#382;%203.%20&#269;tvrtlet&#237;\Odv&#283;tv&#237;\ODV&#282;TV&#205;_grafy_1-3.q.202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Qmakro-2024\1.a&#382;%203.%20&#269;tvrtlet&#237;\Odv&#283;tv&#237;\ODV&#282;TV&#205;_grafy_1-3.q.202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Qmakro-2024\1.a&#382;%203.%20&#269;tvrtlet&#237;\Odv&#283;tv&#237;\ODV&#282;TV&#205;_grafy_1-3.q.202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Qmakro-2024\1.a&#382;%203.%20&#269;tvrtlet&#237;\Odv&#283;tv&#237;\ODV&#282;TV&#205;_grafy_1-3.q.2024.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Qmakro-2024\1.a&#382;%203.%20&#269;tvrtlet&#237;\Odv&#283;tv&#237;\ODV&#282;TV&#205;_grafy_1-3.q.2024.xlsx"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4Q3/Makroanal&#253;za%20grafy.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45E-2"/>
          <c:y val="2.3046636085626952E-2"/>
          <c:w val="0.92008633063154344"/>
          <c:h val="0.74192840256671611"/>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1'!$C$9:$C$31</c:f>
              <c:numCache>
                <c:formatCode>0.0</c:formatCode>
                <c:ptCount val="23"/>
                <c:pt idx="0">
                  <c:v>3.4189856936099829</c:v>
                </c:pt>
                <c:pt idx="1">
                  <c:v>3.6131741333642537</c:v>
                </c:pt>
                <c:pt idx="2">
                  <c:v>3.6825803056472921</c:v>
                </c:pt>
                <c:pt idx="3">
                  <c:v>3.3199919158713271</c:v>
                </c:pt>
                <c:pt idx="4">
                  <c:v>-1.5501786832516729</c:v>
                </c:pt>
                <c:pt idx="5">
                  <c:v>-10.594932915034789</c:v>
                </c:pt>
                <c:pt idx="6">
                  <c:v>-4.7011751782364399</c:v>
                </c:pt>
                <c:pt idx="7">
                  <c:v>-4.4366398308301314</c:v>
                </c:pt>
                <c:pt idx="8">
                  <c:v>-1.2288638498452684</c:v>
                </c:pt>
                <c:pt idx="9">
                  <c:v>9.7404575003667162</c:v>
                </c:pt>
                <c:pt idx="10">
                  <c:v>3.9736849039729805</c:v>
                </c:pt>
                <c:pt idx="11">
                  <c:v>3.9029603596385698</c:v>
                </c:pt>
                <c:pt idx="12">
                  <c:v>4.8437098358771209</c:v>
                </c:pt>
                <c:pt idx="13">
                  <c:v>3.6483773841026448</c:v>
                </c:pt>
                <c:pt idx="14">
                  <c:v>2.0520198238941418</c:v>
                </c:pt>
                <c:pt idx="15">
                  <c:v>0.95157210327245423</c:v>
                </c:pt>
                <c:pt idx="16">
                  <c:v>0.28194122653326303</c:v>
                </c:pt>
                <c:pt idx="17">
                  <c:v>0.17520468854441162</c:v>
                </c:pt>
                <c:pt idx="18" formatCode="General">
                  <c:v>-0.36641834862845712</c:v>
                </c:pt>
                <c:pt idx="19" formatCode="General">
                  <c:v>4.80414775099689E-2</c:v>
                </c:pt>
                <c:pt idx="20" formatCode="General">
                  <c:v>0.40751651556183788</c:v>
                </c:pt>
                <c:pt idx="21" formatCode="General">
                  <c:v>0.48843497920493917</c:v>
                </c:pt>
                <c:pt idx="22" formatCode="General">
                  <c:v>1.2883793303377473</c:v>
                </c:pt>
              </c:numCache>
            </c:numRef>
          </c:val>
          <c:extLst>
            <c:ext xmlns:c16="http://schemas.microsoft.com/office/drawing/2014/chart" uri="{C3380CC4-5D6E-409C-BE32-E72D297353CC}">
              <c16:uniqueId val="{00000000-6CE9-4224-8FBC-95523140F1ED}"/>
            </c:ext>
          </c:extLst>
        </c:ser>
        <c:ser>
          <c:idx val="1"/>
          <c:order val="1"/>
          <c:tx>
            <c:strRef>
              <c:f>'souhrnná výkonnost 1'!$D$4</c:f>
              <c:strCache>
                <c:ptCount val="1"/>
                <c:pt idx="0">
                  <c:v>EU27 meziroční změna</c:v>
                </c:pt>
              </c:strCache>
            </c:strRef>
          </c:tx>
          <c:spPr>
            <a:solidFill>
              <a:srgbClr val="808080"/>
            </a:solidFill>
            <a:ln>
              <a:noFill/>
            </a:ln>
          </c:spPr>
          <c:invertIfNegative val="0"/>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1'!$D$9:$D$31</c:f>
              <c:numCache>
                <c:formatCode>#\ ##0.0</c:formatCode>
                <c:ptCount val="23"/>
                <c:pt idx="0" formatCode="#\ ##0.##########">
                  <c:v>2.1</c:v>
                </c:pt>
                <c:pt idx="1">
                  <c:v>2</c:v>
                </c:pt>
                <c:pt idx="2" formatCode="#\ ##0.##########">
                  <c:v>2</c:v>
                </c:pt>
                <c:pt idx="3" formatCode="#\ ##0.##########">
                  <c:v>1.5</c:v>
                </c:pt>
                <c:pt idx="4" formatCode="#\ ##0.##########">
                  <c:v>-2.2000000000000002</c:v>
                </c:pt>
                <c:pt idx="5" formatCode="#\ ##0.##########">
                  <c:v>-13.2</c:v>
                </c:pt>
                <c:pt idx="6" formatCode="#\ ##0.##########">
                  <c:v>-3.9</c:v>
                </c:pt>
                <c:pt idx="7" formatCode="#\ ##0.##########">
                  <c:v>-3.5</c:v>
                </c:pt>
                <c:pt idx="8" formatCode="#\ ##0.##########">
                  <c:v>0.2</c:v>
                </c:pt>
                <c:pt idx="9" formatCode="#\ ##0.##########">
                  <c:v>14.8</c:v>
                </c:pt>
                <c:pt idx="10" formatCode="#\ ##0.##########">
                  <c:v>5.3</c:v>
                </c:pt>
                <c:pt idx="11" formatCode="#\ ##0.##########">
                  <c:v>5.8</c:v>
                </c:pt>
                <c:pt idx="12" formatCode="#\ ##0.##########">
                  <c:v>5.6</c:v>
                </c:pt>
                <c:pt idx="13" formatCode="#\ ##0.##########">
                  <c:v>4.0999999999999996</c:v>
                </c:pt>
                <c:pt idx="14" formatCode="#\ ##0.##########">
                  <c:v>2.8</c:v>
                </c:pt>
                <c:pt idx="15" formatCode="#\ ##0.##########">
                  <c:v>1.7</c:v>
                </c:pt>
                <c:pt idx="16" formatCode="#\ ##0.##########">
                  <c:v>1.2</c:v>
                </c:pt>
                <c:pt idx="17" formatCode="#\ ##0.##########">
                  <c:v>0.5</c:v>
                </c:pt>
                <c:pt idx="18" formatCode="#\ ##0.##########">
                  <c:v>0.1</c:v>
                </c:pt>
                <c:pt idx="19" formatCode="#\ ##0.##########">
                  <c:v>0.4</c:v>
                </c:pt>
                <c:pt idx="20" formatCode="#\ ##0.##########">
                  <c:v>0.6</c:v>
                </c:pt>
                <c:pt idx="21" formatCode="#\ ##0.##########">
                  <c:v>0.8</c:v>
                </c:pt>
                <c:pt idx="22" formatCode="General">
                  <c:v>1</c:v>
                </c:pt>
              </c:numCache>
            </c:numRef>
          </c:val>
          <c:extLst>
            <c:ext xmlns:c16="http://schemas.microsoft.com/office/drawing/2014/chart" uri="{C3380CC4-5D6E-409C-BE32-E72D297353CC}">
              <c16:uniqueId val="{00000001-6CE9-4224-8FBC-95523140F1ED}"/>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1'!$E$9:$E$31</c:f>
              <c:numCache>
                <c:formatCode>0.0</c:formatCode>
                <c:ptCount val="23"/>
                <c:pt idx="0">
                  <c:v>1.3072240756125382</c:v>
                </c:pt>
                <c:pt idx="1">
                  <c:v>0.49696583288741181</c:v>
                </c:pt>
                <c:pt idx="2">
                  <c:v>0.73496507853789694</c:v>
                </c:pt>
                <c:pt idx="3">
                  <c:v>0.74204395610576057</c:v>
                </c:pt>
                <c:pt idx="4">
                  <c:v>-3.4680711506351827</c:v>
                </c:pt>
                <c:pt idx="5">
                  <c:v>-8.7358630828085069</c:v>
                </c:pt>
                <c:pt idx="6">
                  <c:v>7.3756119585801656</c:v>
                </c:pt>
                <c:pt idx="7">
                  <c:v>1.0216888693163071</c:v>
                </c:pt>
                <c:pt idx="8">
                  <c:v>-0.22778321796964462</c:v>
                </c:pt>
                <c:pt idx="9">
                  <c:v>1.3997462117176838</c:v>
                </c:pt>
                <c:pt idx="10">
                  <c:v>1.7331100894615759</c:v>
                </c:pt>
                <c:pt idx="11">
                  <c:v>0.95297231935684579</c:v>
                </c:pt>
                <c:pt idx="12">
                  <c:v>0.67556602593998605</c:v>
                </c:pt>
                <c:pt idx="13">
                  <c:v>0.24367869523720742</c:v>
                </c:pt>
                <c:pt idx="14">
                  <c:v>0.16625083402912821</c:v>
                </c:pt>
                <c:pt idx="15">
                  <c:v>-0.13562414811659096</c:v>
                </c:pt>
                <c:pt idx="16">
                  <c:v>7.7659497292046353E-3</c:v>
                </c:pt>
                <c:pt idx="17">
                  <c:v>0.13698288252822977</c:v>
                </c:pt>
                <c:pt idx="18" formatCode="General">
                  <c:v>-0.37532379182387388</c:v>
                </c:pt>
                <c:pt idx="19" formatCode="General">
                  <c:v>0.27979574512603733</c:v>
                </c:pt>
                <c:pt idx="20" formatCode="General">
                  <c:v>0.36709627683354995</c:v>
                </c:pt>
                <c:pt idx="21" formatCode="General">
                  <c:v>0.21768332299232895</c:v>
                </c:pt>
                <c:pt idx="22" formatCode="General">
                  <c:v>0.41774455462469007</c:v>
                </c:pt>
              </c:numCache>
            </c:numRef>
          </c:val>
          <c:smooth val="0"/>
          <c:extLst>
            <c:ext xmlns:c16="http://schemas.microsoft.com/office/drawing/2014/chart" uri="{C3380CC4-5D6E-409C-BE32-E72D297353CC}">
              <c16:uniqueId val="{00000002-6CE9-4224-8FBC-95523140F1ED}"/>
            </c:ext>
          </c:extLst>
        </c:ser>
        <c:ser>
          <c:idx val="3"/>
          <c:order val="3"/>
          <c:tx>
            <c:strRef>
              <c:f>'souhrnná výkonnost 1'!$F$4</c:f>
              <c:strCache>
                <c:ptCount val="1"/>
                <c:pt idx="0">
                  <c:v>EU27 mezičtvrtletní změna</c:v>
                </c:pt>
              </c:strCache>
            </c:strRef>
          </c:tx>
          <c:spPr>
            <a:ln w="19050">
              <a:noFill/>
            </a:ln>
          </c:spPr>
          <c:marker>
            <c:symbol val="dash"/>
            <c:size val="8"/>
            <c:spPr>
              <a:solidFill>
                <a:srgbClr val="BD1B21"/>
              </a:solidFill>
              <a:ln>
                <a:noFill/>
              </a:ln>
            </c:spPr>
          </c:marke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1'!$F$9:$F$31</c:f>
              <c:numCache>
                <c:formatCode>#\ ##0.##########</c:formatCode>
                <c:ptCount val="23"/>
                <c:pt idx="0">
                  <c:v>0.7</c:v>
                </c:pt>
                <c:pt idx="1">
                  <c:v>0.4</c:v>
                </c:pt>
                <c:pt idx="2">
                  <c:v>0.2</c:v>
                </c:pt>
                <c:pt idx="3">
                  <c:v>0.1</c:v>
                </c:pt>
                <c:pt idx="4" formatCode="#\ ##0.0">
                  <c:v>-3</c:v>
                </c:pt>
                <c:pt idx="5">
                  <c:v>-10.8</c:v>
                </c:pt>
                <c:pt idx="6" formatCode="#\ ##0.0">
                  <c:v>11</c:v>
                </c:pt>
                <c:pt idx="7">
                  <c:v>0.5</c:v>
                </c:pt>
                <c:pt idx="8">
                  <c:v>0.7</c:v>
                </c:pt>
                <c:pt idx="9">
                  <c:v>2.2000000000000002</c:v>
                </c:pt>
                <c:pt idx="10">
                  <c:v>1.8</c:v>
                </c:pt>
                <c:pt idx="11">
                  <c:v>0.9</c:v>
                </c:pt>
                <c:pt idx="12">
                  <c:v>0.6</c:v>
                </c:pt>
                <c:pt idx="13">
                  <c:v>0.8</c:v>
                </c:pt>
                <c:pt idx="14">
                  <c:v>0.5</c:v>
                </c:pt>
                <c:pt idx="15">
                  <c:v>-0.2</c:v>
                </c:pt>
                <c:pt idx="16">
                  <c:v>0.1</c:v>
                </c:pt>
                <c:pt idx="17" formatCode="#\ ##0.0">
                  <c:v>0</c:v>
                </c:pt>
                <c:pt idx="18">
                  <c:v>0.2</c:v>
                </c:pt>
                <c:pt idx="19">
                  <c:v>0.1</c:v>
                </c:pt>
                <c:pt idx="20">
                  <c:v>0.3</c:v>
                </c:pt>
                <c:pt idx="21">
                  <c:v>0.3</c:v>
                </c:pt>
                <c:pt idx="22">
                  <c:v>0.3</c:v>
                </c:pt>
              </c:numCache>
            </c:numRef>
          </c:val>
          <c:smooth val="0"/>
          <c:extLst>
            <c:ext xmlns:c16="http://schemas.microsoft.com/office/drawing/2014/chart" uri="{C3380CC4-5D6E-409C-BE32-E72D297353CC}">
              <c16:uniqueId val="{00000003-6CE9-4224-8FBC-95523140F1ED}"/>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majorUnit val="3"/>
      </c:valAx>
      <c:spPr>
        <a:ln>
          <a:solidFill>
            <a:schemeClr val="tx1"/>
          </a:solidFill>
        </a:ln>
      </c:spPr>
    </c:plotArea>
    <c:legend>
      <c:legendPos val="b"/>
      <c:layout>
        <c:manualLayout>
          <c:xMode val="edge"/>
          <c:yMode val="edge"/>
          <c:x val="5.8431906450523471E-2"/>
          <c:y val="0.89437255125717996"/>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299E-2"/>
          <c:w val="0.92237743255066085"/>
          <c:h val="0.71471575213004157"/>
        </c:manualLayout>
      </c:layout>
      <c:barChart>
        <c:barDir val="col"/>
        <c:grouping val="clustered"/>
        <c:varyColors val="0"/>
        <c:ser>
          <c:idx val="0"/>
          <c:order val="0"/>
          <c:tx>
            <c:strRef>
              <c:f>'Ceny 2'!$C$5</c:f>
              <c:strCache>
                <c:ptCount val="1"/>
                <c:pt idx="0">
                  <c:v>Celkem</c:v>
                </c:pt>
              </c:strCache>
            </c:strRef>
          </c:tx>
          <c:spPr>
            <a:solidFill>
              <a:schemeClr val="bg1">
                <a:lumMod val="65000"/>
              </a:schemeClr>
            </a:solidFill>
            <a:ln w="19050">
              <a:noFill/>
            </a:ln>
          </c:spPr>
          <c:invertIfNegative val="0"/>
          <c:cat>
            <c:multiLvlStrRef>
              <c:f>'Ceny 2'!$A$10:$B$32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2'!$C$10:$C$32</c:f>
              <c:numCache>
                <c:formatCode>0.0</c:formatCode>
                <c:ptCount val="23"/>
                <c:pt idx="0">
                  <c:v>2.7</c:v>
                </c:pt>
                <c:pt idx="1">
                  <c:v>2.8</c:v>
                </c:pt>
                <c:pt idx="2">
                  <c:v>2.8</c:v>
                </c:pt>
                <c:pt idx="3">
                  <c:v>3</c:v>
                </c:pt>
                <c:pt idx="4">
                  <c:v>3.6</c:v>
                </c:pt>
                <c:pt idx="5">
                  <c:v>3.1</c:v>
                </c:pt>
                <c:pt idx="6">
                  <c:v>3.3</c:v>
                </c:pt>
                <c:pt idx="7">
                  <c:v>2.6</c:v>
                </c:pt>
                <c:pt idx="8">
                  <c:v>2.2000000000000002</c:v>
                </c:pt>
                <c:pt idx="9">
                  <c:v>2.9</c:v>
                </c:pt>
                <c:pt idx="10">
                  <c:v>4.0999999999999996</c:v>
                </c:pt>
                <c:pt idx="11">
                  <c:v>6.1</c:v>
                </c:pt>
                <c:pt idx="12">
                  <c:v>11.2</c:v>
                </c:pt>
                <c:pt idx="13">
                  <c:v>15.8</c:v>
                </c:pt>
                <c:pt idx="14">
                  <c:v>17.600000000000001</c:v>
                </c:pt>
                <c:pt idx="15">
                  <c:v>15.7</c:v>
                </c:pt>
                <c:pt idx="16">
                  <c:v>16.399999999999999</c:v>
                </c:pt>
                <c:pt idx="17">
                  <c:v>11.1</c:v>
                </c:pt>
                <c:pt idx="18">
                  <c:v>8</c:v>
                </c:pt>
                <c:pt idx="19">
                  <c:v>7.6</c:v>
                </c:pt>
                <c:pt idx="20">
                  <c:v>2.1</c:v>
                </c:pt>
                <c:pt idx="21">
                  <c:v>2.5</c:v>
                </c:pt>
                <c:pt idx="22">
                  <c:v>2.2999999999999998</c:v>
                </c:pt>
              </c:numCache>
            </c:numRef>
          </c:val>
          <c:extLst>
            <c:ext xmlns:c16="http://schemas.microsoft.com/office/drawing/2014/chart" uri="{C3380CC4-5D6E-409C-BE32-E72D297353CC}">
              <c16:uniqueId val="{00000000-BBFD-4195-BC1C-40C681C127A6}"/>
            </c:ext>
          </c:extLst>
        </c:ser>
        <c:dLbls>
          <c:showLegendKey val="0"/>
          <c:showVal val="0"/>
          <c:showCatName val="0"/>
          <c:showSerName val="0"/>
          <c:showPercent val="0"/>
          <c:showBubbleSize val="0"/>
        </c:dLbls>
        <c:gapWidth val="95"/>
        <c:axId val="270120064"/>
        <c:axId val="270121600"/>
      </c:barChart>
      <c:lineChart>
        <c:grouping val="standard"/>
        <c:varyColors val="0"/>
        <c:ser>
          <c:idx val="1"/>
          <c:order val="1"/>
          <c:tx>
            <c:strRef>
              <c:f>'Ceny 2'!$D$5</c:f>
              <c:strCache>
                <c:ptCount val="1"/>
                <c:pt idx="0">
                  <c:v>Potraviny a nealkoholické nápoje</c:v>
                </c:pt>
              </c:strCache>
            </c:strRef>
          </c:tx>
          <c:spPr>
            <a:ln w="19050">
              <a:solidFill>
                <a:srgbClr val="0071BC"/>
              </a:solidFill>
            </a:ln>
          </c:spPr>
          <c:marker>
            <c:symbol val="none"/>
          </c:marker>
          <c:cat>
            <c:multiLvlStrRef>
              <c:f>'Ceny 2'!$A$10:$B$32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2'!$D$10:$D$32</c:f>
              <c:numCache>
                <c:formatCode>0.0</c:formatCode>
                <c:ptCount val="23"/>
                <c:pt idx="0">
                  <c:v>1</c:v>
                </c:pt>
                <c:pt idx="1">
                  <c:v>2.5</c:v>
                </c:pt>
                <c:pt idx="2">
                  <c:v>3.5</c:v>
                </c:pt>
                <c:pt idx="3">
                  <c:v>4.3</c:v>
                </c:pt>
                <c:pt idx="4">
                  <c:v>6.1</c:v>
                </c:pt>
                <c:pt idx="5">
                  <c:v>6.5</c:v>
                </c:pt>
                <c:pt idx="6">
                  <c:v>4</c:v>
                </c:pt>
                <c:pt idx="7">
                  <c:v>1.7</c:v>
                </c:pt>
                <c:pt idx="8">
                  <c:v>0.3</c:v>
                </c:pt>
                <c:pt idx="9">
                  <c:v>-0.8</c:v>
                </c:pt>
                <c:pt idx="10">
                  <c:v>1.4</c:v>
                </c:pt>
                <c:pt idx="11">
                  <c:v>2.2999999999999998</c:v>
                </c:pt>
                <c:pt idx="12">
                  <c:v>6.7</c:v>
                </c:pt>
                <c:pt idx="13">
                  <c:v>14.6</c:v>
                </c:pt>
                <c:pt idx="14">
                  <c:v>20</c:v>
                </c:pt>
                <c:pt idx="15">
                  <c:v>25.5</c:v>
                </c:pt>
                <c:pt idx="16">
                  <c:v>24.1</c:v>
                </c:pt>
                <c:pt idx="17">
                  <c:v>14.6</c:v>
                </c:pt>
                <c:pt idx="18">
                  <c:v>7.8</c:v>
                </c:pt>
                <c:pt idx="19">
                  <c:v>1.6</c:v>
                </c:pt>
                <c:pt idx="20">
                  <c:v>-4.9000000000000004</c:v>
                </c:pt>
                <c:pt idx="21">
                  <c:v>-3.6</c:v>
                </c:pt>
                <c:pt idx="22">
                  <c:v>-1.4</c:v>
                </c:pt>
              </c:numCache>
            </c:numRef>
          </c:val>
          <c:smooth val="0"/>
          <c:extLst>
            <c:ext xmlns:c16="http://schemas.microsoft.com/office/drawing/2014/chart" uri="{C3380CC4-5D6E-409C-BE32-E72D297353CC}">
              <c16:uniqueId val="{00000001-BBFD-4195-BC1C-40C681C127A6}"/>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2'!$F$10:$F$32</c:f>
              <c:numCache>
                <c:formatCode>0.0</c:formatCode>
                <c:ptCount val="23"/>
                <c:pt idx="0">
                  <c:v>5.4</c:v>
                </c:pt>
                <c:pt idx="1">
                  <c:v>5.7</c:v>
                </c:pt>
                <c:pt idx="2">
                  <c:v>5.2</c:v>
                </c:pt>
                <c:pt idx="3">
                  <c:v>5</c:v>
                </c:pt>
                <c:pt idx="4">
                  <c:v>4.2</c:v>
                </c:pt>
                <c:pt idx="5">
                  <c:v>3.2</c:v>
                </c:pt>
                <c:pt idx="6">
                  <c:v>2.7</c:v>
                </c:pt>
                <c:pt idx="7">
                  <c:v>1.4</c:v>
                </c:pt>
                <c:pt idx="8">
                  <c:v>0.6</c:v>
                </c:pt>
                <c:pt idx="9">
                  <c:v>1.3</c:v>
                </c:pt>
                <c:pt idx="10">
                  <c:v>3.6</c:v>
                </c:pt>
                <c:pt idx="11">
                  <c:v>5.6</c:v>
                </c:pt>
                <c:pt idx="12">
                  <c:v>16</c:v>
                </c:pt>
                <c:pt idx="13">
                  <c:v>21.4</c:v>
                </c:pt>
                <c:pt idx="14">
                  <c:v>23.6</c:v>
                </c:pt>
                <c:pt idx="15">
                  <c:v>14.9</c:v>
                </c:pt>
                <c:pt idx="16">
                  <c:v>22.2</c:v>
                </c:pt>
                <c:pt idx="17">
                  <c:v>16</c:v>
                </c:pt>
                <c:pt idx="18">
                  <c:v>11.6</c:v>
                </c:pt>
                <c:pt idx="19">
                  <c:v>17.8</c:v>
                </c:pt>
                <c:pt idx="20">
                  <c:v>3.4</c:v>
                </c:pt>
                <c:pt idx="21">
                  <c:v>3.1</c:v>
                </c:pt>
                <c:pt idx="22">
                  <c:v>3.2</c:v>
                </c:pt>
              </c:numCache>
            </c:numRef>
          </c:val>
          <c:smooth val="0"/>
          <c:extLst>
            <c:ext xmlns:c16="http://schemas.microsoft.com/office/drawing/2014/chart" uri="{C3380CC4-5D6E-409C-BE32-E72D297353CC}">
              <c16:uniqueId val="{00000002-BBFD-4195-BC1C-40C681C127A6}"/>
            </c:ext>
          </c:extLst>
        </c:ser>
        <c:ser>
          <c:idx val="4"/>
          <c:order val="3"/>
          <c:tx>
            <c:strRef>
              <c:f>'Ceny 2'!$G$5</c:f>
              <c:strCache>
                <c:ptCount val="1"/>
                <c:pt idx="0">
                  <c:v>Doprava</c:v>
                </c:pt>
              </c:strCache>
            </c:strRef>
          </c:tx>
          <c:spPr>
            <a:ln w="19050">
              <a:solidFill>
                <a:srgbClr val="FFC000"/>
              </a:solidFill>
            </a:ln>
          </c:spPr>
          <c:marker>
            <c:symbol val="none"/>
          </c:marker>
          <c:cat>
            <c:multiLvlStrRef>
              <c:f>'Ceny 2'!$A$10:$B$32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2'!$G$10:$G$32</c:f>
              <c:numCache>
                <c:formatCode>0.0</c:formatCode>
                <c:ptCount val="23"/>
                <c:pt idx="0">
                  <c:v>0.6</c:v>
                </c:pt>
                <c:pt idx="1">
                  <c:v>0.8</c:v>
                </c:pt>
                <c:pt idx="2">
                  <c:v>-0.2</c:v>
                </c:pt>
                <c:pt idx="3">
                  <c:v>0.5</c:v>
                </c:pt>
                <c:pt idx="4" formatCode="General">
                  <c:v>1.7</c:v>
                </c:pt>
                <c:pt idx="5">
                  <c:v>-3.4</c:v>
                </c:pt>
                <c:pt idx="6">
                  <c:v>-0.2</c:v>
                </c:pt>
                <c:pt idx="7">
                  <c:v>0.6</c:v>
                </c:pt>
                <c:pt idx="8">
                  <c:v>2.4</c:v>
                </c:pt>
                <c:pt idx="9">
                  <c:v>9.1</c:v>
                </c:pt>
                <c:pt idx="10">
                  <c:v>8.8000000000000007</c:v>
                </c:pt>
                <c:pt idx="11">
                  <c:v>13.1</c:v>
                </c:pt>
                <c:pt idx="12">
                  <c:v>17.2</c:v>
                </c:pt>
                <c:pt idx="13">
                  <c:v>22.7</c:v>
                </c:pt>
                <c:pt idx="14">
                  <c:v>19.7</c:v>
                </c:pt>
                <c:pt idx="15">
                  <c:v>13.1</c:v>
                </c:pt>
                <c:pt idx="16">
                  <c:v>4.5</c:v>
                </c:pt>
                <c:pt idx="17">
                  <c:v>-4</c:v>
                </c:pt>
                <c:pt idx="18">
                  <c:v>-2.4</c:v>
                </c:pt>
                <c:pt idx="19">
                  <c:v>-1.6</c:v>
                </c:pt>
                <c:pt idx="20">
                  <c:v>1.7</c:v>
                </c:pt>
                <c:pt idx="21">
                  <c:v>4.5999999999999996</c:v>
                </c:pt>
                <c:pt idx="22">
                  <c:v>0.9</c:v>
                </c:pt>
              </c:numCache>
            </c:numRef>
          </c:val>
          <c:smooth val="0"/>
          <c:extLst>
            <c:ext xmlns:c16="http://schemas.microsoft.com/office/drawing/2014/chart" uri="{C3380CC4-5D6E-409C-BE32-E72D297353CC}">
              <c16:uniqueId val="{00000003-BBFD-4195-BC1C-40C681C127A6}"/>
            </c:ext>
          </c:extLst>
        </c:ser>
        <c:ser>
          <c:idx val="2"/>
          <c:order val="4"/>
          <c:tx>
            <c:strRef>
              <c:f>'Ceny 2'!$E$5</c:f>
              <c:strCache>
                <c:ptCount val="1"/>
                <c:pt idx="0">
                  <c:v>Alkoholické nápoje a tabák</c:v>
                </c:pt>
              </c:strCache>
              <c:extLst xmlns:c15="http://schemas.microsoft.com/office/drawing/2012/chart"/>
            </c:strRef>
          </c:tx>
          <c:spPr>
            <a:ln w="19050">
              <a:solidFill>
                <a:srgbClr val="FF0000"/>
              </a:solidFill>
            </a:ln>
          </c:spPr>
          <c:marker>
            <c:symbol val="none"/>
          </c:marker>
          <c:cat>
            <c:multiLvlStrRef>
              <c:f>'Ceny 2'!$A$10:$B$32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2'!$E$10:$E$32</c:f>
              <c:numCache>
                <c:formatCode>0.0</c:formatCode>
                <c:ptCount val="23"/>
                <c:pt idx="0">
                  <c:v>3.3</c:v>
                </c:pt>
                <c:pt idx="1">
                  <c:v>1.7</c:v>
                </c:pt>
                <c:pt idx="2">
                  <c:v>1.9</c:v>
                </c:pt>
                <c:pt idx="3">
                  <c:v>1.8</c:v>
                </c:pt>
                <c:pt idx="4" formatCode="General">
                  <c:v>3.5</c:v>
                </c:pt>
                <c:pt idx="5">
                  <c:v>6.6</c:v>
                </c:pt>
                <c:pt idx="6">
                  <c:v>10.3</c:v>
                </c:pt>
                <c:pt idx="7">
                  <c:v>9.9</c:v>
                </c:pt>
                <c:pt idx="8">
                  <c:v>9.9</c:v>
                </c:pt>
                <c:pt idx="9">
                  <c:v>9.8000000000000007</c:v>
                </c:pt>
                <c:pt idx="10">
                  <c:v>6.5</c:v>
                </c:pt>
                <c:pt idx="11">
                  <c:v>7.7</c:v>
                </c:pt>
                <c:pt idx="12">
                  <c:v>7.1</c:v>
                </c:pt>
                <c:pt idx="13">
                  <c:v>5.6</c:v>
                </c:pt>
                <c:pt idx="14">
                  <c:v>6.3</c:v>
                </c:pt>
                <c:pt idx="15">
                  <c:v>6</c:v>
                </c:pt>
                <c:pt idx="16">
                  <c:v>6.8</c:v>
                </c:pt>
                <c:pt idx="17">
                  <c:v>6.5</c:v>
                </c:pt>
                <c:pt idx="18">
                  <c:v>7.2</c:v>
                </c:pt>
                <c:pt idx="19">
                  <c:v>5.9</c:v>
                </c:pt>
                <c:pt idx="20">
                  <c:v>4.7</c:v>
                </c:pt>
                <c:pt idx="21">
                  <c:v>6.2</c:v>
                </c:pt>
                <c:pt idx="22">
                  <c:v>4.5999999999999996</c:v>
                </c:pt>
              </c:numCache>
            </c:numRef>
          </c:val>
          <c:smooth val="0"/>
          <c:extLst xmlns:c15="http://schemas.microsoft.com/office/drawing/2012/chart">
            <c:ext xmlns:c16="http://schemas.microsoft.com/office/drawing/2014/chart" uri="{C3380CC4-5D6E-409C-BE32-E72D297353CC}">
              <c16:uniqueId val="{00000004-BBFD-4195-BC1C-40C681C127A6}"/>
            </c:ext>
          </c:extLst>
        </c:ser>
        <c:ser>
          <c:idx val="5"/>
          <c:order val="5"/>
          <c:tx>
            <c:strRef>
              <c:f>'Ceny 2'!$H$5</c:f>
              <c:strCache>
                <c:ptCount val="1"/>
                <c:pt idx="0">
                  <c:v>Stravování a ubytování</c:v>
                </c:pt>
              </c:strCache>
            </c:strRef>
          </c:tx>
          <c:spPr>
            <a:ln w="19050">
              <a:solidFill>
                <a:srgbClr val="7030A0"/>
              </a:solidFill>
            </a:ln>
          </c:spPr>
          <c:marker>
            <c:symbol val="none"/>
          </c:marker>
          <c:cat>
            <c:multiLvlStrRef>
              <c:f>'Ceny 2'!$A$10:$B$32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2'!$H$10:$H$32</c:f>
              <c:numCache>
                <c:formatCode>0.0</c:formatCode>
                <c:ptCount val="23"/>
                <c:pt idx="0">
                  <c:v>3.8</c:v>
                </c:pt>
                <c:pt idx="1">
                  <c:v>4</c:v>
                </c:pt>
                <c:pt idx="2">
                  <c:v>4.5</c:v>
                </c:pt>
                <c:pt idx="3">
                  <c:v>4.5999999999999996</c:v>
                </c:pt>
                <c:pt idx="4">
                  <c:v>5.5</c:v>
                </c:pt>
                <c:pt idx="5">
                  <c:v>5.0999999999999996</c:v>
                </c:pt>
                <c:pt idx="6">
                  <c:v>4.9000000000000004</c:v>
                </c:pt>
                <c:pt idx="7">
                  <c:v>4.3</c:v>
                </c:pt>
                <c:pt idx="8">
                  <c:v>3</c:v>
                </c:pt>
                <c:pt idx="9">
                  <c:v>2.9</c:v>
                </c:pt>
                <c:pt idx="10">
                  <c:v>4.5999999999999996</c:v>
                </c:pt>
                <c:pt idx="11">
                  <c:v>6.8</c:v>
                </c:pt>
                <c:pt idx="12">
                  <c:v>12.3</c:v>
                </c:pt>
                <c:pt idx="13">
                  <c:v>21.4</c:v>
                </c:pt>
                <c:pt idx="14">
                  <c:v>24.3</c:v>
                </c:pt>
                <c:pt idx="15">
                  <c:v>25.6</c:v>
                </c:pt>
                <c:pt idx="16">
                  <c:v>22.4</c:v>
                </c:pt>
                <c:pt idx="17">
                  <c:v>15.4</c:v>
                </c:pt>
                <c:pt idx="18">
                  <c:v>11.6</c:v>
                </c:pt>
                <c:pt idx="19">
                  <c:v>8.8000000000000007</c:v>
                </c:pt>
                <c:pt idx="20">
                  <c:v>8.6</c:v>
                </c:pt>
                <c:pt idx="21">
                  <c:v>7.8</c:v>
                </c:pt>
                <c:pt idx="22">
                  <c:v>7.2</c:v>
                </c:pt>
              </c:numCache>
            </c:numRef>
          </c:val>
          <c:smooth val="0"/>
          <c:extLst>
            <c:ext xmlns:c16="http://schemas.microsoft.com/office/drawing/2014/chart" uri="{C3380CC4-5D6E-409C-BE32-E72D297353CC}">
              <c16:uniqueId val="{00000005-BBFD-4195-BC1C-40C681C127A6}"/>
            </c:ext>
          </c:extLst>
        </c:ser>
        <c:dLbls>
          <c:showLegendKey val="0"/>
          <c:showVal val="0"/>
          <c:showCatName val="0"/>
          <c:showSerName val="0"/>
          <c:showPercent val="0"/>
          <c:showBubbleSize val="0"/>
        </c:dLbls>
        <c:marker val="1"/>
        <c:smooth val="0"/>
        <c:axId val="270120064"/>
        <c:axId val="270121600"/>
        <c:extLst>
          <c:ext xmlns:c15="http://schemas.microsoft.com/office/drawing/2012/chart" uri="{02D57815-91ED-43cb-92C2-25804820EDAC}">
            <c15:filteredLineSeries>
              <c15:ser>
                <c:idx val="6"/>
                <c:order val="6"/>
                <c:tx>
                  <c:strRef>
                    <c:extLst>
                      <c:ext uri="{02D57815-91ED-43cb-92C2-25804820EDAC}">
                        <c15:formulaRef>
                          <c15:sqref>'Ceny 2'!$I$5</c15:sqref>
                        </c15:formulaRef>
                      </c:ext>
                    </c:extLst>
                    <c:strCache>
                      <c:ptCount val="1"/>
                      <c:pt idx="0">
                        <c:v>Rekreace a kultura</c:v>
                      </c:pt>
                    </c:strCache>
                  </c:strRef>
                </c:tx>
                <c:spPr>
                  <a:ln w="19050">
                    <a:solidFill>
                      <a:srgbClr val="FF0000"/>
                    </a:solidFill>
                  </a:ln>
                </c:spPr>
                <c:marker>
                  <c:symbol val="none"/>
                </c:marker>
                <c:cat>
                  <c:multiLvlStrRef>
                    <c:extLst>
                      <c:ext uri="{02D57815-91ED-43cb-92C2-25804820EDAC}">
                        <c15:formulaRef>
                          <c15:sqref>'Ceny 2'!$A$10:$B$32</c15:sqref>
                        </c15:formulaRef>
                      </c:ext>
                    </c:extLst>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extLst>
                      <c:ext uri="{02D57815-91ED-43cb-92C2-25804820EDAC}">
                        <c15:formulaRef>
                          <c15:sqref>'Ceny 2'!$I$10:$I$30</c15:sqref>
                        </c15:formulaRef>
                      </c:ext>
                    </c:extLst>
                    <c:numCache>
                      <c:formatCode>General</c:formatCode>
                      <c:ptCount val="21"/>
                      <c:pt idx="0">
                        <c:v>1.7000000000000028</c:v>
                      </c:pt>
                      <c:pt idx="1">
                        <c:v>1</c:v>
                      </c:pt>
                      <c:pt idx="2">
                        <c:v>1.7000000000000028</c:v>
                      </c:pt>
                      <c:pt idx="3">
                        <c:v>2.0999999999999943</c:v>
                      </c:pt>
                      <c:pt idx="4">
                        <c:v>2.0999999999999943</c:v>
                      </c:pt>
                      <c:pt idx="5">
                        <c:v>2</c:v>
                      </c:pt>
                      <c:pt idx="6">
                        <c:v>2.2000000000000028</c:v>
                      </c:pt>
                      <c:pt idx="7">
                        <c:v>2.5</c:v>
                      </c:pt>
                      <c:pt idx="8">
                        <c:v>1.4000000000000057</c:v>
                      </c:pt>
                      <c:pt idx="9">
                        <c:v>2</c:v>
                      </c:pt>
                      <c:pt idx="10">
                        <c:v>3.0999999999999943</c:v>
                      </c:pt>
                      <c:pt idx="11">
                        <c:v>5.2999999999999972</c:v>
                      </c:pt>
                      <c:pt idx="12">
                        <c:v>8.5</c:v>
                      </c:pt>
                      <c:pt idx="13">
                        <c:v>11.299999999999997</c:v>
                      </c:pt>
                      <c:pt idx="14">
                        <c:v>12.599999999999994</c:v>
                      </c:pt>
                      <c:pt idx="15" formatCode="0.0">
                        <c:v>13.2</c:v>
                      </c:pt>
                      <c:pt idx="16" formatCode="0.0">
                        <c:v>14</c:v>
                      </c:pt>
                      <c:pt idx="17" formatCode="0.0">
                        <c:v>11.7</c:v>
                      </c:pt>
                      <c:pt idx="18" formatCode="0.0">
                        <c:v>9.6999999999999993</c:v>
                      </c:pt>
                      <c:pt idx="19" formatCode="0.0">
                        <c:v>6.9</c:v>
                      </c:pt>
                      <c:pt idx="20" formatCode="0.0">
                        <c:v>4.4000000000000004</c:v>
                      </c:pt>
                    </c:numCache>
                  </c:numRef>
                </c:val>
                <c:smooth val="0"/>
                <c:extLst>
                  <c:ext xmlns:c16="http://schemas.microsoft.com/office/drawing/2014/chart" uri="{C3380CC4-5D6E-409C-BE32-E72D297353CC}">
                    <c16:uniqueId val="{00000006-BBFD-4195-BC1C-40C681C127A6}"/>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'Ceny 2'!$J$5</c15:sqref>
                        </c15:formulaRef>
                      </c:ext>
                    </c:extLst>
                    <c:strCache>
                      <c:ptCount val="1"/>
                      <c:pt idx="0">
                        <c:v>Odívání a obuv</c:v>
                      </c:pt>
                    </c:strCache>
                  </c:strRef>
                </c:tx>
                <c:spPr>
                  <a:ln w="19050">
                    <a:solidFill>
                      <a:srgbClr val="E8AFB2"/>
                    </a:solidFill>
                  </a:ln>
                </c:spPr>
                <c:marker>
                  <c:symbol val="none"/>
                </c:marker>
                <c:cat>
                  <c:multiLvlStrRef>
                    <c:extLst xmlns:c15="http://schemas.microsoft.com/office/drawing/2012/chart">
                      <c:ext xmlns:c15="http://schemas.microsoft.com/office/drawing/2012/chart" uri="{02D57815-91ED-43cb-92C2-25804820EDAC}">
                        <c15:formulaRef>
                          <c15:sqref>'Ceny 2'!$A$10:$B$32</c15:sqref>
                        </c15:formulaRef>
                      </c:ext>
                    </c:extLst>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extLst xmlns:c15="http://schemas.microsoft.com/office/drawing/2012/chart">
                      <c:ext xmlns:c15="http://schemas.microsoft.com/office/drawing/2012/chart" uri="{02D57815-91ED-43cb-92C2-25804820EDAC}">
                        <c15:formulaRef>
                          <c15:sqref>'Ceny 2'!$J$6:$J$24</c15:sqref>
                        </c15:formulaRef>
                      </c:ext>
                    </c:extLst>
                    <c:numCache>
                      <c:formatCode>General</c:formatCode>
                      <c:ptCount val="19"/>
                      <c:pt idx="0">
                        <c:v>-0.29999999999999716</c:v>
                      </c:pt>
                      <c:pt idx="1">
                        <c:v>-1</c:v>
                      </c:pt>
                      <c:pt idx="2">
                        <c:v>-1.4000000000000057</c:v>
                      </c:pt>
                      <c:pt idx="3">
                        <c:v>-1.7000000000000028</c:v>
                      </c:pt>
                      <c:pt idx="4">
                        <c:v>-1.0999999999999943</c:v>
                      </c:pt>
                      <c:pt idx="5">
                        <c:v>-1.9000000000000057</c:v>
                      </c:pt>
                      <c:pt idx="6">
                        <c:v>-1.5</c:v>
                      </c:pt>
                      <c:pt idx="7">
                        <c:v>-0.29999999999999716</c:v>
                      </c:pt>
                      <c:pt idx="8">
                        <c:v>3.5</c:v>
                      </c:pt>
                      <c:pt idx="9">
                        <c:v>3.4000000000000057</c:v>
                      </c:pt>
                      <c:pt idx="10">
                        <c:v>4.5</c:v>
                      </c:pt>
                      <c:pt idx="11">
                        <c:v>3.4000000000000057</c:v>
                      </c:pt>
                      <c:pt idx="12">
                        <c:v>2.7000000000000028</c:v>
                      </c:pt>
                      <c:pt idx="13">
                        <c:v>2.9000000000000057</c:v>
                      </c:pt>
                      <c:pt idx="14">
                        <c:v>7.7999999999999972</c:v>
                      </c:pt>
                      <c:pt idx="15">
                        <c:v>12.599999999999994</c:v>
                      </c:pt>
                      <c:pt idx="16">
                        <c:v>16.900000000000006</c:v>
                      </c:pt>
                      <c:pt idx="17">
                        <c:v>20</c:v>
                      </c:pt>
                      <c:pt idx="18">
                        <c:v>19</c:v>
                      </c:pt>
                    </c:numCache>
                  </c:numRef>
                </c:val>
                <c:smooth val="0"/>
                <c:extLst xmlns:c15="http://schemas.microsoft.com/office/drawing/2012/chart">
                  <c:ext xmlns:c16="http://schemas.microsoft.com/office/drawing/2014/chart" uri="{C3380CC4-5D6E-409C-BE32-E72D297353CC}">
                    <c16:uniqueId val="{00000007-BBFD-4195-BC1C-40C681C127A6}"/>
                  </c:ext>
                </c:extLst>
              </c15:ser>
            </c15:filteredLineSeries>
          </c:ext>
        </c:extLst>
      </c:lineChart>
      <c:catAx>
        <c:axId val="27012006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121600"/>
        <c:crosses val="autoZero"/>
        <c:auto val="1"/>
        <c:lblAlgn val="ctr"/>
        <c:lblOffset val="100"/>
        <c:noMultiLvlLbl val="0"/>
      </c:catAx>
      <c:valAx>
        <c:axId val="270121600"/>
        <c:scaling>
          <c:orientation val="minMax"/>
          <c:max val="27"/>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120064"/>
        <c:crosses val="autoZero"/>
        <c:crossBetween val="between"/>
        <c:majorUnit val="3"/>
      </c:valAx>
      <c:spPr>
        <a:ln>
          <a:solidFill>
            <a:schemeClr val="tx1"/>
          </a:solidFill>
        </a:ln>
      </c:spPr>
    </c:plotArea>
    <c:legend>
      <c:legendPos val="b"/>
      <c:layout>
        <c:manualLayout>
          <c:xMode val="edge"/>
          <c:yMode val="edge"/>
          <c:x val="5.3882134414049307E-2"/>
          <c:y val="0.85802375323651925"/>
          <c:w val="0.92470364741641342"/>
          <c:h val="0.1312535179556456"/>
        </c:manualLayout>
      </c:layout>
      <c:overlay val="0"/>
      <c:spPr>
        <a:ln w="6350">
          <a:no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73184734885E-2"/>
          <c:y val="2.9569886214146503E-2"/>
          <c:w val="0.90493308848362042"/>
          <c:h val="0.73556653157716956"/>
        </c:manualLayout>
      </c:layout>
      <c:barChart>
        <c:barDir val="col"/>
        <c:grouping val="clustered"/>
        <c:varyColors val="0"/>
        <c:ser>
          <c:idx val="0"/>
          <c:order val="0"/>
          <c:tx>
            <c:strRef>
              <c:f>'Ceny 1'!$C$5</c:f>
              <c:strCache>
                <c:ptCount val="1"/>
                <c:pt idx="0">
                  <c:v>Realizované ceny starších bytů, ČR</c:v>
                </c:pt>
              </c:strCache>
            </c:strRef>
          </c:tx>
          <c:spPr>
            <a:solidFill>
              <a:schemeClr val="bg1">
                <a:lumMod val="65000"/>
              </a:schemeClr>
            </a:solidFill>
            <a:ln w="19050">
              <a:noFill/>
            </a:ln>
          </c:spPr>
          <c:invertIfNegative val="0"/>
          <c:cat>
            <c:multiLvlStrRef>
              <c:f>'Ceny 1'!$A$10:$B$32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1'!$C$10:$C$32</c:f>
              <c:numCache>
                <c:formatCode>General</c:formatCode>
                <c:ptCount val="23"/>
                <c:pt idx="0">
                  <c:v>11.299999999999997</c:v>
                </c:pt>
                <c:pt idx="1">
                  <c:v>10.599999999999994</c:v>
                </c:pt>
                <c:pt idx="2">
                  <c:v>9.5</c:v>
                </c:pt>
                <c:pt idx="3">
                  <c:v>9.4000000000000057</c:v>
                </c:pt>
                <c:pt idx="4">
                  <c:v>10.599999999999994</c:v>
                </c:pt>
                <c:pt idx="5">
                  <c:v>10.200000000000003</c:v>
                </c:pt>
                <c:pt idx="6">
                  <c:v>11.200000000000003</c:v>
                </c:pt>
                <c:pt idx="7">
                  <c:v>13.299999999999997</c:v>
                </c:pt>
                <c:pt idx="8">
                  <c:v>15.200000000000003</c:v>
                </c:pt>
                <c:pt idx="9">
                  <c:v>17.900000000000006</c:v>
                </c:pt>
                <c:pt idx="10">
                  <c:v>21.299999999999997</c:v>
                </c:pt>
                <c:pt idx="11">
                  <c:v>25.200000000000003</c:v>
                </c:pt>
                <c:pt idx="12">
                  <c:v>27.299999999999997</c:v>
                </c:pt>
                <c:pt idx="13">
                  <c:v>27.599999999999994</c:v>
                </c:pt>
                <c:pt idx="14">
                  <c:v>23.400000000000006</c:v>
                </c:pt>
                <c:pt idx="15">
                  <c:v>13.799999999999997</c:v>
                </c:pt>
                <c:pt idx="16">
                  <c:v>3.7000000000000028</c:v>
                </c:pt>
                <c:pt idx="17">
                  <c:v>-4.0999999999999943</c:v>
                </c:pt>
                <c:pt idx="18">
                  <c:v>-7</c:v>
                </c:pt>
                <c:pt idx="19">
                  <c:v>-5.5</c:v>
                </c:pt>
                <c:pt idx="20">
                  <c:v>9.9999999999994316E-2</c:v>
                </c:pt>
                <c:pt idx="21">
                  <c:v>6.0999999999999943</c:v>
                </c:pt>
                <c:pt idx="22">
                  <c:v>10.700000000000003</c:v>
                </c:pt>
              </c:numCache>
            </c:numRef>
          </c:val>
          <c:extLst>
            <c:ext xmlns:c16="http://schemas.microsoft.com/office/drawing/2014/chart" uri="{C3380CC4-5D6E-409C-BE32-E72D297353CC}">
              <c16:uniqueId val="{00000000-F804-4093-AD15-A15CDFE97231}"/>
            </c:ext>
          </c:extLst>
        </c:ser>
        <c:ser>
          <c:idx val="1"/>
          <c:order val="1"/>
          <c:tx>
            <c:strRef>
              <c:f>'Ceny 1'!$D$5</c:f>
              <c:strCache>
                <c:ptCount val="1"/>
                <c:pt idx="0">
                  <c:v>Realizované ceny starších bytů, Praha</c:v>
                </c:pt>
              </c:strCache>
            </c:strRef>
          </c:tx>
          <c:spPr>
            <a:solidFill>
              <a:prstClr val="black">
                <a:lumMod val="50000"/>
                <a:lumOff val="50000"/>
              </a:prstClr>
            </a:solidFill>
            <a:ln w="19050">
              <a:noFill/>
            </a:ln>
          </c:spPr>
          <c:invertIfNegative val="0"/>
          <c:cat>
            <c:multiLvlStrRef>
              <c:f>'Ceny 1'!$A$10:$B$32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1'!$D$10:$D$32</c:f>
              <c:numCache>
                <c:formatCode>General</c:formatCode>
                <c:ptCount val="23"/>
                <c:pt idx="0">
                  <c:v>9.4000000000000057</c:v>
                </c:pt>
                <c:pt idx="1">
                  <c:v>8.7000000000000028</c:v>
                </c:pt>
                <c:pt idx="2">
                  <c:v>6.5</c:v>
                </c:pt>
                <c:pt idx="3">
                  <c:v>7.0999999999999943</c:v>
                </c:pt>
                <c:pt idx="4">
                  <c:v>6.2000000000000028</c:v>
                </c:pt>
                <c:pt idx="5">
                  <c:v>8</c:v>
                </c:pt>
                <c:pt idx="6">
                  <c:v>9.4000000000000057</c:v>
                </c:pt>
                <c:pt idx="7">
                  <c:v>10.599999999999994</c:v>
                </c:pt>
                <c:pt idx="8">
                  <c:v>14.299999999999997</c:v>
                </c:pt>
                <c:pt idx="9">
                  <c:v>15.799999999999997</c:v>
                </c:pt>
                <c:pt idx="10">
                  <c:v>16.599999999999994</c:v>
                </c:pt>
                <c:pt idx="11">
                  <c:v>20</c:v>
                </c:pt>
                <c:pt idx="12">
                  <c:v>19</c:v>
                </c:pt>
                <c:pt idx="13">
                  <c:v>16.700000000000003</c:v>
                </c:pt>
                <c:pt idx="14">
                  <c:v>15.599999999999994</c:v>
                </c:pt>
                <c:pt idx="15">
                  <c:v>8.4000000000000057</c:v>
                </c:pt>
                <c:pt idx="16">
                  <c:v>1.2000000000000028</c:v>
                </c:pt>
                <c:pt idx="17">
                  <c:v>-3.5999999999999943</c:v>
                </c:pt>
                <c:pt idx="18">
                  <c:v>-5.2999999999999972</c:v>
                </c:pt>
                <c:pt idx="19">
                  <c:v>-2.5999999999999943</c:v>
                </c:pt>
                <c:pt idx="20">
                  <c:v>1</c:v>
                </c:pt>
                <c:pt idx="21">
                  <c:v>8.5999999999999943</c:v>
                </c:pt>
                <c:pt idx="22">
                  <c:v>11.799999999999997</c:v>
                </c:pt>
              </c:numCache>
            </c:numRef>
          </c:val>
          <c:extLst>
            <c:ext xmlns:c16="http://schemas.microsoft.com/office/drawing/2014/chart" uri="{C3380CC4-5D6E-409C-BE32-E72D297353CC}">
              <c16:uniqueId val="{00000001-F804-4093-AD15-A15CDFE97231}"/>
            </c:ext>
          </c:extLst>
        </c:ser>
        <c:dLbls>
          <c:showLegendKey val="0"/>
          <c:showVal val="0"/>
          <c:showCatName val="0"/>
          <c:showSerName val="0"/>
          <c:showPercent val="0"/>
          <c:showBubbleSize val="0"/>
        </c:dLbls>
        <c:gapWidth val="95"/>
        <c:axId val="270057856"/>
        <c:axId val="270059392"/>
      </c:barChart>
      <c:lineChart>
        <c:grouping val="standard"/>
        <c:varyColors val="0"/>
        <c:ser>
          <c:idx val="2"/>
          <c:order val="2"/>
          <c:tx>
            <c:strRef>
              <c:f>'Ceny 1'!$E$5</c:f>
              <c:strCache>
                <c:ptCount val="1"/>
                <c:pt idx="0">
                  <c:v>Nabídkové ceny bytů, ČR</c:v>
                </c:pt>
              </c:strCache>
            </c:strRef>
          </c:tx>
          <c:spPr>
            <a:ln w="19050">
              <a:solidFill>
                <a:schemeClr val="accent2"/>
              </a:solidFill>
            </a:ln>
          </c:spPr>
          <c:marker>
            <c:symbol val="none"/>
          </c:marker>
          <c:cat>
            <c:multiLvlStrRef>
              <c:f>'Ceny 1'!$A$10:$B$32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1'!$E$10:$E$32</c:f>
              <c:numCache>
                <c:formatCode>0.0</c:formatCode>
                <c:ptCount val="23"/>
                <c:pt idx="0">
                  <c:v>7.4232690935046435</c:v>
                </c:pt>
                <c:pt idx="1">
                  <c:v>5.7262569832402335</c:v>
                </c:pt>
                <c:pt idx="2">
                  <c:v>5.1912568306010911</c:v>
                </c:pt>
                <c:pt idx="3">
                  <c:v>5.5144586415601964</c:v>
                </c:pt>
                <c:pt idx="4">
                  <c:v>6.0465116279069662</c:v>
                </c:pt>
                <c:pt idx="5">
                  <c:v>7.1334214002641829</c:v>
                </c:pt>
                <c:pt idx="6">
                  <c:v>7.9870129870129887</c:v>
                </c:pt>
                <c:pt idx="7">
                  <c:v>7.6481835564053569</c:v>
                </c:pt>
                <c:pt idx="8">
                  <c:v>7.6441102756892292</c:v>
                </c:pt>
                <c:pt idx="9">
                  <c:v>7.9531442663378584</c:v>
                </c:pt>
                <c:pt idx="10">
                  <c:v>9.3205051112447421</c:v>
                </c:pt>
                <c:pt idx="11">
                  <c:v>12.433392539964473</c:v>
                </c:pt>
                <c:pt idx="12">
                  <c:v>16.880093131548307</c:v>
                </c:pt>
                <c:pt idx="13">
                  <c:v>24.671616219303274</c:v>
                </c:pt>
                <c:pt idx="14">
                  <c:v>22.937293729372925</c:v>
                </c:pt>
                <c:pt idx="15">
                  <c:v>18.325434439178508</c:v>
                </c:pt>
                <c:pt idx="16">
                  <c:v>9.8107569721115624</c:v>
                </c:pt>
                <c:pt idx="17" formatCode="General">
                  <c:v>-0.73293632615667548</c:v>
                </c:pt>
                <c:pt idx="18" formatCode="General">
                  <c:v>-3.3109619686800897</c:v>
                </c:pt>
                <c:pt idx="19" formatCode="General">
                  <c:v>-4.1833555852247315</c:v>
                </c:pt>
                <c:pt idx="20" formatCode="General">
                  <c:v>-0.68027210884353906</c:v>
                </c:pt>
                <c:pt idx="21" formatCode="General">
                  <c:v>3.3687125057683573</c:v>
                </c:pt>
                <c:pt idx="22" formatCode="General">
                  <c:v>6.9412309116150084</c:v>
                </c:pt>
              </c:numCache>
            </c:numRef>
          </c:val>
          <c:smooth val="0"/>
          <c:extLst>
            <c:ext xmlns:c16="http://schemas.microsoft.com/office/drawing/2014/chart" uri="{C3380CC4-5D6E-409C-BE32-E72D297353CC}">
              <c16:uniqueId val="{00000002-F804-4093-AD15-A15CDFE97231}"/>
            </c:ext>
          </c:extLst>
        </c:ser>
        <c:ser>
          <c:idx val="3"/>
          <c:order val="3"/>
          <c:tx>
            <c:strRef>
              <c:f>'Ceny 1'!$F$5</c:f>
              <c:strCache>
                <c:ptCount val="1"/>
                <c:pt idx="0">
                  <c:v>Nabídkové ceny bytů, Praha</c:v>
                </c:pt>
              </c:strCache>
            </c:strRef>
          </c:tx>
          <c:spPr>
            <a:ln>
              <a:solidFill>
                <a:schemeClr val="accent1"/>
              </a:solidFill>
            </a:ln>
          </c:spPr>
          <c:marker>
            <c:symbol val="none"/>
          </c:marker>
          <c:cat>
            <c:multiLvlStrRef>
              <c:f>'Ceny 1'!$A$10:$B$32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1'!$F$10:$F$32</c:f>
              <c:numCache>
                <c:formatCode>0.0</c:formatCode>
                <c:ptCount val="23"/>
                <c:pt idx="0">
                  <c:v>8.3178150217256359</c:v>
                </c:pt>
                <c:pt idx="1">
                  <c:v>4.9397590361445651</c:v>
                </c:pt>
                <c:pt idx="2">
                  <c:v>3.3096926713947994</c:v>
                </c:pt>
                <c:pt idx="3">
                  <c:v>2.9530978575564575</c:v>
                </c:pt>
                <c:pt idx="4">
                  <c:v>3.5530085959885298</c:v>
                </c:pt>
                <c:pt idx="5">
                  <c:v>5.2812858783008068</c:v>
                </c:pt>
                <c:pt idx="6">
                  <c:v>6.2356979405034281</c:v>
                </c:pt>
                <c:pt idx="7">
                  <c:v>5.1743532058492718</c:v>
                </c:pt>
                <c:pt idx="8">
                  <c:v>4.759269507470961</c:v>
                </c:pt>
                <c:pt idx="9">
                  <c:v>4.5256270447110012</c:v>
                </c:pt>
                <c:pt idx="10">
                  <c:v>6.2466343564889826</c:v>
                </c:pt>
                <c:pt idx="11">
                  <c:v>9.1443850267379503</c:v>
                </c:pt>
                <c:pt idx="12">
                  <c:v>12.255678816693077</c:v>
                </c:pt>
                <c:pt idx="13">
                  <c:v>19.718309859154942</c:v>
                </c:pt>
                <c:pt idx="14">
                  <c:v>18.499746578813998</c:v>
                </c:pt>
                <c:pt idx="15">
                  <c:v>16.903478686918177</c:v>
                </c:pt>
                <c:pt idx="16">
                  <c:v>10.305882352941182</c:v>
                </c:pt>
                <c:pt idx="17" formatCode="General">
                  <c:v>0.30501089324617681</c:v>
                </c:pt>
                <c:pt idx="18" formatCode="General">
                  <c:v>-1.5825491873396089</c:v>
                </c:pt>
                <c:pt idx="19" formatCode="General">
                  <c:v>-3.5624476110645418</c:v>
                </c:pt>
                <c:pt idx="20" formatCode="General">
                  <c:v>0.3412969283276226</c:v>
                </c:pt>
                <c:pt idx="21" formatCode="General">
                  <c:v>3.9965247610773247</c:v>
                </c:pt>
                <c:pt idx="22" formatCode="General">
                  <c:v>6.7796610169491629</c:v>
                </c:pt>
              </c:numCache>
            </c:numRef>
          </c:val>
          <c:smooth val="0"/>
          <c:extLst>
            <c:ext xmlns:c16="http://schemas.microsoft.com/office/drawing/2014/chart" uri="{C3380CC4-5D6E-409C-BE32-E72D297353CC}">
              <c16:uniqueId val="{00000003-F804-4093-AD15-A15CDFE97231}"/>
            </c:ext>
          </c:extLst>
        </c:ser>
        <c:dLbls>
          <c:showLegendKey val="0"/>
          <c:showVal val="0"/>
          <c:showCatName val="0"/>
          <c:showSerName val="0"/>
          <c:showPercent val="0"/>
          <c:showBubbleSize val="0"/>
        </c:dLbls>
        <c:marker val="1"/>
        <c:smooth val="0"/>
        <c:axId val="270057856"/>
        <c:axId val="270059392"/>
      </c:lineChart>
      <c:catAx>
        <c:axId val="27005785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059392"/>
        <c:crosses val="autoZero"/>
        <c:auto val="1"/>
        <c:lblAlgn val="ctr"/>
        <c:lblOffset val="100"/>
        <c:noMultiLvlLbl val="0"/>
      </c:catAx>
      <c:valAx>
        <c:axId val="270059392"/>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057856"/>
        <c:crosses val="autoZero"/>
        <c:crossBetween val="between"/>
        <c:majorUnit val="4"/>
      </c:valAx>
      <c:spPr>
        <a:ln>
          <a:solidFill>
            <a:schemeClr val="tx1"/>
          </a:solidFill>
        </a:ln>
      </c:spPr>
    </c:plotArea>
    <c:legend>
      <c:legendPos val="b"/>
      <c:layout>
        <c:manualLayout>
          <c:xMode val="edge"/>
          <c:yMode val="edge"/>
          <c:x val="7.3334810874704504E-2"/>
          <c:y val="0.88817854328492629"/>
          <c:w val="0.89999282337048292"/>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0948270126413842E-2"/>
          <c:y val="2.181131592422042E-2"/>
          <c:w val="0.91916383898868925"/>
          <c:h val="0.71663233141956562"/>
        </c:manualLayout>
      </c:layout>
      <c:barChart>
        <c:barDir val="col"/>
        <c:grouping val="clustered"/>
        <c:varyColors val="0"/>
        <c:ser>
          <c:idx val="0"/>
          <c:order val="0"/>
          <c:tx>
            <c:strRef>
              <c:f>'Ceny 4'!$C$5</c:f>
              <c:strCache>
                <c:ptCount val="1"/>
                <c:pt idx="0">
                  <c:v>Celkem</c:v>
                </c:pt>
              </c:strCache>
            </c:strRef>
          </c:tx>
          <c:spPr>
            <a:solidFill>
              <a:schemeClr val="bg1">
                <a:lumMod val="65000"/>
              </a:schemeClr>
            </a:solidFill>
            <a:ln w="19050">
              <a:noFill/>
            </a:ln>
          </c:spPr>
          <c:invertIfNegative val="0"/>
          <c:cat>
            <c:multiLvlStrRef>
              <c:f>'Ceny 4'!$A$10:$B$32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4'!$C$10:$C$32</c:f>
              <c:numCache>
                <c:formatCode>General</c:formatCode>
                <c:ptCount val="23"/>
                <c:pt idx="0">
                  <c:v>3.5</c:v>
                </c:pt>
                <c:pt idx="1">
                  <c:v>3.5</c:v>
                </c:pt>
                <c:pt idx="2">
                  <c:v>2</c:v>
                </c:pt>
                <c:pt idx="3">
                  <c:v>1.2999999999999972</c:v>
                </c:pt>
                <c:pt idx="4">
                  <c:v>1.4000000000000057</c:v>
                </c:pt>
                <c:pt idx="5">
                  <c:v>-0.59999999999999432</c:v>
                </c:pt>
                <c:pt idx="6">
                  <c:v>-0.29999999999999716</c:v>
                </c:pt>
                <c:pt idx="7">
                  <c:v>9.9999999999994316E-2</c:v>
                </c:pt>
                <c:pt idx="8">
                  <c:v>1.5</c:v>
                </c:pt>
                <c:pt idx="9">
                  <c:v>5.2999999999999972</c:v>
                </c:pt>
                <c:pt idx="10">
                  <c:v>9</c:v>
                </c:pt>
                <c:pt idx="11">
                  <c:v>12.799999999999997</c:v>
                </c:pt>
                <c:pt idx="12">
                  <c:v>21.799999999999997</c:v>
                </c:pt>
                <c:pt idx="13">
                  <c:v>27.700000000000003</c:v>
                </c:pt>
                <c:pt idx="14">
                  <c:v>25.900000000000006</c:v>
                </c:pt>
                <c:pt idx="15">
                  <c:v>21.799999999999997</c:v>
                </c:pt>
                <c:pt idx="16">
                  <c:v>15</c:v>
                </c:pt>
                <c:pt idx="17">
                  <c:v>3.9000000000000057</c:v>
                </c:pt>
                <c:pt idx="18">
                  <c:v>1.3</c:v>
                </c:pt>
                <c:pt idx="19">
                  <c:v>0.8</c:v>
                </c:pt>
                <c:pt idx="20">
                  <c:v>-0.9</c:v>
                </c:pt>
                <c:pt idx="21">
                  <c:v>1.1000000000000001</c:v>
                </c:pt>
                <c:pt idx="22">
                  <c:v>1.2</c:v>
                </c:pt>
              </c:numCache>
            </c:numRef>
          </c:val>
          <c:extLst>
            <c:ext xmlns:c16="http://schemas.microsoft.com/office/drawing/2014/chart" uri="{C3380CC4-5D6E-409C-BE32-E72D297353CC}">
              <c16:uniqueId val="{00000000-D3C5-439A-9932-D357698333FF}"/>
            </c:ext>
          </c:extLst>
        </c:ser>
        <c:dLbls>
          <c:showLegendKey val="0"/>
          <c:showVal val="0"/>
          <c:showCatName val="0"/>
          <c:showSerName val="0"/>
          <c:showPercent val="0"/>
          <c:showBubbleSize val="0"/>
        </c:dLbls>
        <c:gapWidth val="96"/>
        <c:axId val="271374208"/>
        <c:axId val="271375744"/>
      </c:barChart>
      <c:lineChart>
        <c:grouping val="standard"/>
        <c:varyColors val="0"/>
        <c:ser>
          <c:idx val="1"/>
          <c:order val="1"/>
          <c:tx>
            <c:strRef>
              <c:f>'Ceny 4'!$D$5</c:f>
              <c:strCache>
                <c:ptCount val="1"/>
                <c:pt idx="0">
                  <c:v>Těžba a dobývání</c:v>
                </c:pt>
              </c:strCache>
            </c:strRef>
          </c:tx>
          <c:spPr>
            <a:ln w="19050">
              <a:solidFill>
                <a:srgbClr val="7DBB2D"/>
              </a:solidFill>
            </a:ln>
          </c:spPr>
          <c:marker>
            <c:symbol val="none"/>
          </c:marker>
          <c:cat>
            <c:multiLvlStrRef>
              <c:f>'Ceny 4'!$A$10:$B$32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4'!$D$10:$D$32</c:f>
              <c:numCache>
                <c:formatCode>General</c:formatCode>
                <c:ptCount val="23"/>
                <c:pt idx="0">
                  <c:v>7.7000000000000028</c:v>
                </c:pt>
                <c:pt idx="1">
                  <c:v>7.7000000000000028</c:v>
                </c:pt>
                <c:pt idx="2">
                  <c:v>6.7000000000000028</c:v>
                </c:pt>
                <c:pt idx="3">
                  <c:v>3.7000000000000028</c:v>
                </c:pt>
                <c:pt idx="4">
                  <c:v>-2.0999999999999943</c:v>
                </c:pt>
                <c:pt idx="5">
                  <c:v>-3.5</c:v>
                </c:pt>
                <c:pt idx="6">
                  <c:v>-3.5999999999999943</c:v>
                </c:pt>
                <c:pt idx="7">
                  <c:v>-2</c:v>
                </c:pt>
                <c:pt idx="8">
                  <c:v>-0.5</c:v>
                </c:pt>
                <c:pt idx="9">
                  <c:v>0.79999999999999716</c:v>
                </c:pt>
                <c:pt idx="10">
                  <c:v>3.2999999999999972</c:v>
                </c:pt>
                <c:pt idx="11">
                  <c:v>13.799999999999997</c:v>
                </c:pt>
                <c:pt idx="12">
                  <c:v>25.200000000000003</c:v>
                </c:pt>
                <c:pt idx="13">
                  <c:v>31.900000000000006</c:v>
                </c:pt>
                <c:pt idx="14">
                  <c:v>30.199999999999989</c:v>
                </c:pt>
                <c:pt idx="15">
                  <c:v>23.299999999999997</c:v>
                </c:pt>
                <c:pt idx="16">
                  <c:v>54</c:v>
                </c:pt>
                <c:pt idx="17">
                  <c:v>47.599999999999994</c:v>
                </c:pt>
                <c:pt idx="18">
                  <c:v>44.5</c:v>
                </c:pt>
                <c:pt idx="19">
                  <c:v>40.200000000000003</c:v>
                </c:pt>
                <c:pt idx="20">
                  <c:v>-1.2</c:v>
                </c:pt>
                <c:pt idx="21">
                  <c:v>-1.7</c:v>
                </c:pt>
                <c:pt idx="22">
                  <c:v>-0.5</c:v>
                </c:pt>
              </c:numCache>
            </c:numRef>
          </c:val>
          <c:smooth val="0"/>
          <c:extLst>
            <c:ext xmlns:c16="http://schemas.microsoft.com/office/drawing/2014/chart" uri="{C3380CC4-5D6E-409C-BE32-E72D297353CC}">
              <c16:uniqueId val="{00000001-D3C5-439A-9932-D357698333FF}"/>
            </c:ext>
          </c:extLst>
        </c:ser>
        <c:ser>
          <c:idx val="2"/>
          <c:order val="2"/>
          <c:tx>
            <c:strRef>
              <c:f>'Ceny 4'!$E$5</c:f>
              <c:strCache>
                <c:ptCount val="1"/>
                <c:pt idx="0">
                  <c:v>Zpracovatelský průmysl</c:v>
                </c:pt>
              </c:strCache>
            </c:strRef>
          </c:tx>
          <c:spPr>
            <a:ln w="19050">
              <a:solidFill>
                <a:srgbClr val="BD1B21"/>
              </a:solidFill>
            </a:ln>
          </c:spPr>
          <c:marker>
            <c:symbol val="none"/>
          </c:marker>
          <c:cat>
            <c:multiLvlStrRef>
              <c:f>'Ceny 4'!$A$10:$B$32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4'!$E$10:$E$32</c:f>
              <c:numCache>
                <c:formatCode>General</c:formatCode>
                <c:ptCount val="23"/>
                <c:pt idx="0">
                  <c:v>2.5999999999999943</c:v>
                </c:pt>
                <c:pt idx="1">
                  <c:v>2.5999999999999943</c:v>
                </c:pt>
                <c:pt idx="2">
                  <c:v>0.79999999999999716</c:v>
                </c:pt>
                <c:pt idx="3">
                  <c:v>-9.9999999999994316E-2</c:v>
                </c:pt>
                <c:pt idx="4">
                  <c:v>0</c:v>
                </c:pt>
                <c:pt idx="5">
                  <c:v>-2.2999999999999972</c:v>
                </c:pt>
                <c:pt idx="6">
                  <c:v>-1.7999999999999972</c:v>
                </c:pt>
                <c:pt idx="7">
                  <c:v>-1.2000000000000028</c:v>
                </c:pt>
                <c:pt idx="8">
                  <c:v>1.7999999999999972</c:v>
                </c:pt>
                <c:pt idx="9">
                  <c:v>6.5</c:v>
                </c:pt>
                <c:pt idx="10">
                  <c:v>11</c:v>
                </c:pt>
                <c:pt idx="11">
                  <c:v>14.5</c:v>
                </c:pt>
                <c:pt idx="12">
                  <c:v>17.5</c:v>
                </c:pt>
                <c:pt idx="13">
                  <c:v>24.200000000000003</c:v>
                </c:pt>
                <c:pt idx="14">
                  <c:v>20.5</c:v>
                </c:pt>
                <c:pt idx="15">
                  <c:v>16</c:v>
                </c:pt>
                <c:pt idx="16">
                  <c:v>10.299999999999997</c:v>
                </c:pt>
                <c:pt idx="17">
                  <c:v>-0.90000000000000568</c:v>
                </c:pt>
                <c:pt idx="18">
                  <c:v>-2.4</c:v>
                </c:pt>
                <c:pt idx="19">
                  <c:v>-2.2999999999999998</c:v>
                </c:pt>
                <c:pt idx="20">
                  <c:v>-1.7</c:v>
                </c:pt>
                <c:pt idx="21">
                  <c:v>0.1</c:v>
                </c:pt>
                <c:pt idx="22">
                  <c:v>0.2</c:v>
                </c:pt>
              </c:numCache>
            </c:numRef>
          </c:val>
          <c:smooth val="0"/>
          <c:extLst>
            <c:ext xmlns:c16="http://schemas.microsoft.com/office/drawing/2014/chart" uri="{C3380CC4-5D6E-409C-BE32-E72D297353CC}">
              <c16:uniqueId val="{00000002-D3C5-439A-9932-D357698333FF}"/>
            </c:ext>
          </c:extLst>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4'!$F$10:$F$32</c:f>
              <c:numCache>
                <c:formatCode>General</c:formatCode>
                <c:ptCount val="23"/>
                <c:pt idx="0">
                  <c:v>7.7000000000000028</c:v>
                </c:pt>
                <c:pt idx="1">
                  <c:v>8.2999999999999972</c:v>
                </c:pt>
                <c:pt idx="2">
                  <c:v>7.7999999999999972</c:v>
                </c:pt>
                <c:pt idx="3">
                  <c:v>8.2999999999999972</c:v>
                </c:pt>
                <c:pt idx="4">
                  <c:v>8.9000000000000057</c:v>
                </c:pt>
                <c:pt idx="5">
                  <c:v>8.2000000000000028</c:v>
                </c:pt>
                <c:pt idx="6">
                  <c:v>7.7999999999999972</c:v>
                </c:pt>
                <c:pt idx="7">
                  <c:v>6.0999999999999943</c:v>
                </c:pt>
                <c:pt idx="8">
                  <c:v>0.29999999999999716</c:v>
                </c:pt>
                <c:pt idx="9">
                  <c:v>9.9999999999994316E-2</c:v>
                </c:pt>
                <c:pt idx="10">
                  <c:v>0.79999999999999716</c:v>
                </c:pt>
                <c:pt idx="11">
                  <c:v>5.5</c:v>
                </c:pt>
                <c:pt idx="12">
                  <c:v>45</c:v>
                </c:pt>
                <c:pt idx="13">
                  <c:v>47.199999999999989</c:v>
                </c:pt>
                <c:pt idx="14">
                  <c:v>56</c:v>
                </c:pt>
                <c:pt idx="15">
                  <c:v>54.300000000000011</c:v>
                </c:pt>
                <c:pt idx="16">
                  <c:v>28.400000000000006</c:v>
                </c:pt>
                <c:pt idx="17">
                  <c:v>18.400000000000006</c:v>
                </c:pt>
                <c:pt idx="18">
                  <c:v>10.5</c:v>
                </c:pt>
                <c:pt idx="19">
                  <c:v>7.1</c:v>
                </c:pt>
                <c:pt idx="20">
                  <c:v>0.8</c:v>
                </c:pt>
                <c:pt idx="21">
                  <c:v>4.5</c:v>
                </c:pt>
                <c:pt idx="22">
                  <c:v>4.2</c:v>
                </c:pt>
              </c:numCache>
            </c:numRef>
          </c:val>
          <c:smooth val="0"/>
          <c:extLst>
            <c:ext xmlns:c16="http://schemas.microsoft.com/office/drawing/2014/chart" uri="{C3380CC4-5D6E-409C-BE32-E72D297353CC}">
              <c16:uniqueId val="{00000003-D3C5-439A-9932-D357698333FF}"/>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'Ceny 4'!$G$10:$G$32</c:f>
              <c:numCache>
                <c:formatCode>General</c:formatCode>
                <c:ptCount val="23"/>
                <c:pt idx="0">
                  <c:v>2.9000000000000057</c:v>
                </c:pt>
                <c:pt idx="1">
                  <c:v>2.9000000000000057</c:v>
                </c:pt>
                <c:pt idx="2">
                  <c:v>2.9000000000000057</c:v>
                </c:pt>
                <c:pt idx="3">
                  <c:v>2.9000000000000057</c:v>
                </c:pt>
                <c:pt idx="4">
                  <c:v>5.4000000000000057</c:v>
                </c:pt>
                <c:pt idx="5">
                  <c:v>6.0999999999999943</c:v>
                </c:pt>
                <c:pt idx="6">
                  <c:v>6.4000000000000057</c:v>
                </c:pt>
                <c:pt idx="7">
                  <c:v>6.4000000000000057</c:v>
                </c:pt>
                <c:pt idx="8">
                  <c:v>6.9000000000000057</c:v>
                </c:pt>
                <c:pt idx="9">
                  <c:v>6.2000000000000028</c:v>
                </c:pt>
                <c:pt idx="10">
                  <c:v>5.9000000000000057</c:v>
                </c:pt>
                <c:pt idx="11">
                  <c:v>5.9000000000000057</c:v>
                </c:pt>
                <c:pt idx="12">
                  <c:v>5.2999999999999972</c:v>
                </c:pt>
                <c:pt idx="13">
                  <c:v>5.2999999999999972</c:v>
                </c:pt>
                <c:pt idx="14">
                  <c:v>5.2999999999999972</c:v>
                </c:pt>
                <c:pt idx="15">
                  <c:v>5.2999999999999972</c:v>
                </c:pt>
                <c:pt idx="16">
                  <c:v>16.299999999999997</c:v>
                </c:pt>
                <c:pt idx="17">
                  <c:v>16.299999999999997</c:v>
                </c:pt>
                <c:pt idx="18">
                  <c:v>16.3</c:v>
                </c:pt>
                <c:pt idx="19">
                  <c:v>16.3</c:v>
                </c:pt>
                <c:pt idx="20">
                  <c:v>9.1999999999999993</c:v>
                </c:pt>
                <c:pt idx="21">
                  <c:v>9.1999999999999993</c:v>
                </c:pt>
                <c:pt idx="22">
                  <c:v>9.1999999999999993</c:v>
                </c:pt>
              </c:numCache>
            </c:numRef>
          </c:val>
          <c:smooth val="0"/>
          <c:extLst>
            <c:ext xmlns:c16="http://schemas.microsoft.com/office/drawing/2014/chart" uri="{C3380CC4-5D6E-409C-BE32-E72D297353CC}">
              <c16:uniqueId val="{00000004-D3C5-439A-9932-D357698333FF}"/>
            </c:ext>
          </c:extLst>
        </c:ser>
        <c:dLbls>
          <c:showLegendKey val="0"/>
          <c:showVal val="0"/>
          <c:showCatName val="0"/>
          <c:showSerName val="0"/>
          <c:showPercent val="0"/>
          <c:showBubbleSize val="0"/>
        </c:dLbls>
        <c:marker val="1"/>
        <c:smooth val="0"/>
        <c:axId val="271374208"/>
        <c:axId val="271375744"/>
      </c:lineChart>
      <c:catAx>
        <c:axId val="271374208"/>
        <c:scaling>
          <c:orientation val="minMax"/>
        </c:scaling>
        <c:delete val="0"/>
        <c:axPos val="b"/>
        <c:numFmt formatCode="General" sourceLinked="0"/>
        <c:majorTickMark val="out"/>
        <c:minorTickMark val="none"/>
        <c:tickLblPos val="low"/>
        <c:spPr>
          <a:ln>
            <a:solidFill>
              <a:schemeClr val="tx1"/>
            </a:solidFill>
          </a:ln>
        </c:spPr>
        <c:crossAx val="271375744"/>
        <c:crosses val="autoZero"/>
        <c:auto val="1"/>
        <c:lblAlgn val="ctr"/>
        <c:lblOffset val="100"/>
        <c:noMultiLvlLbl val="0"/>
      </c:catAx>
      <c:valAx>
        <c:axId val="271375744"/>
        <c:scaling>
          <c:orientation val="minMax"/>
          <c:min val="-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374208"/>
        <c:crosses val="autoZero"/>
        <c:crossBetween val="between"/>
        <c:majorUnit val="5"/>
      </c:valAx>
      <c:spPr>
        <a:ln>
          <a:solidFill>
            <a:schemeClr val="tx1"/>
          </a:solidFill>
        </a:ln>
      </c:spPr>
    </c:plotArea>
    <c:legend>
      <c:legendPos val="b"/>
      <c:layout>
        <c:manualLayout>
          <c:xMode val="edge"/>
          <c:yMode val="edge"/>
          <c:x val="5.0756819693945444E-2"/>
          <c:y val="0.86223931272106069"/>
          <c:w val="0.91957268795741853"/>
          <c:h val="0.12109402425765226"/>
        </c:manualLayout>
      </c:layout>
      <c:overlay val="0"/>
      <c:spPr>
        <a:ln w="6350">
          <a:no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Zemědělství, lesnictví a rybářství</c:v>
                </c:pt>
              </c:strCache>
            </c:strRef>
          </c:tx>
          <c:spPr>
            <a:solidFill>
              <a:srgbClr val="7DBB2D"/>
            </a:solidFill>
            <a:ln>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1-SNÚ'!$AC$28:$AC$67</c:f>
              <c:numCache>
                <c:formatCode>#\ ##0.0</c:formatCode>
                <c:ptCount val="40"/>
                <c:pt idx="0">
                  <c:v>-6.1573326356334918E-2</c:v>
                </c:pt>
                <c:pt idx="1">
                  <c:v>-5.9676888347252419E-2</c:v>
                </c:pt>
                <c:pt idx="2">
                  <c:v>-7.707844703464159E-2</c:v>
                </c:pt>
                <c:pt idx="3">
                  <c:v>-0.14243709499262253</c:v>
                </c:pt>
                <c:pt idx="4">
                  <c:v>-0.13840014711933823</c:v>
                </c:pt>
                <c:pt idx="5">
                  <c:v>-4.8650842041975666E-2</c:v>
                </c:pt>
                <c:pt idx="6">
                  <c:v>-5.6369916424211908E-2</c:v>
                </c:pt>
                <c:pt idx="7">
                  <c:v>5.3611107528481909E-2</c:v>
                </c:pt>
                <c:pt idx="8">
                  <c:v>0.11362815565462964</c:v>
                </c:pt>
                <c:pt idx="9">
                  <c:v>5.0071347365045656E-2</c:v>
                </c:pt>
                <c:pt idx="10">
                  <c:v>4.1044524794336977E-2</c:v>
                </c:pt>
                <c:pt idx="11">
                  <c:v>-6.8207996146105745E-2</c:v>
                </c:pt>
                <c:pt idx="12">
                  <c:v>1.1563918372028041E-2</c:v>
                </c:pt>
                <c:pt idx="13">
                  <c:v>9.9469652773378076E-3</c:v>
                </c:pt>
                <c:pt idx="14">
                  <c:v>-4.5877079510242644E-3</c:v>
                </c:pt>
                <c:pt idx="15">
                  <c:v>6.1002100013741969E-2</c:v>
                </c:pt>
                <c:pt idx="16">
                  <c:v>-7.7206500491187602E-2</c:v>
                </c:pt>
                <c:pt idx="17">
                  <c:v>-0.12546310619157755</c:v>
                </c:pt>
                <c:pt idx="18">
                  <c:v>-0.15916772896693915</c:v>
                </c:pt>
                <c:pt idx="19">
                  <c:v>-0.17729355041451639</c:v>
                </c:pt>
                <c:pt idx="20">
                  <c:v>-0.22963797478861914</c:v>
                </c:pt>
                <c:pt idx="21">
                  <c:v>-0.16486981249577076</c:v>
                </c:pt>
                <c:pt idx="22">
                  <c:v>-7.1458262303198058E-2</c:v>
                </c:pt>
                <c:pt idx="23">
                  <c:v>-7.1155713762608958E-2</c:v>
                </c:pt>
                <c:pt idx="24">
                  <c:v>1.988648589111628E-2</c:v>
                </c:pt>
                <c:pt idx="25">
                  <c:v>-4.5264025753272527E-2</c:v>
                </c:pt>
                <c:pt idx="26">
                  <c:v>-5.6861720003765062E-2</c:v>
                </c:pt>
                <c:pt idx="27">
                  <c:v>-7.103915889635871E-4</c:v>
                </c:pt>
                <c:pt idx="28">
                  <c:v>0.1001903961167062</c:v>
                </c:pt>
                <c:pt idx="29">
                  <c:v>0.19187936731668201</c:v>
                </c:pt>
                <c:pt idx="30">
                  <c:v>0.16694191816358248</c:v>
                </c:pt>
                <c:pt idx="31">
                  <c:v>8.0972483290481317E-2</c:v>
                </c:pt>
                <c:pt idx="32">
                  <c:v>2.7154047787342289E-2</c:v>
                </c:pt>
                <c:pt idx="33">
                  <c:v>1.721751485384958E-3</c:v>
                </c:pt>
                <c:pt idx="34">
                  <c:v>-7.2914232297264774E-3</c:v>
                </c:pt>
                <c:pt idx="35">
                  <c:v>2.8663087455489521E-2</c:v>
                </c:pt>
                <c:pt idx="36">
                  <c:v>5.2660373376390415E-2</c:v>
                </c:pt>
                <c:pt idx="37">
                  <c:v>4.7286611297762224E-2</c:v>
                </c:pt>
                <c:pt idx="38">
                  <c:v>-1.7890256268642241E-2</c:v>
                </c:pt>
              </c:numCache>
            </c:numRef>
          </c:val>
          <c:extLst>
            <c:ext xmlns:c16="http://schemas.microsoft.com/office/drawing/2014/chart" uri="{C3380CC4-5D6E-409C-BE32-E72D297353CC}">
              <c16:uniqueId val="{00000000-FF2D-4DFA-B527-17311BA05B95}"/>
            </c:ext>
          </c:extLst>
        </c:ser>
        <c:ser>
          <c:idx val="1"/>
          <c:order val="1"/>
          <c:tx>
            <c:strRef>
              <c:f>'Trh práce 1-SNÚ'!$AD$7</c:f>
              <c:strCache>
                <c:ptCount val="1"/>
                <c:pt idx="0">
                  <c:v>Zpracovatelský průmysl</c:v>
                </c:pt>
              </c:strCache>
            </c:strRef>
          </c:tx>
          <c:spPr>
            <a:solidFill>
              <a:srgbClr val="A6CDE8"/>
            </a:solidFill>
            <a:ln>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1-SNÚ'!$AD$28:$AD$67</c:f>
              <c:numCache>
                <c:formatCode>#\ ##0.0</c:formatCode>
                <c:ptCount val="40"/>
                <c:pt idx="0">
                  <c:v>0.88665589953122292</c:v>
                </c:pt>
                <c:pt idx="1">
                  <c:v>0.90523042979145274</c:v>
                </c:pt>
                <c:pt idx="2">
                  <c:v>0.77326960941049294</c:v>
                </c:pt>
                <c:pt idx="3">
                  <c:v>0.91244318301403449</c:v>
                </c:pt>
                <c:pt idx="4">
                  <c:v>0.62615046214619641</c:v>
                </c:pt>
                <c:pt idx="5">
                  <c:v>0.36311412514139912</c:v>
                </c:pt>
                <c:pt idx="6">
                  <c:v>0.36892459176709286</c:v>
                </c:pt>
                <c:pt idx="7">
                  <c:v>0.20801494720027841</c:v>
                </c:pt>
                <c:pt idx="8">
                  <c:v>0.34123025002420737</c:v>
                </c:pt>
                <c:pt idx="9">
                  <c:v>0.52235302041005405</c:v>
                </c:pt>
                <c:pt idx="10">
                  <c:v>0.6007043202184712</c:v>
                </c:pt>
                <c:pt idx="11">
                  <c:v>0.58624629993025279</c:v>
                </c:pt>
                <c:pt idx="12">
                  <c:v>0.11964573015131148</c:v>
                </c:pt>
                <c:pt idx="13">
                  <c:v>7.6152907170797243E-2</c:v>
                </c:pt>
                <c:pt idx="14">
                  <c:v>-0.12298441683462999</c:v>
                </c:pt>
                <c:pt idx="15">
                  <c:v>-0.10363777422981803</c:v>
                </c:pt>
                <c:pt idx="16">
                  <c:v>-4.3879683818856575E-2</c:v>
                </c:pt>
                <c:pt idx="17">
                  <c:v>-0.13090182754073737</c:v>
                </c:pt>
                <c:pt idx="18">
                  <c:v>-0.222700438793799</c:v>
                </c:pt>
                <c:pt idx="19">
                  <c:v>-0.5875860652367344</c:v>
                </c:pt>
                <c:pt idx="20">
                  <c:v>-1.0288745963154016</c:v>
                </c:pt>
                <c:pt idx="21">
                  <c:v>-1.3602085728947291</c:v>
                </c:pt>
                <c:pt idx="22">
                  <c:v>-1.3450219745832801</c:v>
                </c:pt>
                <c:pt idx="23">
                  <c:v>-1.0779931429042369</c:v>
                </c:pt>
                <c:pt idx="24">
                  <c:v>-0.34893294500656458</c:v>
                </c:pt>
                <c:pt idx="25">
                  <c:v>2.32270870065563E-3</c:v>
                </c:pt>
                <c:pt idx="26">
                  <c:v>0.30744821432919089</c:v>
                </c:pt>
                <c:pt idx="27">
                  <c:v>0.30287641394325915</c:v>
                </c:pt>
                <c:pt idx="28">
                  <c:v>-3.0965857946131374E-2</c:v>
                </c:pt>
                <c:pt idx="29">
                  <c:v>0.16543682902296636</c:v>
                </c:pt>
                <c:pt idx="30">
                  <c:v>-2.5206250094264231E-2</c:v>
                </c:pt>
                <c:pt idx="31">
                  <c:v>-8.6847696031558105E-2</c:v>
                </c:pt>
                <c:pt idx="32">
                  <c:v>0.20651069351362475</c:v>
                </c:pt>
                <c:pt idx="33">
                  <c:v>-2.3281074432813999E-2</c:v>
                </c:pt>
                <c:pt idx="34">
                  <c:v>-0.23904650619303264</c:v>
                </c:pt>
                <c:pt idx="35">
                  <c:v>-0.18165745517748966</c:v>
                </c:pt>
                <c:pt idx="36">
                  <c:v>-0.56622475044999632</c:v>
                </c:pt>
                <c:pt idx="37">
                  <c:v>-0.65853178960015912</c:v>
                </c:pt>
                <c:pt idx="38">
                  <c:v>-0.39276907019662283</c:v>
                </c:pt>
              </c:numCache>
            </c:numRef>
          </c:val>
          <c:extLst>
            <c:ext xmlns:c16="http://schemas.microsoft.com/office/drawing/2014/chart" uri="{C3380CC4-5D6E-409C-BE32-E72D297353CC}">
              <c16:uniqueId val="{00000001-FF2D-4DFA-B527-17311BA05B95}"/>
            </c:ext>
          </c:extLst>
        </c:ser>
        <c:ser>
          <c:idx val="2"/>
          <c:order val="2"/>
          <c:tx>
            <c:strRef>
              <c:f>'Trh práce 1-SNÚ'!$AE$7</c:f>
              <c:strCache>
                <c:ptCount val="1"/>
                <c:pt idx="0">
                  <c:v>Stavebnictví</c:v>
                </c:pt>
              </c:strCache>
            </c:strRef>
          </c:tx>
          <c:spPr>
            <a:solidFill>
              <a:srgbClr val="48AEE7"/>
            </a:solidFill>
            <a:ln w="19050">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1-SNÚ'!$AE$28:$AE$67</c:f>
              <c:numCache>
                <c:formatCode>#\ ##0.0</c:formatCode>
                <c:ptCount val="40"/>
                <c:pt idx="0">
                  <c:v>-0.10117304071905125</c:v>
                </c:pt>
                <c:pt idx="1">
                  <c:v>-9.1106454297089121E-2</c:v>
                </c:pt>
                <c:pt idx="2">
                  <c:v>-0.14253348773808819</c:v>
                </c:pt>
                <c:pt idx="3">
                  <c:v>-0.16445842723255458</c:v>
                </c:pt>
                <c:pt idx="4">
                  <c:v>-0.1244766301438134</c:v>
                </c:pt>
                <c:pt idx="5">
                  <c:v>-0.14361558611517708</c:v>
                </c:pt>
                <c:pt idx="6">
                  <c:v>-5.3202850205105789E-2</c:v>
                </c:pt>
                <c:pt idx="7">
                  <c:v>-1.892269971292557E-2</c:v>
                </c:pt>
                <c:pt idx="8">
                  <c:v>-2.522295323322548E-2</c:v>
                </c:pt>
                <c:pt idx="9">
                  <c:v>-4.955475341057251E-3</c:v>
                </c:pt>
                <c:pt idx="10">
                  <c:v>4.3264182079252173E-2</c:v>
                </c:pt>
                <c:pt idx="11">
                  <c:v>-9.7203529235831032E-2</c:v>
                </c:pt>
                <c:pt idx="12">
                  <c:v>5.0774905955341509E-2</c:v>
                </c:pt>
                <c:pt idx="13">
                  <c:v>9.1527209015807957E-3</c:v>
                </c:pt>
                <c:pt idx="14">
                  <c:v>-5.7910411840798107E-3</c:v>
                </c:pt>
                <c:pt idx="15">
                  <c:v>5.1320718963795246E-2</c:v>
                </c:pt>
                <c:pt idx="16">
                  <c:v>-4.7853409991260497E-2</c:v>
                </c:pt>
                <c:pt idx="17">
                  <c:v>2.6839717342942881E-2</c:v>
                </c:pt>
                <c:pt idx="18">
                  <c:v>4.1303727040787566E-2</c:v>
                </c:pt>
                <c:pt idx="19">
                  <c:v>5.3863451406236225E-2</c:v>
                </c:pt>
                <c:pt idx="20">
                  <c:v>-5.219809701293044E-2</c:v>
                </c:pt>
                <c:pt idx="21">
                  <c:v>-0.28539533059612732</c:v>
                </c:pt>
                <c:pt idx="22">
                  <c:v>-0.16438202614531755</c:v>
                </c:pt>
                <c:pt idx="23">
                  <c:v>-8.379854260961106E-2</c:v>
                </c:pt>
                <c:pt idx="24">
                  <c:v>0.10062675606296018</c:v>
                </c:pt>
                <c:pt idx="25">
                  <c:v>0.31345049895046107</c:v>
                </c:pt>
                <c:pt idx="26">
                  <c:v>0.17250227801546797</c:v>
                </c:pt>
                <c:pt idx="27">
                  <c:v>0.23625320276207945</c:v>
                </c:pt>
                <c:pt idx="28">
                  <c:v>0.12256523305435475</c:v>
                </c:pt>
                <c:pt idx="29">
                  <c:v>0.14558592922631924</c:v>
                </c:pt>
                <c:pt idx="30">
                  <c:v>0.1425086346017527</c:v>
                </c:pt>
                <c:pt idx="31">
                  <c:v>0.1263359047432184</c:v>
                </c:pt>
                <c:pt idx="32">
                  <c:v>0.27042481713564209</c:v>
                </c:pt>
                <c:pt idx="33">
                  <c:v>0.23488807492463704</c:v>
                </c:pt>
                <c:pt idx="34">
                  <c:v>0.19670016358962122</c:v>
                </c:pt>
                <c:pt idx="35">
                  <c:v>9.2659876591768275E-2</c:v>
                </c:pt>
                <c:pt idx="36">
                  <c:v>-9.6882420208916353E-2</c:v>
                </c:pt>
                <c:pt idx="37">
                  <c:v>-6.5486587376736488E-2</c:v>
                </c:pt>
                <c:pt idx="38">
                  <c:v>1.1803115131593843E-2</c:v>
                </c:pt>
              </c:numCache>
            </c:numRef>
          </c:val>
          <c:extLst>
            <c:ext xmlns:c16="http://schemas.microsoft.com/office/drawing/2014/chart" uri="{C3380CC4-5D6E-409C-BE32-E72D297353CC}">
              <c16:uniqueId val="{00000002-FF2D-4DFA-B527-17311BA05B95}"/>
            </c:ext>
          </c:extLst>
        </c:ser>
        <c:ser>
          <c:idx val="3"/>
          <c:order val="3"/>
          <c:tx>
            <c:strRef>
              <c:f>'Trh práce 1-SNÚ'!$AF$7</c:f>
              <c:strCache>
                <c:ptCount val="1"/>
                <c:pt idx="0">
                  <c:v>Obchod, doprava, ubytování a pohost.</c:v>
                </c:pt>
              </c:strCache>
            </c:strRef>
          </c:tx>
          <c:spPr>
            <a:solidFill>
              <a:srgbClr val="FDDEB3"/>
            </a:solidFill>
            <a:ln w="19050">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1-SNÚ'!$AF$28:$AF$67</c:f>
              <c:numCache>
                <c:formatCode>#\ ##0.0</c:formatCode>
                <c:ptCount val="40"/>
                <c:pt idx="0">
                  <c:v>0.25998500994419238</c:v>
                </c:pt>
                <c:pt idx="1">
                  <c:v>0.48955477662614383</c:v>
                </c:pt>
                <c:pt idx="2">
                  <c:v>0.32600328194900458</c:v>
                </c:pt>
                <c:pt idx="3">
                  <c:v>0.15828076146259132</c:v>
                </c:pt>
                <c:pt idx="4">
                  <c:v>-5.6703862717618583E-2</c:v>
                </c:pt>
                <c:pt idx="5">
                  <c:v>7.8393714906065587E-2</c:v>
                </c:pt>
                <c:pt idx="6">
                  <c:v>-0.13956333881390184</c:v>
                </c:pt>
                <c:pt idx="7">
                  <c:v>-7.6460796805432718E-2</c:v>
                </c:pt>
                <c:pt idx="8">
                  <c:v>0.15973256369708291</c:v>
                </c:pt>
                <c:pt idx="9">
                  <c:v>-1.5191688883395588E-2</c:v>
                </c:pt>
                <c:pt idx="10">
                  <c:v>0.35531738037577776</c:v>
                </c:pt>
                <c:pt idx="11">
                  <c:v>0.17142372253177482</c:v>
                </c:pt>
                <c:pt idx="12">
                  <c:v>0.11459482327617278</c:v>
                </c:pt>
                <c:pt idx="13">
                  <c:v>0.34360524541678317</c:v>
                </c:pt>
                <c:pt idx="14">
                  <c:v>0.13954905087091021</c:v>
                </c:pt>
                <c:pt idx="15">
                  <c:v>0.16123729177746221</c:v>
                </c:pt>
                <c:pt idx="16">
                  <c:v>9.5669331999762464E-2</c:v>
                </c:pt>
                <c:pt idx="17">
                  <c:v>-0.18752413199774384</c:v>
                </c:pt>
                <c:pt idx="18">
                  <c:v>-0.32173233019841657</c:v>
                </c:pt>
                <c:pt idx="19">
                  <c:v>-0.34416791851901818</c:v>
                </c:pt>
                <c:pt idx="20">
                  <c:v>-0.17007381394220211</c:v>
                </c:pt>
                <c:pt idx="21">
                  <c:v>-0.68801691905386031</c:v>
                </c:pt>
                <c:pt idx="22">
                  <c:v>-0.5805213183815886</c:v>
                </c:pt>
                <c:pt idx="23">
                  <c:v>-1.024799611162776</c:v>
                </c:pt>
                <c:pt idx="24">
                  <c:v>-0.89384919901442583</c:v>
                </c:pt>
                <c:pt idx="25">
                  <c:v>-0.27162254639898481</c:v>
                </c:pt>
                <c:pt idx="26">
                  <c:v>0.18479100442221555</c:v>
                </c:pt>
                <c:pt idx="27">
                  <c:v>0.62815896259788329</c:v>
                </c:pt>
                <c:pt idx="28">
                  <c:v>6.9644543642100654E-2</c:v>
                </c:pt>
                <c:pt idx="29">
                  <c:v>0.38341680525887634</c:v>
                </c:pt>
                <c:pt idx="30">
                  <c:v>-5.4710948222554075E-2</c:v>
                </c:pt>
                <c:pt idx="31">
                  <c:v>-0.15716194082380397</c:v>
                </c:pt>
                <c:pt idx="32">
                  <c:v>0.22884281777327048</c:v>
                </c:pt>
                <c:pt idx="33">
                  <c:v>0.16863807211743323</c:v>
                </c:pt>
                <c:pt idx="34">
                  <c:v>0.26428604814208584</c:v>
                </c:pt>
                <c:pt idx="35">
                  <c:v>0.30836175507036739</c:v>
                </c:pt>
                <c:pt idx="36">
                  <c:v>0.34109094336578877</c:v>
                </c:pt>
                <c:pt idx="37">
                  <c:v>0.37866318491066292</c:v>
                </c:pt>
                <c:pt idx="38">
                  <c:v>0.21536973443733737</c:v>
                </c:pt>
              </c:numCache>
            </c:numRef>
          </c:val>
          <c:extLst>
            <c:ext xmlns:c16="http://schemas.microsoft.com/office/drawing/2014/chart" uri="{C3380CC4-5D6E-409C-BE32-E72D297353CC}">
              <c16:uniqueId val="{00000003-FF2D-4DFA-B527-17311BA05B95}"/>
            </c:ext>
          </c:extLst>
        </c:ser>
        <c:ser>
          <c:idx val="4"/>
          <c:order val="4"/>
          <c:tx>
            <c:strRef>
              <c:f>'Trh práce 1-SNÚ'!$AG$7</c:f>
              <c:strCache>
                <c:ptCount val="1"/>
                <c:pt idx="0">
                  <c:v>Informační a komunikač. čin.</c:v>
                </c:pt>
              </c:strCache>
            </c:strRef>
          </c:tx>
          <c:spPr>
            <a:solidFill>
              <a:srgbClr val="F8A124"/>
            </a:solidFill>
            <a:ln w="19050">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1-SNÚ'!$AG$28:$AG$67</c:f>
              <c:numCache>
                <c:formatCode>#\ ##0.0</c:formatCode>
                <c:ptCount val="40"/>
                <c:pt idx="0">
                  <c:v>1.4183504250133379E-2</c:v>
                </c:pt>
                <c:pt idx="1">
                  <c:v>5.629821000764499E-2</c:v>
                </c:pt>
                <c:pt idx="2">
                  <c:v>6.26372452292175E-2</c:v>
                </c:pt>
                <c:pt idx="3">
                  <c:v>9.4516337489973887E-2</c:v>
                </c:pt>
                <c:pt idx="4">
                  <c:v>0.10299907118296198</c:v>
                </c:pt>
                <c:pt idx="5">
                  <c:v>9.0773702896897832E-2</c:v>
                </c:pt>
                <c:pt idx="6">
                  <c:v>0.11426543181982249</c:v>
                </c:pt>
                <c:pt idx="7">
                  <c:v>0.13630888775913119</c:v>
                </c:pt>
                <c:pt idx="8">
                  <c:v>0.10306256214490077</c:v>
                </c:pt>
                <c:pt idx="9">
                  <c:v>0.113076676701345</c:v>
                </c:pt>
                <c:pt idx="10">
                  <c:v>0.14247903571964249</c:v>
                </c:pt>
                <c:pt idx="11">
                  <c:v>0.13951722056886845</c:v>
                </c:pt>
                <c:pt idx="12">
                  <c:v>0.13227299733915818</c:v>
                </c:pt>
                <c:pt idx="13">
                  <c:v>0.14892082045443958</c:v>
                </c:pt>
                <c:pt idx="14">
                  <c:v>0.10555488703709108</c:v>
                </c:pt>
                <c:pt idx="15">
                  <c:v>0.12454203777844085</c:v>
                </c:pt>
                <c:pt idx="16">
                  <c:v>0.1256784621979638</c:v>
                </c:pt>
                <c:pt idx="17">
                  <c:v>7.6458736775003838E-2</c:v>
                </c:pt>
                <c:pt idx="18">
                  <c:v>0.11512037432787062</c:v>
                </c:pt>
                <c:pt idx="19">
                  <c:v>0.12022992158448997</c:v>
                </c:pt>
                <c:pt idx="20">
                  <c:v>9.8320126142908748E-2</c:v>
                </c:pt>
                <c:pt idx="21">
                  <c:v>5.3757438014449162E-2</c:v>
                </c:pt>
                <c:pt idx="22">
                  <c:v>7.7959563030390977E-2</c:v>
                </c:pt>
                <c:pt idx="23">
                  <c:v>5.8793836667762431E-2</c:v>
                </c:pt>
                <c:pt idx="24">
                  <c:v>2.8455305359929017E-2</c:v>
                </c:pt>
                <c:pt idx="25">
                  <c:v>8.2292993386038724E-2</c:v>
                </c:pt>
                <c:pt idx="26">
                  <c:v>6.4760246180956965E-2</c:v>
                </c:pt>
                <c:pt idx="27">
                  <c:v>-2.2214136984618119E-2</c:v>
                </c:pt>
                <c:pt idx="28">
                  <c:v>0.19577982320442494</c:v>
                </c:pt>
                <c:pt idx="29">
                  <c:v>0.1773093767482338</c:v>
                </c:pt>
                <c:pt idx="30">
                  <c:v>0.17446420222312728</c:v>
                </c:pt>
                <c:pt idx="31">
                  <c:v>0.25679575689123113</c:v>
                </c:pt>
                <c:pt idx="32">
                  <c:v>0.141934737250551</c:v>
                </c:pt>
                <c:pt idx="33">
                  <c:v>6.7279310760423094E-2</c:v>
                </c:pt>
                <c:pt idx="34">
                  <c:v>2.9427436316896094E-2</c:v>
                </c:pt>
                <c:pt idx="35">
                  <c:v>1.8012526927700064E-2</c:v>
                </c:pt>
                <c:pt idx="36">
                  <c:v>4.7016194694732727E-2</c:v>
                </c:pt>
                <c:pt idx="37">
                  <c:v>1.3923074274047452E-2</c:v>
                </c:pt>
                <c:pt idx="38">
                  <c:v>1.8187189982644602E-3</c:v>
                </c:pt>
              </c:numCache>
            </c:numRef>
          </c:val>
          <c:extLst>
            <c:ext xmlns:c16="http://schemas.microsoft.com/office/drawing/2014/chart" uri="{C3380CC4-5D6E-409C-BE32-E72D297353CC}">
              <c16:uniqueId val="{00000004-FF2D-4DFA-B527-17311BA05B95}"/>
            </c:ext>
          </c:extLst>
        </c:ser>
        <c:ser>
          <c:idx val="5"/>
          <c:order val="5"/>
          <c:tx>
            <c:strRef>
              <c:f>'Trh práce 1-SNÚ'!$AH$7</c:f>
              <c:strCache>
                <c:ptCount val="1"/>
                <c:pt idx="0">
                  <c:v>Profesní, vědec., techn. a admin. čin.</c:v>
                </c:pt>
              </c:strCache>
            </c:strRef>
          </c:tx>
          <c:spPr>
            <a:solidFill>
              <a:srgbClr val="E8C0BE"/>
            </a:solidFill>
            <a:ln w="19050">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1-SNÚ'!$AH$28:$AH$67</c:f>
              <c:numCache>
                <c:formatCode>#\ ##0.0</c:formatCode>
                <c:ptCount val="40"/>
                <c:pt idx="0">
                  <c:v>0.11759915174382432</c:v>
                </c:pt>
                <c:pt idx="1">
                  <c:v>0.14665821211342547</c:v>
                </c:pt>
                <c:pt idx="2">
                  <c:v>0.27033225330885341</c:v>
                </c:pt>
                <c:pt idx="3">
                  <c:v>0.34628057749677232</c:v>
                </c:pt>
                <c:pt idx="4">
                  <c:v>0.1873751956720211</c:v>
                </c:pt>
                <c:pt idx="5">
                  <c:v>0.20516788210079692</c:v>
                </c:pt>
                <c:pt idx="6">
                  <c:v>0.18977292521436465</c:v>
                </c:pt>
                <c:pt idx="7">
                  <c:v>0.2038377083012908</c:v>
                </c:pt>
                <c:pt idx="8">
                  <c:v>0.29841078105477886</c:v>
                </c:pt>
                <c:pt idx="9">
                  <c:v>0.23426579179886092</c:v>
                </c:pt>
                <c:pt idx="10">
                  <c:v>0.20577753829291368</c:v>
                </c:pt>
                <c:pt idx="11">
                  <c:v>5.6773405997204894E-2</c:v>
                </c:pt>
                <c:pt idx="12">
                  <c:v>0.10777799783190666</c:v>
                </c:pt>
                <c:pt idx="13">
                  <c:v>0.10518064804667848</c:v>
                </c:pt>
                <c:pt idx="14">
                  <c:v>9.8748533437620648E-2</c:v>
                </c:pt>
                <c:pt idx="15">
                  <c:v>0.22141224467237378</c:v>
                </c:pt>
                <c:pt idx="16">
                  <c:v>3.724431087059718E-2</c:v>
                </c:pt>
                <c:pt idx="17">
                  <c:v>2.5573165795878261E-2</c:v>
                </c:pt>
                <c:pt idx="18">
                  <c:v>2.2396959985967045E-2</c:v>
                </c:pt>
                <c:pt idx="19">
                  <c:v>-0.18724759065711963</c:v>
                </c:pt>
                <c:pt idx="20">
                  <c:v>-0.19133070373579164</c:v>
                </c:pt>
                <c:pt idx="21">
                  <c:v>-0.3504112611767094</c:v>
                </c:pt>
                <c:pt idx="22">
                  <c:v>-0.52251402310016892</c:v>
                </c:pt>
                <c:pt idx="23">
                  <c:v>-0.24405342203916677</c:v>
                </c:pt>
                <c:pt idx="24">
                  <c:v>-0.10997283570482894</c:v>
                </c:pt>
                <c:pt idx="25">
                  <c:v>0.14882612029903389</c:v>
                </c:pt>
                <c:pt idx="26">
                  <c:v>0.28609151976270597</c:v>
                </c:pt>
                <c:pt idx="27">
                  <c:v>0.12335853943489318</c:v>
                </c:pt>
                <c:pt idx="28">
                  <c:v>0.16279030253185092</c:v>
                </c:pt>
                <c:pt idx="29">
                  <c:v>0.11160194861751378</c:v>
                </c:pt>
                <c:pt idx="30">
                  <c:v>0.16264347012955688</c:v>
                </c:pt>
                <c:pt idx="31">
                  <c:v>0.22346522307166092</c:v>
                </c:pt>
                <c:pt idx="32">
                  <c:v>0.25007819079916555</c:v>
                </c:pt>
                <c:pt idx="33">
                  <c:v>0.24783864044514128</c:v>
                </c:pt>
                <c:pt idx="34">
                  <c:v>0.2914886655760654</c:v>
                </c:pt>
                <c:pt idx="35">
                  <c:v>0.29023711697921695</c:v>
                </c:pt>
                <c:pt idx="36">
                  <c:v>0.1729577526705996</c:v>
                </c:pt>
                <c:pt idx="37">
                  <c:v>6.9967151172374092E-2</c:v>
                </c:pt>
                <c:pt idx="38">
                  <c:v>9.162260912685348E-2</c:v>
                </c:pt>
              </c:numCache>
            </c:numRef>
          </c:val>
          <c:extLst>
            <c:ext xmlns:c16="http://schemas.microsoft.com/office/drawing/2014/chart" uri="{C3380CC4-5D6E-409C-BE32-E72D297353CC}">
              <c16:uniqueId val="{00000005-FF2D-4DFA-B527-17311BA05B95}"/>
            </c:ext>
          </c:extLst>
        </c:ser>
        <c:ser>
          <c:idx val="6"/>
          <c:order val="6"/>
          <c:tx>
            <c:strRef>
              <c:f>'Trh práce 1-SNÚ'!$AI$7</c:f>
              <c:strCache>
                <c:ptCount val="1"/>
                <c:pt idx="0">
                  <c:v>Veř.spr.,obrana, vzděl.,zdrav.a soc.péče</c:v>
                </c:pt>
              </c:strCache>
            </c:strRef>
          </c:tx>
          <c:spPr>
            <a:solidFill>
              <a:srgbClr val="D58D8B"/>
            </a:solidFill>
            <a:ln>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1-SNÚ'!$AI$28:$AI$67</c:f>
              <c:numCache>
                <c:formatCode>#\ ##0.0</c:formatCode>
                <c:ptCount val="40"/>
                <c:pt idx="0">
                  <c:v>0.29810932511306687</c:v>
                </c:pt>
                <c:pt idx="1">
                  <c:v>0.22837508358300088</c:v>
                </c:pt>
                <c:pt idx="2">
                  <c:v>8.7664748087127292E-2</c:v>
                </c:pt>
                <c:pt idx="3">
                  <c:v>6.3608520735520563E-2</c:v>
                </c:pt>
                <c:pt idx="4">
                  <c:v>0.31886213213126613</c:v>
                </c:pt>
                <c:pt idx="5">
                  <c:v>0.28817753636693877</c:v>
                </c:pt>
                <c:pt idx="6">
                  <c:v>0.36508162726951909</c:v>
                </c:pt>
                <c:pt idx="7">
                  <c:v>0.46049727622848979</c:v>
                </c:pt>
                <c:pt idx="8">
                  <c:v>0.25543763072520886</c:v>
                </c:pt>
                <c:pt idx="9">
                  <c:v>0.32021171933565312</c:v>
                </c:pt>
                <c:pt idx="10">
                  <c:v>0.40612074323310393</c:v>
                </c:pt>
                <c:pt idx="11">
                  <c:v>0.45188510919558089</c:v>
                </c:pt>
                <c:pt idx="12">
                  <c:v>0.60669746453968465</c:v>
                </c:pt>
                <c:pt idx="13">
                  <c:v>0.67766064774410706</c:v>
                </c:pt>
                <c:pt idx="14">
                  <c:v>0.54779865226677038</c:v>
                </c:pt>
                <c:pt idx="15">
                  <c:v>0.53702526690063701</c:v>
                </c:pt>
                <c:pt idx="16">
                  <c:v>0.28440258119756973</c:v>
                </c:pt>
                <c:pt idx="17">
                  <c:v>0.27707677667843045</c:v>
                </c:pt>
                <c:pt idx="18">
                  <c:v>0.33524516272328342</c:v>
                </c:pt>
                <c:pt idx="19">
                  <c:v>0.37920241903644225</c:v>
                </c:pt>
                <c:pt idx="20">
                  <c:v>0.39000877571158382</c:v>
                </c:pt>
                <c:pt idx="21">
                  <c:v>0.31581562839071159</c:v>
                </c:pt>
                <c:pt idx="22">
                  <c:v>0.4292913488797877</c:v>
                </c:pt>
                <c:pt idx="23">
                  <c:v>0.43905266815196531</c:v>
                </c:pt>
                <c:pt idx="24">
                  <c:v>0.48013825373146052</c:v>
                </c:pt>
                <c:pt idx="25">
                  <c:v>0.61638162295910981</c:v>
                </c:pt>
                <c:pt idx="26">
                  <c:v>0.58629302803612371</c:v>
                </c:pt>
                <c:pt idx="27">
                  <c:v>0.47863113300738547</c:v>
                </c:pt>
                <c:pt idx="28">
                  <c:v>0.23949857455870413</c:v>
                </c:pt>
                <c:pt idx="29">
                  <c:v>0.19858498227191301</c:v>
                </c:pt>
                <c:pt idx="30">
                  <c:v>0.21793885646200037</c:v>
                </c:pt>
                <c:pt idx="31">
                  <c:v>0.27781094092662112</c:v>
                </c:pt>
                <c:pt idx="32">
                  <c:v>0.47818353791525892</c:v>
                </c:pt>
                <c:pt idx="33">
                  <c:v>0.43397494776730211</c:v>
                </c:pt>
                <c:pt idx="34">
                  <c:v>0.2680065435849463</c:v>
                </c:pt>
                <c:pt idx="35">
                  <c:v>0.25837886136539057</c:v>
                </c:pt>
                <c:pt idx="36">
                  <c:v>0.31968777074128485</c:v>
                </c:pt>
                <c:pt idx="37">
                  <c:v>0.29245861866070949</c:v>
                </c:pt>
                <c:pt idx="38">
                  <c:v>0.42613699630763813</c:v>
                </c:pt>
              </c:numCache>
            </c:numRef>
          </c:val>
          <c:extLst>
            <c:ext xmlns:c16="http://schemas.microsoft.com/office/drawing/2014/chart" uri="{C3380CC4-5D6E-409C-BE32-E72D297353CC}">
              <c16:uniqueId val="{00000006-FF2D-4DFA-B527-17311BA05B95}"/>
            </c:ext>
          </c:extLst>
        </c:ser>
        <c:ser>
          <c:idx val="7"/>
          <c:order val="7"/>
          <c:tx>
            <c:strRef>
              <c:f>'Trh práce 1-SNÚ'!$AJ$7</c:f>
              <c:strCache>
                <c:ptCount val="1"/>
                <c:pt idx="0">
                  <c:v>Ostatní odvětví*</c:v>
                </c:pt>
              </c:strCache>
            </c:strRef>
          </c:tx>
          <c:spPr>
            <a:solidFill>
              <a:schemeClr val="bg1">
                <a:lumMod val="85000"/>
              </a:schemeClr>
            </a:solidFill>
            <a:ln>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1-SNÚ'!$AJ$28:$AJ$67</c:f>
              <c:numCache>
                <c:formatCode>#\ ##0.0</c:formatCode>
                <c:ptCount val="40"/>
                <c:pt idx="0">
                  <c:v>-0.11167788297920554</c:v>
                </c:pt>
                <c:pt idx="1">
                  <c:v>3.2922470332453942E-2</c:v>
                </c:pt>
                <c:pt idx="2">
                  <c:v>2.8686723369582272E-2</c:v>
                </c:pt>
                <c:pt idx="3">
                  <c:v>-3.2096578937316919E-2</c:v>
                </c:pt>
                <c:pt idx="4">
                  <c:v>0.1719564056042851</c:v>
                </c:pt>
                <c:pt idx="5">
                  <c:v>0.10973961273620712</c:v>
                </c:pt>
                <c:pt idx="6">
                  <c:v>0.13297815844368727</c:v>
                </c:pt>
                <c:pt idx="7">
                  <c:v>0.21049819060105912</c:v>
                </c:pt>
                <c:pt idx="8">
                  <c:v>-7.8204602142011373E-2</c:v>
                </c:pt>
                <c:pt idx="9">
                  <c:v>-4.3087762424945671E-2</c:v>
                </c:pt>
                <c:pt idx="10">
                  <c:v>-2.4186610414937963E-2</c:v>
                </c:pt>
                <c:pt idx="11">
                  <c:v>-3.215383918742503E-2</c:v>
                </c:pt>
                <c:pt idx="12">
                  <c:v>0.16045174095835293</c:v>
                </c:pt>
                <c:pt idx="13">
                  <c:v>0.15856521644577473</c:v>
                </c:pt>
                <c:pt idx="14">
                  <c:v>-1.9178123401822754E-2</c:v>
                </c:pt>
                <c:pt idx="15">
                  <c:v>-1.4963843331568139E-2</c:v>
                </c:pt>
                <c:pt idx="16">
                  <c:v>-0.11518182702557608</c:v>
                </c:pt>
                <c:pt idx="17">
                  <c:v>-3.7866166105623093E-2</c:v>
                </c:pt>
                <c:pt idx="18">
                  <c:v>9.4440514607494364E-2</c:v>
                </c:pt>
                <c:pt idx="19">
                  <c:v>7.8646220757913818E-2</c:v>
                </c:pt>
                <c:pt idx="20">
                  <c:v>-0.19809850857772601</c:v>
                </c:pt>
                <c:pt idx="21">
                  <c:v>-0.41738438003451656</c:v>
                </c:pt>
                <c:pt idx="22">
                  <c:v>-0.37552484458995661</c:v>
                </c:pt>
                <c:pt idx="23">
                  <c:v>-0.44219932777610815</c:v>
                </c:pt>
                <c:pt idx="24">
                  <c:v>2.3886532147575315E-2</c:v>
                </c:pt>
                <c:pt idx="25">
                  <c:v>0.20574208143493422</c:v>
                </c:pt>
                <c:pt idx="26">
                  <c:v>0.14351545379237532</c:v>
                </c:pt>
                <c:pt idx="27">
                  <c:v>0.21300227805302802</c:v>
                </c:pt>
                <c:pt idx="28">
                  <c:v>0.10114495400653761</c:v>
                </c:pt>
                <c:pt idx="29">
                  <c:v>0.12974320154172242</c:v>
                </c:pt>
                <c:pt idx="30">
                  <c:v>5.4560125484518086E-2</c:v>
                </c:pt>
                <c:pt idx="31">
                  <c:v>5.7942402577863039E-2</c:v>
                </c:pt>
                <c:pt idx="32">
                  <c:v>-9.0047058191729826E-2</c:v>
                </c:pt>
                <c:pt idx="33">
                  <c:v>-5.1034959789617189E-2</c:v>
                </c:pt>
                <c:pt idx="34">
                  <c:v>-6.212666510866946E-2</c:v>
                </c:pt>
                <c:pt idx="35">
                  <c:v>-3.0568977234146574E-2</c:v>
                </c:pt>
                <c:pt idx="36">
                  <c:v>4.4035770308378831E-2</c:v>
                </c:pt>
                <c:pt idx="37">
                  <c:v>0.148636223766028</c:v>
                </c:pt>
                <c:pt idx="38">
                  <c:v>0.10906746482449217</c:v>
                </c:pt>
              </c:numCache>
            </c:numRef>
          </c:val>
          <c:extLst>
            <c:ext xmlns:c16="http://schemas.microsoft.com/office/drawing/2014/chart" uri="{C3380CC4-5D6E-409C-BE32-E72D297353CC}">
              <c16:uniqueId val="{00000007-FF2D-4DFA-B527-17311BA05B95}"/>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Zaměstnanost celkem</c:v>
                </c:pt>
              </c:strCache>
            </c:strRef>
          </c:tx>
          <c:spPr>
            <a:ln w="19050">
              <a:solidFill>
                <a:schemeClr val="tx1">
                  <a:lumMod val="95000"/>
                  <a:lumOff val="5000"/>
                </a:schemeClr>
              </a:solidFill>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1-SNÚ'!$AK$28:$AK$67</c:f>
              <c:numCache>
                <c:formatCode>#\ ##0.0</c:formatCode>
                <c:ptCount val="40"/>
                <c:pt idx="0">
                  <c:v>1.3021086405278481</c:v>
                </c:pt>
                <c:pt idx="1">
                  <c:v>1.7082558398097802</c:v>
                </c:pt>
                <c:pt idx="2">
                  <c:v>1.3289819265815481</c:v>
                </c:pt>
                <c:pt idx="3">
                  <c:v>1.2361372790363987</c:v>
                </c:pt>
                <c:pt idx="4">
                  <c:v>1.0877626267559606</c:v>
                </c:pt>
                <c:pt idx="5">
                  <c:v>0.94310014599115277</c:v>
                </c:pt>
                <c:pt idx="6">
                  <c:v>0.92188662907126684</c:v>
                </c:pt>
                <c:pt idx="7">
                  <c:v>1.1773846211003729</c:v>
                </c:pt>
                <c:pt idx="8">
                  <c:v>1.1680743879255715</c:v>
                </c:pt>
                <c:pt idx="9">
                  <c:v>1.1767436289615603</c:v>
                </c:pt>
                <c:pt idx="10">
                  <c:v>1.7705211142985604</c:v>
                </c:pt>
                <c:pt idx="11">
                  <c:v>1.2082803936543201</c:v>
                </c:pt>
                <c:pt idx="12">
                  <c:v>1.3037795784239563</c:v>
                </c:pt>
                <c:pt idx="13">
                  <c:v>1.5291851714574989</c:v>
                </c:pt>
                <c:pt idx="14">
                  <c:v>0.73910983424083554</c:v>
                </c:pt>
                <c:pt idx="15">
                  <c:v>1.0379380425450648</c:v>
                </c:pt>
                <c:pt idx="16">
                  <c:v>0.25887326493901242</c:v>
                </c:pt>
                <c:pt idx="17">
                  <c:v>-7.5806835243426463E-2</c:v>
                </c:pt>
                <c:pt idx="18">
                  <c:v>-9.5093759273751743E-2</c:v>
                </c:pt>
                <c:pt idx="19">
                  <c:v>-0.66435311204230629</c:v>
                </c:pt>
                <c:pt idx="20">
                  <c:v>-1.3818847925181785</c:v>
                </c:pt>
                <c:pt idx="21">
                  <c:v>-2.8967132098465527</c:v>
                </c:pt>
                <c:pt idx="22">
                  <c:v>-2.5521715371933311</c:v>
                </c:pt>
                <c:pt idx="23">
                  <c:v>-2.4461532554347798</c:v>
                </c:pt>
                <c:pt idx="24">
                  <c:v>-0.69976164653277806</c:v>
                </c:pt>
                <c:pt idx="25">
                  <c:v>1.0521294535779759</c:v>
                </c:pt>
                <c:pt idx="26">
                  <c:v>1.6885400245352713</c:v>
                </c:pt>
                <c:pt idx="27">
                  <c:v>1.9593560012249469</c:v>
                </c:pt>
                <c:pt idx="28">
                  <c:v>0.96064796916854789</c:v>
                </c:pt>
                <c:pt idx="29">
                  <c:v>1.5035584400042268</c:v>
                </c:pt>
                <c:pt idx="30">
                  <c:v>0.83914000874771943</c:v>
                </c:pt>
                <c:pt idx="31">
                  <c:v>0.77931307464571375</c:v>
                </c:pt>
                <c:pt idx="32">
                  <c:v>1.5130817839831252</c:v>
                </c:pt>
                <c:pt idx="33">
                  <c:v>1.0800247632778905</c:v>
                </c:pt>
                <c:pt idx="34">
                  <c:v>0.74144426267818631</c:v>
                </c:pt>
                <c:pt idx="35">
                  <c:v>0.78408679197829656</c:v>
                </c:pt>
                <c:pt idx="36">
                  <c:v>0.31434163449826258</c:v>
                </c:pt>
                <c:pt idx="37">
                  <c:v>0.22691648710468826</c:v>
                </c:pt>
                <c:pt idx="38">
                  <c:v>0.44515931236091433</c:v>
                </c:pt>
              </c:numCache>
            </c:numRef>
          </c:val>
          <c:smooth val="0"/>
          <c:extLst>
            <c:ext xmlns:c16="http://schemas.microsoft.com/office/drawing/2014/chart" uri="{C3380CC4-5D6E-409C-BE32-E72D297353CC}">
              <c16:uniqueId val="{00000008-FF2D-4DFA-B527-17311BA05B95}"/>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1-SNÚ'!$AL$28:$AL$67</c:f>
              <c:numCache>
                <c:formatCode>General</c:formatCode>
                <c:ptCount val="40"/>
              </c:numCache>
            </c:numRef>
          </c:val>
          <c:smooth val="0"/>
          <c:extLst>
            <c:ext xmlns:c16="http://schemas.microsoft.com/office/drawing/2014/chart" uri="{C3380CC4-5D6E-409C-BE32-E72D297353CC}">
              <c16:uniqueId val="{00000009-FF2D-4DFA-B527-17311BA05B95}"/>
            </c:ext>
          </c:extLst>
        </c:ser>
        <c:ser>
          <c:idx val="10"/>
          <c:order val="10"/>
          <c:tx>
            <c:strRef>
              <c:f>'Trh práce 1-SNÚ'!$AM$7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1-SNÚ'!$AM$28:$AM$67</c:f>
              <c:numCache>
                <c:formatCode>#\ ##0.0</c:formatCode>
                <c:ptCount val="40"/>
                <c:pt idx="0">
                  <c:v>-3</c:v>
                </c:pt>
                <c:pt idx="1">
                  <c:v>4.3</c:v>
                </c:pt>
                <c:pt idx="2">
                  <c:v>5.5</c:v>
                </c:pt>
                <c:pt idx="3">
                  <c:v>7.8</c:v>
                </c:pt>
                <c:pt idx="4">
                  <c:v>8.1999999999999993</c:v>
                </c:pt>
                <c:pt idx="5">
                  <c:v>9.9</c:v>
                </c:pt>
                <c:pt idx="6">
                  <c:v>3.8</c:v>
                </c:pt>
                <c:pt idx="7">
                  <c:v>9.5</c:v>
                </c:pt>
                <c:pt idx="8">
                  <c:v>11.1</c:v>
                </c:pt>
                <c:pt idx="9">
                  <c:v>5.7</c:v>
                </c:pt>
                <c:pt idx="10">
                  <c:v>8.1999999999999993</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pt idx="34">
                  <c:v>-4.3</c:v>
                </c:pt>
                <c:pt idx="35">
                  <c:v>-8.3000000000000007</c:v>
                </c:pt>
                <c:pt idx="36">
                  <c:v>-6</c:v>
                </c:pt>
                <c:pt idx="37">
                  <c:v>-9.6</c:v>
                </c:pt>
                <c:pt idx="38">
                  <c:v>-10.7</c:v>
                </c:pt>
                <c:pt idx="39">
                  <c:v>-13.2</c:v>
                </c:pt>
              </c:numCache>
            </c:numRef>
          </c:val>
          <c:smooth val="0"/>
          <c:extLst>
            <c:ext xmlns:c16="http://schemas.microsoft.com/office/drawing/2014/chart" uri="{C3380CC4-5D6E-409C-BE32-E72D297353CC}">
              <c16:uniqueId val="{0000000A-FF2D-4DFA-B527-17311BA05B95}"/>
            </c:ext>
          </c:extLst>
        </c:ser>
        <c:ser>
          <c:idx val="11"/>
          <c:order val="11"/>
          <c:tx>
            <c:strRef>
              <c:f>'Trh práce 1-SNÚ'!$AN$7</c:f>
              <c:strCache>
                <c:ptCount val="1"/>
                <c:pt idx="0">
                  <c:v>Očekávání zaměstnanosti (stavebnictví)</c:v>
                </c:pt>
              </c:strCache>
            </c:strRef>
          </c:tx>
          <c:spPr>
            <a:ln w="15875">
              <a:solidFill>
                <a:srgbClr val="00B0F0"/>
              </a:solidFill>
              <a:prstDash val="sysDot"/>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1-SNÚ'!$AN$28:$AN$67</c:f>
              <c:numCache>
                <c:formatCode>#\ ##0.0</c:formatCode>
                <c:ptCount val="40"/>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5.7</c:v>
                </c:pt>
                <c:pt idx="21">
                  <c:v>-4.2</c:v>
                </c:pt>
                <c:pt idx="22">
                  <c:v>1.5</c:v>
                </c:pt>
                <c:pt idx="23">
                  <c:v>-1.5</c:v>
                </c:pt>
                <c:pt idx="24">
                  <c:v>3.9</c:v>
                </c:pt>
                <c:pt idx="25">
                  <c:v>4.4000000000000004</c:v>
                </c:pt>
                <c:pt idx="26">
                  <c:v>4.0999999999999996</c:v>
                </c:pt>
                <c:pt idx="27">
                  <c:v>8.3000000000000007</c:v>
                </c:pt>
                <c:pt idx="28">
                  <c:v>9.1999999999999993</c:v>
                </c:pt>
                <c:pt idx="29">
                  <c:v>8.6</c:v>
                </c:pt>
                <c:pt idx="30">
                  <c:v>1.4</c:v>
                </c:pt>
                <c:pt idx="31">
                  <c:v>-1.9</c:v>
                </c:pt>
                <c:pt idx="32">
                  <c:v>-13.1</c:v>
                </c:pt>
                <c:pt idx="33">
                  <c:v>-12</c:v>
                </c:pt>
                <c:pt idx="34">
                  <c:v>-7.2</c:v>
                </c:pt>
                <c:pt idx="35">
                  <c:v>-1.9</c:v>
                </c:pt>
                <c:pt idx="36">
                  <c:v>-1</c:v>
                </c:pt>
                <c:pt idx="37">
                  <c:v>-7.7</c:v>
                </c:pt>
                <c:pt idx="38">
                  <c:v>-5.4</c:v>
                </c:pt>
                <c:pt idx="39">
                  <c:v>7.8</c:v>
                </c:pt>
              </c:numCache>
            </c:numRef>
          </c:val>
          <c:smooth val="0"/>
          <c:extLst>
            <c:ext xmlns:c16="http://schemas.microsoft.com/office/drawing/2014/chart" uri="{C3380CC4-5D6E-409C-BE32-E72D297353CC}">
              <c16:uniqueId val="{0000000B-FF2D-4DFA-B527-17311BA05B95}"/>
            </c:ext>
          </c:extLst>
        </c:ser>
        <c:ser>
          <c:idx val="12"/>
          <c:order val="12"/>
          <c:tx>
            <c:strRef>
              <c:f>'Trh práce 1-SNÚ'!$AO$7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1-SNÚ'!$AO$28:$AO$67</c:f>
              <c:numCache>
                <c:formatCode>#\ ##0.0</c:formatCode>
                <c:ptCount val="40"/>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c:v>
                </c:pt>
                <c:pt idx="24">
                  <c:v>5.3</c:v>
                </c:pt>
                <c:pt idx="25">
                  <c:v>13.1</c:v>
                </c:pt>
                <c:pt idx="26">
                  <c:v>10.8</c:v>
                </c:pt>
                <c:pt idx="27">
                  <c:v>8.5</c:v>
                </c:pt>
                <c:pt idx="28">
                  <c:v>10.3</c:v>
                </c:pt>
                <c:pt idx="29">
                  <c:v>3.3</c:v>
                </c:pt>
                <c:pt idx="30">
                  <c:v>5.2</c:v>
                </c:pt>
                <c:pt idx="31">
                  <c:v>12.6</c:v>
                </c:pt>
                <c:pt idx="32">
                  <c:v>11</c:v>
                </c:pt>
                <c:pt idx="33">
                  <c:v>9.1</c:v>
                </c:pt>
                <c:pt idx="34">
                  <c:v>11.6</c:v>
                </c:pt>
                <c:pt idx="35">
                  <c:v>10.4</c:v>
                </c:pt>
                <c:pt idx="36">
                  <c:v>5.9</c:v>
                </c:pt>
                <c:pt idx="37">
                  <c:v>9.2000000000000011</c:v>
                </c:pt>
                <c:pt idx="38">
                  <c:v>2.9</c:v>
                </c:pt>
                <c:pt idx="39">
                  <c:v>7.3</c:v>
                </c:pt>
              </c:numCache>
            </c:numRef>
          </c:val>
          <c:smooth val="0"/>
          <c:extLst>
            <c:ext xmlns:c16="http://schemas.microsoft.com/office/drawing/2014/chart" uri="{C3380CC4-5D6E-409C-BE32-E72D297353CC}">
              <c16:uniqueId val="{0000000C-FF2D-4DFA-B527-17311BA05B95}"/>
            </c:ext>
          </c:extLst>
        </c:ser>
        <c:ser>
          <c:idx val="13"/>
          <c:order val="13"/>
          <c:tx>
            <c:strRef>
              <c:f>'Trh práce 1-SNÚ'!$AP$7</c:f>
              <c:strCache>
                <c:ptCount val="1"/>
                <c:pt idx="0">
                  <c:v>Očekávání zaměstnanosti (vybr. služby)</c:v>
                </c:pt>
              </c:strCache>
            </c:strRef>
          </c:tx>
          <c:spPr>
            <a:ln w="15875">
              <a:solidFill>
                <a:srgbClr val="C00000"/>
              </a:solidFill>
              <a:prstDash val="sysDot"/>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1-SNÚ'!$AP$28:$AP$67</c:f>
              <c:numCache>
                <c:formatCode>#\ ##0.0</c:formatCode>
                <c:ptCount val="40"/>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-32.299999999999997</c:v>
                </c:pt>
                <c:pt idx="22">
                  <c:v>-28.6</c:v>
                </c:pt>
                <c:pt idx="23">
                  <c:v>-30.1</c:v>
                </c:pt>
                <c:pt idx="24">
                  <c:v>-27</c:v>
                </c:pt>
                <c:pt idx="25">
                  <c:v>-27.7</c:v>
                </c:pt>
                <c:pt idx="26">
                  <c:v>-12.1</c:v>
                </c:pt>
                <c:pt idx="27">
                  <c:v>-15.8</c:v>
                </c:pt>
                <c:pt idx="28">
                  <c:v>-6.8</c:v>
                </c:pt>
                <c:pt idx="29">
                  <c:v>-3.5</c:v>
                </c:pt>
                <c:pt idx="30">
                  <c:v>-6.1</c:v>
                </c:pt>
                <c:pt idx="31">
                  <c:v>-6.4</c:v>
                </c:pt>
                <c:pt idx="32">
                  <c:v>-10.7</c:v>
                </c:pt>
                <c:pt idx="33">
                  <c:v>-16.7</c:v>
                </c:pt>
                <c:pt idx="34">
                  <c:v>-14.5</c:v>
                </c:pt>
                <c:pt idx="35">
                  <c:v>-15.2</c:v>
                </c:pt>
                <c:pt idx="36">
                  <c:v>-23.7</c:v>
                </c:pt>
                <c:pt idx="37">
                  <c:v>-16</c:v>
                </c:pt>
                <c:pt idx="38">
                  <c:v>-15.7</c:v>
                </c:pt>
                <c:pt idx="39">
                  <c:v>-6.6000000000000014</c:v>
                </c:pt>
              </c:numCache>
            </c:numRef>
          </c:val>
          <c:smooth val="0"/>
          <c:extLst>
            <c:ext xmlns:c16="http://schemas.microsoft.com/office/drawing/2014/chart" uri="{C3380CC4-5D6E-409C-BE32-E72D297353CC}">
              <c16:uniqueId val="{0000000D-FF2D-4DFA-B527-17311BA05B95}"/>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Příspěvek k růstu zaměstnanosti</a:t>
                </a:r>
              </a:p>
            </c:rich>
          </c:tx>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Očekávání vývoje zaměstnanosti</a:t>
                </a:r>
              </a:p>
            </c:rich>
          </c:tx>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1.5472441370721637E-2"/>
          <c:y val="0.77992823117070742"/>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036417007492182E-2"/>
          <c:y val="1.6081916099773243E-2"/>
          <c:w val="0.84656372322027451"/>
          <c:h val="0.76494082349138992"/>
        </c:manualLayout>
      </c:layout>
      <c:barChart>
        <c:barDir val="col"/>
        <c:grouping val="clustered"/>
        <c:varyColors val="0"/>
        <c:ser>
          <c:idx val="0"/>
          <c:order val="0"/>
          <c:tx>
            <c:strRef>
              <c:f>'Trh práce-2b'!$A$32</c:f>
              <c:strCache>
                <c:ptCount val="1"/>
                <c:pt idx="0">
                  <c:v>Míra nezaměstnanosti mužů</c:v>
                </c:pt>
              </c:strCache>
            </c:strRef>
          </c:tx>
          <c:spPr>
            <a:solidFill>
              <a:srgbClr val="BCBCBC"/>
            </a:solidFill>
          </c:spPr>
          <c:invertIfNegative val="0"/>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práce-2b'!$B$32:$AO$32</c:f>
              <c:numCache>
                <c:formatCode>0.0</c:formatCode>
                <c:ptCount val="40"/>
                <c:pt idx="0">
                  <c:v>5.0060614318818786</c:v>
                </c:pt>
                <c:pt idx="1">
                  <c:v>4.3476026703788326</c:v>
                </c:pt>
                <c:pt idx="2">
                  <c:v>4.0829567122283956</c:v>
                </c:pt>
                <c:pt idx="3">
                  <c:v>3.7780124699245206</c:v>
                </c:pt>
                <c:pt idx="4">
                  <c:v>3.6308548469613915</c:v>
                </c:pt>
                <c:pt idx="5">
                  <c:v>3.5683932729093826</c:v>
                </c:pt>
                <c:pt idx="6">
                  <c:v>3.3886341805752775</c:v>
                </c:pt>
                <c:pt idx="7">
                  <c:v>3.1627884262991657</c:v>
                </c:pt>
                <c:pt idx="8">
                  <c:v>2.6978704008864565</c:v>
                </c:pt>
                <c:pt idx="9">
                  <c:v>2.4606224397092089</c:v>
                </c:pt>
                <c:pt idx="10">
                  <c:v>2.2672029844030934</c:v>
                </c:pt>
                <c:pt idx="11">
                  <c:v>2.0483918275103252</c:v>
                </c:pt>
                <c:pt idx="12">
                  <c:v>1.8911262697555336</c:v>
                </c:pt>
                <c:pt idx="13">
                  <c:v>1.8502744780869824</c:v>
                </c:pt>
                <c:pt idx="14">
                  <c:v>1.8849129377625591</c:v>
                </c:pt>
                <c:pt idx="15">
                  <c:v>1.6685975086236053</c:v>
                </c:pt>
                <c:pt idx="16">
                  <c:v>1.7959096283641582</c:v>
                </c:pt>
                <c:pt idx="17">
                  <c:v>1.6810325283586705</c:v>
                </c:pt>
                <c:pt idx="18">
                  <c:v>1.7723659604429993</c:v>
                </c:pt>
                <c:pt idx="19">
                  <c:v>1.8597497372408309</c:v>
                </c:pt>
                <c:pt idx="20">
                  <c:v>1.8411857662289703</c:v>
                </c:pt>
                <c:pt idx="21">
                  <c:v>2.2515536532883242</c:v>
                </c:pt>
                <c:pt idx="22">
                  <c:v>2.5266037166440989</c:v>
                </c:pt>
                <c:pt idx="23">
                  <c:v>2.5410740847575379</c:v>
                </c:pt>
                <c:pt idx="24">
                  <c:v>2.6701376384155275</c:v>
                </c:pt>
                <c:pt idx="25">
                  <c:v>2.5540164569754014</c:v>
                </c:pt>
                <c:pt idx="26">
                  <c:v>2.2797494006354522</c:v>
                </c:pt>
                <c:pt idx="27">
                  <c:v>1.9712676802352715</c:v>
                </c:pt>
                <c:pt idx="28">
                  <c:v>1.9662857656302093</c:v>
                </c:pt>
                <c:pt idx="29">
                  <c:v>1.8991265316038841</c:v>
                </c:pt>
                <c:pt idx="30">
                  <c:v>1.9302060930984635</c:v>
                </c:pt>
                <c:pt idx="31">
                  <c:v>2.0908871335994172</c:v>
                </c:pt>
                <c:pt idx="32">
                  <c:v>2.158457539355743</c:v>
                </c:pt>
                <c:pt idx="33">
                  <c:v>2.2441830862279346</c:v>
                </c:pt>
                <c:pt idx="34">
                  <c:v>2.3242338906608002</c:v>
                </c:pt>
                <c:pt idx="35">
                  <c:v>2.3234164429528756</c:v>
                </c:pt>
                <c:pt idx="36">
                  <c:v>2.3851828417272967</c:v>
                </c:pt>
                <c:pt idx="37">
                  <c:v>2.4413799205284641</c:v>
                </c:pt>
                <c:pt idx="38">
                  <c:v>2.3969421954370387</c:v>
                </c:pt>
              </c:numCache>
            </c:numRef>
          </c:val>
          <c:extLst>
            <c:ext xmlns:c16="http://schemas.microsoft.com/office/drawing/2014/chart" uri="{C3380CC4-5D6E-409C-BE32-E72D297353CC}">
              <c16:uniqueId val="{00000000-D23F-4893-9DF2-FE87555AB36E}"/>
            </c:ext>
          </c:extLst>
        </c:ser>
        <c:ser>
          <c:idx val="1"/>
          <c:order val="1"/>
          <c:tx>
            <c:strRef>
              <c:f>'Trh práce-2b'!$A$33</c:f>
              <c:strCache>
                <c:ptCount val="1"/>
                <c:pt idx="0">
                  <c:v>Míra nezaměstnanosti žen</c:v>
                </c:pt>
              </c:strCache>
            </c:strRef>
          </c:tx>
          <c:spPr>
            <a:solidFill>
              <a:schemeClr val="bg1">
                <a:lumMod val="95000"/>
              </a:schemeClr>
            </a:solidFill>
            <a:ln>
              <a:solidFill>
                <a:schemeClr val="bg1">
                  <a:lumMod val="65000"/>
                </a:schemeClr>
              </a:solidFill>
            </a:ln>
          </c:spPr>
          <c:invertIfNegative val="0"/>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práce-2b'!$B$33:$AO$33</c:f>
              <c:numCache>
                <c:formatCode>0.0</c:formatCode>
                <c:ptCount val="40"/>
                <c:pt idx="0">
                  <c:v>6.9176026646187907</c:v>
                </c:pt>
                <c:pt idx="1">
                  <c:v>6.1533433777456823</c:v>
                </c:pt>
                <c:pt idx="2">
                  <c:v>5.979669184060981</c:v>
                </c:pt>
                <c:pt idx="3">
                  <c:v>5.6694534626602291</c:v>
                </c:pt>
                <c:pt idx="4">
                  <c:v>5.0625927289311328</c:v>
                </c:pt>
                <c:pt idx="5">
                  <c:v>4.7996805549909469</c:v>
                </c:pt>
                <c:pt idx="6">
                  <c:v>4.8119988849950905</c:v>
                </c:pt>
                <c:pt idx="7">
                  <c:v>4.3735356385026884</c:v>
                </c:pt>
                <c:pt idx="8">
                  <c:v>4.2615230888420355</c:v>
                </c:pt>
                <c:pt idx="9">
                  <c:v>3.8901134695044504</c:v>
                </c:pt>
                <c:pt idx="10">
                  <c:v>3.4119977177875445</c:v>
                </c:pt>
                <c:pt idx="11">
                  <c:v>3.0345737682697713</c:v>
                </c:pt>
                <c:pt idx="12">
                  <c:v>2.9328770848852446</c:v>
                </c:pt>
                <c:pt idx="13">
                  <c:v>2.8874310406207755</c:v>
                </c:pt>
                <c:pt idx="14">
                  <c:v>2.8603605201540816</c:v>
                </c:pt>
                <c:pt idx="15">
                  <c:v>2.6897529396672049</c:v>
                </c:pt>
                <c:pt idx="16">
                  <c:v>2.2380657050297583</c:v>
                </c:pt>
                <c:pt idx="17">
                  <c:v>2.4671948527519998</c:v>
                </c:pt>
                <c:pt idx="18">
                  <c:v>2.567828228888557</c:v>
                </c:pt>
                <c:pt idx="19">
                  <c:v>2.4452221986729961</c:v>
                </c:pt>
                <c:pt idx="20">
                  <c:v>2.0363687195120996</c:v>
                </c:pt>
                <c:pt idx="21">
                  <c:v>2.8065110590590137</c:v>
                </c:pt>
                <c:pt idx="22">
                  <c:v>3.3719437402001238</c:v>
                </c:pt>
                <c:pt idx="23">
                  <c:v>3.9083176957521197</c:v>
                </c:pt>
                <c:pt idx="24">
                  <c:v>4.1420272109126728</c:v>
                </c:pt>
                <c:pt idx="25">
                  <c:v>3.9005333793021131</c:v>
                </c:pt>
                <c:pt idx="26">
                  <c:v>3.2628998546698331</c:v>
                </c:pt>
                <c:pt idx="27">
                  <c:v>2.7479024952607474</c:v>
                </c:pt>
                <c:pt idx="28">
                  <c:v>2.9848560245830176</c:v>
                </c:pt>
                <c:pt idx="29">
                  <c:v>3.2047653134240122</c:v>
                </c:pt>
                <c:pt idx="30">
                  <c:v>2.8972881145371865</c:v>
                </c:pt>
                <c:pt idx="31">
                  <c:v>2.8105229975177592</c:v>
                </c:pt>
                <c:pt idx="32">
                  <c:v>3.016191884210798</c:v>
                </c:pt>
                <c:pt idx="33">
                  <c:v>3.1890633268490078</c:v>
                </c:pt>
                <c:pt idx="34">
                  <c:v>3.2146658223104878</c:v>
                </c:pt>
                <c:pt idx="35">
                  <c:v>3.3137000736325901</c:v>
                </c:pt>
                <c:pt idx="36">
                  <c:v>3.5227022810559263</c:v>
                </c:pt>
                <c:pt idx="37">
                  <c:v>3.2105749548844904</c:v>
                </c:pt>
                <c:pt idx="38">
                  <c:v>3.2967188481311864</c:v>
                </c:pt>
              </c:numCache>
            </c:numRef>
          </c:val>
          <c:extLst>
            <c:ext xmlns:c16="http://schemas.microsoft.com/office/drawing/2014/chart" uri="{C3380CC4-5D6E-409C-BE32-E72D297353CC}">
              <c16:uniqueId val="{00000001-D23F-4893-9DF2-FE87555AB36E}"/>
            </c:ext>
          </c:extLst>
        </c:ser>
        <c:dLbls>
          <c:showLegendKey val="0"/>
          <c:showVal val="0"/>
          <c:showCatName val="0"/>
          <c:showSerName val="0"/>
          <c:showPercent val="0"/>
          <c:showBubbleSize val="0"/>
        </c:dLbls>
        <c:gapWidth val="68"/>
        <c:axId val="100654464"/>
        <c:axId val="101647488"/>
      </c:barChart>
      <c:lineChart>
        <c:grouping val="standard"/>
        <c:varyColors val="0"/>
        <c:ser>
          <c:idx val="4"/>
          <c:order val="2"/>
          <c:tx>
            <c:strRef>
              <c:f>'Trh práce-2b'!$A$34</c:f>
              <c:strCache>
                <c:ptCount val="1"/>
                <c:pt idx="0">
                  <c:v>VPM pro vyučené a SŠ bez mat.</c:v>
                </c:pt>
              </c:strCache>
            </c:strRef>
          </c:tx>
          <c:spPr>
            <a:ln w="19050">
              <a:noFill/>
              <a:prstDash val="sysDash"/>
            </a:ln>
          </c:spPr>
          <c:marker>
            <c:symbol val="circle"/>
            <c:size val="4"/>
            <c:spPr>
              <a:solidFill>
                <a:schemeClr val="tx2">
                  <a:lumMod val="60000"/>
                  <a:lumOff val="40000"/>
                </a:schemeClr>
              </a:solidFill>
              <a:ln>
                <a:noFill/>
              </a:ln>
            </c:spPr>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práce-2b'!$B$34:$AO$34</c:f>
              <c:numCache>
                <c:formatCode>0.0</c:formatCode>
                <c:ptCount val="40"/>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43.887</c:v>
                </c:pt>
                <c:pt idx="32">
                  <c:v>43.122</c:v>
                </c:pt>
                <c:pt idx="33">
                  <c:v>42.853999999999999</c:v>
                </c:pt>
                <c:pt idx="34">
                  <c:v>41.186</c:v>
                </c:pt>
                <c:pt idx="35">
                  <c:v>38.177999999999997</c:v>
                </c:pt>
                <c:pt idx="36">
                  <c:v>37.228000000000002</c:v>
                </c:pt>
                <c:pt idx="37">
                  <c:v>36.956000000000003</c:v>
                </c:pt>
                <c:pt idx="38">
                  <c:v>37.122999999999998</c:v>
                </c:pt>
              </c:numCache>
            </c:numRef>
          </c:val>
          <c:smooth val="0"/>
          <c:extLst>
            <c:ext xmlns:c16="http://schemas.microsoft.com/office/drawing/2014/chart" uri="{C3380CC4-5D6E-409C-BE32-E72D297353CC}">
              <c16:uniqueId val="{00000002-D23F-4893-9DF2-FE87555AB36E}"/>
            </c:ext>
          </c:extLst>
        </c:ser>
        <c:ser>
          <c:idx val="5"/>
          <c:order val="3"/>
          <c:tx>
            <c:strRef>
              <c:f>'Trh práce-2b'!$A$35</c:f>
              <c:strCache>
                <c:ptCount val="1"/>
                <c:pt idx="0">
                  <c:v>VPM pro SŠ s mat., VOŠ a VŠ</c:v>
                </c:pt>
              </c:strCache>
            </c:strRef>
          </c:tx>
          <c:spPr>
            <a:ln w="19050">
              <a:noFill/>
              <a:prstDash val="dash"/>
            </a:ln>
          </c:spPr>
          <c:marker>
            <c:symbol val="triangle"/>
            <c:size val="5"/>
            <c:spPr>
              <a:solidFill>
                <a:srgbClr val="00B050"/>
              </a:solidFill>
              <a:ln>
                <a:noFill/>
              </a:ln>
            </c:spPr>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práce-2b'!$B$35:$AO$35</c:f>
              <c:numCache>
                <c:formatCode>0.0</c:formatCode>
                <c:ptCount val="40"/>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34.299999999999997</c:v>
                </c:pt>
                <c:pt idx="13">
                  <c:v>38</c:v>
                </c:pt>
                <c:pt idx="14">
                  <c:v>37.200000000000003</c:v>
                </c:pt>
                <c:pt idx="15">
                  <c:v>36.6</c:v>
                </c:pt>
                <c:pt idx="16">
                  <c:v>37.299999999999997</c:v>
                </c:pt>
                <c:pt idx="17">
                  <c:v>38.299999999999997</c:v>
                </c:pt>
                <c:pt idx="18">
                  <c:v>38.6</c:v>
                </c:pt>
                <c:pt idx="19">
                  <c:v>36.299999999999997</c:v>
                </c:pt>
                <c:pt idx="20">
                  <c:v>37.700000000000003</c:v>
                </c:pt>
                <c:pt idx="21">
                  <c:v>38.1</c:v>
                </c:pt>
                <c:pt idx="22">
                  <c:v>34.4</c:v>
                </c:pt>
                <c:pt idx="23">
                  <c:v>34.1</c:v>
                </c:pt>
                <c:pt idx="24">
                  <c:v>36.299999999999997</c:v>
                </c:pt>
                <c:pt idx="25">
                  <c:v>39.6</c:v>
                </c:pt>
                <c:pt idx="26">
                  <c:v>40.299999999999997</c:v>
                </c:pt>
                <c:pt idx="27">
                  <c:v>39.200000000000003</c:v>
                </c:pt>
                <c:pt idx="28">
                  <c:v>42.5</c:v>
                </c:pt>
                <c:pt idx="29">
                  <c:v>41</c:v>
                </c:pt>
                <c:pt idx="30">
                  <c:v>38.5</c:v>
                </c:pt>
                <c:pt idx="31">
                  <c:v>36.56</c:v>
                </c:pt>
                <c:pt idx="32">
                  <c:v>37.613</c:v>
                </c:pt>
                <c:pt idx="33">
                  <c:v>38.130000000000003</c:v>
                </c:pt>
                <c:pt idx="34">
                  <c:v>36.289000000000001</c:v>
                </c:pt>
                <c:pt idx="35">
                  <c:v>34.274000000000001</c:v>
                </c:pt>
                <c:pt idx="36">
                  <c:v>35.200000000000003</c:v>
                </c:pt>
                <c:pt idx="37">
                  <c:v>33.491999999999997</c:v>
                </c:pt>
                <c:pt idx="38">
                  <c:v>32.277000000000001</c:v>
                </c:pt>
              </c:numCache>
            </c:numRef>
          </c:val>
          <c:smooth val="0"/>
          <c:extLst>
            <c:ext xmlns:c16="http://schemas.microsoft.com/office/drawing/2014/chart" uri="{C3380CC4-5D6E-409C-BE32-E72D297353CC}">
              <c16:uniqueId val="{00000003-D23F-4893-9DF2-FE87555AB36E}"/>
            </c:ext>
          </c:extLst>
        </c:ser>
        <c:ser>
          <c:idx val="6"/>
          <c:order val="4"/>
          <c:tx>
            <c:strRef>
              <c:f>'Trh práce-2b'!$A$36</c:f>
              <c:strCache>
                <c:ptCount val="1"/>
                <c:pt idx="0">
                  <c:v>Pracující cizinci (Ukrajinci)</c:v>
                </c:pt>
              </c:strCache>
            </c:strRef>
          </c:tx>
          <c:spPr>
            <a:ln w="15875">
              <a:solidFill>
                <a:srgbClr val="FFC000"/>
              </a:solidFill>
              <a:prstDash val="sysDash"/>
            </a:ln>
          </c:spPr>
          <c:marker>
            <c:symbol val="none"/>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práce-2b'!$B$36:$AO$36</c:f>
              <c:numCache>
                <c:formatCode>#,##0</c:formatCode>
                <c:ptCount val="40"/>
                <c:pt idx="0">
                  <c:v>35.723999999999997</c:v>
                </c:pt>
                <c:pt idx="1">
                  <c:v>38.613999999999997</c:v>
                </c:pt>
                <c:pt idx="2">
                  <c:v>40.725999999999999</c:v>
                </c:pt>
                <c:pt idx="3">
                  <c:v>41.776000000000003</c:v>
                </c:pt>
                <c:pt idx="4">
                  <c:v>43.104999999999997</c:v>
                </c:pt>
                <c:pt idx="5">
                  <c:v>49.847000000000001</c:v>
                </c:pt>
                <c:pt idx="6">
                  <c:v>54.764000000000003</c:v>
                </c:pt>
                <c:pt idx="7">
                  <c:v>54.540999999999997</c:v>
                </c:pt>
                <c:pt idx="8">
                  <c:v>59.363</c:v>
                </c:pt>
                <c:pt idx="9">
                  <c:v>69.864000000000004</c:v>
                </c:pt>
                <c:pt idx="10">
                  <c:v>76.724000000000004</c:v>
                </c:pt>
                <c:pt idx="11">
                  <c:v>81.688999999999993</c:v>
                </c:pt>
                <c:pt idx="12">
                  <c:v>97.317999999999998</c:v>
                </c:pt>
                <c:pt idx="13">
                  <c:v>115.39100000000001</c:v>
                </c:pt>
                <c:pt idx="14">
                  <c:v>134.202</c:v>
                </c:pt>
                <c:pt idx="15">
                  <c:v>121.08499999999999</c:v>
                </c:pt>
                <c:pt idx="16">
                  <c:v>146.08500000000001</c:v>
                </c:pt>
                <c:pt idx="17">
                  <c:v>152.69800000000001</c:v>
                </c:pt>
                <c:pt idx="18">
                  <c:v>164.92400000000001</c:v>
                </c:pt>
                <c:pt idx="19">
                  <c:v>144.114</c:v>
                </c:pt>
                <c:pt idx="20">
                  <c:v>169.14699999999999</c:v>
                </c:pt>
                <c:pt idx="21">
                  <c:v>133.08600000000001</c:v>
                </c:pt>
                <c:pt idx="22">
                  <c:v>173.584</c:v>
                </c:pt>
                <c:pt idx="23">
                  <c:v>159.46799999999999</c:v>
                </c:pt>
                <c:pt idx="24">
                  <c:v>186.35599999999999</c:v>
                </c:pt>
                <c:pt idx="25">
                  <c:v>191.58500000000001</c:v>
                </c:pt>
                <c:pt idx="26">
                  <c:v>214.10599999999999</c:v>
                </c:pt>
                <c:pt idx="27">
                  <c:v>195.11600000000001</c:v>
                </c:pt>
                <c:pt idx="28">
                  <c:v>238.024</c:v>
                </c:pt>
                <c:pt idx="29">
                  <c:v>248.58799999999999</c:v>
                </c:pt>
                <c:pt idx="30">
                  <c:v>262.17899999999997</c:v>
                </c:pt>
                <c:pt idx="31">
                  <c:v>269.911</c:v>
                </c:pt>
                <c:pt idx="32">
                  <c:v>261.31299999999999</c:v>
                </c:pt>
                <c:pt idx="33">
                  <c:v>269.04500000000002</c:v>
                </c:pt>
                <c:pt idx="34">
                  <c:v>282.22300000000001</c:v>
                </c:pt>
                <c:pt idx="35">
                  <c:v>285.54500000000002</c:v>
                </c:pt>
                <c:pt idx="36">
                  <c:v>283.649</c:v>
                </c:pt>
                <c:pt idx="37">
                  <c:v>286.25599999999997</c:v>
                </c:pt>
                <c:pt idx="38">
                  <c:v>291.79199999999997</c:v>
                </c:pt>
              </c:numCache>
            </c:numRef>
          </c:val>
          <c:smooth val="0"/>
          <c:extLst>
            <c:ext xmlns:c16="http://schemas.microsoft.com/office/drawing/2014/chart" uri="{C3380CC4-5D6E-409C-BE32-E72D297353CC}">
              <c16:uniqueId val="{00000004-D23F-4893-9DF2-FE87555AB36E}"/>
            </c:ext>
          </c:extLst>
        </c:ser>
        <c:ser>
          <c:idx val="7"/>
          <c:order val="5"/>
          <c:tx>
            <c:strRef>
              <c:f>'Trh práce-2b'!$A$37</c:f>
              <c:strCache>
                <c:ptCount val="1"/>
                <c:pt idx="0">
                  <c:v>Pracující cizinci (Slováci)</c:v>
                </c:pt>
              </c:strCache>
            </c:strRef>
          </c:tx>
          <c:spPr>
            <a:ln w="19050">
              <a:solidFill>
                <a:schemeClr val="accent2">
                  <a:lumMod val="60000"/>
                  <a:lumOff val="40000"/>
                </a:schemeClr>
              </a:solidFill>
              <a:prstDash val="sysDash"/>
            </a:ln>
          </c:spPr>
          <c:marker>
            <c:symbol val="none"/>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práce-2b'!$B$37:$AO$37</c:f>
              <c:numCache>
                <c:formatCode>#,##0</c:formatCode>
                <c:ptCount val="40"/>
                <c:pt idx="0">
                  <c:v>132.65199999999999</c:v>
                </c:pt>
                <c:pt idx="1">
                  <c:v>141.858</c:v>
                </c:pt>
                <c:pt idx="2">
                  <c:v>148.23099999999999</c:v>
                </c:pt>
                <c:pt idx="3">
                  <c:v>150.31700000000001</c:v>
                </c:pt>
                <c:pt idx="4">
                  <c:v>148.67500000000001</c:v>
                </c:pt>
                <c:pt idx="5">
                  <c:v>153.64599999999999</c:v>
                </c:pt>
                <c:pt idx="6">
                  <c:v>159.30099999999999</c:v>
                </c:pt>
                <c:pt idx="7">
                  <c:v>161.559</c:v>
                </c:pt>
                <c:pt idx="8">
                  <c:v>159.88200000000001</c:v>
                </c:pt>
                <c:pt idx="9">
                  <c:v>165.69800000000001</c:v>
                </c:pt>
                <c:pt idx="10">
                  <c:v>170.643</c:v>
                </c:pt>
                <c:pt idx="11">
                  <c:v>177.059</c:v>
                </c:pt>
                <c:pt idx="12">
                  <c:v>180.01900000000001</c:v>
                </c:pt>
                <c:pt idx="13">
                  <c:v>187.33799999999999</c:v>
                </c:pt>
                <c:pt idx="14">
                  <c:v>192.66499999999999</c:v>
                </c:pt>
                <c:pt idx="15">
                  <c:v>191.81800000000001</c:v>
                </c:pt>
                <c:pt idx="16">
                  <c:v>187.18299999999999</c:v>
                </c:pt>
                <c:pt idx="17">
                  <c:v>191.41800000000001</c:v>
                </c:pt>
                <c:pt idx="18">
                  <c:v>199.02799999999999</c:v>
                </c:pt>
                <c:pt idx="19">
                  <c:v>201.952</c:v>
                </c:pt>
                <c:pt idx="20">
                  <c:v>198.05799999999999</c:v>
                </c:pt>
                <c:pt idx="21">
                  <c:v>199.249</c:v>
                </c:pt>
                <c:pt idx="22">
                  <c:v>202.91</c:v>
                </c:pt>
                <c:pt idx="23">
                  <c:v>204.29400000000001</c:v>
                </c:pt>
                <c:pt idx="24">
                  <c:v>201.91800000000001</c:v>
                </c:pt>
                <c:pt idx="25">
                  <c:v>204.476</c:v>
                </c:pt>
                <c:pt idx="26">
                  <c:v>208.249</c:v>
                </c:pt>
                <c:pt idx="27">
                  <c:v>209.273</c:v>
                </c:pt>
                <c:pt idx="28">
                  <c:v>207.86</c:v>
                </c:pt>
                <c:pt idx="29">
                  <c:v>211.31700000000001</c:v>
                </c:pt>
                <c:pt idx="30">
                  <c:v>212.55099999999999</c:v>
                </c:pt>
                <c:pt idx="31">
                  <c:v>213.447</c:v>
                </c:pt>
                <c:pt idx="32">
                  <c:v>209.79599999999999</c:v>
                </c:pt>
                <c:pt idx="33">
                  <c:v>212.12299999999999</c:v>
                </c:pt>
                <c:pt idx="34">
                  <c:v>215.20599999999999</c:v>
                </c:pt>
                <c:pt idx="35">
                  <c:v>216.239</c:v>
                </c:pt>
                <c:pt idx="36">
                  <c:v>213.9</c:v>
                </c:pt>
                <c:pt idx="37">
                  <c:v>216.68</c:v>
                </c:pt>
                <c:pt idx="38">
                  <c:v>212.44300000000001</c:v>
                </c:pt>
              </c:numCache>
            </c:numRef>
          </c:val>
          <c:smooth val="0"/>
          <c:extLst>
            <c:ext xmlns:c16="http://schemas.microsoft.com/office/drawing/2014/chart" uri="{C3380CC4-5D6E-409C-BE32-E72D297353CC}">
              <c16:uniqueId val="{00000005-D23F-4893-9DF2-FE87555AB36E}"/>
            </c:ext>
          </c:extLst>
        </c:ser>
        <c:ser>
          <c:idx val="2"/>
          <c:order val="6"/>
          <c:tx>
            <c:strRef>
              <c:f>'Trh práce-2b'!$A$38</c:f>
              <c:strCache>
                <c:ptCount val="1"/>
                <c:pt idx="0">
                  <c:v>Pracující cizinci (občané ostat. zemí)</c:v>
                </c:pt>
              </c:strCache>
            </c:strRef>
          </c:tx>
          <c:spPr>
            <a:ln w="19050">
              <a:solidFill>
                <a:srgbClr val="D4A97E"/>
              </a:solidFill>
              <a:prstDash val="sysDash"/>
            </a:ln>
          </c:spPr>
          <c:marker>
            <c:symbol val="none"/>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práce-2b'!$B$38:$AO$38</c:f>
              <c:numCache>
                <c:formatCode>#,##0</c:formatCode>
                <c:ptCount val="40"/>
                <c:pt idx="0">
                  <c:v>100.735</c:v>
                </c:pt>
                <c:pt idx="1">
                  <c:v>113.586</c:v>
                </c:pt>
                <c:pt idx="2">
                  <c:v>124.599</c:v>
                </c:pt>
                <c:pt idx="3">
                  <c:v>129.863</c:v>
                </c:pt>
                <c:pt idx="4">
                  <c:v>134.048</c:v>
                </c:pt>
                <c:pt idx="5">
                  <c:v>145.23599999999999</c:v>
                </c:pt>
                <c:pt idx="6">
                  <c:v>159.786</c:v>
                </c:pt>
                <c:pt idx="7">
                  <c:v>165.274</c:v>
                </c:pt>
                <c:pt idx="8">
                  <c:v>173.614</c:v>
                </c:pt>
                <c:pt idx="9">
                  <c:v>187.52799999999999</c:v>
                </c:pt>
                <c:pt idx="10">
                  <c:v>199.11799999999999</c:v>
                </c:pt>
                <c:pt idx="11">
                  <c:v>213.59899999999999</c:v>
                </c:pt>
                <c:pt idx="12">
                  <c:v>228.61600000000001</c:v>
                </c:pt>
                <c:pt idx="13">
                  <c:v>244.029</c:v>
                </c:pt>
                <c:pt idx="14">
                  <c:v>258.82100000000003</c:v>
                </c:pt>
                <c:pt idx="15">
                  <c:v>255.77199999999999</c:v>
                </c:pt>
                <c:pt idx="16">
                  <c:v>255.12200000000001</c:v>
                </c:pt>
                <c:pt idx="17">
                  <c:v>262.36599999999999</c:v>
                </c:pt>
                <c:pt idx="18">
                  <c:v>277.37400000000002</c:v>
                </c:pt>
                <c:pt idx="19">
                  <c:v>275.80399999999997</c:v>
                </c:pt>
                <c:pt idx="20">
                  <c:v>277.709</c:v>
                </c:pt>
                <c:pt idx="21">
                  <c:v>270.178</c:v>
                </c:pt>
                <c:pt idx="22">
                  <c:v>278.71699999999998</c:v>
                </c:pt>
                <c:pt idx="23">
                  <c:v>280.40199999999999</c:v>
                </c:pt>
                <c:pt idx="24">
                  <c:v>281.459</c:v>
                </c:pt>
                <c:pt idx="25">
                  <c:v>285.55</c:v>
                </c:pt>
                <c:pt idx="26">
                  <c:v>297.53500000000003</c:v>
                </c:pt>
                <c:pt idx="27">
                  <c:v>297.44099999999997</c:v>
                </c:pt>
                <c:pt idx="28">
                  <c:v>300.39299999999997</c:v>
                </c:pt>
                <c:pt idx="29">
                  <c:v>307.61</c:v>
                </c:pt>
                <c:pt idx="30">
                  <c:v>310.33499999999998</c:v>
                </c:pt>
                <c:pt idx="31">
                  <c:v>309.93200000000002</c:v>
                </c:pt>
                <c:pt idx="32">
                  <c:v>308.2</c:v>
                </c:pt>
                <c:pt idx="33">
                  <c:v>314.923</c:v>
                </c:pt>
                <c:pt idx="34">
                  <c:v>320.48399999999998</c:v>
                </c:pt>
                <c:pt idx="35">
                  <c:v>322.161</c:v>
                </c:pt>
                <c:pt idx="36">
                  <c:v>320.39100000000002</c:v>
                </c:pt>
                <c:pt idx="37">
                  <c:v>324.68299999999999</c:v>
                </c:pt>
                <c:pt idx="38">
                  <c:v>319.55900000000003</c:v>
                </c:pt>
              </c:numCache>
            </c:numRef>
          </c:val>
          <c:smooth val="0"/>
          <c:extLst>
            <c:ext xmlns:c16="http://schemas.microsoft.com/office/drawing/2014/chart" uri="{C3380CC4-5D6E-409C-BE32-E72D297353CC}">
              <c16:uniqueId val="{00000006-D23F-4893-9DF2-FE87555AB36E}"/>
            </c:ext>
          </c:extLst>
        </c:ser>
        <c:ser>
          <c:idx val="3"/>
          <c:order val="7"/>
          <c:tx>
            <c:strRef>
              <c:f>'Trh práce-2b'!$A$39</c:f>
              <c:strCache>
                <c:ptCount val="1"/>
                <c:pt idx="0">
                  <c:v>Očekávání vývoje nezaměstnanosti</c:v>
                </c:pt>
              </c:strCache>
            </c:strRef>
          </c:tx>
          <c:spPr>
            <a:ln w="19050">
              <a:solidFill>
                <a:schemeClr val="tx1">
                  <a:lumMod val="85000"/>
                  <a:lumOff val="15000"/>
                </a:schemeClr>
              </a:solidFill>
              <a:prstDash val="dash"/>
            </a:ln>
          </c:spPr>
          <c:marker>
            <c:symbol val="none"/>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práce-2b'!$B$39:$AO$39</c:f>
              <c:numCache>
                <c:formatCode>0.0</c:formatCode>
                <c:ptCount val="40"/>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pt idx="34">
                  <c:v>25</c:v>
                </c:pt>
                <c:pt idx="35">
                  <c:v>17</c:v>
                </c:pt>
                <c:pt idx="36">
                  <c:v>25</c:v>
                </c:pt>
                <c:pt idx="37">
                  <c:v>22</c:v>
                </c:pt>
                <c:pt idx="38">
                  <c:v>24</c:v>
                </c:pt>
                <c:pt idx="39">
                  <c:v>19</c:v>
                </c:pt>
              </c:numCache>
            </c:numRef>
          </c:val>
          <c:smooth val="0"/>
          <c:extLst>
            <c:ext xmlns:c16="http://schemas.microsoft.com/office/drawing/2014/chart" uri="{C3380CC4-5D6E-409C-BE32-E72D297353CC}">
              <c16:uniqueId val="{00000007-D23F-4893-9DF2-FE87555AB36E}"/>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5"/>
          <c:min val="0"/>
        </c:scaling>
        <c:delete val="0"/>
        <c:axPos val="l"/>
        <c:majorGridlines>
          <c:spPr>
            <a:ln w="6350">
              <a:solidFill>
                <a:schemeClr val="bg1">
                  <a:lumMod val="75000"/>
                </a:schemeClr>
              </a:solidFill>
            </a:ln>
          </c:spPr>
        </c:majorGridlines>
        <c:title>
          <c:tx>
            <c:rich>
              <a:bodyPr/>
              <a:lstStyle/>
              <a:p>
                <a:pPr>
                  <a:defRPr sz="700" b="0" i="1"/>
                </a:pPr>
                <a:r>
                  <a:rPr lang="cs-CZ" sz="700" b="0" i="1"/>
                  <a:t>Míra nezaměstnanosti</a:t>
                </a:r>
              </a:p>
            </c:rich>
          </c:tx>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350"/>
          <c:min val="-25"/>
        </c:scaling>
        <c:delete val="0"/>
        <c:axPos val="r"/>
        <c:title>
          <c:tx>
            <c:rich>
              <a:bodyPr/>
              <a:lstStyle/>
              <a:p>
                <a:pPr>
                  <a:defRPr sz="700" b="0" i="1"/>
                </a:pPr>
                <a:r>
                  <a:rPr lang="cs-CZ" sz="700" b="0" i="1"/>
                  <a:t>Volná</a:t>
                </a:r>
                <a:r>
                  <a:rPr lang="cs-CZ" sz="700" b="0" i="1" baseline="0"/>
                  <a:t> pracovní místa, zaměstnaní cizinci</a:t>
                </a:r>
                <a:endParaRPr lang="cs-CZ" sz="700" b="0" i="1"/>
              </a:p>
            </c:rich>
          </c:tx>
          <c:overlay val="0"/>
        </c:title>
        <c:numFmt formatCode="#,##0" sourceLinked="0"/>
        <c:majorTickMark val="out"/>
        <c:minorTickMark val="none"/>
        <c:tickLblPos val="nextTo"/>
        <c:crossAx val="331670576"/>
        <c:crosses val="max"/>
        <c:crossBetween val="between"/>
        <c:majorUnit val="25"/>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2346890231882358E-2"/>
          <c:y val="0.87065667466923102"/>
          <c:w val="0.85260043993190393"/>
          <c:h val="0.12573975955987693"/>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2.0203894786331125E-2"/>
          <c:w val="0.94100987714831696"/>
          <c:h val="0.77072038584009483"/>
        </c:manualLayout>
      </c:layout>
      <c:barChart>
        <c:barDir val="col"/>
        <c:grouping val="clustered"/>
        <c:varyColors val="0"/>
        <c:ser>
          <c:idx val="4"/>
          <c:order val="1"/>
          <c:tx>
            <c:strRef>
              <c:f>'Trh práce 3'!$D$8</c:f>
              <c:strCache>
                <c:ptCount val="1"/>
                <c:pt idx="0">
                  <c:v>Průměrná mzda celkem (reálně)</c:v>
                </c:pt>
              </c:strCache>
            </c:strRef>
          </c:tx>
          <c:spPr>
            <a:solidFill>
              <a:srgbClr val="DBDBDB"/>
            </a:solidFill>
            <a:ln w="19050">
              <a:noFill/>
            </a:ln>
          </c:spPr>
          <c:invertIfNegative val="0"/>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3'!$D$29:$D$67</c:f>
              <c:numCache>
                <c:formatCode>#\ ##0.0</c:formatCode>
                <c:ptCount val="39"/>
                <c:pt idx="0">
                  <c:v>2.2000000000000028</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4.9000000000000057</c:v>
                </c:pt>
                <c:pt idx="10">
                  <c:v>4.0999999999999943</c:v>
                </c:pt>
                <c:pt idx="11">
                  <c:v>5.0999999999999943</c:v>
                </c:pt>
                <c:pt idx="12">
                  <c:v>6.5</c:v>
                </c:pt>
                <c:pt idx="13">
                  <c:v>6.2999999999999972</c:v>
                </c:pt>
                <c:pt idx="14">
                  <c:v>5.9000000000000057</c:v>
                </c:pt>
                <c:pt idx="15">
                  <c:v>4.9000000000000057</c:v>
                </c:pt>
                <c:pt idx="16">
                  <c:v>5.5</c:v>
                </c:pt>
                <c:pt idx="17">
                  <c:v>5.0999999999999943</c:v>
                </c:pt>
                <c:pt idx="18">
                  <c:v>4.7999999999999972</c:v>
                </c:pt>
                <c:pt idx="19">
                  <c:v>4.5</c:v>
                </c:pt>
                <c:pt idx="20">
                  <c:v>1.7999999999999972</c:v>
                </c:pt>
                <c:pt idx="21">
                  <c:v>-2.0999999999999943</c:v>
                </c:pt>
                <c:pt idx="22">
                  <c:v>2</c:v>
                </c:pt>
                <c:pt idx="23">
                  <c:v>4</c:v>
                </c:pt>
                <c:pt idx="24">
                  <c:v>0.79999999999999716</c:v>
                </c:pt>
                <c:pt idx="25">
                  <c:v>8.0999999999999943</c:v>
                </c:pt>
                <c:pt idx="26">
                  <c:v>1.2000000000000028</c:v>
                </c:pt>
                <c:pt idx="27">
                  <c:v>-2.0999999999999943</c:v>
                </c:pt>
                <c:pt idx="28">
                  <c:v>-5.2999999999999972</c:v>
                </c:pt>
                <c:pt idx="29">
                  <c:v>-11.5</c:v>
                </c:pt>
                <c:pt idx="30">
                  <c:v>-11.599999999999994</c:v>
                </c:pt>
                <c:pt idx="31">
                  <c:v>-8.7000000000000028</c:v>
                </c:pt>
                <c:pt idx="32">
                  <c:v>-6.4000000000000057</c:v>
                </c:pt>
                <c:pt idx="33">
                  <c:v>-2.4000000000000057</c:v>
                </c:pt>
                <c:pt idx="34">
                  <c:v>-0.20000000000000284</c:v>
                </c:pt>
                <c:pt idx="35">
                  <c:v>-0.5</c:v>
                </c:pt>
                <c:pt idx="36">
                  <c:v>5.0999999999999943</c:v>
                </c:pt>
                <c:pt idx="37">
                  <c:v>3.9000000000000057</c:v>
                </c:pt>
                <c:pt idx="38">
                  <c:v>4.5999999999999943</c:v>
                </c:pt>
              </c:numCache>
            </c:numRef>
          </c:val>
          <c:extLst>
            <c:ext xmlns:c16="http://schemas.microsoft.com/office/drawing/2014/chart" uri="{C3380CC4-5D6E-409C-BE32-E72D297353CC}">
              <c16:uniqueId val="{00000000-CEF2-43D6-9F34-2FA7851CEB6E}"/>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Průměrná mzda celkem (nominálně)</c:v>
                </c:pt>
              </c:strCache>
            </c:strRef>
          </c:tx>
          <c:spPr>
            <a:ln w="19050">
              <a:solidFill>
                <a:schemeClr val="tx1">
                  <a:lumMod val="95000"/>
                  <a:lumOff val="5000"/>
                </a:schemeClr>
              </a:solidFill>
              <a:prstDash val="solid"/>
            </a:ln>
          </c:spPr>
          <c:marker>
            <c:symbol val="none"/>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3'!$C$29:$C$67</c:f>
              <c:numCache>
                <c:formatCode>#\ ##0.0</c:formatCode>
                <c:ptCount val="39"/>
                <c:pt idx="0">
                  <c:v>2.2702659339777824</c:v>
                </c:pt>
                <c:pt idx="1">
                  <c:v>3.2813172200711875</c:v>
                </c:pt>
                <c:pt idx="2">
                  <c:v>3.4969737726967054</c:v>
                </c:pt>
                <c:pt idx="3">
                  <c:v>3.657239279556876</c:v>
                </c:pt>
                <c:pt idx="4">
                  <c:v>4.6515276307016507</c:v>
                </c:pt>
                <c:pt idx="5">
                  <c:v>3.9533474704634983</c:v>
                </c:pt>
                <c:pt idx="6">
                  <c:v>4.7127622979016053</c:v>
                </c:pt>
                <c:pt idx="7">
                  <c:v>4.3633661264066887</c:v>
                </c:pt>
                <c:pt idx="8">
                  <c:v>5.0631488213469282</c:v>
                </c:pt>
                <c:pt idx="9">
                  <c:v>7.2125892466851269</c:v>
                </c:pt>
                <c:pt idx="10">
                  <c:v>6.7090086143962679</c:v>
                </c:pt>
                <c:pt idx="11">
                  <c:v>7.8362890373334153</c:v>
                </c:pt>
                <c:pt idx="12">
                  <c:v>8.5360633516444295</c:v>
                </c:pt>
                <c:pt idx="13">
                  <c:v>8.7353900516444725</c:v>
                </c:pt>
                <c:pt idx="14">
                  <c:v>8.3840733392624998</c:v>
                </c:pt>
                <c:pt idx="15">
                  <c:v>7.090749009496264</c:v>
                </c:pt>
                <c:pt idx="16">
                  <c:v>8.2952640746705129</c:v>
                </c:pt>
                <c:pt idx="17">
                  <c:v>8.0398712620691697</c:v>
                </c:pt>
                <c:pt idx="18">
                  <c:v>7.7071169323023554</c:v>
                </c:pt>
                <c:pt idx="19">
                  <c:v>7.5667263704965109</c:v>
                </c:pt>
                <c:pt idx="20">
                  <c:v>5.4930047646505358</c:v>
                </c:pt>
                <c:pt idx="21">
                  <c:v>0.86476168440536583</c:v>
                </c:pt>
                <c:pt idx="22">
                  <c:v>5.4150672488059399</c:v>
                </c:pt>
                <c:pt idx="23">
                  <c:v>6.709614019763066</c:v>
                </c:pt>
                <c:pt idx="24">
                  <c:v>3.0004890538246798</c:v>
                </c:pt>
                <c:pt idx="25">
                  <c:v>11.168458781362006</c:v>
                </c:pt>
                <c:pt idx="26">
                  <c:v>5.3398193189715215</c:v>
                </c:pt>
                <c:pt idx="27">
                  <c:v>3.8601248337255782</c:v>
                </c:pt>
                <c:pt idx="28">
                  <c:v>5.2703608535359194</c:v>
                </c:pt>
                <c:pt idx="29">
                  <c:v>2.4658240907918554</c:v>
                </c:pt>
                <c:pt idx="30">
                  <c:v>3.9318133839983034</c:v>
                </c:pt>
                <c:pt idx="31">
                  <c:v>5.6082362503386634</c:v>
                </c:pt>
                <c:pt idx="32">
                  <c:v>8.9331670690615823</c:v>
                </c:pt>
                <c:pt idx="33">
                  <c:v>8.3849368171978114</c:v>
                </c:pt>
                <c:pt idx="34">
                  <c:v>7.7514852993449495</c:v>
                </c:pt>
                <c:pt idx="35">
                  <c:v>7.0642287420122187</c:v>
                </c:pt>
                <c:pt idx="36">
                  <c:v>7.2507184957864439</c:v>
                </c:pt>
                <c:pt idx="37">
                  <c:v>6.5332001765102063</c:v>
                </c:pt>
                <c:pt idx="38">
                  <c:v>7.0053488536487691</c:v>
                </c:pt>
              </c:numCache>
            </c:numRef>
          </c:val>
          <c:smooth val="0"/>
          <c:extLst>
            <c:ext xmlns:c16="http://schemas.microsoft.com/office/drawing/2014/chart" uri="{C3380CC4-5D6E-409C-BE32-E72D297353CC}">
              <c16:uniqueId val="{00000001-CEF2-43D6-9F34-2FA7851CEB6E}"/>
            </c:ext>
          </c:extLst>
        </c:ser>
        <c:ser>
          <c:idx val="5"/>
          <c:order val="2"/>
          <c:tx>
            <c:strRef>
              <c:f>'Trh práce 3'!$E$8</c:f>
              <c:strCache>
                <c:ptCount val="1"/>
                <c:pt idx="0">
                  <c:v>Prům. mzda v průmyslu (nominálně)</c:v>
                </c:pt>
              </c:strCache>
            </c:strRef>
          </c:tx>
          <c:spPr>
            <a:ln w="19050">
              <a:solidFill>
                <a:srgbClr val="C00000"/>
              </a:solidFill>
              <a:prstDash val="sysDot"/>
            </a:ln>
          </c:spPr>
          <c:marker>
            <c:symbol val="none"/>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3'!$E$29:$E$67</c:f>
              <c:numCache>
                <c:formatCode>#\ ##0.0</c:formatCode>
                <c:ptCount val="39"/>
                <c:pt idx="0">
                  <c:v>1.6381118189372046</c:v>
                </c:pt>
                <c:pt idx="1">
                  <c:v>2.6920877025738719</c:v>
                </c:pt>
                <c:pt idx="2">
                  <c:v>3.010059729644766</c:v>
                </c:pt>
                <c:pt idx="3">
                  <c:v>2.9788308269320822</c:v>
                </c:pt>
                <c:pt idx="4">
                  <c:v>4.6482656596722052</c:v>
                </c:pt>
                <c:pt idx="5">
                  <c:v>3.9508373250157831</c:v>
                </c:pt>
                <c:pt idx="6">
                  <c:v>4.6540016784924205</c:v>
                </c:pt>
                <c:pt idx="7">
                  <c:v>3.8977412011906836</c:v>
                </c:pt>
                <c:pt idx="8">
                  <c:v>5.1746586808526445</c:v>
                </c:pt>
                <c:pt idx="9">
                  <c:v>8.0728701553848907</c:v>
                </c:pt>
                <c:pt idx="10">
                  <c:v>6.8272945979441602</c:v>
                </c:pt>
                <c:pt idx="11">
                  <c:v>7.0884454631252538</c:v>
                </c:pt>
                <c:pt idx="12">
                  <c:v>7.9018109790605564</c:v>
                </c:pt>
                <c:pt idx="13">
                  <c:v>8.1936869938853221</c:v>
                </c:pt>
                <c:pt idx="14">
                  <c:v>7.3566042242467802</c:v>
                </c:pt>
                <c:pt idx="15">
                  <c:v>7.6170092222467076</c:v>
                </c:pt>
                <c:pt idx="16">
                  <c:v>7.1985838851373387</c:v>
                </c:pt>
                <c:pt idx="17">
                  <c:v>7.0904869554591556</c:v>
                </c:pt>
                <c:pt idx="18">
                  <c:v>6.753964974732213</c:v>
                </c:pt>
                <c:pt idx="19">
                  <c:v>5.6242870930946793</c:v>
                </c:pt>
                <c:pt idx="20">
                  <c:v>4.8529141948504844</c:v>
                </c:pt>
                <c:pt idx="21">
                  <c:v>-3.4830979888746327</c:v>
                </c:pt>
                <c:pt idx="22">
                  <c:v>2.956413004644503</c:v>
                </c:pt>
                <c:pt idx="23">
                  <c:v>4.0067563825663086</c:v>
                </c:pt>
                <c:pt idx="24">
                  <c:v>1.8985680538948344</c:v>
                </c:pt>
                <c:pt idx="25">
                  <c:v>10.170242950877807</c:v>
                </c:pt>
                <c:pt idx="26">
                  <c:v>4.7656227408114233</c:v>
                </c:pt>
                <c:pt idx="27">
                  <c:v>3.7112962913660397</c:v>
                </c:pt>
                <c:pt idx="28">
                  <c:v>4.9627933600457936</c:v>
                </c:pt>
                <c:pt idx="29">
                  <c:v>5.8242790073776121</c:v>
                </c:pt>
                <c:pt idx="30">
                  <c:v>5.6391288746584252</c:v>
                </c:pt>
                <c:pt idx="31">
                  <c:v>7.3649082274419158</c:v>
                </c:pt>
                <c:pt idx="32">
                  <c:v>10.686044609259966</c:v>
                </c:pt>
                <c:pt idx="33">
                  <c:v>9.9249607057749785</c:v>
                </c:pt>
                <c:pt idx="34">
                  <c:v>8.8289088628762613</c:v>
                </c:pt>
                <c:pt idx="35">
                  <c:v>7.7850038255547105</c:v>
                </c:pt>
                <c:pt idx="36">
                  <c:v>8.0949917473456026</c:v>
                </c:pt>
                <c:pt idx="37">
                  <c:v>7.4906021540093661</c:v>
                </c:pt>
                <c:pt idx="38">
                  <c:v>6.9049962786007484</c:v>
                </c:pt>
              </c:numCache>
            </c:numRef>
          </c:val>
          <c:smooth val="0"/>
          <c:extLst>
            <c:ext xmlns:c16="http://schemas.microsoft.com/office/drawing/2014/chart" uri="{C3380CC4-5D6E-409C-BE32-E72D297353CC}">
              <c16:uniqueId val="{00000002-CEF2-43D6-9F34-2FA7851CEB6E}"/>
            </c:ext>
          </c:extLst>
        </c:ser>
        <c:ser>
          <c:idx val="1"/>
          <c:order val="3"/>
          <c:tx>
            <c:strRef>
              <c:f>'Trh práce 3'!$F$8</c:f>
              <c:strCache>
                <c:ptCount val="1"/>
                <c:pt idx="0">
                  <c:v>Prům. mzda v obchodu (nominálně)</c:v>
                </c:pt>
              </c:strCache>
            </c:strRef>
          </c:tx>
          <c:spPr>
            <a:ln w="19050">
              <a:solidFill>
                <a:srgbClr val="0070C0"/>
              </a:solidFill>
              <a:prstDash val="sysDot"/>
            </a:ln>
          </c:spPr>
          <c:marker>
            <c:symbol val="none"/>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3'!$F$29:$F$67</c:f>
              <c:numCache>
                <c:formatCode>#\ ##0.0</c:formatCode>
                <c:ptCount val="39"/>
                <c:pt idx="0">
                  <c:v>3.1055099144049194</c:v>
                </c:pt>
                <c:pt idx="1">
                  <c:v>3.9141414141414117</c:v>
                </c:pt>
                <c:pt idx="2">
                  <c:v>3.949146815340427</c:v>
                </c:pt>
                <c:pt idx="3">
                  <c:v>5.7916298497871423</c:v>
                </c:pt>
                <c:pt idx="4">
                  <c:v>5.6443202202661524</c:v>
                </c:pt>
                <c:pt idx="5">
                  <c:v>3.9570676387201189</c:v>
                </c:pt>
                <c:pt idx="6">
                  <c:v>4.9977652269310511</c:v>
                </c:pt>
                <c:pt idx="7">
                  <c:v>4.4950645406226215</c:v>
                </c:pt>
                <c:pt idx="8">
                  <c:v>5.6231243089559229</c:v>
                </c:pt>
                <c:pt idx="9">
                  <c:v>7.9284684614485457</c:v>
                </c:pt>
                <c:pt idx="10">
                  <c:v>7.693200727526019</c:v>
                </c:pt>
                <c:pt idx="11">
                  <c:v>8.3926754832146457</c:v>
                </c:pt>
                <c:pt idx="12">
                  <c:v>7.2416629280693883</c:v>
                </c:pt>
                <c:pt idx="13">
                  <c:v>7.0392029456356937</c:v>
                </c:pt>
                <c:pt idx="14">
                  <c:v>6.8381903769449082</c:v>
                </c:pt>
                <c:pt idx="15">
                  <c:v>6.6970570490044992</c:v>
                </c:pt>
                <c:pt idx="16">
                  <c:v>9.5345999651385682</c:v>
                </c:pt>
                <c:pt idx="17">
                  <c:v>7.4227708080399282</c:v>
                </c:pt>
                <c:pt idx="18">
                  <c:v>8.1629221041302316</c:v>
                </c:pt>
                <c:pt idx="19">
                  <c:v>6.3018346318170444</c:v>
                </c:pt>
                <c:pt idx="20">
                  <c:v>6.3685550604710528</c:v>
                </c:pt>
                <c:pt idx="21">
                  <c:v>0.91357172008916621</c:v>
                </c:pt>
                <c:pt idx="22">
                  <c:v>4.7389533256631182</c:v>
                </c:pt>
                <c:pt idx="23">
                  <c:v>2.446953129617583</c:v>
                </c:pt>
                <c:pt idx="24">
                  <c:v>2.2321294994165299</c:v>
                </c:pt>
                <c:pt idx="25">
                  <c:v>9.8898705823792881</c:v>
                </c:pt>
                <c:pt idx="26">
                  <c:v>6.6146127126443588</c:v>
                </c:pt>
                <c:pt idx="27">
                  <c:v>8.7059366526279263</c:v>
                </c:pt>
                <c:pt idx="28">
                  <c:v>6.7609096496619543</c:v>
                </c:pt>
                <c:pt idx="29">
                  <c:v>5.6167369702460093</c:v>
                </c:pt>
                <c:pt idx="30">
                  <c:v>3.4585503049205073</c:v>
                </c:pt>
                <c:pt idx="31">
                  <c:v>5.3444432650461664</c:v>
                </c:pt>
                <c:pt idx="32">
                  <c:v>8.065356251884765</c:v>
                </c:pt>
                <c:pt idx="33">
                  <c:v>6.8137346878601903</c:v>
                </c:pt>
                <c:pt idx="34">
                  <c:v>6.2713643581944893</c:v>
                </c:pt>
                <c:pt idx="35">
                  <c:v>5.3226862814247653</c:v>
                </c:pt>
                <c:pt idx="36">
                  <c:v>7.3441741292270279</c:v>
                </c:pt>
                <c:pt idx="37">
                  <c:v>6.1657758036588035</c:v>
                </c:pt>
                <c:pt idx="38">
                  <c:v>7.8312184991008849</c:v>
                </c:pt>
              </c:numCache>
            </c:numRef>
          </c:val>
          <c:smooth val="0"/>
          <c:extLst>
            <c:ext xmlns:c16="http://schemas.microsoft.com/office/drawing/2014/chart" uri="{C3380CC4-5D6E-409C-BE32-E72D297353CC}">
              <c16:uniqueId val="{00000003-CEF2-43D6-9F34-2FA7851CEB6E}"/>
            </c:ext>
          </c:extLst>
        </c:ser>
        <c:ser>
          <c:idx val="2"/>
          <c:order val="4"/>
          <c:tx>
            <c:strRef>
              <c:f>'Trh práce 3'!$G$8</c:f>
              <c:strCache>
                <c:ptCount val="1"/>
                <c:pt idx="0">
                  <c:v>Prům. mzda ve veř. službách (nominálně)*</c:v>
                </c:pt>
              </c:strCache>
            </c:strRef>
          </c:tx>
          <c:spPr>
            <a:ln w="19050">
              <a:solidFill>
                <a:srgbClr val="00B050"/>
              </a:solidFill>
              <a:prstDash val="sysDot"/>
            </a:ln>
          </c:spPr>
          <c:marker>
            <c:symbol val="none"/>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3'!$G$29:$G$67</c:f>
              <c:numCache>
                <c:formatCode>#\ ##0.0</c:formatCode>
                <c:ptCount val="39"/>
                <c:pt idx="0">
                  <c:v>3.2925091204842687</c:v>
                </c:pt>
                <c:pt idx="1">
                  <c:v>4.3135889286729565</c:v>
                </c:pt>
                <c:pt idx="2">
                  <c:v>3.8145419077079765</c:v>
                </c:pt>
                <c:pt idx="3">
                  <c:v>3.6381766938736746</c:v>
                </c:pt>
                <c:pt idx="4">
                  <c:v>4.64178325585614</c:v>
                </c:pt>
                <c:pt idx="5">
                  <c:v>3.8061258933532116</c:v>
                </c:pt>
                <c:pt idx="6">
                  <c:v>4.8526374704253925</c:v>
                </c:pt>
                <c:pt idx="7">
                  <c:v>6.1351981806606233</c:v>
                </c:pt>
                <c:pt idx="8">
                  <c:v>5.4566112929362163</c:v>
                </c:pt>
                <c:pt idx="9">
                  <c:v>7.3192456135909225</c:v>
                </c:pt>
                <c:pt idx="10">
                  <c:v>7.9981713137873953</c:v>
                </c:pt>
                <c:pt idx="11">
                  <c:v>10.484072576559427</c:v>
                </c:pt>
                <c:pt idx="12">
                  <c:v>12.179699393983398</c:v>
                </c:pt>
                <c:pt idx="13">
                  <c:v>11.89217733254111</c:v>
                </c:pt>
                <c:pt idx="14">
                  <c:v>11.361326321628667</c:v>
                </c:pt>
                <c:pt idx="15">
                  <c:v>6.1282038917470629</c:v>
                </c:pt>
                <c:pt idx="16">
                  <c:v>9.4162908795776019</c:v>
                </c:pt>
                <c:pt idx="17">
                  <c:v>9.3022383570098555</c:v>
                </c:pt>
                <c:pt idx="18">
                  <c:v>8.3925247282538464</c:v>
                </c:pt>
                <c:pt idx="19">
                  <c:v>11.041060141001239</c:v>
                </c:pt>
                <c:pt idx="20">
                  <c:v>5.2296117021426483</c:v>
                </c:pt>
                <c:pt idx="21">
                  <c:v>4.9937922145909539</c:v>
                </c:pt>
                <c:pt idx="22">
                  <c:v>8.8109946466096574</c:v>
                </c:pt>
                <c:pt idx="23">
                  <c:v>13.948630451066606</c:v>
                </c:pt>
                <c:pt idx="24">
                  <c:v>4.5485385483402752</c:v>
                </c:pt>
                <c:pt idx="25">
                  <c:v>17.785684079315018</c:v>
                </c:pt>
                <c:pt idx="26">
                  <c:v>5.4643357321226631</c:v>
                </c:pt>
                <c:pt idx="27">
                  <c:v>-0.40508430459891542</c:v>
                </c:pt>
                <c:pt idx="28">
                  <c:v>2.3050985414715655</c:v>
                </c:pt>
                <c:pt idx="29">
                  <c:v>-7.0315803873919265</c:v>
                </c:pt>
                <c:pt idx="30">
                  <c:v>0.30518367768182486</c:v>
                </c:pt>
                <c:pt idx="31">
                  <c:v>3.4014494016982155</c:v>
                </c:pt>
                <c:pt idx="32">
                  <c:v>7.1236563240183841</c:v>
                </c:pt>
                <c:pt idx="33">
                  <c:v>5.8159573906736455</c:v>
                </c:pt>
                <c:pt idx="34">
                  <c:v>5.5362187961367937</c:v>
                </c:pt>
                <c:pt idx="35">
                  <c:v>4.6740026435620194</c:v>
                </c:pt>
                <c:pt idx="36">
                  <c:v>5.4976803185703034</c:v>
                </c:pt>
                <c:pt idx="37">
                  <c:v>5.6857748625680244</c:v>
                </c:pt>
                <c:pt idx="38">
                  <c:v>5.6757457429733336</c:v>
                </c:pt>
              </c:numCache>
            </c:numRef>
          </c:val>
          <c:smooth val="0"/>
          <c:extLst>
            <c:ext xmlns:c16="http://schemas.microsoft.com/office/drawing/2014/chart" uri="{C3380CC4-5D6E-409C-BE32-E72D297353CC}">
              <c16:uniqueId val="{00000004-CEF2-43D6-9F34-2FA7851CEB6E}"/>
            </c:ext>
          </c:extLst>
        </c:ser>
        <c:ser>
          <c:idx val="3"/>
          <c:order val="5"/>
          <c:tx>
            <c:strRef>
              <c:f>'Trh práce 3'!$H$8</c:f>
              <c:strCache>
                <c:ptCount val="1"/>
                <c:pt idx="0">
                  <c:v>Mediánová mzda celkem (nominálně)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3'!$H$29:$H$67</c:f>
              <c:numCache>
                <c:formatCode>#\ ##0.0</c:formatCode>
                <c:ptCount val="39"/>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4.9000000000000057</c:v>
                </c:pt>
                <c:pt idx="9">
                  <c:v>7.7000000000000028</c:v>
                </c:pt>
                <c:pt idx="10">
                  <c:v>7</c:v>
                </c:pt>
                <c:pt idx="11">
                  <c:v>8.9000000000000057</c:v>
                </c:pt>
                <c:pt idx="12">
                  <c:v>8.7000000000000028</c:v>
                </c:pt>
                <c:pt idx="13">
                  <c:v>9.7000000000000028</c:v>
                </c:pt>
                <c:pt idx="14">
                  <c:v>9.2999999999999972</c:v>
                </c:pt>
                <c:pt idx="15">
                  <c:v>6.7000000000000028</c:v>
                </c:pt>
                <c:pt idx="16">
                  <c:v>7.2000000000000028</c:v>
                </c:pt>
                <c:pt idx="17">
                  <c:v>6.4000000000000057</c:v>
                </c:pt>
                <c:pt idx="18">
                  <c:v>7.2999999999999972</c:v>
                </c:pt>
                <c:pt idx="19">
                  <c:v>6.4000000000000057</c:v>
                </c:pt>
                <c:pt idx="20">
                  <c:v>7</c:v>
                </c:pt>
                <c:pt idx="21">
                  <c:v>1.4000000000000057</c:v>
                </c:pt>
                <c:pt idx="22">
                  <c:v>6.7000000000000028</c:v>
                </c:pt>
                <c:pt idx="23">
                  <c:v>6.7000000000000028</c:v>
                </c:pt>
                <c:pt idx="24">
                  <c:v>2.2999999999999972</c:v>
                </c:pt>
                <c:pt idx="25">
                  <c:v>11.099999999999994</c:v>
                </c:pt>
                <c:pt idx="26">
                  <c:v>4.7000000000000028</c:v>
                </c:pt>
                <c:pt idx="27">
                  <c:v>4.5999999999999943</c:v>
                </c:pt>
                <c:pt idx="28">
                  <c:v>4.2999999999999972</c:v>
                </c:pt>
                <c:pt idx="29">
                  <c:v>3.2000000000000028</c:v>
                </c:pt>
                <c:pt idx="30">
                  <c:v>4.2000000000000028</c:v>
                </c:pt>
                <c:pt idx="31">
                  <c:v>6.2999999999999972</c:v>
                </c:pt>
                <c:pt idx="32">
                  <c:v>9.5999999999999943</c:v>
                </c:pt>
                <c:pt idx="33">
                  <c:v>7.5999999999999943</c:v>
                </c:pt>
                <c:pt idx="34">
                  <c:v>9.7000000000000028</c:v>
                </c:pt>
                <c:pt idx="35">
                  <c:v>7.0999999999999943</c:v>
                </c:pt>
                <c:pt idx="36">
                  <c:v>5.7000000000000028</c:v>
                </c:pt>
                <c:pt idx="37">
                  <c:v>5.7999999999999972</c:v>
                </c:pt>
                <c:pt idx="38">
                  <c:v>6.5999999999999943</c:v>
                </c:pt>
              </c:numCache>
            </c:numRef>
          </c:val>
          <c:smooth val="0"/>
          <c:extLst>
            <c:ext xmlns:c16="http://schemas.microsoft.com/office/drawing/2014/chart" uri="{C3380CC4-5D6E-409C-BE32-E72D297353CC}">
              <c16:uniqueId val="{00000005-CEF2-43D6-9F34-2FA7851CEB6E}"/>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8"/>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2"/>
      </c:valAx>
      <c:spPr>
        <a:ln>
          <a:solidFill>
            <a:schemeClr val="tx1"/>
          </a:solidFill>
        </a:ln>
      </c:spPr>
    </c:plotArea>
    <c:legend>
      <c:legendPos val="b"/>
      <c:layout>
        <c:manualLayout>
          <c:xMode val="edge"/>
          <c:yMode val="edge"/>
          <c:x val="9.1292133366733495E-3"/>
          <c:y val="0.87578174603174608"/>
          <c:w val="0.97744446685490061"/>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581433637284705E-2"/>
          <c:y val="3.9582348305752559E-2"/>
          <c:w val="0.93508633063154345"/>
          <c:h val="0.73130361364405005"/>
        </c:manualLayout>
      </c:layout>
      <c:barChart>
        <c:barDir val="col"/>
        <c:grouping val="clustered"/>
        <c:varyColors val="0"/>
        <c:ser>
          <c:idx val="0"/>
          <c:order val="0"/>
          <c:tx>
            <c:strRef>
              <c:f>'Měnové podmínky 1'!$C$5</c:f>
              <c:strCache>
                <c:ptCount val="1"/>
                <c:pt idx="0">
                  <c:v>2T repo sazba</c:v>
                </c:pt>
              </c:strCache>
            </c:strRef>
          </c:tx>
          <c:spPr>
            <a:solidFill>
              <a:schemeClr val="bg1">
                <a:lumMod val="65000"/>
              </a:schemeClr>
            </a:solidFill>
          </c:spPr>
          <c:invertIfNegative val="0"/>
          <c:cat>
            <c:multiLvlStrRef>
              <c:f>'Měnové podmínky 1'!$A$18:$B$86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2019</c:v>
                  </c:pt>
                  <c:pt idx="12">
                    <c:v>2020</c:v>
                  </c:pt>
                  <c:pt idx="24">
                    <c:v>2021</c:v>
                  </c:pt>
                  <c:pt idx="36">
                    <c:v>2022</c:v>
                  </c:pt>
                  <c:pt idx="48">
                    <c:v>2023</c:v>
                  </c:pt>
                  <c:pt idx="60">
                    <c:v>2024</c:v>
                  </c:pt>
                </c:lvl>
              </c:multiLvlStrCache>
            </c:multiLvlStrRef>
          </c:cat>
          <c:val>
            <c:numRef>
              <c:f>'Měnové podmínky 1'!$C$18:$C$86</c:f>
              <c:numCache>
                <c:formatCode>General</c:formatCode>
                <c:ptCount val="69"/>
                <c:pt idx="0">
                  <c:v>1.75</c:v>
                </c:pt>
                <c:pt idx="1">
                  <c:v>1.75</c:v>
                </c:pt>
                <c:pt idx="2">
                  <c:v>1.75</c:v>
                </c:pt>
                <c:pt idx="3">
                  <c:v>1.75</c:v>
                </c:pt>
                <c:pt idx="4">
                  <c:v>2</c:v>
                </c:pt>
                <c:pt idx="5">
                  <c:v>2</c:v>
                </c:pt>
                <c:pt idx="6">
                  <c:v>2</c:v>
                </c:pt>
                <c:pt idx="7">
                  <c:v>2</c:v>
                </c:pt>
                <c:pt idx="8">
                  <c:v>2</c:v>
                </c:pt>
                <c:pt idx="9">
                  <c:v>2</c:v>
                </c:pt>
                <c:pt idx="10">
                  <c:v>2</c:v>
                </c:pt>
                <c:pt idx="11">
                  <c:v>2</c:v>
                </c:pt>
                <c:pt idx="12">
                  <c:v>2</c:v>
                </c:pt>
                <c:pt idx="13">
                  <c:v>2.25</c:v>
                </c:pt>
                <c:pt idx="14">
                  <c:v>1</c:v>
                </c:pt>
                <c:pt idx="15">
                  <c:v>1</c:v>
                </c:pt>
                <c:pt idx="16">
                  <c:v>0.25</c:v>
                </c:pt>
                <c:pt idx="17">
                  <c:v>0.25</c:v>
                </c:pt>
                <c:pt idx="18">
                  <c:v>0.25</c:v>
                </c:pt>
                <c:pt idx="19">
                  <c:v>0.25</c:v>
                </c:pt>
                <c:pt idx="20">
                  <c:v>0.25</c:v>
                </c:pt>
                <c:pt idx="21">
                  <c:v>0.25</c:v>
                </c:pt>
                <c:pt idx="22">
                  <c:v>0.25</c:v>
                </c:pt>
                <c:pt idx="23">
                  <c:v>0.25</c:v>
                </c:pt>
                <c:pt idx="24">
                  <c:v>0.25</c:v>
                </c:pt>
                <c:pt idx="25">
                  <c:v>0.25</c:v>
                </c:pt>
                <c:pt idx="26">
                  <c:v>0.25</c:v>
                </c:pt>
                <c:pt idx="27">
                  <c:v>0.25</c:v>
                </c:pt>
                <c:pt idx="28">
                  <c:v>0.25</c:v>
                </c:pt>
                <c:pt idx="29">
                  <c:v>0.5</c:v>
                </c:pt>
                <c:pt idx="30">
                  <c:v>0.5</c:v>
                </c:pt>
                <c:pt idx="31">
                  <c:v>0.75</c:v>
                </c:pt>
                <c:pt idx="32">
                  <c:v>0.75</c:v>
                </c:pt>
                <c:pt idx="33">
                  <c:v>1.5</c:v>
                </c:pt>
                <c:pt idx="34">
                  <c:v>2.75</c:v>
                </c:pt>
                <c:pt idx="35">
                  <c:v>3.75</c:v>
                </c:pt>
                <c:pt idx="36">
                  <c:v>3.75</c:v>
                </c:pt>
                <c:pt idx="37">
                  <c:v>4.5</c:v>
                </c:pt>
                <c:pt idx="38">
                  <c:v>4.5</c:v>
                </c:pt>
                <c:pt idx="39">
                  <c:v>5</c:v>
                </c:pt>
                <c:pt idx="40">
                  <c:v>5.75</c:v>
                </c:pt>
                <c:pt idx="41">
                  <c:v>7</c:v>
                </c:pt>
                <c:pt idx="42">
                  <c:v>7</c:v>
                </c:pt>
                <c:pt idx="43">
                  <c:v>7</c:v>
                </c:pt>
                <c:pt idx="44">
                  <c:v>7</c:v>
                </c:pt>
                <c:pt idx="45">
                  <c:v>7</c:v>
                </c:pt>
                <c:pt idx="46">
                  <c:v>7</c:v>
                </c:pt>
                <c:pt idx="47">
                  <c:v>7</c:v>
                </c:pt>
                <c:pt idx="48">
                  <c:v>7</c:v>
                </c:pt>
                <c:pt idx="49">
                  <c:v>7</c:v>
                </c:pt>
                <c:pt idx="50">
                  <c:v>7</c:v>
                </c:pt>
                <c:pt idx="51" formatCode="###\ ###\ ###\ ###\ ##0.00;\-###\ ###\ ###\ ###\ ##0.00">
                  <c:v>7</c:v>
                </c:pt>
                <c:pt idx="52" formatCode="###\ ###\ ###\ ###\ ##0.00;\-###\ ###\ ###\ ###\ ##0.00">
                  <c:v>7</c:v>
                </c:pt>
                <c:pt idx="53" formatCode="###\ ###\ ###\ ###\ ##0.00;\-###\ ###\ ###\ ###\ ##0.00">
                  <c:v>7</c:v>
                </c:pt>
                <c:pt idx="54" formatCode="###\ ###\ ###\ ###\ ##0.00;\-###\ ###\ ###\ ###\ ##0.00">
                  <c:v>7</c:v>
                </c:pt>
                <c:pt idx="55" formatCode="###\ ###\ ###\ ###\ ##0.00;\-###\ ###\ ###\ ###\ ##0.00">
                  <c:v>7</c:v>
                </c:pt>
                <c:pt idx="56" formatCode="###\ ###\ ###\ ###\ ##0.00;\-###\ ###\ ###\ ###\ ##0.00">
                  <c:v>7</c:v>
                </c:pt>
                <c:pt idx="57" formatCode="###\ ###\ ###\ ###\ ##0.00;\-###\ ###\ ###\ ###\ ##0.00">
                  <c:v>7</c:v>
                </c:pt>
                <c:pt idx="58" formatCode="###\ ###\ ###\ ###\ ##0.00;\-###\ ###\ ###\ ###\ ##0.00">
                  <c:v>7</c:v>
                </c:pt>
                <c:pt idx="59" formatCode="###\ ###\ ###\ ###\ ##0.00;\-###\ ###\ ###\ ###\ ##0.00">
                  <c:v>6.75</c:v>
                </c:pt>
                <c:pt idx="60" formatCode="###\ ###\ ###\ ###\ ##0.00;\-###\ ###\ ###\ ###\ ##0.00">
                  <c:v>6.75</c:v>
                </c:pt>
                <c:pt idx="61" formatCode="###\ ###\ ###\ ###\ ##0.00;\-###\ ###\ ###\ ###\ ##0.00">
                  <c:v>6.25</c:v>
                </c:pt>
                <c:pt idx="62" formatCode="###\ ###\ ###\ ###\ ##0.00;\-###\ ###\ ###\ ###\ ##0.00">
                  <c:v>5.75</c:v>
                </c:pt>
                <c:pt idx="63" formatCode="###\ ###\ ###\ ###\ ##0.00;\-###\ ###\ ###\ ###\ ##0.00">
                  <c:v>5.75</c:v>
                </c:pt>
                <c:pt idx="64" formatCode="###\ ###\ ###\ ###\ ##0.00;\-###\ ###\ ###\ ###\ ##0.00">
                  <c:v>5.25</c:v>
                </c:pt>
                <c:pt idx="65" formatCode="###\ ###\ ###\ ###\ ##0.00;\-###\ ###\ ###\ ###\ ##0.00">
                  <c:v>4.75</c:v>
                </c:pt>
                <c:pt idx="66" formatCode="###\ ###\ ###\ ###\ ##0.00;\-###\ ###\ ###\ ###\ ##0.00">
                  <c:v>4.75</c:v>
                </c:pt>
                <c:pt idx="67" formatCode="###\ ###\ ###\ ###\ ##0.00;\-###\ ###\ ###\ ###\ ##0.00">
                  <c:v>4.5</c:v>
                </c:pt>
                <c:pt idx="68" formatCode="###\ ###\ ###\ ###\ ##0.00;\-###\ ###\ ###\ ###\ ##0.00">
                  <c:v>4.25</c:v>
                </c:pt>
              </c:numCache>
            </c:numRef>
          </c:val>
          <c:extLst>
            <c:ext xmlns:c16="http://schemas.microsoft.com/office/drawing/2014/chart" uri="{C3380CC4-5D6E-409C-BE32-E72D297353CC}">
              <c16:uniqueId val="{00000000-2FAC-4AA8-BAB4-F23B9CA3EB09}"/>
            </c:ext>
          </c:extLst>
        </c:ser>
        <c:dLbls>
          <c:showLegendKey val="0"/>
          <c:showVal val="0"/>
          <c:showCatName val="0"/>
          <c:showSerName val="0"/>
          <c:showPercent val="0"/>
          <c:showBubbleSize val="0"/>
        </c:dLbls>
        <c:gapWidth val="31"/>
        <c:axId val="271742464"/>
        <c:axId val="271744000"/>
      </c:barChart>
      <c:lineChart>
        <c:grouping val="standard"/>
        <c:varyColors val="0"/>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2019</c:v>
                  </c:pt>
                  <c:pt idx="12">
                    <c:v>2020</c:v>
                  </c:pt>
                  <c:pt idx="24">
                    <c:v>2021</c:v>
                  </c:pt>
                  <c:pt idx="36">
                    <c:v>2022</c:v>
                  </c:pt>
                  <c:pt idx="48">
                    <c:v>2023</c:v>
                  </c:pt>
                  <c:pt idx="60">
                    <c:v>2024</c:v>
                  </c:pt>
                </c:lvl>
              </c:multiLvlStrCache>
            </c:multiLvlStrRef>
          </c:cat>
          <c:val>
            <c:numRef>
              <c:f>'Měnové podmínky 1'!$F$18:$F$86</c:f>
              <c:numCache>
                <c:formatCode>General</c:formatCode>
                <c:ptCount val="69"/>
                <c:pt idx="0">
                  <c:v>1.66</c:v>
                </c:pt>
                <c:pt idx="1">
                  <c:v>1.74</c:v>
                </c:pt>
                <c:pt idx="2">
                  <c:v>1.71</c:v>
                </c:pt>
                <c:pt idx="3">
                  <c:v>1.63</c:v>
                </c:pt>
                <c:pt idx="4">
                  <c:v>1.62</c:v>
                </c:pt>
                <c:pt idx="5">
                  <c:v>1.52</c:v>
                </c:pt>
                <c:pt idx="6">
                  <c:v>1.35</c:v>
                </c:pt>
                <c:pt idx="7">
                  <c:v>0.85</c:v>
                </c:pt>
                <c:pt idx="8">
                  <c:v>1.07</c:v>
                </c:pt>
                <c:pt idx="9">
                  <c:v>1.17</c:v>
                </c:pt>
                <c:pt idx="10">
                  <c:v>1.33</c:v>
                </c:pt>
                <c:pt idx="11">
                  <c:v>1.36</c:v>
                </c:pt>
                <c:pt idx="12">
                  <c:v>1.55</c:v>
                </c:pt>
                <c:pt idx="13">
                  <c:v>1.57</c:v>
                </c:pt>
                <c:pt idx="14">
                  <c:v>1.27</c:v>
                </c:pt>
                <c:pt idx="15">
                  <c:v>0.71</c:v>
                </c:pt>
                <c:pt idx="16">
                  <c:v>0.13</c:v>
                </c:pt>
                <c:pt idx="17">
                  <c:v>0.08</c:v>
                </c:pt>
                <c:pt idx="18">
                  <c:v>0.02</c:v>
                </c:pt>
                <c:pt idx="19">
                  <c:v>0.04</c:v>
                </c:pt>
                <c:pt idx="20">
                  <c:v>0.05</c:v>
                </c:pt>
                <c:pt idx="21">
                  <c:v>0</c:v>
                </c:pt>
                <c:pt idx="22">
                  <c:v>0.06</c:v>
                </c:pt>
                <c:pt idx="23">
                  <c:v>0.16</c:v>
                </c:pt>
                <c:pt idx="24">
                  <c:v>0.26</c:v>
                </c:pt>
                <c:pt idx="25">
                  <c:v>0.45</c:v>
                </c:pt>
                <c:pt idx="26">
                  <c:v>0.75</c:v>
                </c:pt>
                <c:pt idx="27">
                  <c:v>0.76</c:v>
                </c:pt>
                <c:pt idx="28">
                  <c:v>0.76</c:v>
                </c:pt>
                <c:pt idx="29">
                  <c:v>0.69</c:v>
                </c:pt>
                <c:pt idx="30">
                  <c:v>0.84</c:v>
                </c:pt>
                <c:pt idx="31">
                  <c:v>1.24</c:v>
                </c:pt>
                <c:pt idx="32">
                  <c:v>1.6</c:v>
                </c:pt>
                <c:pt idx="33">
                  <c:v>2.29</c:v>
                </c:pt>
                <c:pt idx="34">
                  <c:v>3</c:v>
                </c:pt>
                <c:pt idx="35">
                  <c:v>3.07</c:v>
                </c:pt>
                <c:pt idx="36">
                  <c:v>3.81</c:v>
                </c:pt>
                <c:pt idx="37">
                  <c:v>3.77</c:v>
                </c:pt>
                <c:pt idx="38">
                  <c:v>4.54</c:v>
                </c:pt>
                <c:pt idx="39">
                  <c:v>5.13</c:v>
                </c:pt>
                <c:pt idx="40">
                  <c:v>5.65</c:v>
                </c:pt>
                <c:pt idx="41">
                  <c:v>6.26</c:v>
                </c:pt>
                <c:pt idx="42">
                  <c:v>6.38</c:v>
                </c:pt>
                <c:pt idx="43">
                  <c:v>5.86</c:v>
                </c:pt>
                <c:pt idx="44">
                  <c:v>5.9</c:v>
                </c:pt>
                <c:pt idx="45">
                  <c:v>6.18</c:v>
                </c:pt>
                <c:pt idx="46">
                  <c:v>5.68</c:v>
                </c:pt>
                <c:pt idx="47">
                  <c:v>5.19</c:v>
                </c:pt>
                <c:pt idx="48" formatCode="###\ ###\ ###\ ###\ ##0.00;\-###\ ###\ ###\ ###\ ##0.00">
                  <c:v>5.3820143358172814</c:v>
                </c:pt>
                <c:pt idx="49" formatCode="###\ ###\ ###\ ###\ ##0.00;\-###\ ###\ ###\ ###\ ##0.00">
                  <c:v>5.5102623550618501</c:v>
                </c:pt>
                <c:pt idx="50" formatCode="###\ ###\ ###\ ###\ ##0.00;\-###\ ###\ ###\ ###\ ##0.00">
                  <c:v>5.2897725027111999</c:v>
                </c:pt>
                <c:pt idx="51" formatCode="###\ ###\ ###\ ###\ ##0.00;\-###\ ###\ ###\ ###\ ##0.00">
                  <c:v>5.4232360381175866</c:v>
                </c:pt>
                <c:pt idx="52" formatCode="###\ ###\ ###\ ###\ ##0.00;\-###\ ###\ ###\ ###\ ##0.00">
                  <c:v>5.4162815888395777</c:v>
                </c:pt>
                <c:pt idx="53" formatCode="###\ ###\ ###\ ###\ ##0.00;\-###\ ###\ ###\ ###\ ##0.00">
                  <c:v>5.3664752553650841</c:v>
                </c:pt>
                <c:pt idx="54" formatCode="###\ ###\ ###\ ###\ ##0.00;\-###\ ###\ ###\ ###\ ##0.00">
                  <c:v>5.2428078558777935</c:v>
                </c:pt>
                <c:pt idx="55" formatCode="###\ ###\ ###\ ###\ ##0.00;\-###\ ###\ ###\ ###\ ##0.00">
                  <c:v>5.1353490658602521</c:v>
                </c:pt>
                <c:pt idx="56" formatCode="###\ ###\ ###\ ###\ ##0.00;\-###\ ###\ ###\ ###\ ##0.00">
                  <c:v>5.0416686003519704</c:v>
                </c:pt>
                <c:pt idx="57" formatCode="###\ ###\ ###\ ###\ ##0.00;\-###\ ###\ ###\ ###\ ##0.00">
                  <c:v>5.0079198294298592</c:v>
                </c:pt>
                <c:pt idx="58" formatCode="###\ ###\ ###\ ###\ ##0.00;\-###\ ###\ ###\ ###\ ##0.00">
                  <c:v>4.8554647740100689</c:v>
                </c:pt>
                <c:pt idx="59" formatCode="###\ ###\ ###\ ###\ ##0.00;\-###\ ###\ ###\ ###\ ##0.00">
                  <c:v>4.6053753410259048</c:v>
                </c:pt>
                <c:pt idx="60" formatCode="###\ ###\ ###\ ###\ ##0.00;\-###\ ###\ ###\ ###\ ##0.00">
                  <c:v>4.2136537187056122</c:v>
                </c:pt>
                <c:pt idx="61" formatCode="###\ ###\ ###\ ###\ ##0.00;\-###\ ###\ ###\ ###\ ##0.00">
                  <c:v>3.7766020145670578</c:v>
                </c:pt>
                <c:pt idx="62" formatCode="###\ ###\ ###\ ###\ ##0.00;\-###\ ###\ ###\ ###\ ##0.00">
                  <c:v>3.7279261080474861</c:v>
                </c:pt>
                <c:pt idx="63" formatCode="###\ ###\ ###\ ###\ ##0.00;\-###\ ###\ ###\ ###\ ##0.00">
                  <c:v>4.0118973322405145</c:v>
                </c:pt>
                <c:pt idx="64" formatCode="###\ ###\ ###\ ###\ ##0.00;\-###\ ###\ ###\ ###\ ##0.00">
                  <c:v>4.1300681765456435</c:v>
                </c:pt>
                <c:pt idx="65" formatCode="###\ ###\ ###\ ###\ ##0.00;\-###\ ###\ ###\ ###\ ##0.00">
                  <c:v>4.2164856033630391</c:v>
                </c:pt>
                <c:pt idx="66" formatCode="###\ ###\ ###\ ###\ ##0.00;\-###\ ###\ ###\ ###\ ##0.00">
                  <c:v>3.9029960800170911</c:v>
                </c:pt>
                <c:pt idx="67" formatCode="###\ ###\ ###\ ###\ ##0.00;\-###\ ###\ ###\ ###\ ##0.00">
                  <c:v>3.6092171953235983</c:v>
                </c:pt>
                <c:pt idx="68" formatCode="###\ ###\ ###\ ###\ ##0.00;\-###\ ###\ ###\ ###\ ##0.00">
                  <c:v>3.5038942508225221</c:v>
                </c:pt>
              </c:numCache>
            </c:numRef>
          </c:val>
          <c:smooth val="0"/>
          <c:extLst>
            <c:ext xmlns:c16="http://schemas.microsoft.com/office/drawing/2014/chart" uri="{C3380CC4-5D6E-409C-BE32-E72D297353CC}">
              <c16:uniqueId val="{00000001-2FAC-4AA8-BAB4-F23B9CA3EB09}"/>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2019</c:v>
                  </c:pt>
                  <c:pt idx="12">
                    <c:v>2020</c:v>
                  </c:pt>
                  <c:pt idx="24">
                    <c:v>2021</c:v>
                  </c:pt>
                  <c:pt idx="36">
                    <c:v>2022</c:v>
                  </c:pt>
                  <c:pt idx="48">
                    <c:v>2023</c:v>
                  </c:pt>
                  <c:pt idx="60">
                    <c:v>2024</c:v>
                  </c:pt>
                </c:lvl>
              </c:multiLvlStrCache>
            </c:multiLvlStrRef>
          </c:cat>
          <c:val>
            <c:numRef>
              <c:f>'Měnové podmínky 1'!$D$18:$D$86</c:f>
              <c:numCache>
                <c:formatCode>General</c:formatCode>
                <c:ptCount val="69"/>
                <c:pt idx="0">
                  <c:v>2.0099999999999998</c:v>
                </c:pt>
                <c:pt idx="1">
                  <c:v>2.0099999999999998</c:v>
                </c:pt>
                <c:pt idx="2">
                  <c:v>2.0299999999999998</c:v>
                </c:pt>
                <c:pt idx="3">
                  <c:v>2.02</c:v>
                </c:pt>
                <c:pt idx="4">
                  <c:v>2.19</c:v>
                </c:pt>
                <c:pt idx="5">
                  <c:v>2.17</c:v>
                </c:pt>
                <c:pt idx="6">
                  <c:v>2.16</c:v>
                </c:pt>
                <c:pt idx="7">
                  <c:v>2.14</c:v>
                </c:pt>
                <c:pt idx="8">
                  <c:v>2.14</c:v>
                </c:pt>
                <c:pt idx="9">
                  <c:v>2.17</c:v>
                </c:pt>
                <c:pt idx="10">
                  <c:v>2.1800000000000002</c:v>
                </c:pt>
                <c:pt idx="11">
                  <c:v>2.1800000000000002</c:v>
                </c:pt>
                <c:pt idx="12">
                  <c:v>2.17</c:v>
                </c:pt>
                <c:pt idx="13">
                  <c:v>2.34</c:v>
                </c:pt>
                <c:pt idx="14">
                  <c:v>2</c:v>
                </c:pt>
                <c:pt idx="15">
                  <c:v>0.97</c:v>
                </c:pt>
                <c:pt idx="16">
                  <c:v>0.46</c:v>
                </c:pt>
                <c:pt idx="17">
                  <c:v>0.34</c:v>
                </c:pt>
                <c:pt idx="18">
                  <c:v>0.34</c:v>
                </c:pt>
                <c:pt idx="19">
                  <c:v>0.34</c:v>
                </c:pt>
                <c:pt idx="20">
                  <c:v>0.34</c:v>
                </c:pt>
                <c:pt idx="21">
                  <c:v>0.35</c:v>
                </c:pt>
                <c:pt idx="22">
                  <c:v>0.35</c:v>
                </c:pt>
                <c:pt idx="23">
                  <c:v>0.35</c:v>
                </c:pt>
                <c:pt idx="24">
                  <c:v>0.36</c:v>
                </c:pt>
                <c:pt idx="25">
                  <c:v>0.36</c:v>
                </c:pt>
                <c:pt idx="26">
                  <c:v>0.36</c:v>
                </c:pt>
                <c:pt idx="27">
                  <c:v>0.36</c:v>
                </c:pt>
                <c:pt idx="28">
                  <c:v>0.37</c:v>
                </c:pt>
                <c:pt idx="29">
                  <c:v>0.48</c:v>
                </c:pt>
                <c:pt idx="30">
                  <c:v>0.69</c:v>
                </c:pt>
                <c:pt idx="31">
                  <c:v>0.94</c:v>
                </c:pt>
                <c:pt idx="32">
                  <c:v>1.1100000000000001</c:v>
                </c:pt>
                <c:pt idx="33">
                  <c:v>2.02</c:v>
                </c:pt>
                <c:pt idx="34">
                  <c:v>2.97</c:v>
                </c:pt>
                <c:pt idx="35">
                  <c:v>3.5</c:v>
                </c:pt>
                <c:pt idx="36">
                  <c:v>4.21</c:v>
                </c:pt>
                <c:pt idx="37">
                  <c:v>4.6900000000000004</c:v>
                </c:pt>
                <c:pt idx="38">
                  <c:v>4.8600000000000003</c:v>
                </c:pt>
                <c:pt idx="39">
                  <c:v>5.36</c:v>
                </c:pt>
                <c:pt idx="40">
                  <c:v>5.97</c:v>
                </c:pt>
                <c:pt idx="41">
                  <c:v>6.64</c:v>
                </c:pt>
                <c:pt idx="42">
                  <c:v>7.3</c:v>
                </c:pt>
                <c:pt idx="43">
                  <c:v>7.27</c:v>
                </c:pt>
                <c:pt idx="44">
                  <c:v>7.25</c:v>
                </c:pt>
                <c:pt idx="45">
                  <c:v>7.28</c:v>
                </c:pt>
                <c:pt idx="46">
                  <c:v>7.27</c:v>
                </c:pt>
                <c:pt idx="47">
                  <c:v>7.26</c:v>
                </c:pt>
                <c:pt idx="48" formatCode="###\ ###\ ###\ ###\ ##0.00;\-###\ ###\ ###\ ###\ ##0.00">
                  <c:v>7.2161904761904765</c:v>
                </c:pt>
                <c:pt idx="49" formatCode="###\ ###\ ###\ ###\ ##0.00;\-###\ ###\ ###\ ###\ ##0.00">
                  <c:v>7.2010526315789471</c:v>
                </c:pt>
                <c:pt idx="50" formatCode="###\ ###\ ###\ ###\ ##0.00;\-###\ ###\ ###\ ###\ ##0.00">
                  <c:v>7.1931818181818183</c:v>
                </c:pt>
                <c:pt idx="51" formatCode="###\ ###\ ###\ ###\ ##0.00;\-###\ ###\ ###\ ###\ ##0.00">
                  <c:v>7.1788888888888893</c:v>
                </c:pt>
                <c:pt idx="52" formatCode="###\ ###\ ###\ ###\ ##0.00;\-###\ ###\ ###\ ###\ ##0.00">
                  <c:v>7.1790476190476191</c:v>
                </c:pt>
                <c:pt idx="53" formatCode="###\ ###\ ###\ ###\ ##0.00;\-###\ ###\ ###\ ###\ ##0.00">
                  <c:v>7.1472727272727274</c:v>
                </c:pt>
                <c:pt idx="54" formatCode="###\ ###\ ###\ ###\ ##0.00;\-###\ ###\ ###\ ###\ ##0.00">
                  <c:v>7.1121052631578952</c:v>
                </c:pt>
                <c:pt idx="55" formatCode="###\ ###\ ###\ ###\ ##0.00;\-###\ ###\ ###\ ###\ ##0.00">
                  <c:v>7.1030434782608696</c:v>
                </c:pt>
                <c:pt idx="56" formatCode="###\ ###\ ###\ ###\ ##0.00;\-###\ ###\ ###\ ###\ ##0.00">
                  <c:v>7.0895000000000001</c:v>
                </c:pt>
                <c:pt idx="57" formatCode="###\ ###\ ###\ ###\ ##0.00;\-###\ ###\ ###\ ###\ ##0.00">
                  <c:v>7.0472727272727269</c:v>
                </c:pt>
                <c:pt idx="58" formatCode="###\ ###\ ###\ ###\ ##0.00;\-###\ ###\ ###\ ###\ ##0.00">
                  <c:v>7.062380952380952</c:v>
                </c:pt>
                <c:pt idx="59" formatCode="###\ ###\ ###\ ###\ ##0.00;\-###\ ###\ ###\ ###\ ##0.00">
                  <c:v>6.9663157894736845</c:v>
                </c:pt>
                <c:pt idx="60" formatCode="###\ ###\ ###\ ###\ ##0.00;\-###\ ###\ ###\ ###\ ##0.00">
                  <c:v>6.6340909090909088</c:v>
                </c:pt>
                <c:pt idx="61" formatCode="###\ ###\ ###\ ###\ ##0.00;\-###\ ###\ ###\ ###\ ##0.00">
                  <c:v>6.2019047619047623</c:v>
                </c:pt>
                <c:pt idx="62" formatCode="###\ ###\ ###\ ###\ ##0.00;\-###\ ###\ ###\ ###\ ##0.00">
                  <c:v>5.8363157894736846</c:v>
                </c:pt>
                <c:pt idx="63" formatCode="###\ ###\ ###\ ###\ ##0.00;\-###\ ###\ ###\ ###\ ##0.00">
                  <c:v>5.5461904761904766</c:v>
                </c:pt>
                <c:pt idx="64" formatCode="###\ ###\ ###\ ###\ ##0.00;\-###\ ###\ ###\ ###\ ##0.00">
                  <c:v>5.1704761904761902</c:v>
                </c:pt>
                <c:pt idx="65" formatCode="###\ ###\ ###\ ###\ ##0.00;\-###\ ###\ ###\ ###\ ##0.00">
                  <c:v>5.0274999999999999</c:v>
                </c:pt>
                <c:pt idx="66" formatCode="###\ ###\ ###\ ###\ ##0.00;\-###\ ###\ ###\ ###\ ##0.00">
                  <c:v>4.6090909090909093</c:v>
                </c:pt>
                <c:pt idx="67" formatCode="###\ ###\ ###\ ###\ ##0.00;\-###\ ###\ ###\ ###\ ##0.00">
                  <c:v>4.4118181818181821</c:v>
                </c:pt>
                <c:pt idx="68" formatCode="###\ ###\ ###\ ###\ ##0.00;\-###\ ###\ ###\ ###\ ##0.00">
                  <c:v>4.3004761904761901</c:v>
                </c:pt>
              </c:numCache>
            </c:numRef>
          </c:val>
          <c:smooth val="0"/>
          <c:extLst>
            <c:ext xmlns:c16="http://schemas.microsoft.com/office/drawing/2014/chart" uri="{C3380CC4-5D6E-409C-BE32-E72D297353CC}">
              <c16:uniqueId val="{00000002-2FAC-4AA8-BAB4-F23B9CA3EB09}"/>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2019</c:v>
                  </c:pt>
                  <c:pt idx="12">
                    <c:v>2020</c:v>
                  </c:pt>
                  <c:pt idx="24">
                    <c:v>2021</c:v>
                  </c:pt>
                  <c:pt idx="36">
                    <c:v>2022</c:v>
                  </c:pt>
                  <c:pt idx="48">
                    <c:v>2023</c:v>
                  </c:pt>
                  <c:pt idx="60">
                    <c:v>2024</c:v>
                  </c:pt>
                </c:lvl>
              </c:multiLvlStrCache>
            </c:multiLvlStrRef>
          </c:cat>
          <c:val>
            <c:numRef>
              <c:f>'Měnové podmínky 1'!$G$18:$G$86</c:f>
              <c:numCache>
                <c:formatCode>General</c:formatCode>
                <c:ptCount val="69"/>
                <c:pt idx="0">
                  <c:v>1.6</c:v>
                </c:pt>
                <c:pt idx="1">
                  <c:v>1.61</c:v>
                </c:pt>
                <c:pt idx="2">
                  <c:v>1.7</c:v>
                </c:pt>
                <c:pt idx="3">
                  <c:v>1.63</c:v>
                </c:pt>
                <c:pt idx="4">
                  <c:v>1.57</c:v>
                </c:pt>
                <c:pt idx="5">
                  <c:v>1.43</c:v>
                </c:pt>
                <c:pt idx="6">
                  <c:v>1.31</c:v>
                </c:pt>
                <c:pt idx="7">
                  <c:v>0.89</c:v>
                </c:pt>
                <c:pt idx="8">
                  <c:v>1.1299999999999999</c:v>
                </c:pt>
                <c:pt idx="9">
                  <c:v>1.23</c:v>
                </c:pt>
                <c:pt idx="10">
                  <c:v>1.32</c:v>
                </c:pt>
                <c:pt idx="11">
                  <c:v>1.31</c:v>
                </c:pt>
                <c:pt idx="12">
                  <c:v>1.51</c:v>
                </c:pt>
                <c:pt idx="13">
                  <c:v>1.52</c:v>
                </c:pt>
                <c:pt idx="14">
                  <c:v>1.23</c:v>
                </c:pt>
                <c:pt idx="15">
                  <c:v>1.06</c:v>
                </c:pt>
                <c:pt idx="16">
                  <c:v>0.56999999999999995</c:v>
                </c:pt>
                <c:pt idx="17">
                  <c:v>0.52</c:v>
                </c:pt>
                <c:pt idx="18">
                  <c:v>0.52</c:v>
                </c:pt>
                <c:pt idx="19">
                  <c:v>0.57999999999999996</c:v>
                </c:pt>
                <c:pt idx="20">
                  <c:v>0.57999999999999996</c:v>
                </c:pt>
                <c:pt idx="21">
                  <c:v>0.54</c:v>
                </c:pt>
                <c:pt idx="22">
                  <c:v>0.66</c:v>
                </c:pt>
                <c:pt idx="23">
                  <c:v>0.8</c:v>
                </c:pt>
                <c:pt idx="24">
                  <c:v>0.82</c:v>
                </c:pt>
                <c:pt idx="25">
                  <c:v>1.06</c:v>
                </c:pt>
                <c:pt idx="26">
                  <c:v>1.4</c:v>
                </c:pt>
                <c:pt idx="27">
                  <c:v>1.43</c:v>
                </c:pt>
                <c:pt idx="28">
                  <c:v>1.47</c:v>
                </c:pt>
                <c:pt idx="29">
                  <c:v>1.55</c:v>
                </c:pt>
                <c:pt idx="30">
                  <c:v>1.63</c:v>
                </c:pt>
                <c:pt idx="31">
                  <c:v>1.68</c:v>
                </c:pt>
                <c:pt idx="32">
                  <c:v>1.87</c:v>
                </c:pt>
                <c:pt idx="33">
                  <c:v>2.37</c:v>
                </c:pt>
                <c:pt idx="34">
                  <c:v>2.84</c:v>
                </c:pt>
                <c:pt idx="35">
                  <c:v>2.84</c:v>
                </c:pt>
                <c:pt idx="36">
                  <c:v>3.36</c:v>
                </c:pt>
                <c:pt idx="37">
                  <c:v>3.2</c:v>
                </c:pt>
                <c:pt idx="38">
                  <c:v>3.85</c:v>
                </c:pt>
                <c:pt idx="39">
                  <c:v>4.54</c:v>
                </c:pt>
                <c:pt idx="40">
                  <c:v>4.99</c:v>
                </c:pt>
                <c:pt idx="41">
                  <c:v>5.49</c:v>
                </c:pt>
                <c:pt idx="42">
                  <c:v>5.12</c:v>
                </c:pt>
                <c:pt idx="43">
                  <c:v>4.67</c:v>
                </c:pt>
                <c:pt idx="44">
                  <c:v>5.0599999999999996</c:v>
                </c:pt>
                <c:pt idx="45">
                  <c:v>5.69</c:v>
                </c:pt>
                <c:pt idx="46">
                  <c:v>5.31</c:v>
                </c:pt>
                <c:pt idx="47">
                  <c:v>4.9000000000000004</c:v>
                </c:pt>
                <c:pt idx="48" formatCode="###\ ###\ ###\ ###\ ##0.00;\-###\ ###\ ###\ ###\ ##0.00">
                  <c:v>4.7307064721228871</c:v>
                </c:pt>
                <c:pt idx="49" formatCode="###\ ###\ ###\ ###\ ##0.00;\-###\ ###\ ###\ ###\ ##0.00">
                  <c:v>4.869274267276765</c:v>
                </c:pt>
                <c:pt idx="50" formatCode="###\ ###\ ###\ ###\ ##0.00;\-###\ ###\ ###\ ###\ ##0.00">
                  <c:v>4.8901662581800389</c:v>
                </c:pt>
                <c:pt idx="51" formatCode="###\ ###\ ###\ ###\ ##0.00;\-###\ ###\ ###\ ###\ ##0.00">
                  <c:v>4.9165403661897455</c:v>
                </c:pt>
                <c:pt idx="52" formatCode="###\ ###\ ###\ ###\ ##0.00;\-###\ ###\ ###\ ###\ ##0.00">
                  <c:v>4.8278684891401031</c:v>
                </c:pt>
                <c:pt idx="53" formatCode="###\ ###\ ###\ ###\ ##0.00;\-###\ ###\ ###\ ###\ ##0.00">
                  <c:v>4.641252073600076</c:v>
                </c:pt>
                <c:pt idx="54" formatCode="###\ ###\ ###\ ###\ ##0.00;\-###\ ###\ ###\ ###\ ##0.00">
                  <c:v>4.3712476122939803</c:v>
                </c:pt>
                <c:pt idx="55" formatCode="###\ ###\ ###\ ###\ ##0.00;\-###\ ###\ ###\ ###\ ##0.00">
                  <c:v>4.4394883944569479</c:v>
                </c:pt>
                <c:pt idx="56" formatCode="###\ ###\ ###\ ###\ ##0.00;\-###\ ###\ ###\ ###\ ##0.00">
                  <c:v>4.5697569170379646</c:v>
                </c:pt>
                <c:pt idx="57" formatCode="###\ ###\ ###\ ###\ ##0.00;\-###\ ###\ ###\ ###\ ##0.00">
                  <c:v>4.6213398432367514</c:v>
                </c:pt>
                <c:pt idx="58" formatCode="###\ ###\ ###\ ###\ ##0.00;\-###\ ###\ ###\ ###\ ##0.00">
                  <c:v>4.3189525391351618</c:v>
                </c:pt>
                <c:pt idx="59" formatCode="###\ ###\ ###\ ###\ ##0.00;\-###\ ###\ ###\ ###\ ##0.00">
                  <c:v>3.9581509254616192</c:v>
                </c:pt>
                <c:pt idx="60" formatCode="###\ ###\ ###\ ###\ ##0.00;\-###\ ###\ ###\ ###\ ##0.00">
                  <c:v>3.7948081133062201</c:v>
                </c:pt>
                <c:pt idx="61" formatCode="###\ ###\ ###\ ###\ ##0.00;\-###\ ###\ ###\ ###\ ##0.00">
                  <c:v>3.5373832658022923</c:v>
                </c:pt>
                <c:pt idx="62" formatCode="###\ ###\ ###\ ###\ ##0.00;\-###\ ###\ ###\ ###\ ##0.00">
                  <c:v>3.5659496523361214</c:v>
                </c:pt>
                <c:pt idx="63" formatCode="###\ ###\ ###\ ###\ ##0.00;\-###\ ###\ ###\ ###\ ##0.00">
                  <c:v>4.0341267380705332</c:v>
                </c:pt>
                <c:pt idx="64" formatCode="###\ ###\ ###\ ###\ ##0.00;\-###\ ###\ ###\ ###\ ##0.00">
                  <c:v>4.0872759187026269</c:v>
                </c:pt>
                <c:pt idx="65" formatCode="###\ ###\ ###\ ###\ ##0.00;\-###\ ###\ ###\ ###\ ##0.00">
                  <c:v>4.1227102073974615</c:v>
                </c:pt>
                <c:pt idx="66" formatCode="###\ ###\ ###\ ###\ ##0.00;\-###\ ###\ ###\ ###\ ##0.00">
                  <c:v>3.7623325475565603</c:v>
                </c:pt>
                <c:pt idx="67" formatCode="###\ ###\ ###\ ###\ ##0.00;\-###\ ###\ ###\ ###\ ##0.00">
                  <c:v>3.5039129182503443</c:v>
                </c:pt>
                <c:pt idx="68" formatCode="###\ ###\ ###\ ###\ ##0.00;\-###\ ###\ ###\ ###\ ##0.00">
                  <c:v>3.4678035691094786</c:v>
                </c:pt>
              </c:numCache>
            </c:numRef>
          </c:val>
          <c:smooth val="0"/>
          <c:extLst>
            <c:ext xmlns:c16="http://schemas.microsoft.com/office/drawing/2014/chart" uri="{C3380CC4-5D6E-409C-BE32-E72D297353CC}">
              <c16:uniqueId val="{00000003-2FAC-4AA8-BAB4-F23B9CA3EB09}"/>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2019</c:v>
                  </c:pt>
                  <c:pt idx="12">
                    <c:v>2020</c:v>
                  </c:pt>
                  <c:pt idx="24">
                    <c:v>2021</c:v>
                  </c:pt>
                  <c:pt idx="36">
                    <c:v>2022</c:v>
                  </c:pt>
                  <c:pt idx="48">
                    <c:v>2023</c:v>
                  </c:pt>
                  <c:pt idx="60">
                    <c:v>2024</c:v>
                  </c:pt>
                </c:lvl>
              </c:multiLvlStrCache>
            </c:multiLvlStrRef>
          </c:cat>
          <c:val>
            <c:numRef>
              <c:f>'Měnové podmínky 1'!$E$18:$E$86</c:f>
              <c:numCache>
                <c:formatCode>General</c:formatCode>
                <c:ptCount val="69"/>
                <c:pt idx="0">
                  <c:v>2.21</c:v>
                </c:pt>
                <c:pt idx="1">
                  <c:v>2.2000000000000002</c:v>
                </c:pt>
                <c:pt idx="2">
                  <c:v>2.2000000000000002</c:v>
                </c:pt>
                <c:pt idx="3">
                  <c:v>2.21</c:v>
                </c:pt>
                <c:pt idx="4">
                  <c:v>2.3199999999999998</c:v>
                </c:pt>
                <c:pt idx="5">
                  <c:v>2.29</c:v>
                </c:pt>
                <c:pt idx="6">
                  <c:v>2.2799999999999998</c:v>
                </c:pt>
                <c:pt idx="7">
                  <c:v>2.2200000000000002</c:v>
                </c:pt>
                <c:pt idx="8">
                  <c:v>2.2000000000000002</c:v>
                </c:pt>
                <c:pt idx="9">
                  <c:v>2.2799999999999998</c:v>
                </c:pt>
                <c:pt idx="10">
                  <c:v>2.2799999999999998</c:v>
                </c:pt>
                <c:pt idx="11">
                  <c:v>2.27</c:v>
                </c:pt>
                <c:pt idx="12">
                  <c:v>2.27</c:v>
                </c:pt>
                <c:pt idx="13">
                  <c:v>2.42</c:v>
                </c:pt>
                <c:pt idx="14">
                  <c:v>2.0099999999999998</c:v>
                </c:pt>
                <c:pt idx="15">
                  <c:v>0.92</c:v>
                </c:pt>
                <c:pt idx="16">
                  <c:v>0.51</c:v>
                </c:pt>
                <c:pt idx="17">
                  <c:v>0.43</c:v>
                </c:pt>
                <c:pt idx="18">
                  <c:v>0.43</c:v>
                </c:pt>
                <c:pt idx="19">
                  <c:v>0.43</c:v>
                </c:pt>
                <c:pt idx="20">
                  <c:v>0.44</c:v>
                </c:pt>
                <c:pt idx="21">
                  <c:v>0.43</c:v>
                </c:pt>
                <c:pt idx="22">
                  <c:v>0.44</c:v>
                </c:pt>
                <c:pt idx="23">
                  <c:v>0.49</c:v>
                </c:pt>
                <c:pt idx="24">
                  <c:v>0.49</c:v>
                </c:pt>
                <c:pt idx="25">
                  <c:v>0.54</c:v>
                </c:pt>
                <c:pt idx="26">
                  <c:v>0.56000000000000005</c:v>
                </c:pt>
                <c:pt idx="27">
                  <c:v>0.56000000000000005</c:v>
                </c:pt>
                <c:pt idx="28">
                  <c:v>0.67</c:v>
                </c:pt>
                <c:pt idx="29">
                  <c:v>0.78</c:v>
                </c:pt>
                <c:pt idx="30">
                  <c:v>1</c:v>
                </c:pt>
                <c:pt idx="31">
                  <c:v>1.3</c:v>
                </c:pt>
                <c:pt idx="32">
                  <c:v>1.52</c:v>
                </c:pt>
                <c:pt idx="33">
                  <c:v>2.44</c:v>
                </c:pt>
                <c:pt idx="34">
                  <c:v>3.5</c:v>
                </c:pt>
                <c:pt idx="35">
                  <c:v>3.96</c:v>
                </c:pt>
                <c:pt idx="36">
                  <c:v>4.55</c:v>
                </c:pt>
                <c:pt idx="37">
                  <c:v>4.87</c:v>
                </c:pt>
                <c:pt idx="38">
                  <c:v>5.12</c:v>
                </c:pt>
                <c:pt idx="39">
                  <c:v>5.74</c:v>
                </c:pt>
                <c:pt idx="40">
                  <c:v>6.33</c:v>
                </c:pt>
                <c:pt idx="41">
                  <c:v>7.02</c:v>
                </c:pt>
                <c:pt idx="42">
                  <c:v>7.55</c:v>
                </c:pt>
                <c:pt idx="43">
                  <c:v>7.48</c:v>
                </c:pt>
                <c:pt idx="44">
                  <c:v>7.44</c:v>
                </c:pt>
                <c:pt idx="45">
                  <c:v>7.45</c:v>
                </c:pt>
                <c:pt idx="46">
                  <c:v>7.39</c:v>
                </c:pt>
                <c:pt idx="47">
                  <c:v>7.28</c:v>
                </c:pt>
                <c:pt idx="48" formatCode="###\ ###\ ###\ ###\ ##0.00;\-###\ ###\ ###\ ###\ ##0.00">
                  <c:v>7.2480952380952379</c:v>
                </c:pt>
                <c:pt idx="49" formatCode="###\ ###\ ###\ ###\ ##0.00;\-###\ ###\ ###\ ###\ ##0.00">
                  <c:v>7.2326315789473687</c:v>
                </c:pt>
                <c:pt idx="50" formatCode="###\ ###\ ###\ ###\ ##0.00;\-###\ ###\ ###\ ###\ ##0.00">
                  <c:v>7.2263636363636365</c:v>
                </c:pt>
                <c:pt idx="51" formatCode="###\ ###\ ###\ ###\ ##0.00;\-###\ ###\ ###\ ###\ ##0.00">
                  <c:v>7.2088888888888887</c:v>
                </c:pt>
                <c:pt idx="52" formatCode="###\ ###\ ###\ ###\ ##0.00;\-###\ ###\ ###\ ###\ ##0.00">
                  <c:v>7.196190476190476</c:v>
                </c:pt>
                <c:pt idx="53" formatCode="###\ ###\ ###\ ###\ ##0.00;\-###\ ###\ ###\ ###\ ##0.00">
                  <c:v>7.1377272727272727</c:v>
                </c:pt>
                <c:pt idx="54" formatCode="###\ ###\ ###\ ###\ ##0.00;\-###\ ###\ ###\ ###\ ##0.00">
                  <c:v>7.0289473684210524</c:v>
                </c:pt>
                <c:pt idx="55" formatCode="###\ ###\ ###\ ###\ ##0.00;\-###\ ###\ ###\ ###\ ##0.00">
                  <c:v>6.9473913043478257</c:v>
                </c:pt>
                <c:pt idx="56" formatCode="###\ ###\ ###\ ###\ ##0.00;\-###\ ###\ ###\ ###\ ##0.00">
                  <c:v>6.8470000000000004</c:v>
                </c:pt>
                <c:pt idx="57" formatCode="###\ ###\ ###\ ###\ ##0.00;\-###\ ###\ ###\ ###\ ##0.00">
                  <c:v>6.6090909090909093</c:v>
                </c:pt>
                <c:pt idx="58" formatCode="###\ ###\ ###\ ###\ ##0.00;\-###\ ###\ ###\ ###\ ##0.00">
                  <c:v>6.4771428571428569</c:v>
                </c:pt>
                <c:pt idx="59" formatCode="###\ ###\ ###\ ###\ ##0.00;\-###\ ###\ ###\ ###\ ##0.00">
                  <c:v>6.1873684210526312</c:v>
                </c:pt>
                <c:pt idx="60" formatCode="###\ ###\ ###\ ###\ ##0.00;\-###\ ###\ ###\ ###\ ##0.00">
                  <c:v>5.4690909090909088</c:v>
                </c:pt>
                <c:pt idx="61" formatCode="###\ ###\ ###\ ###\ ##0.00;\-###\ ###\ ###\ ###\ ##0.00">
                  <c:v>5.0338095238095235</c:v>
                </c:pt>
                <c:pt idx="62" formatCode="###\ ###\ ###\ ###\ ##0.00;\-###\ ###\ ###\ ###\ ##0.00">
                  <c:v>4.7994736842105263</c:v>
                </c:pt>
                <c:pt idx="63" formatCode="###\ ###\ ###\ ###\ ##0.00;\-###\ ###\ ###\ ###\ ##0.00">
                  <c:v>4.588571428571429</c:v>
                </c:pt>
                <c:pt idx="64" formatCode="###\ ###\ ###\ ###\ ##0.00;\-###\ ###\ ###\ ###\ ##0.00">
                  <c:v>4.6500000000000004</c:v>
                </c:pt>
                <c:pt idx="65" formatCode="###\ ###\ ###\ ###\ ##0.00;\-###\ ###\ ###\ ###\ ##0.00">
                  <c:v>4.5715000000000003</c:v>
                </c:pt>
                <c:pt idx="66" formatCode="###\ ###\ ###\ ###\ ##0.00;\-###\ ###\ ###\ ###\ ##0.00">
                  <c:v>4.2559090909090909</c:v>
                </c:pt>
                <c:pt idx="67" formatCode="###\ ###\ ###\ ###\ ##0.00;\-###\ ###\ ###\ ###\ ##0.00">
                  <c:v>3.8945454545454545</c:v>
                </c:pt>
                <c:pt idx="68" formatCode="###\ ###\ ###\ ###\ ##0.00;\-###\ ###\ ###\ ###\ ##0.00">
                  <c:v>3.7338095238095237</c:v>
                </c:pt>
              </c:numCache>
            </c:numRef>
          </c:val>
          <c:smooth val="0"/>
          <c:extLst>
            <c:ext xmlns:c16="http://schemas.microsoft.com/office/drawing/2014/chart" uri="{C3380CC4-5D6E-409C-BE32-E72D297353CC}">
              <c16:uniqueId val="{00000004-2FAC-4AA8-BAB4-F23B9CA3EB09}"/>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2019</c:v>
                  </c:pt>
                  <c:pt idx="12">
                    <c:v>2020</c:v>
                  </c:pt>
                  <c:pt idx="24">
                    <c:v>2021</c:v>
                  </c:pt>
                  <c:pt idx="36">
                    <c:v>2022</c:v>
                  </c:pt>
                  <c:pt idx="48">
                    <c:v>2023</c:v>
                  </c:pt>
                  <c:pt idx="60">
                    <c:v>2024</c:v>
                  </c:pt>
                </c:lvl>
              </c:multiLvlStrCache>
            </c:multiLvlStrRef>
          </c:cat>
          <c:val>
            <c:numRef>
              <c:f>'Měnové podmínky 1'!$H$18:$H$86</c:f>
              <c:numCache>
                <c:formatCode>General</c:formatCode>
                <c:ptCount val="69"/>
                <c:pt idx="0">
                  <c:v>1.85</c:v>
                </c:pt>
                <c:pt idx="1">
                  <c:v>1.76</c:v>
                </c:pt>
                <c:pt idx="2">
                  <c:v>1.82</c:v>
                </c:pt>
                <c:pt idx="3">
                  <c:v>1.82</c:v>
                </c:pt>
                <c:pt idx="4">
                  <c:v>1.86</c:v>
                </c:pt>
                <c:pt idx="5">
                  <c:v>1.58</c:v>
                </c:pt>
                <c:pt idx="6">
                  <c:v>1.36</c:v>
                </c:pt>
                <c:pt idx="7">
                  <c:v>0.99</c:v>
                </c:pt>
                <c:pt idx="8">
                  <c:v>1.24</c:v>
                </c:pt>
                <c:pt idx="9">
                  <c:v>1.32</c:v>
                </c:pt>
                <c:pt idx="10">
                  <c:v>1.47</c:v>
                </c:pt>
                <c:pt idx="11">
                  <c:v>1.51</c:v>
                </c:pt>
                <c:pt idx="12">
                  <c:v>1.62</c:v>
                </c:pt>
                <c:pt idx="13">
                  <c:v>1.47</c:v>
                </c:pt>
                <c:pt idx="14">
                  <c:v>1.28</c:v>
                </c:pt>
                <c:pt idx="15">
                  <c:v>1.28</c:v>
                </c:pt>
                <c:pt idx="16">
                  <c:v>0.92</c:v>
                </c:pt>
                <c:pt idx="17">
                  <c:v>0.86</c:v>
                </c:pt>
                <c:pt idx="18">
                  <c:v>0.86</c:v>
                </c:pt>
                <c:pt idx="19">
                  <c:v>0.95</c:v>
                </c:pt>
                <c:pt idx="20">
                  <c:v>0.98</c:v>
                </c:pt>
                <c:pt idx="21">
                  <c:v>0.94</c:v>
                </c:pt>
                <c:pt idx="22">
                  <c:v>1.1200000000000001</c:v>
                </c:pt>
                <c:pt idx="23">
                  <c:v>1.26</c:v>
                </c:pt>
                <c:pt idx="24">
                  <c:v>1.28</c:v>
                </c:pt>
                <c:pt idx="25">
                  <c:v>1.49</c:v>
                </c:pt>
                <c:pt idx="26">
                  <c:v>1.87</c:v>
                </c:pt>
                <c:pt idx="27">
                  <c:v>1.86</c:v>
                </c:pt>
                <c:pt idx="28">
                  <c:v>1.74</c:v>
                </c:pt>
                <c:pt idx="29">
                  <c:v>1.67</c:v>
                </c:pt>
                <c:pt idx="30">
                  <c:v>1.72</c:v>
                </c:pt>
                <c:pt idx="31">
                  <c:v>1.74</c:v>
                </c:pt>
                <c:pt idx="32">
                  <c:v>1.9</c:v>
                </c:pt>
                <c:pt idx="33">
                  <c:v>2.34</c:v>
                </c:pt>
                <c:pt idx="34">
                  <c:v>2.62</c:v>
                </c:pt>
                <c:pt idx="35">
                  <c:v>2.62</c:v>
                </c:pt>
                <c:pt idx="36">
                  <c:v>3.12</c:v>
                </c:pt>
                <c:pt idx="37">
                  <c:v>3.03</c:v>
                </c:pt>
                <c:pt idx="38">
                  <c:v>3.53</c:v>
                </c:pt>
                <c:pt idx="39">
                  <c:v>4.01</c:v>
                </c:pt>
                <c:pt idx="40">
                  <c:v>4.6100000000000003</c:v>
                </c:pt>
                <c:pt idx="41">
                  <c:v>5.12</c:v>
                </c:pt>
                <c:pt idx="42">
                  <c:v>4.4000000000000004</c:v>
                </c:pt>
                <c:pt idx="43">
                  <c:v>4.1100000000000003</c:v>
                </c:pt>
                <c:pt idx="44">
                  <c:v>4.72</c:v>
                </c:pt>
                <c:pt idx="45">
                  <c:v>5.52</c:v>
                </c:pt>
                <c:pt idx="46">
                  <c:v>5.1100000000000003</c:v>
                </c:pt>
                <c:pt idx="47">
                  <c:v>4.71</c:v>
                </c:pt>
                <c:pt idx="48" formatCode="###\ ###\ ###\ ###\ ##0.00;\-###\ ###\ ###\ ###\ ##0.00">
                  <c:v>4.4683071740930735</c:v>
                </c:pt>
                <c:pt idx="49" formatCode="###\ ###\ ###\ ###\ ##0.00;\-###\ ###\ ###\ ###\ ##0.00">
                  <c:v>4.6124456250457779</c:v>
                </c:pt>
                <c:pt idx="50" formatCode="###\ ###\ ###\ ###\ ##0.00;\-###\ ###\ ###\ ###\ ##0.00">
                  <c:v>4.6664316498532505</c:v>
                </c:pt>
                <c:pt idx="51" formatCode="###\ ###\ ###\ ###\ ##0.00;\-###\ ###\ ###\ ###\ ##0.00">
                  <c:v>4.6464031535593682</c:v>
                </c:pt>
                <c:pt idx="52" formatCode="###\ ###\ ###\ ###\ ##0.00;\-###\ ###\ ###\ ###\ ##0.00">
                  <c:v>4.4999821517871696</c:v>
                </c:pt>
                <c:pt idx="53" formatCode="###\ ###\ ###\ ###\ ##0.00;\-###\ ###\ ###\ ###\ ##0.00">
                  <c:v>4.3475817201909166</c:v>
                </c:pt>
                <c:pt idx="54" formatCode="###\ ###\ ###\ ###\ ##0.00;\-###\ ###\ ###\ ###\ ##0.00">
                  <c:v>4.1488922058727873</c:v>
                </c:pt>
                <c:pt idx="55" formatCode="###\ ###\ ###\ ###\ ##0.00;\-###\ ###\ ###\ ###\ ##0.00">
                  <c:v>4.2612326220421171</c:v>
                </c:pt>
                <c:pt idx="56" formatCode="###\ ###\ ###\ ###\ ##0.00;\-###\ ###\ ###\ ###\ ##0.00">
                  <c:v>4.4941452526073471</c:v>
                </c:pt>
                <c:pt idx="57" formatCode="###\ ###\ ###\ ###\ ##0.00;\-###\ ###\ ###\ ###\ ##0.00">
                  <c:v>4.7196492538174732</c:v>
                </c:pt>
                <c:pt idx="58" formatCode="###\ ###\ ###\ ###\ ##0.00;\-###\ ###\ ###\ ###\ ##0.00">
                  <c:v>4.4238011822001155</c:v>
                </c:pt>
                <c:pt idx="59" formatCode="###\ ###\ ###\ ###\ ##0.00;\-###\ ###\ ###\ ###\ ##0.00">
                  <c:v>3.9723129766524465</c:v>
                </c:pt>
                <c:pt idx="60" formatCode="###\ ###\ ###\ ###\ ##0.00;\-###\ ###\ ###\ ###\ ##0.00">
                  <c:v>3.8808928950535173</c:v>
                </c:pt>
                <c:pt idx="61" formatCode="###\ ###\ ###\ ###\ ##0.00;\-###\ ###\ ###\ ###\ ##0.00">
                  <c:v>3.7595547903987336</c:v>
                </c:pt>
                <c:pt idx="62" formatCode="###\ ###\ ###\ ###\ ##0.00;\-###\ ###\ ###\ ###\ ##0.00">
                  <c:v>3.8237627295684833</c:v>
                </c:pt>
                <c:pt idx="63" formatCode="###\ ###\ ###\ ###\ ##0.00;\-###\ ###\ ###\ ###\ ##0.00">
                  <c:v>4.2047003389485704</c:v>
                </c:pt>
                <c:pt idx="64" formatCode="###\ ###\ ###\ ###\ ##0.00;\-###\ ###\ ###\ ###\ ##0.00">
                  <c:v>4.1563388742973695</c:v>
                </c:pt>
                <c:pt idx="65" formatCode="###\ ###\ ###\ ###\ ##0.00;\-###\ ###\ ###\ ###\ ##0.00">
                  <c:v>4.2111868231811522</c:v>
                </c:pt>
                <c:pt idx="66" formatCode="###\ ###\ ###\ ###\ ##0.00;\-###\ ###\ ###\ ###\ ##0.00">
                  <c:v>3.9530858135362124</c:v>
                </c:pt>
                <c:pt idx="67" formatCode="###\ ###\ ###\ ###\ ##0.00;\-###\ ###\ ###\ ###\ ##0.00">
                  <c:v>3.7819619047615758</c:v>
                </c:pt>
                <c:pt idx="68" formatCode="###\ ###\ ###\ ###\ ##0.00;\-###\ ###\ ###\ ###\ ##0.00">
                  <c:v>3.7680573318990085</c:v>
                </c:pt>
              </c:numCache>
            </c:numRef>
          </c:val>
          <c:smooth val="0"/>
          <c:extLst>
            <c:ext xmlns:c16="http://schemas.microsoft.com/office/drawing/2014/chart" uri="{C3380CC4-5D6E-409C-BE32-E72D297353CC}">
              <c16:uniqueId val="{00000005-2FAC-4AA8-BAB4-F23B9CA3EB09}"/>
            </c:ext>
          </c:extLst>
        </c:ser>
        <c:dLbls>
          <c:showLegendKey val="0"/>
          <c:showVal val="0"/>
          <c:showCatName val="0"/>
          <c:showSerName val="0"/>
          <c:showPercent val="0"/>
          <c:showBubbleSize val="0"/>
        </c:dLbls>
        <c:marker val="1"/>
        <c:smooth val="0"/>
        <c:axId val="271742464"/>
        <c:axId val="271744000"/>
      </c:lineChart>
      <c:catAx>
        <c:axId val="271742464"/>
        <c:scaling>
          <c:orientation val="minMax"/>
        </c:scaling>
        <c:delete val="0"/>
        <c:axPos val="b"/>
        <c:numFmt formatCode="General" sourceLinked="0"/>
        <c:majorTickMark val="out"/>
        <c:minorTickMark val="none"/>
        <c:tickLblPos val="low"/>
        <c:spPr>
          <a:ln>
            <a:solidFill>
              <a:schemeClr val="tx1"/>
            </a:solidFill>
          </a:ln>
        </c:spPr>
        <c:crossAx val="271744000"/>
        <c:crosses val="autoZero"/>
        <c:auto val="1"/>
        <c:lblAlgn val="ctr"/>
        <c:lblOffset val="100"/>
        <c:noMultiLvlLbl val="0"/>
      </c:catAx>
      <c:valAx>
        <c:axId val="271744000"/>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742464"/>
        <c:crosses val="autoZero"/>
        <c:crossBetween val="between"/>
        <c:majorUnit val="1"/>
      </c:valAx>
      <c:spPr>
        <a:ln>
          <a:solidFill>
            <a:schemeClr val="tx1"/>
          </a:solidFill>
        </a:ln>
      </c:spPr>
    </c:plotArea>
    <c:legend>
      <c:legendPos val="b"/>
      <c:layout>
        <c:manualLayout>
          <c:xMode val="edge"/>
          <c:yMode val="edge"/>
          <c:x val="4.7501055386693677E-2"/>
          <c:y val="0.87558269120103249"/>
          <c:w val="0.93350515028706516"/>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426501745522175"/>
          <c:h val="0.75194595942833931"/>
        </c:manualLayout>
      </c:layout>
      <c:barChart>
        <c:barDir val="col"/>
        <c:grouping val="stacked"/>
        <c:varyColors val="0"/>
        <c:ser>
          <c:idx val="1"/>
          <c:order val="1"/>
          <c:tx>
            <c:strRef>
              <c:f>'G1-SR-příjmy-příspěvky'!$A$35</c:f>
              <c:strCache>
                <c:ptCount val="1"/>
                <c:pt idx="0">
                  <c:v>Ostatní daně a poplatky</c:v>
                </c:pt>
              </c:strCache>
            </c:strRef>
          </c:tx>
          <c:spPr>
            <a:solidFill>
              <a:schemeClr val="bg1">
                <a:lumMod val="75000"/>
              </a:schemeClr>
            </a:solidFill>
            <a:ln w="12700">
              <a:noFill/>
              <a:prstDash val="solid"/>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'G1-SR-příjmy-příspěvky'!$E$35:$U$35</c:f>
              <c:numCache>
                <c:formatCode>0.0</c:formatCode>
                <c:ptCount val="17"/>
                <c:pt idx="0">
                  <c:v>0.39922458302144437</c:v>
                </c:pt>
                <c:pt idx="1">
                  <c:v>-0.52138580751874397</c:v>
                </c:pt>
                <c:pt idx="2">
                  <c:v>0.38494174134398501</c:v>
                </c:pt>
                <c:pt idx="3">
                  <c:v>0.75782132576051031</c:v>
                </c:pt>
                <c:pt idx="4">
                  <c:v>0.2043100893839277</c:v>
                </c:pt>
                <c:pt idx="5">
                  <c:v>-0.31949620849206267</c:v>
                </c:pt>
                <c:pt idx="6">
                  <c:v>3.5798749491447207E-2</c:v>
                </c:pt>
                <c:pt idx="7">
                  <c:v>0.40823718281484184</c:v>
                </c:pt>
                <c:pt idx="8">
                  <c:v>0.44161079131733477</c:v>
                </c:pt>
                <c:pt idx="9">
                  <c:v>0.24214568841864642</c:v>
                </c:pt>
                <c:pt idx="10">
                  <c:v>0.18312368925754779</c:v>
                </c:pt>
                <c:pt idx="11">
                  <c:v>0.47861875769007395</c:v>
                </c:pt>
                <c:pt idx="12">
                  <c:v>-1.674081489099593E-2</c:v>
                </c:pt>
                <c:pt idx="13">
                  <c:v>0.16236667714832503</c:v>
                </c:pt>
                <c:pt idx="14">
                  <c:v>0.62493574418475628</c:v>
                </c:pt>
                <c:pt idx="15">
                  <c:v>4.8591668672257606</c:v>
                </c:pt>
                <c:pt idx="16">
                  <c:v>-0.28513620990298505</c:v>
                </c:pt>
              </c:numCache>
            </c:numRef>
          </c:val>
          <c:extLst>
            <c:ext xmlns:c16="http://schemas.microsoft.com/office/drawing/2014/chart" uri="{C3380CC4-5D6E-409C-BE32-E72D297353CC}">
              <c16:uniqueId val="{00000000-2852-44FD-B2E1-AC53204589B7}"/>
            </c:ext>
          </c:extLst>
        </c:ser>
        <c:ser>
          <c:idx val="3"/>
          <c:order val="2"/>
          <c:tx>
            <c:strRef>
              <c:f>'G1-SR-příjmy-příspěvky'!$A$36</c:f>
              <c:strCache>
                <c:ptCount val="1"/>
                <c:pt idx="0">
                  <c:v>Daně z příjmů FO, placená plátci</c:v>
                </c:pt>
              </c:strCache>
            </c:strRef>
          </c:tx>
          <c:spPr>
            <a:solidFill>
              <a:srgbClr val="EA6C75"/>
            </a:solidFill>
            <a:ln w="19050">
              <a:noFill/>
              <a:prstDash val="sysDot"/>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'G1-SR-příjmy-příspěvky'!$E$36:$U$36</c:f>
              <c:numCache>
                <c:formatCode>0.0</c:formatCode>
                <c:ptCount val="17"/>
                <c:pt idx="0">
                  <c:v>-1.3185927333448506</c:v>
                </c:pt>
                <c:pt idx="1">
                  <c:v>-0.683195196059042</c:v>
                </c:pt>
                <c:pt idx="2">
                  <c:v>7.6574432417890456E-2</c:v>
                </c:pt>
                <c:pt idx="3">
                  <c:v>1.0717342254726578</c:v>
                </c:pt>
                <c:pt idx="4">
                  <c:v>0.15294141391213323</c:v>
                </c:pt>
                <c:pt idx="5">
                  <c:v>0.91307934029997739</c:v>
                </c:pt>
                <c:pt idx="6">
                  <c:v>0.69459138201652193</c:v>
                </c:pt>
                <c:pt idx="7">
                  <c:v>0.42746917494716125</c:v>
                </c:pt>
                <c:pt idx="8">
                  <c:v>1.6670040533465638</c:v>
                </c:pt>
                <c:pt idx="9">
                  <c:v>2.1330413189999518</c:v>
                </c:pt>
                <c:pt idx="10">
                  <c:v>2.6405684717277622</c:v>
                </c:pt>
                <c:pt idx="11">
                  <c:v>2.3517629294290785</c:v>
                </c:pt>
                <c:pt idx="12">
                  <c:v>-1.7215845900551052</c:v>
                </c:pt>
                <c:pt idx="13">
                  <c:v>-6.385816306553787</c:v>
                </c:pt>
                <c:pt idx="14">
                  <c:v>1.0956944710211212</c:v>
                </c:pt>
                <c:pt idx="15">
                  <c:v>2.5094032821549845</c:v>
                </c:pt>
                <c:pt idx="16">
                  <c:v>1.8377767117457617</c:v>
                </c:pt>
              </c:numCache>
            </c:numRef>
          </c:val>
          <c:extLst>
            <c:ext xmlns:c16="http://schemas.microsoft.com/office/drawing/2014/chart" uri="{C3380CC4-5D6E-409C-BE32-E72D297353CC}">
              <c16:uniqueId val="{00000001-2852-44FD-B2E1-AC53204589B7}"/>
            </c:ext>
          </c:extLst>
        </c:ser>
        <c:ser>
          <c:idx val="4"/>
          <c:order val="3"/>
          <c:tx>
            <c:strRef>
              <c:f>'G1-SR-příjmy-příspěvky'!$A$37</c:f>
              <c:strCache>
                <c:ptCount val="1"/>
                <c:pt idx="0">
                  <c:v>Daně z příjmů FO, ostatní</c:v>
                </c:pt>
              </c:strCache>
            </c:strRef>
          </c:tx>
          <c:spPr>
            <a:solidFill>
              <a:srgbClr val="FFD757"/>
            </a:solidFill>
            <a:ln w="19050">
              <a:noFill/>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'G1-SR-příjmy-příspěvky'!$E$37:$U$37</c:f>
              <c:numCache>
                <c:formatCode>0.0</c:formatCode>
                <c:ptCount val="17"/>
                <c:pt idx="0">
                  <c:v>0.42801481737394764</c:v>
                </c:pt>
                <c:pt idx="1">
                  <c:v>-1.7079879901476065</c:v>
                </c:pt>
                <c:pt idx="2">
                  <c:v>0.38287216208944641</c:v>
                </c:pt>
                <c:pt idx="3">
                  <c:v>-0.7974791877382762</c:v>
                </c:pt>
                <c:pt idx="4">
                  <c:v>0.41294181756276055</c:v>
                </c:pt>
                <c:pt idx="5">
                  <c:v>-0.14654359782591986</c:v>
                </c:pt>
                <c:pt idx="6">
                  <c:v>0.47341886300599878</c:v>
                </c:pt>
                <c:pt idx="7">
                  <c:v>-0.17898099601446246</c:v>
                </c:pt>
                <c:pt idx="8">
                  <c:v>0.73529483924047712</c:v>
                </c:pt>
                <c:pt idx="9">
                  <c:v>3.8558230639912365E-2</c:v>
                </c:pt>
                <c:pt idx="10">
                  <c:v>0.2061142420617183</c:v>
                </c:pt>
                <c:pt idx="11">
                  <c:v>0.49062640424296222</c:v>
                </c:pt>
                <c:pt idx="12">
                  <c:v>-0.45179074828909926</c:v>
                </c:pt>
                <c:pt idx="13">
                  <c:v>0.79251109518140295</c:v>
                </c:pt>
                <c:pt idx="14">
                  <c:v>1.1435578174620293</c:v>
                </c:pt>
                <c:pt idx="15">
                  <c:v>1.1361613440504152</c:v>
                </c:pt>
                <c:pt idx="16">
                  <c:v>0.36459743046335691</c:v>
                </c:pt>
              </c:numCache>
            </c:numRef>
          </c:val>
          <c:extLst>
            <c:ext xmlns:c16="http://schemas.microsoft.com/office/drawing/2014/chart" uri="{C3380CC4-5D6E-409C-BE32-E72D297353CC}">
              <c16:uniqueId val="{00000002-2852-44FD-B2E1-AC53204589B7}"/>
            </c:ext>
          </c:extLst>
        </c:ser>
        <c:ser>
          <c:idx val="2"/>
          <c:order val="4"/>
          <c:tx>
            <c:strRef>
              <c:f>'G1-SR-příjmy-příspěvky'!$A$38</c:f>
              <c:strCache>
                <c:ptCount val="1"/>
                <c:pt idx="0">
                  <c:v>Daně z příjmů PO</c:v>
                </c:pt>
              </c:strCache>
            </c:strRef>
          </c:tx>
          <c:spPr>
            <a:solidFill>
              <a:srgbClr val="F9B073"/>
            </a:solidFill>
            <a:ln>
              <a:noFill/>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'G1-SR-příjmy-příspěvky'!$E$38:$U$38</c:f>
              <c:numCache>
                <c:formatCode>0.0</c:formatCode>
                <c:ptCount val="17"/>
                <c:pt idx="0">
                  <c:v>4.0018425749985633</c:v>
                </c:pt>
                <c:pt idx="1">
                  <c:v>-9.4748386400819857</c:v>
                </c:pt>
                <c:pt idx="2">
                  <c:v>1.069972474595916</c:v>
                </c:pt>
                <c:pt idx="3">
                  <c:v>-1.1806582120905686</c:v>
                </c:pt>
                <c:pt idx="4">
                  <c:v>1.5944142400339956</c:v>
                </c:pt>
                <c:pt idx="5">
                  <c:v>-1.1178646244413311</c:v>
                </c:pt>
                <c:pt idx="6">
                  <c:v>1.5408961448419181</c:v>
                </c:pt>
                <c:pt idx="7">
                  <c:v>2.0070199067641155</c:v>
                </c:pt>
                <c:pt idx="8">
                  <c:v>2.4996667023494781</c:v>
                </c:pt>
                <c:pt idx="9">
                  <c:v>4.1642889091102551E-2</c:v>
                </c:pt>
                <c:pt idx="10">
                  <c:v>0.43384885916488058</c:v>
                </c:pt>
                <c:pt idx="11">
                  <c:v>1.5935221228717706</c:v>
                </c:pt>
                <c:pt idx="12">
                  <c:v>-3.6005022371045383</c:v>
                </c:pt>
                <c:pt idx="13">
                  <c:v>5.8351210797303867</c:v>
                </c:pt>
                <c:pt idx="14">
                  <c:v>3.5016495282490565</c:v>
                </c:pt>
                <c:pt idx="15">
                  <c:v>6.9319945761518396</c:v>
                </c:pt>
                <c:pt idx="16">
                  <c:v>-1.7617242671655271</c:v>
                </c:pt>
              </c:numCache>
            </c:numRef>
          </c:val>
          <c:extLst>
            <c:ext xmlns:c16="http://schemas.microsoft.com/office/drawing/2014/chart" uri="{C3380CC4-5D6E-409C-BE32-E72D297353CC}">
              <c16:uniqueId val="{00000003-2852-44FD-B2E1-AC53204589B7}"/>
            </c:ext>
          </c:extLst>
        </c:ser>
        <c:ser>
          <c:idx val="5"/>
          <c:order val="5"/>
          <c:tx>
            <c:strRef>
              <c:f>'G1-SR-příjmy-příspěvky'!$A$39</c:f>
              <c:strCache>
                <c:ptCount val="1"/>
                <c:pt idx="0">
                  <c:v>Spotřební daň</c:v>
                </c:pt>
              </c:strCache>
            </c:strRef>
          </c:tx>
          <c:spPr>
            <a:solidFill>
              <a:srgbClr val="00B050"/>
            </a:solidFill>
            <a:ln>
              <a:noFill/>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'G1-SR-příjmy-příspěvky'!$E$39:$U$39</c:f>
              <c:numCache>
                <c:formatCode>0.0</c:formatCode>
                <c:ptCount val="17"/>
                <c:pt idx="0">
                  <c:v>0.59883687453215706</c:v>
                </c:pt>
                <c:pt idx="1">
                  <c:v>-0.6130777943582455</c:v>
                </c:pt>
                <c:pt idx="2">
                  <c:v>1.3452265154494103</c:v>
                </c:pt>
                <c:pt idx="3">
                  <c:v>1.2409554189683412</c:v>
                </c:pt>
                <c:pt idx="4">
                  <c:v>-0.30205929247646662</c:v>
                </c:pt>
                <c:pt idx="5">
                  <c:v>-0.71956664060677211</c:v>
                </c:pt>
                <c:pt idx="6">
                  <c:v>0.39847610863053251</c:v>
                </c:pt>
                <c:pt idx="7">
                  <c:v>0.80107028313269024</c:v>
                </c:pt>
                <c:pt idx="8">
                  <c:v>1.2070250899860806</c:v>
                </c:pt>
                <c:pt idx="9">
                  <c:v>0.53056125360519379</c:v>
                </c:pt>
                <c:pt idx="10">
                  <c:v>0.26232721716946206</c:v>
                </c:pt>
                <c:pt idx="11">
                  <c:v>-3.9196048823818809E-2</c:v>
                </c:pt>
                <c:pt idx="12">
                  <c:v>-0.40403836868730225</c:v>
                </c:pt>
                <c:pt idx="13">
                  <c:v>-0.90340003396451163</c:v>
                </c:pt>
                <c:pt idx="14">
                  <c:v>1.2017788865854619</c:v>
                </c:pt>
                <c:pt idx="15">
                  <c:v>-0.63224507912749661</c:v>
                </c:pt>
                <c:pt idx="16">
                  <c:v>1.0820833258788904</c:v>
                </c:pt>
              </c:numCache>
            </c:numRef>
          </c:val>
          <c:extLst>
            <c:ext xmlns:c16="http://schemas.microsoft.com/office/drawing/2014/chart" uri="{C3380CC4-5D6E-409C-BE32-E72D297353CC}">
              <c16:uniqueId val="{00000004-2852-44FD-B2E1-AC53204589B7}"/>
            </c:ext>
          </c:extLst>
        </c:ser>
        <c:ser>
          <c:idx val="6"/>
          <c:order val="6"/>
          <c:tx>
            <c:strRef>
              <c:f>'G1-SR-příjmy-příspěvky'!$A$40</c:f>
              <c:strCache>
                <c:ptCount val="1"/>
                <c:pt idx="0">
                  <c:v>DPH</c:v>
                </c:pt>
              </c:strCache>
            </c:strRef>
          </c:tx>
          <c:spPr>
            <a:solidFill>
              <a:schemeClr val="accent5">
                <a:lumMod val="60000"/>
                <a:lumOff val="40000"/>
              </a:schemeClr>
            </a:solidFill>
            <a:ln w="19050">
              <a:noFill/>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'G1-SR-příjmy-příspěvky'!$E$40:$U$40</c:f>
              <c:numCache>
                <c:formatCode>0.0</c:formatCode>
                <c:ptCount val="17"/>
                <c:pt idx="0">
                  <c:v>2.6467822114738673</c:v>
                </c:pt>
                <c:pt idx="1">
                  <c:v>-0.12764962873734884</c:v>
                </c:pt>
                <c:pt idx="2">
                  <c:v>3.1416213083880091</c:v>
                </c:pt>
                <c:pt idx="3">
                  <c:v>0.64965377732825347</c:v>
                </c:pt>
                <c:pt idx="4">
                  <c:v>-0.30588282782426646</c:v>
                </c:pt>
                <c:pt idx="5">
                  <c:v>4.1746137739640945</c:v>
                </c:pt>
                <c:pt idx="6">
                  <c:v>2.047216704890801</c:v>
                </c:pt>
                <c:pt idx="7">
                  <c:v>4.5179668896857914E-2</c:v>
                </c:pt>
                <c:pt idx="8">
                  <c:v>2.2948585507802108</c:v>
                </c:pt>
                <c:pt idx="9">
                  <c:v>4.0193099619044652</c:v>
                </c:pt>
                <c:pt idx="10">
                  <c:v>2.9158679139220882</c:v>
                </c:pt>
                <c:pt idx="11">
                  <c:v>1.9070905134623097</c:v>
                </c:pt>
                <c:pt idx="12">
                  <c:v>-0.75630542506162945</c:v>
                </c:pt>
                <c:pt idx="13">
                  <c:v>3.0448827044485789</c:v>
                </c:pt>
                <c:pt idx="14">
                  <c:v>7.9526056162271859</c:v>
                </c:pt>
                <c:pt idx="15">
                  <c:v>2.4123384484940407</c:v>
                </c:pt>
                <c:pt idx="16">
                  <c:v>1.3659773849089574</c:v>
                </c:pt>
              </c:numCache>
            </c:numRef>
          </c:val>
          <c:extLst>
            <c:ext xmlns:c16="http://schemas.microsoft.com/office/drawing/2014/chart" uri="{C3380CC4-5D6E-409C-BE32-E72D297353CC}">
              <c16:uniqueId val="{00000005-2852-44FD-B2E1-AC53204589B7}"/>
            </c:ext>
          </c:extLst>
        </c:ser>
        <c:dLbls>
          <c:showLegendKey val="0"/>
          <c:showVal val="0"/>
          <c:showCatName val="0"/>
          <c:showSerName val="0"/>
          <c:showPercent val="0"/>
          <c:showBubbleSize val="0"/>
        </c:dLbls>
        <c:gapWidth val="49"/>
        <c:overlap val="100"/>
        <c:axId val="194467712"/>
        <c:axId val="194473984"/>
      </c:barChart>
      <c:lineChart>
        <c:grouping val="standard"/>
        <c:varyColors val="0"/>
        <c:ser>
          <c:idx val="0"/>
          <c:order val="0"/>
          <c:tx>
            <c:strRef>
              <c:f>'G1-SR-příjmy-příspěvky'!$A$34</c:f>
              <c:strCache>
                <c:ptCount val="1"/>
                <c:pt idx="0">
                  <c:v>Celk. daňové příjmy (bez pojistného na SZ)</c:v>
                </c:pt>
              </c:strCache>
            </c:strRef>
          </c:tx>
          <c:spPr>
            <a:ln w="19050">
              <a:noFill/>
            </a:ln>
          </c:spPr>
          <c:marker>
            <c:symbol val="circle"/>
            <c:size val="7"/>
            <c:spPr>
              <a:solidFill>
                <a:schemeClr val="bg1">
                  <a:lumMod val="95000"/>
                </a:schemeClr>
              </a:solidFill>
              <a:ln>
                <a:solidFill>
                  <a:schemeClr val="tx1">
                    <a:lumMod val="95000"/>
                    <a:lumOff val="5000"/>
                  </a:schemeClr>
                </a:solidFill>
              </a:ln>
            </c:spPr>
          </c:marker>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'G1-SR-příjmy-příspěvky'!$E$34:$U$34</c:f>
              <c:numCache>
                <c:formatCode>0.0</c:formatCode>
                <c:ptCount val="17"/>
                <c:pt idx="0">
                  <c:v>6.7561083280551344</c:v>
                </c:pt>
                <c:pt idx="1">
                  <c:v>-13.128135056902977</c:v>
                </c:pt>
                <c:pt idx="2">
                  <c:v>6.4012086342846573</c:v>
                </c:pt>
                <c:pt idx="3">
                  <c:v>1.742027347700926</c:v>
                </c:pt>
                <c:pt idx="4">
                  <c:v>1.756665440592073</c:v>
                </c:pt>
                <c:pt idx="5">
                  <c:v>2.7842220428979942</c:v>
                </c:pt>
                <c:pt idx="6">
                  <c:v>5.1903979528772197</c:v>
                </c:pt>
                <c:pt idx="7">
                  <c:v>3.5099952205412137</c:v>
                </c:pt>
                <c:pt idx="8">
                  <c:v>8.8454600270201382</c:v>
                </c:pt>
                <c:pt idx="9">
                  <c:v>7.0052593426592722</c:v>
                </c:pt>
                <c:pt idx="10">
                  <c:v>6.6418503933034572</c:v>
                </c:pt>
                <c:pt idx="11">
                  <c:v>6.7824246788723741</c:v>
                </c:pt>
                <c:pt idx="12">
                  <c:v>-6.9509621840886666</c:v>
                </c:pt>
                <c:pt idx="13">
                  <c:v>2.5456652159903967</c:v>
                </c:pt>
                <c:pt idx="14">
                  <c:v>15.520222063729605</c:v>
                </c:pt>
                <c:pt idx="15">
                  <c:v>17.216819438949543</c:v>
                </c:pt>
                <c:pt idx="16">
                  <c:v>2.60357437592846</c:v>
                </c:pt>
              </c:numCache>
            </c:numRef>
          </c:val>
          <c:smooth val="0"/>
          <c:extLst>
            <c:ext xmlns:c16="http://schemas.microsoft.com/office/drawing/2014/chart" uri="{C3380CC4-5D6E-409C-BE32-E72D297353CC}">
              <c16:uniqueId val="{00000006-2852-44FD-B2E1-AC53204589B7}"/>
            </c:ext>
          </c:extLst>
        </c:ser>
        <c:ser>
          <c:idx val="7"/>
          <c:order val="7"/>
          <c:tx>
            <c:strRef>
              <c:f>'G1-SR-příjmy-příspěvky'!$A$41</c:f>
              <c:strCache>
                <c:ptCount val="1"/>
                <c:pt idx="0">
                  <c:v>Příjmy z pojistného na soc. zabezpečení*</c:v>
                </c:pt>
              </c:strCache>
            </c:strRef>
          </c:tx>
          <c:spPr>
            <a:ln w="6350">
              <a:noFill/>
              <a:prstDash val="dash"/>
            </a:ln>
          </c:spPr>
          <c:marker>
            <c:symbol val="triangle"/>
            <c:size val="5"/>
            <c:spPr>
              <a:solidFill>
                <a:schemeClr val="bg2">
                  <a:lumMod val="90000"/>
                </a:schemeClr>
              </a:solidFill>
              <a:ln>
                <a:solidFill>
                  <a:schemeClr val="tx1">
                    <a:lumMod val="95000"/>
                    <a:lumOff val="5000"/>
                  </a:schemeClr>
                </a:solidFill>
              </a:ln>
            </c:spPr>
          </c:marker>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'G1-SR-příjmy-příspěvky'!$E$41:$U$41</c:f>
              <c:numCache>
                <c:formatCode>0.0</c:formatCode>
                <c:ptCount val="17"/>
                <c:pt idx="0">
                  <c:v>6.916973963571337</c:v>
                </c:pt>
                <c:pt idx="1">
                  <c:v>-9.0997770345596365</c:v>
                </c:pt>
                <c:pt idx="2">
                  <c:v>0.83933772803924001</c:v>
                </c:pt>
                <c:pt idx="3">
                  <c:v>3.4092204781270112</c:v>
                </c:pt>
                <c:pt idx="4">
                  <c:v>1.9222287562481739</c:v>
                </c:pt>
                <c:pt idx="5">
                  <c:v>-0.19472792182034482</c:v>
                </c:pt>
                <c:pt idx="6">
                  <c:v>2.6447953174115781</c:v>
                </c:pt>
                <c:pt idx="7">
                  <c:v>5.5651378084409941</c:v>
                </c:pt>
                <c:pt idx="8">
                  <c:v>5.9986662220740357</c:v>
                </c:pt>
                <c:pt idx="9">
                  <c:v>8.235553178772534</c:v>
                </c:pt>
                <c:pt idx="10">
                  <c:v>10.436829714883601</c:v>
                </c:pt>
                <c:pt idx="11">
                  <c:v>8.0021560545186361</c:v>
                </c:pt>
                <c:pt idx="12">
                  <c:v>-4.2777676411420771</c:v>
                </c:pt>
                <c:pt idx="13">
                  <c:v>12.359526659362288</c:v>
                </c:pt>
                <c:pt idx="14">
                  <c:v>6.5023279059018648</c:v>
                </c:pt>
                <c:pt idx="15">
                  <c:v>8.7749346102075236</c:v>
                </c:pt>
                <c:pt idx="16">
                  <c:v>9.101393198598501</c:v>
                </c:pt>
              </c:numCache>
            </c:numRef>
          </c:val>
          <c:smooth val="0"/>
          <c:extLst>
            <c:ext xmlns:c16="http://schemas.microsoft.com/office/drawing/2014/chart" uri="{C3380CC4-5D6E-409C-BE32-E72D297353CC}">
              <c16:uniqueId val="{00000007-2852-44FD-B2E1-AC53204589B7}"/>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'G1-SR-příjmy-příspěvky'!$A$42</c:f>
              <c:strCache>
                <c:ptCount val="1"/>
                <c:pt idx="0">
                  <c:v>Saldo státního rozpočtu</c:v>
                </c:pt>
              </c:strCache>
            </c:strRef>
          </c:tx>
          <c:spPr>
            <a:ln w="19050">
              <a:solidFill>
                <a:schemeClr val="bg2">
                  <a:lumMod val="50000"/>
                </a:schemeClr>
              </a:solidFill>
            </a:ln>
          </c:spPr>
          <c:marker>
            <c:symbol val="none"/>
          </c:marker>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'G1-SR-příjmy-příspěvky'!$E$42:$U$42</c:f>
              <c:numCache>
                <c:formatCode>#\ ##0.0</c:formatCode>
                <c:ptCount val="17"/>
                <c:pt idx="0">
                  <c:v>10.473000000000001</c:v>
                </c:pt>
                <c:pt idx="1">
                  <c:v>-87.296000000000006</c:v>
                </c:pt>
                <c:pt idx="2">
                  <c:v>-99.555000000000007</c:v>
                </c:pt>
                <c:pt idx="3">
                  <c:v>-105.13800000000001</c:v>
                </c:pt>
                <c:pt idx="4">
                  <c:v>-71.412000000000006</c:v>
                </c:pt>
                <c:pt idx="5">
                  <c:v>-38.241</c:v>
                </c:pt>
                <c:pt idx="6">
                  <c:v>-34.39</c:v>
                </c:pt>
                <c:pt idx="7">
                  <c:v>-2.77</c:v>
                </c:pt>
                <c:pt idx="8">
                  <c:v>82.27</c:v>
                </c:pt>
                <c:pt idx="9">
                  <c:v>17.399999999999999</c:v>
                </c:pt>
                <c:pt idx="10">
                  <c:v>16.77</c:v>
                </c:pt>
                <c:pt idx="11">
                  <c:v>-20.99</c:v>
                </c:pt>
                <c:pt idx="12">
                  <c:v>-252.66738666548986</c:v>
                </c:pt>
                <c:pt idx="13">
                  <c:v>-326.27150374008056</c:v>
                </c:pt>
                <c:pt idx="14">
                  <c:v>-270.87650309327955</c:v>
                </c:pt>
                <c:pt idx="15">
                  <c:v>-180.67727687643992</c:v>
                </c:pt>
                <c:pt idx="16">
                  <c:v>-181.74969187712009</c:v>
                </c:pt>
              </c:numCache>
            </c:numRef>
          </c:val>
          <c:smooth val="0"/>
          <c:extLst>
            <c:ext xmlns:c16="http://schemas.microsoft.com/office/drawing/2014/chart" uri="{C3380CC4-5D6E-409C-BE32-E72D297353CC}">
              <c16:uniqueId val="{00000008-2852-44FD-B2E1-AC53204589B7}"/>
            </c:ext>
          </c:extLst>
        </c:ser>
        <c:ser>
          <c:idx val="9"/>
          <c:order val="9"/>
          <c:tx>
            <c:strRef>
              <c:f>'G1-SR-příjmy-příspěvky'!$A$43</c:f>
              <c:strCache>
                <c:ptCount val="1"/>
                <c:pt idx="0">
                  <c:v>Saldo SR očišťěné o vliv EU a FM**</c:v>
                </c:pt>
              </c:strCache>
            </c:strRef>
          </c:tx>
          <c:spPr>
            <a:ln w="19050">
              <a:solidFill>
                <a:schemeClr val="bg2">
                  <a:lumMod val="50000"/>
                </a:schemeClr>
              </a:solidFill>
              <a:prstDash val="sysDash"/>
            </a:ln>
          </c:spPr>
          <c:marker>
            <c:symbol val="none"/>
          </c:marker>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'G1-SR-příjmy-příspěvky'!$E$43:$U$43</c:f>
              <c:numCache>
                <c:formatCode>General</c:formatCode>
                <c:ptCount val="17"/>
                <c:pt idx="5" formatCode="#\ ##0.0">
                  <c:v>-65.2</c:v>
                </c:pt>
                <c:pt idx="6" formatCode="#\ ##0.0">
                  <c:v>-52.7</c:v>
                </c:pt>
                <c:pt idx="7" formatCode="#\ ##0.0">
                  <c:v>-40.5</c:v>
                </c:pt>
                <c:pt idx="8" formatCode="#\ ##0.0">
                  <c:v>-7.2</c:v>
                </c:pt>
                <c:pt idx="9" formatCode="#\ ##0.0">
                  <c:v>0.9</c:v>
                </c:pt>
                <c:pt idx="10" formatCode="#\ ##0.0">
                  <c:v>-4.8</c:v>
                </c:pt>
                <c:pt idx="11" formatCode="#\ ##0.0">
                  <c:v>-19</c:v>
                </c:pt>
                <c:pt idx="12" formatCode="#\ ##0.0">
                  <c:v>-256.5839071952804</c:v>
                </c:pt>
                <c:pt idx="13" formatCode="#\ ##0.0">
                  <c:v>-325.0604759008105</c:v>
                </c:pt>
                <c:pt idx="14" formatCode="#\ ##0.0">
                  <c:v>-255.36323320623956</c:v>
                </c:pt>
                <c:pt idx="15" formatCode="#\ ##0.0">
                  <c:v>-211.71180325428986</c:v>
                </c:pt>
                <c:pt idx="16" formatCode="#\ ##0.0">
                  <c:v>-188.22488612304005</c:v>
                </c:pt>
              </c:numCache>
            </c:numRef>
          </c:val>
          <c:smooth val="0"/>
          <c:extLst>
            <c:ext xmlns:c16="http://schemas.microsoft.com/office/drawing/2014/chart" uri="{C3380CC4-5D6E-409C-BE32-E72D297353CC}">
              <c16:uniqueId val="{00000009-2852-44FD-B2E1-AC53204589B7}"/>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0"/>
          <c:min val="-28"/>
        </c:scaling>
        <c:delete val="0"/>
        <c:axPos val="l"/>
        <c:majorGridlines>
          <c:spPr>
            <a:ln w="6350">
              <a:solidFill>
                <a:schemeClr val="bg1">
                  <a:lumMod val="75000"/>
                </a:schemeClr>
              </a:solidFill>
            </a:ln>
          </c:spPr>
        </c:majorGridlines>
        <c:title>
          <c:tx>
            <c:rich>
              <a:bodyPr/>
              <a:lstStyle/>
              <a:p>
                <a:pPr>
                  <a:defRPr b="0"/>
                </a:pPr>
                <a:r>
                  <a:rPr lang="cs-CZ" b="0"/>
                  <a:t>Růst příjmů z pojistného, příspěvek k růstu daň.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4"/>
      </c:valAx>
      <c:valAx>
        <c:axId val="556140592"/>
        <c:scaling>
          <c:orientation val="minMax"/>
          <c:max val="250"/>
          <c:min val="-350"/>
        </c:scaling>
        <c:delete val="0"/>
        <c:axPos val="r"/>
        <c:title>
          <c:tx>
            <c:rich>
              <a:bodyPr/>
              <a:lstStyle/>
              <a:p>
                <a:pPr>
                  <a:defRPr b="0"/>
                </a:pPr>
                <a:r>
                  <a:rPr lang="cs-CZ" b="0"/>
                  <a:t>Saldo státního rozpočtu</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5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1.3404713427069706E-2"/>
          <c:y val="0.84262968908968383"/>
          <c:w val="0.97057855178488128"/>
          <c:h val="0.15368252151393277"/>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576336352808819E-2"/>
          <c:y val="1.7698902479006788E-2"/>
          <c:w val="0.8350684878939636"/>
          <c:h val="0.71002184388104528"/>
        </c:manualLayout>
      </c:layout>
      <c:barChart>
        <c:barDir val="col"/>
        <c:grouping val="clustered"/>
        <c:varyColors val="0"/>
        <c:ser>
          <c:idx val="0"/>
          <c:order val="0"/>
          <c:tx>
            <c:strRef>
              <c:f>'G2-St.rozpočet-výdaje-2024'!$B$34</c:f>
              <c:strCache>
                <c:ptCount val="1"/>
                <c:pt idx="0">
                  <c:v>Běžné výdaje celkem (pravá osa)</c:v>
                </c:pt>
              </c:strCache>
            </c:strRef>
          </c:tx>
          <c:spPr>
            <a:solidFill>
              <a:srgbClr val="E8E8E8"/>
            </a:solidFill>
            <a:ln w="6350">
              <a:solidFill>
                <a:schemeClr val="bg1">
                  <a:lumMod val="65000"/>
                </a:schemeClr>
              </a:solidFill>
            </a:ln>
          </c:spPr>
          <c:invertIfNegative val="0"/>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'G2-St.rozpočet-výdaje-2024'!$B$38:$B$54</c:f>
              <c:numCache>
                <c:formatCode>0.0</c:formatCode>
                <c:ptCount val="17"/>
                <c:pt idx="0">
                  <c:v>707.04</c:v>
                </c:pt>
                <c:pt idx="1">
                  <c:v>734.05</c:v>
                </c:pt>
                <c:pt idx="2">
                  <c:v>754.15</c:v>
                </c:pt>
                <c:pt idx="3">
                  <c:v>764.93</c:v>
                </c:pt>
                <c:pt idx="4">
                  <c:v>755.57</c:v>
                </c:pt>
                <c:pt idx="5">
                  <c:v>786.27</c:v>
                </c:pt>
                <c:pt idx="6">
                  <c:v>801.1</c:v>
                </c:pt>
                <c:pt idx="7">
                  <c:v>822.78</c:v>
                </c:pt>
                <c:pt idx="8">
                  <c:v>831.33</c:v>
                </c:pt>
                <c:pt idx="9">
                  <c:v>881.38</c:v>
                </c:pt>
                <c:pt idx="10">
                  <c:v>946.49</c:v>
                </c:pt>
                <c:pt idx="11">
                  <c:v>1039.0999999999999</c:v>
                </c:pt>
                <c:pt idx="12">
                  <c:v>1205.0999999999999</c:v>
                </c:pt>
                <c:pt idx="13">
                  <c:v>1305.6640510130501</c:v>
                </c:pt>
                <c:pt idx="14">
                  <c:v>1325.9629190346895</c:v>
                </c:pt>
                <c:pt idx="15">
                  <c:v>1483.2224108149501</c:v>
                </c:pt>
                <c:pt idx="16">
                  <c:v>1511.1020499196604</c:v>
                </c:pt>
              </c:numCache>
            </c:numRef>
          </c:val>
          <c:extLst>
            <c:ext xmlns:c16="http://schemas.microsoft.com/office/drawing/2014/chart" uri="{C3380CC4-5D6E-409C-BE32-E72D297353CC}">
              <c16:uniqueId val="{00000000-AD31-4047-ACA8-E00D769793E3}"/>
            </c:ext>
          </c:extLst>
        </c:ser>
        <c:ser>
          <c:idx val="1"/>
          <c:order val="1"/>
          <c:tx>
            <c:strRef>
              <c:f>'G2-St.rozpočet-výdaje-2024'!$C$34</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'G2-St.rozpočet-výdaje-2024'!$C$38:$C$54</c:f>
              <c:numCache>
                <c:formatCode>0.0</c:formatCode>
                <c:ptCount val="17"/>
                <c:pt idx="0">
                  <c:v>231.07</c:v>
                </c:pt>
                <c:pt idx="1">
                  <c:v>252.57</c:v>
                </c:pt>
                <c:pt idx="2">
                  <c:v>259.05</c:v>
                </c:pt>
                <c:pt idx="3">
                  <c:v>275.47000000000003</c:v>
                </c:pt>
                <c:pt idx="4">
                  <c:v>280.8</c:v>
                </c:pt>
                <c:pt idx="5">
                  <c:v>279.36</c:v>
                </c:pt>
                <c:pt idx="6">
                  <c:v>281.19</c:v>
                </c:pt>
                <c:pt idx="7">
                  <c:v>288.64999999999998</c:v>
                </c:pt>
                <c:pt idx="8">
                  <c:v>297.27</c:v>
                </c:pt>
                <c:pt idx="9">
                  <c:v>309.5</c:v>
                </c:pt>
                <c:pt idx="10">
                  <c:v>323.53122860164001</c:v>
                </c:pt>
                <c:pt idx="11">
                  <c:v>351.63529293472999</c:v>
                </c:pt>
                <c:pt idx="12">
                  <c:v>378.3</c:v>
                </c:pt>
                <c:pt idx="13">
                  <c:v>399.18146849605995</c:v>
                </c:pt>
                <c:pt idx="14">
                  <c:v>435.85393680989</c:v>
                </c:pt>
                <c:pt idx="15">
                  <c:v>512.48866431517001</c:v>
                </c:pt>
                <c:pt idx="16">
                  <c:v>532.51334736386002</c:v>
                </c:pt>
              </c:numCache>
            </c:numRef>
          </c:val>
          <c:extLst>
            <c:ext xmlns:c16="http://schemas.microsoft.com/office/drawing/2014/chart" uri="{C3380CC4-5D6E-409C-BE32-E72D297353CC}">
              <c16:uniqueId val="{00000001-AD31-4047-ACA8-E00D769793E3}"/>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'G2-St.rozpočet-výdaje-2024'!$D$34</c:f>
              <c:strCache>
                <c:ptCount val="1"/>
                <c:pt idx="0">
                  <c:v>Platy státních zaměstnanců*</c:v>
                </c:pt>
              </c:strCache>
            </c:strRef>
          </c:tx>
          <c:spPr>
            <a:ln w="15875">
              <a:solidFill>
                <a:srgbClr val="D5D000"/>
              </a:solidFill>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'G2-St.rozpočet-výdaje-2024'!$D$38:$D$54</c:f>
              <c:numCache>
                <c:formatCode>0.0</c:formatCode>
                <c:ptCount val="17"/>
                <c:pt idx="0">
                  <c:v>61.44</c:v>
                </c:pt>
                <c:pt idx="1">
                  <c:v>63.79</c:v>
                </c:pt>
                <c:pt idx="2">
                  <c:v>63.5</c:v>
                </c:pt>
                <c:pt idx="3">
                  <c:v>57.88</c:v>
                </c:pt>
                <c:pt idx="4">
                  <c:v>58.77</c:v>
                </c:pt>
                <c:pt idx="5">
                  <c:v>60.04</c:v>
                </c:pt>
                <c:pt idx="6">
                  <c:v>61.89</c:v>
                </c:pt>
                <c:pt idx="7">
                  <c:v>67.66</c:v>
                </c:pt>
                <c:pt idx="8">
                  <c:v>70.25</c:v>
                </c:pt>
                <c:pt idx="9">
                  <c:v>76.150000000000006</c:v>
                </c:pt>
                <c:pt idx="10">
                  <c:v>86.54</c:v>
                </c:pt>
                <c:pt idx="11">
                  <c:v>93.2</c:v>
                </c:pt>
                <c:pt idx="12">
                  <c:v>97.9</c:v>
                </c:pt>
                <c:pt idx="13">
                  <c:v>99.897257290169975</c:v>
                </c:pt>
                <c:pt idx="14">
                  <c:v>99.259486878659985</c:v>
                </c:pt>
                <c:pt idx="15">
                  <c:v>108.40992696612</c:v>
                </c:pt>
                <c:pt idx="16">
                  <c:v>109.82206346999</c:v>
                </c:pt>
              </c:numCache>
            </c:numRef>
          </c:val>
          <c:smooth val="0"/>
          <c:extLst>
            <c:ext xmlns:c16="http://schemas.microsoft.com/office/drawing/2014/chart" uri="{C3380CC4-5D6E-409C-BE32-E72D297353CC}">
              <c16:uniqueId val="{00000002-AD31-4047-ACA8-E00D769793E3}"/>
            </c:ext>
          </c:extLst>
        </c:ser>
        <c:ser>
          <c:idx val="7"/>
          <c:order val="3"/>
          <c:tx>
            <c:strRef>
              <c:f>'G2-St.rozpočet-výdaje-2024'!$E$34</c:f>
              <c:strCache>
                <c:ptCount val="1"/>
                <c:pt idx="0">
                  <c:v>Podpora v nezaměstnanosti</c:v>
                </c:pt>
              </c:strCache>
            </c:strRef>
          </c:tx>
          <c:spPr>
            <a:ln w="15875">
              <a:solidFill>
                <a:schemeClr val="tx1">
                  <a:lumMod val="65000"/>
                  <a:lumOff val="35000"/>
                </a:schemeClr>
              </a:solidFill>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'G2-St.rozpočet-výdaje-2024'!$E$38:$E$54</c:f>
              <c:numCache>
                <c:formatCode>0.0</c:formatCode>
                <c:ptCount val="17"/>
                <c:pt idx="0">
                  <c:v>5.29</c:v>
                </c:pt>
                <c:pt idx="1">
                  <c:v>11.41</c:v>
                </c:pt>
                <c:pt idx="2">
                  <c:v>10.65</c:v>
                </c:pt>
                <c:pt idx="3">
                  <c:v>8.36</c:v>
                </c:pt>
                <c:pt idx="4">
                  <c:v>6.78</c:v>
                </c:pt>
                <c:pt idx="5">
                  <c:v>7.53</c:v>
                </c:pt>
                <c:pt idx="6">
                  <c:v>7.33</c:v>
                </c:pt>
                <c:pt idx="7">
                  <c:v>6.46</c:v>
                </c:pt>
                <c:pt idx="8">
                  <c:v>6.39</c:v>
                </c:pt>
                <c:pt idx="9">
                  <c:v>6.11</c:v>
                </c:pt>
                <c:pt idx="10">
                  <c:v>5.77</c:v>
                </c:pt>
                <c:pt idx="11">
                  <c:v>6.19</c:v>
                </c:pt>
                <c:pt idx="12">
                  <c:v>7.9929069492</c:v>
                </c:pt>
                <c:pt idx="13">
                  <c:v>7.7627423478799997</c:v>
                </c:pt>
                <c:pt idx="14">
                  <c:v>7.4629720642899997</c:v>
                </c:pt>
                <c:pt idx="15">
                  <c:v>7.9107194753300005</c:v>
                </c:pt>
                <c:pt idx="16">
                  <c:v>9.6934386969299986</c:v>
                </c:pt>
              </c:numCache>
            </c:numRef>
          </c:val>
          <c:smooth val="0"/>
          <c:extLst>
            <c:ext xmlns:c16="http://schemas.microsoft.com/office/drawing/2014/chart" uri="{C3380CC4-5D6E-409C-BE32-E72D297353CC}">
              <c16:uniqueId val="{00000003-AD31-4047-ACA8-E00D769793E3}"/>
            </c:ext>
          </c:extLst>
        </c:ser>
        <c:ser>
          <c:idx val="2"/>
          <c:order val="4"/>
          <c:tx>
            <c:strRef>
              <c:f>'G2-St.rozpočet-výdaje-2024'!$F$34</c:f>
              <c:strCache>
                <c:ptCount val="1"/>
                <c:pt idx="0">
                  <c:v>Státní sociální podpora**</c:v>
                </c:pt>
              </c:strCache>
            </c:strRef>
          </c:tx>
          <c:spPr>
            <a:ln w="15875">
              <a:solidFill>
                <a:schemeClr val="accent6">
                  <a:lumMod val="75000"/>
                </a:schemeClr>
              </a:solidFill>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'G2-St.rozpočet-výdaje-2024'!$F$38:$F$54</c:f>
              <c:numCache>
                <c:formatCode>0.0</c:formatCode>
                <c:ptCount val="17"/>
                <c:pt idx="0">
                  <c:v>31.98</c:v>
                </c:pt>
                <c:pt idx="1">
                  <c:v>30.95</c:v>
                </c:pt>
                <c:pt idx="2">
                  <c:v>30.85</c:v>
                </c:pt>
                <c:pt idx="3">
                  <c:v>27.32</c:v>
                </c:pt>
                <c:pt idx="4">
                  <c:v>26.77</c:v>
                </c:pt>
                <c:pt idx="5">
                  <c:v>28.04</c:v>
                </c:pt>
                <c:pt idx="6">
                  <c:v>28.22</c:v>
                </c:pt>
                <c:pt idx="7">
                  <c:v>28.27</c:v>
                </c:pt>
                <c:pt idx="8">
                  <c:v>28.38</c:v>
                </c:pt>
                <c:pt idx="9">
                  <c:v>28.02</c:v>
                </c:pt>
                <c:pt idx="10">
                  <c:v>29.32</c:v>
                </c:pt>
                <c:pt idx="11">
                  <c:v>28.28</c:v>
                </c:pt>
                <c:pt idx="12">
                  <c:v>38.692716178420007</c:v>
                </c:pt>
                <c:pt idx="13">
                  <c:v>36.585763589110002</c:v>
                </c:pt>
                <c:pt idx="14">
                  <c:v>42.228307252230003</c:v>
                </c:pt>
                <c:pt idx="15">
                  <c:v>44.905500191489999</c:v>
                </c:pt>
                <c:pt idx="16">
                  <c:v>45.409722380370006</c:v>
                </c:pt>
              </c:numCache>
            </c:numRef>
          </c:val>
          <c:smooth val="0"/>
          <c:extLst>
            <c:ext xmlns:c16="http://schemas.microsoft.com/office/drawing/2014/chart" uri="{C3380CC4-5D6E-409C-BE32-E72D297353CC}">
              <c16:uniqueId val="{00000004-AD31-4047-ACA8-E00D769793E3}"/>
            </c:ext>
          </c:extLst>
        </c:ser>
        <c:ser>
          <c:idx val="3"/>
          <c:order val="5"/>
          <c:tx>
            <c:strRef>
              <c:f>'G2-St.rozpočet-výdaje-2024'!$G$34</c:f>
              <c:strCache>
                <c:ptCount val="1"/>
                <c:pt idx="0">
                  <c:v>Dávky nemocenského pojištění</c:v>
                </c:pt>
              </c:strCache>
            </c:strRef>
          </c:tx>
          <c:spPr>
            <a:ln w="15875">
              <a:solidFill>
                <a:srgbClr val="00B0F0"/>
              </a:solidFill>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'G2-St.rozpočet-výdaje-2024'!$G$38:$G$54</c:f>
              <c:numCache>
                <c:formatCode>0.0</c:formatCode>
                <c:ptCount val="17"/>
                <c:pt idx="0">
                  <c:v>24.12</c:v>
                </c:pt>
                <c:pt idx="1">
                  <c:v>20.07</c:v>
                </c:pt>
                <c:pt idx="2">
                  <c:v>16.8</c:v>
                </c:pt>
                <c:pt idx="3">
                  <c:v>16.82</c:v>
                </c:pt>
                <c:pt idx="4">
                  <c:v>14.84</c:v>
                </c:pt>
                <c:pt idx="5">
                  <c:v>15.44</c:v>
                </c:pt>
                <c:pt idx="6">
                  <c:v>16.649999999999999</c:v>
                </c:pt>
                <c:pt idx="7">
                  <c:v>18.23</c:v>
                </c:pt>
                <c:pt idx="8">
                  <c:v>19.88</c:v>
                </c:pt>
                <c:pt idx="9">
                  <c:v>21.43</c:v>
                </c:pt>
                <c:pt idx="10">
                  <c:v>25.48</c:v>
                </c:pt>
                <c:pt idx="11">
                  <c:v>29.3</c:v>
                </c:pt>
                <c:pt idx="12">
                  <c:v>43.2</c:v>
                </c:pt>
                <c:pt idx="13">
                  <c:v>39.6</c:v>
                </c:pt>
                <c:pt idx="14">
                  <c:v>36.6</c:v>
                </c:pt>
                <c:pt idx="15">
                  <c:v>34.799999999999997</c:v>
                </c:pt>
                <c:pt idx="16">
                  <c:v>36.087599999999995</c:v>
                </c:pt>
              </c:numCache>
            </c:numRef>
          </c:val>
          <c:smooth val="0"/>
          <c:extLst>
            <c:ext xmlns:c16="http://schemas.microsoft.com/office/drawing/2014/chart" uri="{C3380CC4-5D6E-409C-BE32-E72D297353CC}">
              <c16:uniqueId val="{00000005-AD31-4047-ACA8-E00D769793E3}"/>
            </c:ext>
          </c:extLst>
        </c:ser>
        <c:ser>
          <c:idx val="4"/>
          <c:order val="6"/>
          <c:tx>
            <c:strRef>
              <c:f>'G2-St.rozpočet-výdaje-2024'!$H$34</c:f>
              <c:strCache>
                <c:ptCount val="1"/>
                <c:pt idx="0">
                  <c:v>Dávky sociální péče***</c:v>
                </c:pt>
              </c:strCache>
            </c:strRef>
          </c:tx>
          <c:spPr>
            <a:ln w="15875">
              <a:solidFill>
                <a:srgbClr val="00B050"/>
              </a:solidFill>
              <a:prstDash val="solid"/>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'G2-St.rozpočet-výdaje-2024'!$H$38:$H$54</c:f>
              <c:numCache>
                <c:formatCode>0.0</c:formatCode>
                <c:ptCount val="17"/>
                <c:pt idx="0">
                  <c:v>18.600000000000001</c:v>
                </c:pt>
                <c:pt idx="1">
                  <c:v>18.899999999999999</c:v>
                </c:pt>
                <c:pt idx="2">
                  <c:v>19.600000000000001</c:v>
                </c:pt>
                <c:pt idx="3">
                  <c:v>19.100000000000001</c:v>
                </c:pt>
                <c:pt idx="4">
                  <c:v>20.309999999999999</c:v>
                </c:pt>
                <c:pt idx="5">
                  <c:v>23.73</c:v>
                </c:pt>
                <c:pt idx="6">
                  <c:v>25.18</c:v>
                </c:pt>
                <c:pt idx="7">
                  <c:v>25.26</c:v>
                </c:pt>
                <c:pt idx="8">
                  <c:v>25.4</c:v>
                </c:pt>
                <c:pt idx="9">
                  <c:v>25.96</c:v>
                </c:pt>
                <c:pt idx="10">
                  <c:v>25.547999999999998</c:v>
                </c:pt>
                <c:pt idx="11">
                  <c:v>27.04</c:v>
                </c:pt>
                <c:pt idx="12">
                  <c:v>30.3</c:v>
                </c:pt>
                <c:pt idx="13">
                  <c:v>30.5</c:v>
                </c:pt>
                <c:pt idx="14">
                  <c:v>40</c:v>
                </c:pt>
                <c:pt idx="15">
                  <c:v>40.4</c:v>
                </c:pt>
                <c:pt idx="16">
                  <c:v>42.056399999999996</c:v>
                </c:pt>
              </c:numCache>
            </c:numRef>
          </c:val>
          <c:smooth val="0"/>
          <c:extLst>
            <c:ext xmlns:c16="http://schemas.microsoft.com/office/drawing/2014/chart" uri="{C3380CC4-5D6E-409C-BE32-E72D297353CC}">
              <c16:uniqueId val="{00000006-AD31-4047-ACA8-E00D769793E3}"/>
            </c:ext>
          </c:extLst>
        </c:ser>
        <c:ser>
          <c:idx val="5"/>
          <c:order val="7"/>
          <c:tx>
            <c:strRef>
              <c:f>'G2-St.rozpočet-výdaje-2024'!$I$34</c:f>
              <c:strCache>
                <c:ptCount val="1"/>
                <c:pt idx="0">
                  <c:v>Neinvestič. nákupy a souvis. výdaje****</c:v>
                </c:pt>
              </c:strCache>
            </c:strRef>
          </c:tx>
          <c:spPr>
            <a:ln w="15875">
              <a:solidFill>
                <a:schemeClr val="accent4">
                  <a:lumMod val="60000"/>
                  <a:lumOff val="40000"/>
                </a:schemeClr>
              </a:solidFill>
              <a:prstDash val="solid"/>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'G2-St.rozpočet-výdaje-2024'!$I$38:$I$54</c:f>
              <c:numCache>
                <c:formatCode>0.0</c:formatCode>
                <c:ptCount val="17"/>
                <c:pt idx="0">
                  <c:v>46.384999999999998</c:v>
                </c:pt>
                <c:pt idx="1">
                  <c:v>46.423000000000002</c:v>
                </c:pt>
                <c:pt idx="2">
                  <c:v>43.066999999999993</c:v>
                </c:pt>
                <c:pt idx="3">
                  <c:v>38.64</c:v>
                </c:pt>
                <c:pt idx="4">
                  <c:v>34.989999999999995</c:v>
                </c:pt>
                <c:pt idx="5">
                  <c:v>33.93</c:v>
                </c:pt>
                <c:pt idx="6">
                  <c:v>33.94</c:v>
                </c:pt>
                <c:pt idx="7">
                  <c:v>38.31</c:v>
                </c:pt>
                <c:pt idx="8">
                  <c:v>36.659999999999997</c:v>
                </c:pt>
                <c:pt idx="9">
                  <c:v>41.17</c:v>
                </c:pt>
                <c:pt idx="10">
                  <c:v>42.379999999999995</c:v>
                </c:pt>
                <c:pt idx="11">
                  <c:v>43.46</c:v>
                </c:pt>
                <c:pt idx="12">
                  <c:v>50.548159175919999</c:v>
                </c:pt>
                <c:pt idx="13">
                  <c:v>49.815340486700009</c:v>
                </c:pt>
                <c:pt idx="14">
                  <c:v>63.430957576870021</c:v>
                </c:pt>
                <c:pt idx="15">
                  <c:v>51.839341777679969</c:v>
                </c:pt>
                <c:pt idx="16">
                  <c:v>58.91262459946001</c:v>
                </c:pt>
              </c:numCache>
            </c:numRef>
          </c:val>
          <c:smooth val="0"/>
          <c:extLst>
            <c:ext xmlns:c16="http://schemas.microsoft.com/office/drawing/2014/chart" uri="{C3380CC4-5D6E-409C-BE32-E72D297353CC}">
              <c16:uniqueId val="{00000007-AD31-4047-ACA8-E00D769793E3}"/>
            </c:ext>
          </c:extLst>
        </c:ser>
        <c:ser>
          <c:idx val="9"/>
          <c:order val="8"/>
          <c:tx>
            <c:strRef>
              <c:f>'G2-St.rozpočet-výdaje-2024'!$J$34</c:f>
              <c:strCache>
                <c:ptCount val="1"/>
                <c:pt idx="0">
                  <c:v>Státní dluh (čisté výdaje)*****</c:v>
                </c:pt>
              </c:strCache>
            </c:strRef>
          </c:tx>
          <c:spPr>
            <a:ln w="6350">
              <a:noFill/>
              <a:prstDash val="sysDot"/>
            </a:ln>
          </c:spPr>
          <c:marker>
            <c:symbol val="diamond"/>
            <c:size val="5"/>
            <c:spPr>
              <a:solidFill>
                <a:srgbClr val="C00000"/>
              </a:solidFill>
              <a:ln>
                <a:noFill/>
              </a:ln>
            </c:spPr>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'G2-St.rozpočet-výdaje-2024'!$J$38:$J$54</c:f>
              <c:numCache>
                <c:formatCode>0.0</c:formatCode>
                <c:ptCount val="17"/>
                <c:pt idx="0">
                  <c:v>24.46</c:v>
                </c:pt>
                <c:pt idx="1">
                  <c:v>33.33</c:v>
                </c:pt>
                <c:pt idx="2">
                  <c:v>24.92</c:v>
                </c:pt>
                <c:pt idx="3">
                  <c:v>35.89</c:v>
                </c:pt>
                <c:pt idx="4">
                  <c:v>35.86</c:v>
                </c:pt>
                <c:pt idx="5">
                  <c:v>44.55</c:v>
                </c:pt>
                <c:pt idx="6">
                  <c:v>43.16</c:v>
                </c:pt>
                <c:pt idx="7">
                  <c:v>41.03</c:v>
                </c:pt>
                <c:pt idx="8">
                  <c:v>38.1</c:v>
                </c:pt>
                <c:pt idx="9">
                  <c:v>33.849999999999994</c:v>
                </c:pt>
                <c:pt idx="10">
                  <c:v>32.616999999999997</c:v>
                </c:pt>
                <c:pt idx="11">
                  <c:v>33.350999999999999</c:v>
                </c:pt>
                <c:pt idx="12">
                  <c:v>32.136847667730002</c:v>
                </c:pt>
                <c:pt idx="13">
                  <c:v>34.590381461649997</c:v>
                </c:pt>
                <c:pt idx="14">
                  <c:v>32.168013688009999</c:v>
                </c:pt>
                <c:pt idx="15">
                  <c:v>40.34588207561</c:v>
                </c:pt>
                <c:pt idx="16">
                  <c:v>60.482206392339997</c:v>
                </c:pt>
              </c:numCache>
            </c:numRef>
          </c:val>
          <c:smooth val="0"/>
          <c:extLst>
            <c:ext xmlns:c16="http://schemas.microsoft.com/office/drawing/2014/chart" uri="{C3380CC4-5D6E-409C-BE32-E72D297353CC}">
              <c16:uniqueId val="{00000008-AD31-4047-ACA8-E00D769793E3}"/>
            </c:ext>
          </c:extLst>
        </c:ser>
        <c:ser>
          <c:idx val="8"/>
          <c:order val="9"/>
          <c:tx>
            <c:strRef>
              <c:f>'G2-St.rozpočet-výdaje-2024'!$K$34</c:f>
              <c:strCache>
                <c:ptCount val="1"/>
                <c:pt idx="0">
                  <c:v>Neinvestič. transfery podnikatelům</c:v>
                </c:pt>
              </c:strCache>
            </c:strRef>
          </c:tx>
          <c:spPr>
            <a:ln w="15875">
              <a:noFill/>
              <a:prstDash val="dash"/>
            </a:ln>
          </c:spPr>
          <c:marker>
            <c:symbol val="square"/>
            <c:size val="5"/>
            <c:spPr>
              <a:solidFill>
                <a:schemeClr val="bg1"/>
              </a:solidFill>
              <a:ln>
                <a:solidFill>
                  <a:srgbClr val="996633"/>
                </a:solidFill>
              </a:ln>
            </c:spPr>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'G2-St.rozpočet-výdaje-2024'!$K$38:$K$54</c:f>
              <c:numCache>
                <c:formatCode>0.0</c:formatCode>
                <c:ptCount val="17"/>
                <c:pt idx="0" formatCode="General">
                  <c:v>11.3</c:v>
                </c:pt>
                <c:pt idx="1">
                  <c:v>11.452</c:v>
                </c:pt>
                <c:pt idx="2">
                  <c:v>11.497</c:v>
                </c:pt>
                <c:pt idx="3">
                  <c:v>15.079000000000001</c:v>
                </c:pt>
                <c:pt idx="4">
                  <c:v>25.56</c:v>
                </c:pt>
                <c:pt idx="5">
                  <c:v>24.34</c:v>
                </c:pt>
                <c:pt idx="6">
                  <c:v>27.89</c:v>
                </c:pt>
                <c:pt idx="7">
                  <c:v>27.62</c:v>
                </c:pt>
                <c:pt idx="8">
                  <c:v>26.25</c:v>
                </c:pt>
                <c:pt idx="9">
                  <c:v>33.24</c:v>
                </c:pt>
                <c:pt idx="10">
                  <c:v>40.24</c:v>
                </c:pt>
                <c:pt idx="11">
                  <c:v>40.869999999999997</c:v>
                </c:pt>
                <c:pt idx="12">
                  <c:v>73.104724736180003</c:v>
                </c:pt>
                <c:pt idx="13">
                  <c:v>106.18042459115</c:v>
                </c:pt>
                <c:pt idx="14">
                  <c:v>64.917558656219981</c:v>
                </c:pt>
                <c:pt idx="15">
                  <c:v>100.52152624010999</c:v>
                </c:pt>
                <c:pt idx="16">
                  <c:v>50.423866801759999</c:v>
                </c:pt>
              </c:numCache>
            </c:numRef>
          </c:val>
          <c:smooth val="0"/>
          <c:extLst>
            <c:ext xmlns:c16="http://schemas.microsoft.com/office/drawing/2014/chart" uri="{C3380CC4-5D6E-409C-BE32-E72D297353CC}">
              <c16:uniqueId val="{00000009-AD31-4047-ACA8-E00D769793E3}"/>
            </c:ext>
          </c:extLst>
        </c:ser>
        <c:ser>
          <c:idx val="10"/>
          <c:order val="10"/>
          <c:tx>
            <c:strRef>
              <c:f>'G2-St.rozpočet-výdaje-2024'!$L$34</c:f>
              <c:strCache>
                <c:ptCount val="1"/>
                <c:pt idx="0">
                  <c:v>Kapitálové výdaje</c:v>
                </c:pt>
              </c:strCache>
            </c:strRef>
          </c:tx>
          <c:spPr>
            <a:ln w="15875">
              <a:solidFill>
                <a:schemeClr val="tx1">
                  <a:lumMod val="85000"/>
                  <a:lumOff val="15000"/>
                </a:schemeClr>
              </a:solidFill>
              <a:prstDash val="sysDash"/>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'G2-St.rozpočet-výdaje-2024'!$L$38:$L$54</c:f>
              <c:numCache>
                <c:formatCode>0.0</c:formatCode>
                <c:ptCount val="17"/>
                <c:pt idx="0">
                  <c:v>76.95</c:v>
                </c:pt>
                <c:pt idx="1">
                  <c:v>80.024000000000001</c:v>
                </c:pt>
                <c:pt idx="2">
                  <c:v>91.36</c:v>
                </c:pt>
                <c:pt idx="3">
                  <c:v>82.07</c:v>
                </c:pt>
                <c:pt idx="4">
                  <c:v>72.98</c:v>
                </c:pt>
                <c:pt idx="5">
                  <c:v>58.39</c:v>
                </c:pt>
                <c:pt idx="6">
                  <c:v>59.67</c:v>
                </c:pt>
                <c:pt idx="7">
                  <c:v>88.53</c:v>
                </c:pt>
                <c:pt idx="8">
                  <c:v>51.6</c:v>
                </c:pt>
                <c:pt idx="9">
                  <c:v>41.37</c:v>
                </c:pt>
                <c:pt idx="10">
                  <c:v>60.93</c:v>
                </c:pt>
                <c:pt idx="11">
                  <c:v>85.1</c:v>
                </c:pt>
                <c:pt idx="12">
                  <c:v>105.9</c:v>
                </c:pt>
                <c:pt idx="13">
                  <c:v>99.658233900700012</c:v>
                </c:pt>
                <c:pt idx="14">
                  <c:v>112.84501467701</c:v>
                </c:pt>
                <c:pt idx="15">
                  <c:v>134.16495114721999</c:v>
                </c:pt>
                <c:pt idx="16">
                  <c:v>115.34367648059001</c:v>
                </c:pt>
              </c:numCache>
            </c:numRef>
          </c:val>
          <c:smooth val="0"/>
          <c:extLst>
            <c:ext xmlns:c16="http://schemas.microsoft.com/office/drawing/2014/chart" uri="{C3380CC4-5D6E-409C-BE32-E72D297353CC}">
              <c16:uniqueId val="{0000000A-AD31-4047-ACA8-E00D769793E3}"/>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1800000"/>
          <a:lstStyle/>
          <a:p>
            <a:pPr>
              <a:defRPr/>
            </a:pPr>
            <a:endParaRPr lang="cs-CZ"/>
          </a:p>
        </c:txPr>
        <c:crossAx val="72829184"/>
        <c:crosses val="autoZero"/>
        <c:auto val="1"/>
        <c:lblAlgn val="ctr"/>
        <c:lblOffset val="0"/>
        <c:noMultiLvlLbl val="0"/>
      </c:catAx>
      <c:valAx>
        <c:axId val="72829184"/>
        <c:scaling>
          <c:orientation val="minMax"/>
          <c:max val="153"/>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overlay val="0"/>
        </c:title>
        <c:numFmt formatCode="0" sourceLinked="0"/>
        <c:majorTickMark val="out"/>
        <c:minorTickMark val="none"/>
        <c:tickLblPos val="nextTo"/>
        <c:spPr>
          <a:ln w="6350">
            <a:solidFill>
              <a:schemeClr val="tx1"/>
            </a:solidFill>
          </a:ln>
        </c:spPr>
        <c:crossAx val="72827648"/>
        <c:crosses val="autoZero"/>
        <c:crossBetween val="between"/>
        <c:majorUnit val="10"/>
      </c:valAx>
      <c:valAx>
        <c:axId val="72835072"/>
        <c:scaling>
          <c:orientation val="minMax"/>
          <c:max val="1530"/>
          <c:min val="0"/>
        </c:scaling>
        <c:delete val="0"/>
        <c:axPos val="r"/>
        <c:title>
          <c:tx>
            <c:rich>
              <a:bodyPr/>
              <a:lstStyle/>
              <a:p>
                <a:pPr>
                  <a:defRPr sz="700" b="0" i="1"/>
                </a:pPr>
                <a:r>
                  <a:rPr lang="cs-CZ" sz="700" b="0" i="1"/>
                  <a:t>Běžné výdaje celkem, důchody</a:t>
                </a:r>
              </a:p>
            </c:rich>
          </c:tx>
          <c:layout>
            <c:manualLayout>
              <c:xMode val="edge"/>
              <c:yMode val="edge"/>
              <c:x val="0.969049136463625"/>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1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2.1702272398792893E-2"/>
          <c:y val="0.8012630320052242"/>
          <c:w val="0.95539399945882331"/>
          <c:h val="0.1879802972466069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45E-2"/>
          <c:y val="2.8458510079622041E-2"/>
          <c:w val="0.93688386524822698"/>
          <c:h val="0.67476668918158278"/>
        </c:manualLayout>
      </c:layout>
      <c:barChart>
        <c:barDir val="col"/>
        <c:grouping val="stacked"/>
        <c:varyColors val="0"/>
        <c:ser>
          <c:idx val="1"/>
          <c:order val="1"/>
          <c:tx>
            <c:strRef>
              <c:f>'souhrnná výkonnost 3'!$F$5</c:f>
              <c:strCache>
                <c:ptCount val="1"/>
                <c:pt idx="0">
                  <c:v>Bilance zahraničního obchodu</c:v>
                </c:pt>
              </c:strCache>
            </c:strRef>
          </c:tx>
          <c:spPr>
            <a:solidFill>
              <a:srgbClr val="7DBB2D"/>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3'!$F$10:$F$32</c:f>
              <c:numCache>
                <c:formatCode>#\ ##0.0</c:formatCode>
                <c:ptCount val="23"/>
                <c:pt idx="0">
                  <c:v>-6.5470917658757233E-2</c:v>
                </c:pt>
                <c:pt idx="1">
                  <c:v>1.4494397815262756</c:v>
                </c:pt>
                <c:pt idx="2">
                  <c:v>1.519520930710476</c:v>
                </c:pt>
                <c:pt idx="3">
                  <c:v>-1.1386552968129167</c:v>
                </c:pt>
                <c:pt idx="4">
                  <c:v>-1.5054961152095412</c:v>
                </c:pt>
                <c:pt idx="5">
                  <c:v>-8.5652935026312509</c:v>
                </c:pt>
                <c:pt idx="6">
                  <c:v>-0.91701615307186923</c:v>
                </c:pt>
                <c:pt idx="7">
                  <c:v>1.6441945082634004</c:v>
                </c:pt>
                <c:pt idx="8">
                  <c:v>0.90880127021110413</c:v>
                </c:pt>
                <c:pt idx="9">
                  <c:v>6.124141351147399</c:v>
                </c:pt>
                <c:pt idx="10">
                  <c:v>-3.6522086207896334</c:v>
                </c:pt>
                <c:pt idx="11">
                  <c:v>-3.5019135769376728</c:v>
                </c:pt>
                <c:pt idx="12">
                  <c:v>-1.6832006565895616</c:v>
                </c:pt>
                <c:pt idx="13">
                  <c:v>-0.3806378126415233</c:v>
                </c:pt>
                <c:pt idx="14">
                  <c:v>3.408239118939032</c:v>
                </c:pt>
                <c:pt idx="15">
                  <c:v>1.4700226511684527</c:v>
                </c:pt>
                <c:pt idx="16">
                  <c:v>0.99148226513822246</c:v>
                </c:pt>
                <c:pt idx="17">
                  <c:v>1.5486267337540123</c:v>
                </c:pt>
                <c:pt idx="18">
                  <c:v>-0.56176321449408628</c:v>
                </c:pt>
                <c:pt idx="19">
                  <c:v>1.6209759868613784</c:v>
                </c:pt>
                <c:pt idx="20">
                  <c:v>0.69528733822130662</c:v>
                </c:pt>
                <c:pt idx="21">
                  <c:v>0.18555902701665564</c:v>
                </c:pt>
                <c:pt idx="22">
                  <c:v>0.1723867280314817</c:v>
                </c:pt>
              </c:numCache>
            </c:numRef>
          </c:val>
          <c:extLst>
            <c:ext xmlns:c16="http://schemas.microsoft.com/office/drawing/2014/chart" uri="{C3380CC4-5D6E-409C-BE32-E72D297353CC}">
              <c16:uniqueId val="{00000000-ED3F-412C-8C54-E80B0E54AA10}"/>
            </c:ext>
          </c:extLst>
        </c:ser>
        <c:ser>
          <c:idx val="2"/>
          <c:order val="2"/>
          <c:tx>
            <c:strRef>
              <c:f>'souhrnná výkonnost 3'!$H$5</c:f>
              <c:strCache>
                <c:ptCount val="1"/>
                <c:pt idx="0">
                  <c:v>Změna zásob</c:v>
                </c:pt>
              </c:strCache>
            </c:strRef>
          </c:tx>
          <c:spPr>
            <a:solidFill>
              <a:srgbClr val="E8AFB2"/>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3'!$H$10:$H$32</c:f>
              <c:numCache>
                <c:formatCode>#\ ##0.0</c:formatCode>
                <c:ptCount val="23"/>
                <c:pt idx="0">
                  <c:v>-3.4866839032703018E-2</c:v>
                </c:pt>
                <c:pt idx="1">
                  <c:v>-1.2132673218827674</c:v>
                </c:pt>
                <c:pt idx="2">
                  <c:v>-0.61640554015347881</c:v>
                </c:pt>
                <c:pt idx="3">
                  <c:v>1.8990615757299067</c:v>
                </c:pt>
                <c:pt idx="4">
                  <c:v>-0.40340689033643318</c:v>
                </c:pt>
                <c:pt idx="5">
                  <c:v>0.49746610716149758</c:v>
                </c:pt>
                <c:pt idx="6">
                  <c:v>-1.209597715652736</c:v>
                </c:pt>
                <c:pt idx="7">
                  <c:v>-2.2124027001017974</c:v>
                </c:pt>
                <c:pt idx="8">
                  <c:v>0.41264966656715685</c:v>
                </c:pt>
                <c:pt idx="9">
                  <c:v>0.57206005966288753</c:v>
                </c:pt>
                <c:pt idx="10">
                  <c:v>2.5716584196045469</c:v>
                </c:pt>
                <c:pt idx="11">
                  <c:v>1.3737502139548177</c:v>
                </c:pt>
                <c:pt idx="12">
                  <c:v>0.60915917645428019</c:v>
                </c:pt>
                <c:pt idx="13">
                  <c:v>1.6317613698141717</c:v>
                </c:pt>
                <c:pt idx="14">
                  <c:v>-0.7854278742999391</c:v>
                </c:pt>
                <c:pt idx="15">
                  <c:v>1.1886488133455293</c:v>
                </c:pt>
                <c:pt idx="16">
                  <c:v>0.43754644515722202</c:v>
                </c:pt>
                <c:pt idx="17">
                  <c:v>-1.3395842037813757</c:v>
                </c:pt>
                <c:pt idx="18">
                  <c:v>-0.17438299598556015</c:v>
                </c:pt>
                <c:pt idx="19">
                  <c:v>-3.4468378946903475</c:v>
                </c:pt>
                <c:pt idx="20">
                  <c:v>-2.7735470600555918</c:v>
                </c:pt>
                <c:pt idx="21">
                  <c:v>-1.9242397758118626</c:v>
                </c:pt>
                <c:pt idx="22">
                  <c:v>-0.67644093997057575</c:v>
                </c:pt>
              </c:numCache>
            </c:numRef>
          </c:val>
          <c:extLst>
            <c:ext xmlns:c16="http://schemas.microsoft.com/office/drawing/2014/chart" uri="{C3380CC4-5D6E-409C-BE32-E72D297353CC}">
              <c16:uniqueId val="{00000001-ED3F-412C-8C54-E80B0E54AA10}"/>
            </c:ext>
          </c:extLst>
        </c:ser>
        <c:ser>
          <c:idx val="3"/>
          <c:order val="3"/>
          <c:tx>
            <c:strRef>
              <c:f>'souhrnná výkonnost 3'!$G$5</c:f>
              <c:strCache>
                <c:ptCount val="1"/>
                <c:pt idx="0">
                  <c:v>Tvorba hrubého fixního kapitálu</c:v>
                </c:pt>
              </c:strCache>
            </c:strRef>
          </c:tx>
          <c:spPr>
            <a:solidFill>
              <a:srgbClr val="BD1B21"/>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3'!$G$10:$G$32</c:f>
              <c:numCache>
                <c:formatCode>#\ ##0.0</c:formatCode>
                <c:ptCount val="23"/>
                <c:pt idx="0">
                  <c:v>1.8598270900589087</c:v>
                </c:pt>
                <c:pt idx="1">
                  <c:v>1.4526192483422518</c:v>
                </c:pt>
                <c:pt idx="2">
                  <c:v>1.0268088605058696</c:v>
                </c:pt>
                <c:pt idx="3">
                  <c:v>0.94075204306872073</c:v>
                </c:pt>
                <c:pt idx="4">
                  <c:v>-0.26111659305966983</c:v>
                </c:pt>
                <c:pt idx="5">
                  <c:v>0.14044234588323476</c:v>
                </c:pt>
                <c:pt idx="6">
                  <c:v>-1.1114194663634265</c:v>
                </c:pt>
                <c:pt idx="7">
                  <c:v>-1.2151629007980274</c:v>
                </c:pt>
                <c:pt idx="8">
                  <c:v>0.15781509790362797</c:v>
                </c:pt>
                <c:pt idx="9">
                  <c:v>7.3809702465127386E-2</c:v>
                </c:pt>
                <c:pt idx="10">
                  <c:v>1.9668146761327148</c:v>
                </c:pt>
                <c:pt idx="11">
                  <c:v>2.0385637566612256</c:v>
                </c:pt>
                <c:pt idx="12">
                  <c:v>2.1230773688868023</c:v>
                </c:pt>
                <c:pt idx="13">
                  <c:v>1.4912941413364145</c:v>
                </c:pt>
                <c:pt idx="14">
                  <c:v>0.94577481141240138</c:v>
                </c:pt>
                <c:pt idx="15">
                  <c:v>0.73322343987834782</c:v>
                </c:pt>
                <c:pt idx="16">
                  <c:v>0.4888139719141027</c:v>
                </c:pt>
                <c:pt idx="17">
                  <c:v>0.90164501226849947</c:v>
                </c:pt>
                <c:pt idx="18">
                  <c:v>0.75955977787894546</c:v>
                </c:pt>
                <c:pt idx="19">
                  <c:v>0.85240290842308541</c:v>
                </c:pt>
                <c:pt idx="20">
                  <c:v>0.28169901050659935</c:v>
                </c:pt>
                <c:pt idx="21">
                  <c:v>0.26732012507503761</c:v>
                </c:pt>
                <c:pt idx="22">
                  <c:v>-0.25571985080217535</c:v>
                </c:pt>
              </c:numCache>
            </c:numRef>
          </c:val>
          <c:extLst>
            <c:ext xmlns:c16="http://schemas.microsoft.com/office/drawing/2014/chart" uri="{C3380CC4-5D6E-409C-BE32-E72D297353CC}">
              <c16:uniqueId val="{00000002-ED3F-412C-8C54-E80B0E54AA10}"/>
            </c:ext>
          </c:extLst>
        </c:ser>
        <c:ser>
          <c:idx val="5"/>
          <c:order val="4"/>
          <c:tx>
            <c:strRef>
              <c:f>'souhrnná výkonnost 3'!$D$5</c:f>
              <c:strCache>
                <c:ptCount val="1"/>
                <c:pt idx="0">
                  <c:v>Výdaje na konečnou spotřebu domácností (vč. nezisk. inst.)</c:v>
                </c:pt>
              </c:strCache>
            </c:strRef>
          </c:tx>
          <c:spPr>
            <a:solidFill>
              <a:srgbClr val="0071BC"/>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3'!$D$10:$D$32</c:f>
              <c:numCache>
                <c:formatCode>#\ ##0.0</c:formatCode>
                <c:ptCount val="23"/>
                <c:pt idx="0">
                  <c:v>1.0610692201073997</c:v>
                </c:pt>
                <c:pt idx="1">
                  <c:v>1.3164628896440984</c:v>
                </c:pt>
                <c:pt idx="2">
                  <c:v>1.1800657067488647</c:v>
                </c:pt>
                <c:pt idx="3">
                  <c:v>1.3325646204971671</c:v>
                </c:pt>
                <c:pt idx="4">
                  <c:v>-0.2398228716655057</c:v>
                </c:pt>
                <c:pt idx="5">
                  <c:v>-3.2567035122644707</c:v>
                </c:pt>
                <c:pt idx="6">
                  <c:v>-1.7740710022653545</c:v>
                </c:pt>
                <c:pt idx="7">
                  <c:v>-4.0888509658039061</c:v>
                </c:pt>
                <c:pt idx="8">
                  <c:v>-2.6303429796363251</c:v>
                </c:pt>
                <c:pt idx="9">
                  <c:v>3.0130078291252422</c:v>
                </c:pt>
                <c:pt idx="10">
                  <c:v>1.9847068901687124</c:v>
                </c:pt>
                <c:pt idx="11">
                  <c:v>3.7365176773416025</c:v>
                </c:pt>
                <c:pt idx="12">
                  <c:v>3.291044005952056</c:v>
                </c:pt>
                <c:pt idx="13">
                  <c:v>0.17808535886856286</c:v>
                </c:pt>
                <c:pt idx="14">
                  <c:v>-1.2688125161868613</c:v>
                </c:pt>
                <c:pt idx="15">
                  <c:v>-2.1014518367129478</c:v>
                </c:pt>
                <c:pt idx="16">
                  <c:v>-2.3008050226579631</c:v>
                </c:pt>
                <c:pt idx="17">
                  <c:v>-1.4637608387691801</c:v>
                </c:pt>
                <c:pt idx="18">
                  <c:v>-1.0832185050335064</c:v>
                </c:pt>
                <c:pt idx="19">
                  <c:v>0.19677657995487871</c:v>
                </c:pt>
                <c:pt idx="20">
                  <c:v>1.5771014655961191</c:v>
                </c:pt>
                <c:pt idx="21">
                  <c:v>1.0531479577441343</c:v>
                </c:pt>
                <c:pt idx="22">
                  <c:v>1.4034195568598644</c:v>
                </c:pt>
              </c:numCache>
            </c:numRef>
          </c:val>
          <c:extLst>
            <c:ext xmlns:c16="http://schemas.microsoft.com/office/drawing/2014/chart" uri="{C3380CC4-5D6E-409C-BE32-E72D297353CC}">
              <c16:uniqueId val="{00000003-ED3F-412C-8C54-E80B0E54AA10}"/>
            </c:ext>
          </c:extLst>
        </c:ser>
        <c:ser>
          <c:idx val="4"/>
          <c:order val="5"/>
          <c:tx>
            <c:strRef>
              <c:f>'souhrnná výkonnost 3'!$E$5</c:f>
              <c:strCache>
                <c:ptCount val="1"/>
                <c:pt idx="0">
                  <c:v>Výdaje na konečnou spotřebu vládních institucí</c:v>
                </c:pt>
              </c:strCache>
            </c:strRef>
          </c:tx>
          <c:spPr>
            <a:solidFill>
              <a:srgbClr val="A6CDE8"/>
            </a:solidFill>
            <a:ln>
              <a:noFill/>
            </a:ln>
          </c:spPr>
          <c:invertIfNegative val="0"/>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3'!$E$10:$E$32</c:f>
              <c:numCache>
                <c:formatCode>#\ ##0.0</c:formatCode>
                <c:ptCount val="23"/>
                <c:pt idx="0">
                  <c:v>0.52373870610125262</c:v>
                </c:pt>
                <c:pt idx="1">
                  <c:v>0.54525241929613355</c:v>
                </c:pt>
                <c:pt idx="2">
                  <c:v>0.53390853668406757</c:v>
                </c:pt>
                <c:pt idx="3">
                  <c:v>0.2780405319991846</c:v>
                </c:pt>
                <c:pt idx="4">
                  <c:v>0.85273575497086629</c:v>
                </c:pt>
                <c:pt idx="5">
                  <c:v>0.57219907272847048</c:v>
                </c:pt>
                <c:pt idx="6">
                  <c:v>0.31382004358461796</c:v>
                </c:pt>
                <c:pt idx="7">
                  <c:v>1.4192241054465731</c:v>
                </c:pt>
                <c:pt idx="8">
                  <c:v>-0.12340214907979793</c:v>
                </c:pt>
                <c:pt idx="9">
                  <c:v>-7.2907474861005656E-2</c:v>
                </c:pt>
                <c:pt idx="10">
                  <c:v>1.000714083725422</c:v>
                </c:pt>
                <c:pt idx="11">
                  <c:v>8.8247719969204746E-2</c:v>
                </c:pt>
                <c:pt idx="12">
                  <c:v>0.37181697618378928</c:v>
                </c:pt>
                <c:pt idx="13">
                  <c:v>0.57371034145730837</c:v>
                </c:pt>
                <c:pt idx="14">
                  <c:v>-0.32873762938072321</c:v>
                </c:pt>
                <c:pt idx="15">
                  <c:v>-0.30389432882498219</c:v>
                </c:pt>
                <c:pt idx="16">
                  <c:v>0.62053959222904453</c:v>
                </c:pt>
                <c:pt idx="17">
                  <c:v>0.55825256660682321</c:v>
                </c:pt>
                <c:pt idx="18">
                  <c:v>0.71530175534262508</c:v>
                </c:pt>
                <c:pt idx="19">
                  <c:v>0.74432066621940118</c:v>
                </c:pt>
                <c:pt idx="20">
                  <c:v>0.64576039278556396</c:v>
                </c:pt>
                <c:pt idx="21">
                  <c:v>0.84763259222540521</c:v>
                </c:pt>
                <c:pt idx="22">
                  <c:v>0.57409931604495146</c:v>
                </c:pt>
              </c:numCache>
            </c:numRef>
          </c:val>
          <c:extLst>
            <c:ext xmlns:c16="http://schemas.microsoft.com/office/drawing/2014/chart" uri="{C3380CC4-5D6E-409C-BE32-E72D297353CC}">
              <c16:uniqueId val="{00000004-ED3F-412C-8C54-E80B0E54AA10}"/>
            </c:ext>
          </c:extLst>
        </c:ser>
        <c:dLbls>
          <c:showLegendKey val="0"/>
          <c:showVal val="0"/>
          <c:showCatName val="0"/>
          <c:showSerName val="0"/>
          <c:showPercent val="0"/>
          <c:showBubbleSize val="0"/>
        </c:dLbls>
        <c:gapWidth val="90"/>
        <c:overlap val="100"/>
        <c:axId val="267591040"/>
        <c:axId val="267605120"/>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3'!$C$10:$C$32</c:f>
              <c:numCache>
                <c:formatCode>#\ ##0.0</c:formatCode>
                <c:ptCount val="23"/>
                <c:pt idx="0">
                  <c:v>3.4189743822717418</c:v>
                </c:pt>
                <c:pt idx="1">
                  <c:v>3.6132085037347395</c:v>
                </c:pt>
                <c:pt idx="2">
                  <c:v>3.68258658026825</c:v>
                </c:pt>
                <c:pt idx="3">
                  <c:v>3.3200025771466812</c:v>
                </c:pt>
                <c:pt idx="4">
                  <c:v>-1.5502005609675251</c:v>
                </c:pt>
                <c:pt idx="5">
                  <c:v>-10.594910497246218</c:v>
                </c:pt>
                <c:pt idx="6">
                  <c:v>-4.701156102682063</c:v>
                </c:pt>
                <c:pt idx="7">
                  <c:v>-4.4366371482296927</c:v>
                </c:pt>
                <c:pt idx="8">
                  <c:v>-1.2288405930294743</c:v>
                </c:pt>
                <c:pt idx="9">
                  <c:v>9.7404194240672268</c:v>
                </c:pt>
                <c:pt idx="10">
                  <c:v>3.9736917575390152</c:v>
                </c:pt>
                <c:pt idx="11">
                  <c:v>3.9029621018868283</c:v>
                </c:pt>
                <c:pt idx="12">
                  <c:v>4.8436882638427221</c:v>
                </c:pt>
                <c:pt idx="13">
                  <c:v>3.6483483455527903</c:v>
                </c:pt>
                <c:pt idx="14">
                  <c:v>2.0520278440471884</c:v>
                </c:pt>
                <c:pt idx="15">
                  <c:v>0.95155160469528255</c:v>
                </c:pt>
                <c:pt idx="16">
                  <c:v>0.28193578758093452</c:v>
                </c:pt>
                <c:pt idx="17">
                  <c:v>0.17520415357661534</c:v>
                </c:pt>
                <c:pt idx="18">
                  <c:v>-0.36641485385997896</c:v>
                </c:pt>
                <c:pt idx="19">
                  <c:v>4.8036623275507395E-2</c:v>
                </c:pt>
                <c:pt idx="20">
                  <c:v>0.4075421265811201</c:v>
                </c:pt>
                <c:pt idx="21">
                  <c:v>0.4884456068714087</c:v>
                </c:pt>
                <c:pt idx="22">
                  <c:v>1.2883575979799815</c:v>
                </c:pt>
              </c:numCache>
            </c:numRef>
          </c:val>
          <c:smooth val="0"/>
          <c:extLst>
            <c:ext xmlns:c16="http://schemas.microsoft.com/office/drawing/2014/chart" uri="{C3380CC4-5D6E-409C-BE32-E72D297353CC}">
              <c16:uniqueId val="{00000005-ED3F-412C-8C54-E80B0E54AA10}"/>
            </c:ext>
          </c:extLst>
        </c:ser>
        <c:dLbls>
          <c:showLegendKey val="0"/>
          <c:showVal val="0"/>
          <c:showCatName val="0"/>
          <c:showSerName val="0"/>
          <c:showPercent val="0"/>
          <c:showBubbleSize val="0"/>
        </c:dLbls>
        <c:marker val="1"/>
        <c:smooth val="0"/>
        <c:axId val="267591040"/>
        <c:axId val="267605120"/>
      </c:lineChart>
      <c:catAx>
        <c:axId val="2675910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267605120"/>
        <c:crosses val="autoZero"/>
        <c:auto val="1"/>
        <c:lblAlgn val="ctr"/>
        <c:lblOffset val="100"/>
        <c:noMultiLvlLbl val="0"/>
      </c:catAx>
      <c:valAx>
        <c:axId val="267605120"/>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591040"/>
        <c:crosses val="autoZero"/>
        <c:crossBetween val="between"/>
        <c:majorUnit val="2"/>
      </c:valAx>
      <c:spPr>
        <a:ln>
          <a:solidFill>
            <a:schemeClr val="tx1"/>
          </a:solidFill>
        </a:ln>
      </c:spPr>
    </c:plotArea>
    <c:legend>
      <c:legendPos val="b"/>
      <c:layout>
        <c:manualLayout>
          <c:xMode val="edge"/>
          <c:yMode val="edge"/>
          <c:x val="4.7571766295170556E-2"/>
          <c:y val="0.81445992344928519"/>
          <c:w val="0.94432624113475194"/>
          <c:h val="0.17481734774287963"/>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82E-2"/>
          <c:y val="2.9499886988623526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4'!$C$10:$C$32</c:f>
              <c:numCache>
                <c:formatCode>#\ ##0.0</c:formatCode>
                <c:ptCount val="23"/>
                <c:pt idx="0">
                  <c:v>6.9952669722000996E-2</c:v>
                </c:pt>
                <c:pt idx="1">
                  <c:v>8.174334759303449E-2</c:v>
                </c:pt>
                <c:pt idx="2">
                  <c:v>0.11063000390967299</c:v>
                </c:pt>
                <c:pt idx="3">
                  <c:v>0.14033996982585203</c:v>
                </c:pt>
                <c:pt idx="4">
                  <c:v>0.15822035579434848</c:v>
                </c:pt>
                <c:pt idx="5">
                  <c:v>0.16572640891485885</c:v>
                </c:pt>
                <c:pt idx="6">
                  <c:v>0.14884192396827553</c:v>
                </c:pt>
                <c:pt idx="7">
                  <c:v>0.10349029376913045</c:v>
                </c:pt>
                <c:pt idx="8">
                  <c:v>-0.20943707470562339</c:v>
                </c:pt>
                <c:pt idx="9">
                  <c:v>-0.34449179443466599</c:v>
                </c:pt>
                <c:pt idx="10">
                  <c:v>-0.32209602561974893</c:v>
                </c:pt>
                <c:pt idx="11">
                  <c:v>-0.29333634112949242</c:v>
                </c:pt>
                <c:pt idx="12">
                  <c:v>1.4650416130809454E-3</c:v>
                </c:pt>
                <c:pt idx="13">
                  <c:v>7.8507188492409424E-2</c:v>
                </c:pt>
                <c:pt idx="14">
                  <c:v>3.9960777137645544E-2</c:v>
                </c:pt>
                <c:pt idx="15">
                  <c:v>-2.0459404335135881E-2</c:v>
                </c:pt>
                <c:pt idx="16">
                  <c:v>-3.2655587870534268E-3</c:v>
                </c:pt>
                <c:pt idx="17">
                  <c:v>-3.3619257921654828E-2</c:v>
                </c:pt>
                <c:pt idx="18">
                  <c:v>-3.1390438780173682E-2</c:v>
                </c:pt>
                <c:pt idx="19">
                  <c:v>-1.8726041672651388E-2</c:v>
                </c:pt>
                <c:pt idx="20">
                  <c:v>2.5899734689125427E-3</c:v>
                </c:pt>
                <c:pt idx="21">
                  <c:v>-6.2457577432536882E-2</c:v>
                </c:pt>
                <c:pt idx="22">
                  <c:v>-3.3641281584525777E-2</c:v>
                </c:pt>
              </c:numCache>
            </c:numRef>
          </c:val>
          <c:extLst>
            <c:ext xmlns:c16="http://schemas.microsoft.com/office/drawing/2014/chart" uri="{C3380CC4-5D6E-409C-BE32-E72D297353CC}">
              <c16:uniqueId val="{00000000-5710-4648-8FC1-50E3D78D75C8}"/>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4'!$D$10:$D$32</c:f>
              <c:numCache>
                <c:formatCode>#\ ##0.0</c:formatCode>
                <c:ptCount val="23"/>
                <c:pt idx="0">
                  <c:v>0.79286837781479091</c:v>
                </c:pt>
                <c:pt idx="1">
                  <c:v>1.3034853573072027</c:v>
                </c:pt>
                <c:pt idx="2">
                  <c:v>1.2859805485632667</c:v>
                </c:pt>
                <c:pt idx="3">
                  <c:v>0.76399660901596278</c:v>
                </c:pt>
                <c:pt idx="4">
                  <c:v>-1.006029365184558</c:v>
                </c:pt>
                <c:pt idx="5">
                  <c:v>-5.8707476654845019</c:v>
                </c:pt>
                <c:pt idx="6">
                  <c:v>-2.1566635032660484</c:v>
                </c:pt>
                <c:pt idx="7">
                  <c:v>-1.5364269842490534</c:v>
                </c:pt>
                <c:pt idx="8">
                  <c:v>-0.81082301657390887</c:v>
                </c:pt>
                <c:pt idx="9">
                  <c:v>3.9743747095561068</c:v>
                </c:pt>
                <c:pt idx="10">
                  <c:v>-0.74888372469617781</c:v>
                </c:pt>
                <c:pt idx="11">
                  <c:v>-0.87291327125667473</c:v>
                </c:pt>
                <c:pt idx="12">
                  <c:v>0.64528350075532714</c:v>
                </c:pt>
                <c:pt idx="13">
                  <c:v>1.5767749269534403</c:v>
                </c:pt>
                <c:pt idx="14">
                  <c:v>2.2578630988104651</c:v>
                </c:pt>
                <c:pt idx="15">
                  <c:v>2.6492927635274892</c:v>
                </c:pt>
                <c:pt idx="16">
                  <c:v>1.5080733306136302</c:v>
                </c:pt>
                <c:pt idx="17">
                  <c:v>0.73424780372392695</c:v>
                </c:pt>
                <c:pt idx="18">
                  <c:v>0.18208075989036024</c:v>
                </c:pt>
                <c:pt idx="19">
                  <c:v>0.32030491527239691</c:v>
                </c:pt>
                <c:pt idx="20">
                  <c:v>-0.40635422888252737</c:v>
                </c:pt>
                <c:pt idx="21">
                  <c:v>-0.62245911595116221</c:v>
                </c:pt>
                <c:pt idx="22">
                  <c:v>-1.7463326173814721E-2</c:v>
                </c:pt>
              </c:numCache>
            </c:numRef>
          </c:val>
          <c:extLst>
            <c:ext xmlns:c16="http://schemas.microsoft.com/office/drawing/2014/chart" uri="{C3380CC4-5D6E-409C-BE32-E72D297353CC}">
              <c16:uniqueId val="{00000001-5710-4648-8FC1-50E3D78D75C8}"/>
            </c:ext>
          </c:extLst>
        </c:ser>
        <c:ser>
          <c:idx val="2"/>
          <c:order val="2"/>
          <c:tx>
            <c:strRef>
              <c:f>'souhrnná výkonnost 4'!$E$5</c:f>
              <c:strCache>
                <c:ptCount val="1"/>
                <c:pt idx="0">
                  <c:v>Ostatní průmyslová odvětví (CZ-NACE B, D, E)</c:v>
                </c:pt>
              </c:strCache>
            </c:strRef>
          </c:tx>
          <c:spPr>
            <a:solidFill>
              <a:srgbClr val="BD1B21"/>
            </a:solidFill>
            <a:ln>
              <a:noFill/>
            </a:ln>
          </c:spPr>
          <c:invertIfNegative val="0"/>
          <c:val>
            <c:numRef>
              <c:f>'souhrnná výkonnost 4'!$E$10:$E$32</c:f>
              <c:numCache>
                <c:formatCode>General</c:formatCode>
                <c:ptCount val="23"/>
                <c:pt idx="0">
                  <c:v>4.5459612013585282E-3</c:v>
                </c:pt>
                <c:pt idx="1">
                  <c:v>-5.4299843239147494E-2</c:v>
                </c:pt>
                <c:pt idx="2">
                  <c:v>-0.26283098752928491</c:v>
                </c:pt>
                <c:pt idx="3">
                  <c:v>-9.8219621966424864E-2</c:v>
                </c:pt>
                <c:pt idx="4">
                  <c:v>-0.17620696396261137</c:v>
                </c:pt>
                <c:pt idx="5">
                  <c:v>-0.24771149792454139</c:v>
                </c:pt>
                <c:pt idx="6">
                  <c:v>-6.0935554321396967E-2</c:v>
                </c:pt>
                <c:pt idx="7">
                  <c:v>6.5525594099085982E-2</c:v>
                </c:pt>
                <c:pt idx="8">
                  <c:v>0.38896231887529847</c:v>
                </c:pt>
                <c:pt idx="9">
                  <c:v>0.46371609807310366</c:v>
                </c:pt>
                <c:pt idx="10">
                  <c:v>0.33807449475314627</c:v>
                </c:pt>
                <c:pt idx="11">
                  <c:v>-5.8765796805848813E-2</c:v>
                </c:pt>
                <c:pt idx="12">
                  <c:v>-0.43983407410669084</c:v>
                </c:pt>
                <c:pt idx="13">
                  <c:v>-0.35269776369716466</c:v>
                </c:pt>
                <c:pt idx="14">
                  <c:v>-0.58798697249592147</c:v>
                </c:pt>
                <c:pt idx="15">
                  <c:v>-0.91369938251265959</c:v>
                </c:pt>
                <c:pt idx="16">
                  <c:v>-1.0565359725214909</c:v>
                </c:pt>
                <c:pt idx="17">
                  <c:v>-1.1922043462900702</c:v>
                </c:pt>
                <c:pt idx="18">
                  <c:v>-1.1433067648135005</c:v>
                </c:pt>
                <c:pt idx="19">
                  <c:v>-0.88617705016962645</c:v>
                </c:pt>
                <c:pt idx="20">
                  <c:v>-0.36173671865889367</c:v>
                </c:pt>
                <c:pt idx="21">
                  <c:v>-5.8172483516192308E-2</c:v>
                </c:pt>
                <c:pt idx="22">
                  <c:v>-2.8198778832435774E-2</c:v>
                </c:pt>
              </c:numCache>
            </c:numRef>
          </c:val>
          <c:extLst>
            <c:ext xmlns:c16="http://schemas.microsoft.com/office/drawing/2014/chart" uri="{C3380CC4-5D6E-409C-BE32-E72D297353CC}">
              <c16:uniqueId val="{00000002-5710-4648-8FC1-50E3D78D75C8}"/>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4'!$F$10:$F$32</c:f>
              <c:numCache>
                <c:formatCode>#\ ##0.0</c:formatCode>
                <c:ptCount val="23"/>
                <c:pt idx="0">
                  <c:v>-0.15836437304914164</c:v>
                </c:pt>
                <c:pt idx="1">
                  <c:v>-0.12253502255257109</c:v>
                </c:pt>
                <c:pt idx="2">
                  <c:v>-7.1242684146133939E-2</c:v>
                </c:pt>
                <c:pt idx="3">
                  <c:v>-0.10866493986218721</c:v>
                </c:pt>
                <c:pt idx="4">
                  <c:v>-0.30004627661730132</c:v>
                </c:pt>
                <c:pt idx="5">
                  <c:v>-0.48068129994946118</c:v>
                </c:pt>
                <c:pt idx="6">
                  <c:v>-0.45523791005942654</c:v>
                </c:pt>
                <c:pt idx="7">
                  <c:v>-0.43581518565318822</c:v>
                </c:pt>
                <c:pt idx="8">
                  <c:v>-0.33836863825135816</c:v>
                </c:pt>
                <c:pt idx="9">
                  <c:v>-6.7143304167931656E-2</c:v>
                </c:pt>
                <c:pt idx="10">
                  <c:v>-5.8092008458518342E-2</c:v>
                </c:pt>
                <c:pt idx="11">
                  <c:v>-0.10853391292600841</c:v>
                </c:pt>
                <c:pt idx="12">
                  <c:v>-9.0417570306820225E-2</c:v>
                </c:pt>
                <c:pt idx="13">
                  <c:v>-0.27691175914342508</c:v>
                </c:pt>
                <c:pt idx="14">
                  <c:v>-0.42875648302719638</c:v>
                </c:pt>
                <c:pt idx="15">
                  <c:v>-0.37973365169110213</c:v>
                </c:pt>
                <c:pt idx="16">
                  <c:v>-0.17978597945941827</c:v>
                </c:pt>
                <c:pt idx="17">
                  <c:v>-0.15007885157470846</c:v>
                </c:pt>
                <c:pt idx="18">
                  <c:v>-7.2453853961446754E-2</c:v>
                </c:pt>
                <c:pt idx="19">
                  <c:v>-0.13175576942044118</c:v>
                </c:pt>
                <c:pt idx="20">
                  <c:v>-0.20793222116020077</c:v>
                </c:pt>
                <c:pt idx="21">
                  <c:v>-7.8389714888052381E-2</c:v>
                </c:pt>
                <c:pt idx="22">
                  <c:v>-7.3432513504702122E-3</c:v>
                </c:pt>
              </c:numCache>
            </c:numRef>
          </c:val>
          <c:extLst>
            <c:ext xmlns:c16="http://schemas.microsoft.com/office/drawing/2014/chart" uri="{C3380CC4-5D6E-409C-BE32-E72D297353CC}">
              <c16:uniqueId val="{00000003-5710-4648-8FC1-50E3D78D75C8}"/>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4'!$G$10:$G$32</c:f>
              <c:numCache>
                <c:formatCode>General</c:formatCode>
                <c:ptCount val="23"/>
                <c:pt idx="0">
                  <c:v>2.7152016193024755</c:v>
                </c:pt>
                <c:pt idx="1">
                  <c:v>2.5568894010177439</c:v>
                </c:pt>
                <c:pt idx="2">
                  <c:v>2.5806630267772652</c:v>
                </c:pt>
                <c:pt idx="3">
                  <c:v>2.6155761339131312</c:v>
                </c:pt>
                <c:pt idx="4">
                  <c:v>0.1069034272001633</c:v>
                </c:pt>
                <c:pt idx="5">
                  <c:v>-4.2921319772752993</c:v>
                </c:pt>
                <c:pt idx="6">
                  <c:v>-1.7505754010952781</c:v>
                </c:pt>
                <c:pt idx="7">
                  <c:v>-2.2464479137063273</c:v>
                </c:pt>
                <c:pt idx="8">
                  <c:v>-0.13953156252945553</c:v>
                </c:pt>
                <c:pt idx="9">
                  <c:v>5.9943506299525042</c:v>
                </c:pt>
                <c:pt idx="10">
                  <c:v>4.4243917423347074</c:v>
                </c:pt>
                <c:pt idx="11">
                  <c:v>4.7971483856259507</c:v>
                </c:pt>
                <c:pt idx="12">
                  <c:v>4.2170828841115204</c:v>
                </c:pt>
                <c:pt idx="13">
                  <c:v>2.6617211255203492</c:v>
                </c:pt>
                <c:pt idx="14">
                  <c:v>0.7676089117890853</c:v>
                </c:pt>
                <c:pt idx="15">
                  <c:v>0.29041678067472676</c:v>
                </c:pt>
                <c:pt idx="16">
                  <c:v>1.2589748995853525</c:v>
                </c:pt>
                <c:pt idx="17">
                  <c:v>1.2817734210173399</c:v>
                </c:pt>
                <c:pt idx="18">
                  <c:v>1.3261284382955532</c:v>
                </c:pt>
                <c:pt idx="19">
                  <c:v>0.56483538142502965</c:v>
                </c:pt>
                <c:pt idx="20">
                  <c:v>0.38504274661553867</c:v>
                </c:pt>
                <c:pt idx="21">
                  <c:v>0.73477237406088802</c:v>
                </c:pt>
                <c:pt idx="22">
                  <c:v>1.0513089166729623</c:v>
                </c:pt>
              </c:numCache>
            </c:numRef>
          </c:val>
          <c:extLst>
            <c:ext xmlns:c16="http://schemas.microsoft.com/office/drawing/2014/chart" uri="{C3380CC4-5D6E-409C-BE32-E72D297353CC}">
              <c16:uniqueId val="{00000004-5710-4648-8FC1-50E3D78D75C8}"/>
            </c:ext>
          </c:extLst>
        </c:ser>
        <c:dLbls>
          <c:showLegendKey val="0"/>
          <c:showVal val="0"/>
          <c:showCatName val="0"/>
          <c:showSerName val="0"/>
          <c:showPercent val="0"/>
          <c:showBubbleSize val="0"/>
        </c:dLbls>
        <c:gapWidth val="70"/>
        <c:overlap val="100"/>
        <c:axId val="269005952"/>
        <c:axId val="269007488"/>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'souhrnná výkonnost 4'!$H$10:$H$32</c:f>
              <c:numCache>
                <c:formatCode>#\ ##0.0</c:formatCode>
                <c:ptCount val="23"/>
                <c:pt idx="0">
                  <c:v>3.4241020823594539</c:v>
                </c:pt>
                <c:pt idx="1">
                  <c:v>3.7654261763610037</c:v>
                </c:pt>
                <c:pt idx="2">
                  <c:v>3.6432533192545407</c:v>
                </c:pt>
                <c:pt idx="3">
                  <c:v>3.3129891367830879</c:v>
                </c:pt>
                <c:pt idx="4">
                  <c:v>-1.2169604796506661</c:v>
                </c:pt>
                <c:pt idx="5">
                  <c:v>-10.72573587437293</c:v>
                </c:pt>
                <c:pt idx="6">
                  <c:v>-4.2745842128591107</c:v>
                </c:pt>
                <c:pt idx="7">
                  <c:v>-4.0497053295080292</c:v>
                </c:pt>
                <c:pt idx="8">
                  <c:v>-1.1092326662295733</c:v>
                </c:pt>
                <c:pt idx="9">
                  <c:v>10.020922752811231</c:v>
                </c:pt>
                <c:pt idx="10">
                  <c:v>3.6334340143173023</c:v>
                </c:pt>
                <c:pt idx="11">
                  <c:v>3.4636121873782457</c:v>
                </c:pt>
                <c:pt idx="12">
                  <c:v>4.3335548202223748</c:v>
                </c:pt>
                <c:pt idx="13">
                  <c:v>3.6873115442208899</c:v>
                </c:pt>
                <c:pt idx="14">
                  <c:v>2.0486348171819628</c:v>
                </c:pt>
                <c:pt idx="15">
                  <c:v>1.6260683441280008</c:v>
                </c:pt>
                <c:pt idx="16">
                  <c:v>1.5274059601490251</c:v>
                </c:pt>
                <c:pt idx="17">
                  <c:v>0.64023838798151189</c:v>
                </c:pt>
                <c:pt idx="18">
                  <c:v>0.26107587152959866</c:v>
                </c:pt>
                <c:pt idx="19">
                  <c:v>-0.15185209829762414</c:v>
                </c:pt>
                <c:pt idx="20">
                  <c:v>-0.58827633846647132</c:v>
                </c:pt>
                <c:pt idx="21">
                  <c:v>-8.6784794688583133E-2</c:v>
                </c:pt>
                <c:pt idx="22">
                  <c:v>0.96469197917113547</c:v>
                </c:pt>
              </c:numCache>
            </c:numRef>
          </c:val>
          <c:smooth val="0"/>
          <c:extLst>
            <c:ext xmlns:c16="http://schemas.microsoft.com/office/drawing/2014/chart" uri="{C3380CC4-5D6E-409C-BE32-E72D297353CC}">
              <c16:uniqueId val="{00000005-5710-4648-8FC1-50E3D78D75C8}"/>
            </c:ext>
          </c:extLst>
        </c:ser>
        <c:dLbls>
          <c:showLegendKey val="0"/>
          <c:showVal val="0"/>
          <c:showCatName val="0"/>
          <c:showSerName val="0"/>
          <c:showPercent val="0"/>
          <c:showBubbleSize val="0"/>
        </c:dLbls>
        <c:marker val="1"/>
        <c:smooth val="0"/>
        <c:axId val="269005952"/>
        <c:axId val="269007488"/>
      </c:lineChart>
      <c:catAx>
        <c:axId val="26900595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9007488"/>
        <c:crosses val="autoZero"/>
        <c:auto val="1"/>
        <c:lblAlgn val="ctr"/>
        <c:lblOffset val="100"/>
        <c:noMultiLvlLbl val="0"/>
      </c:catAx>
      <c:valAx>
        <c:axId val="269007488"/>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9005952"/>
        <c:crosses val="autoZero"/>
        <c:crossBetween val="between"/>
        <c:majorUnit val="2"/>
      </c:valAx>
      <c:spPr>
        <a:ln>
          <a:solidFill>
            <a:schemeClr val="tx1"/>
          </a:solidFill>
        </a:ln>
      </c:spPr>
    </c:plotArea>
    <c:legend>
      <c:legendPos val="b"/>
      <c:layout>
        <c:manualLayout>
          <c:xMode val="edge"/>
          <c:yMode val="edge"/>
          <c:x val="5.4144292468760548E-2"/>
          <c:y val="0.79016604750647301"/>
          <c:w val="0.92386482607227283"/>
          <c:h val="0.1946248452099494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054E-2"/>
          <c:y val="1.5804777005479873E-2"/>
          <c:w val="0.84144249386957193"/>
          <c:h val="0.69135712481071809"/>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IPP'!$R$27:$BD$27</c:f>
              <c:numCache>
                <c:formatCode>0.0</c:formatCode>
                <c:ptCount val="39"/>
                <c:pt idx="0">
                  <c:v>1.5407194734870255</c:v>
                </c:pt>
                <c:pt idx="1">
                  <c:v>2.1725345808437702</c:v>
                </c:pt>
                <c:pt idx="2">
                  <c:v>2.3822280390891484</c:v>
                </c:pt>
                <c:pt idx="3">
                  <c:v>2.8679001700331122</c:v>
                </c:pt>
                <c:pt idx="4">
                  <c:v>3.3256782968034511</c:v>
                </c:pt>
                <c:pt idx="5">
                  <c:v>2.7078368205204244</c:v>
                </c:pt>
                <c:pt idx="6">
                  <c:v>1.4770884945722993</c:v>
                </c:pt>
                <c:pt idx="7">
                  <c:v>1.0297006290395898</c:v>
                </c:pt>
                <c:pt idx="8">
                  <c:v>1.7408920839398754</c:v>
                </c:pt>
                <c:pt idx="9">
                  <c:v>2.1378802528812932</c:v>
                </c:pt>
                <c:pt idx="10">
                  <c:v>1.5935135243788106</c:v>
                </c:pt>
                <c:pt idx="11">
                  <c:v>1.6791873092801739</c:v>
                </c:pt>
                <c:pt idx="12">
                  <c:v>0.75268647024158142</c:v>
                </c:pt>
                <c:pt idx="13">
                  <c:v>0.54211789515047693</c:v>
                </c:pt>
                <c:pt idx="14">
                  <c:v>0.24127576647979335</c:v>
                </c:pt>
                <c:pt idx="15">
                  <c:v>0.97863378627142206</c:v>
                </c:pt>
                <c:pt idx="16">
                  <c:v>-0.2260516552234422</c:v>
                </c:pt>
                <c:pt idx="17">
                  <c:v>0.44759183220264459</c:v>
                </c:pt>
                <c:pt idx="18">
                  <c:v>0.76878503294695455</c:v>
                </c:pt>
                <c:pt idx="19">
                  <c:v>-1.0091759236462883</c:v>
                </c:pt>
                <c:pt idx="20">
                  <c:v>-1.5334709251303915</c:v>
                </c:pt>
                <c:pt idx="21">
                  <c:v>-9.3844961095672232</c:v>
                </c:pt>
                <c:pt idx="22">
                  <c:v>-0.1831246423410012</c:v>
                </c:pt>
                <c:pt idx="23">
                  <c:v>2.0633116605855042</c:v>
                </c:pt>
                <c:pt idx="24">
                  <c:v>1.8975892085619599</c:v>
                </c:pt>
                <c:pt idx="25">
                  <c:v>10.942229614625033</c:v>
                </c:pt>
                <c:pt idx="26">
                  <c:v>-3.7731049892010864</c:v>
                </c:pt>
                <c:pt idx="27">
                  <c:v>-3.2535308042579567</c:v>
                </c:pt>
                <c:pt idx="28">
                  <c:v>-1.9125458057863209</c:v>
                </c:pt>
                <c:pt idx="29">
                  <c:v>9.5447744662069289E-2</c:v>
                </c:pt>
                <c:pt idx="30">
                  <c:v>5.6019908887957373</c:v>
                </c:pt>
                <c:pt idx="31">
                  <c:v>4.0134216834581702</c:v>
                </c:pt>
                <c:pt idx="32">
                  <c:v>5.2536005580152212</c:v>
                </c:pt>
                <c:pt idx="33">
                  <c:v>5.1114636387030394</c:v>
                </c:pt>
                <c:pt idx="34">
                  <c:v>1.3618952455796303</c:v>
                </c:pt>
                <c:pt idx="35">
                  <c:v>3.1901430933724066</c:v>
                </c:pt>
                <c:pt idx="36">
                  <c:v>0.45367271287041666</c:v>
                </c:pt>
                <c:pt idx="37">
                  <c:v>-1.2387287425930409</c:v>
                </c:pt>
                <c:pt idx="38">
                  <c:v>0.44049667441759199</c:v>
                </c:pt>
              </c:numCache>
            </c:numRef>
          </c:val>
          <c:extLst>
            <c:ext xmlns:c16="http://schemas.microsoft.com/office/drawing/2014/chart" uri="{C3380CC4-5D6E-409C-BE32-E72D297353CC}">
              <c16:uniqueId val="{00000000-7714-4E25-9607-FD511CF638D0}"/>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IPP'!$R$28:$BD$28</c:f>
              <c:numCache>
                <c:formatCode>0.0</c:formatCode>
                <c:ptCount val="39"/>
                <c:pt idx="0">
                  <c:v>1.0322214618878158</c:v>
                </c:pt>
                <c:pt idx="1">
                  <c:v>1.2386415260436179</c:v>
                </c:pt>
                <c:pt idx="2">
                  <c:v>1.4204776682885574</c:v>
                </c:pt>
                <c:pt idx="3">
                  <c:v>0.62919278136008572</c:v>
                </c:pt>
                <c:pt idx="4">
                  <c:v>0.8176750577912526</c:v>
                </c:pt>
                <c:pt idx="5">
                  <c:v>0.14129582168796412</c:v>
                </c:pt>
                <c:pt idx="6">
                  <c:v>0.27952572878212995</c:v>
                </c:pt>
                <c:pt idx="7">
                  <c:v>0.42980054252763067</c:v>
                </c:pt>
                <c:pt idx="8">
                  <c:v>0.79334952879496901</c:v>
                </c:pt>
                <c:pt idx="9">
                  <c:v>1.468356537050969</c:v>
                </c:pt>
                <c:pt idx="10">
                  <c:v>0.87390949425966125</c:v>
                </c:pt>
                <c:pt idx="11">
                  <c:v>1.644368824210785</c:v>
                </c:pt>
                <c:pt idx="12">
                  <c:v>1.0040337375607471</c:v>
                </c:pt>
                <c:pt idx="13">
                  <c:v>0.3253925650201499</c:v>
                </c:pt>
                <c:pt idx="14">
                  <c:v>0.43133954445298106</c:v>
                </c:pt>
                <c:pt idx="15">
                  <c:v>-5.9899261699036116E-2</c:v>
                </c:pt>
                <c:pt idx="16">
                  <c:v>0.52608733581744893</c:v>
                </c:pt>
                <c:pt idx="17">
                  <c:v>0.44070570288166666</c:v>
                </c:pt>
                <c:pt idx="18">
                  <c:v>0.16703875787161085</c:v>
                </c:pt>
                <c:pt idx="19">
                  <c:v>0.41508771908448316</c:v>
                </c:pt>
                <c:pt idx="20">
                  <c:v>-0.55255281731107375</c:v>
                </c:pt>
                <c:pt idx="21">
                  <c:v>-4.0630399723550301</c:v>
                </c:pt>
                <c:pt idx="22">
                  <c:v>-0.43874587338548932</c:v>
                </c:pt>
                <c:pt idx="23">
                  <c:v>0.53060699318837878</c:v>
                </c:pt>
                <c:pt idx="24">
                  <c:v>0.71145935426482565</c:v>
                </c:pt>
                <c:pt idx="25">
                  <c:v>5.4849453443420373</c:v>
                </c:pt>
                <c:pt idx="26">
                  <c:v>0.62009544020472473</c:v>
                </c:pt>
                <c:pt idx="27">
                  <c:v>-0.42285126031126669</c:v>
                </c:pt>
                <c:pt idx="28">
                  <c:v>9.1493416828334395E-2</c:v>
                </c:pt>
                <c:pt idx="29">
                  <c:v>0.14020266448373037</c:v>
                </c:pt>
                <c:pt idx="30">
                  <c:v>0.54193889354627167</c:v>
                </c:pt>
                <c:pt idx="31">
                  <c:v>0.61065791996017937</c:v>
                </c:pt>
                <c:pt idx="32">
                  <c:v>0.25271742983599177</c:v>
                </c:pt>
                <c:pt idx="33">
                  <c:v>0.12055652014943047</c:v>
                </c:pt>
                <c:pt idx="34">
                  <c:v>-0.42571706492848177</c:v>
                </c:pt>
                <c:pt idx="35">
                  <c:v>2.1622941519747779E-2</c:v>
                </c:pt>
                <c:pt idx="36">
                  <c:v>0.17605152574046909</c:v>
                </c:pt>
                <c:pt idx="37">
                  <c:v>-0.19604074069600116</c:v>
                </c:pt>
                <c:pt idx="38">
                  <c:v>0.15498168990728636</c:v>
                </c:pt>
              </c:numCache>
            </c:numRef>
          </c:val>
          <c:extLst>
            <c:ext xmlns:c16="http://schemas.microsoft.com/office/drawing/2014/chart" uri="{C3380CC4-5D6E-409C-BE32-E72D297353CC}">
              <c16:uniqueId val="{00000001-7714-4E25-9607-FD511CF638D0}"/>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IPP'!$R$29:$BD$29</c:f>
              <c:numCache>
                <c:formatCode>0.0</c:formatCode>
                <c:ptCount val="39"/>
                <c:pt idx="0">
                  <c:v>0.27346966717109655</c:v>
                </c:pt>
                <c:pt idx="1">
                  <c:v>0.29320995735524691</c:v>
                </c:pt>
                <c:pt idx="2">
                  <c:v>0.38410423993096532</c:v>
                </c:pt>
                <c:pt idx="3">
                  <c:v>2.0725807050325191E-2</c:v>
                </c:pt>
                <c:pt idx="4">
                  <c:v>0.37252847603208256</c:v>
                </c:pt>
                <c:pt idx="5">
                  <c:v>-9.2809853017947919E-2</c:v>
                </c:pt>
                <c:pt idx="6">
                  <c:v>0.20293953400612441</c:v>
                </c:pt>
                <c:pt idx="7">
                  <c:v>0.32005157357499631</c:v>
                </c:pt>
                <c:pt idx="8">
                  <c:v>0.3345178851347928</c:v>
                </c:pt>
                <c:pt idx="9">
                  <c:v>1.1003694908923236</c:v>
                </c:pt>
                <c:pt idx="10">
                  <c:v>0.85805445400541835</c:v>
                </c:pt>
                <c:pt idx="11">
                  <c:v>0.80055944660911171</c:v>
                </c:pt>
                <c:pt idx="12">
                  <c:v>0.48868169907415326</c:v>
                </c:pt>
                <c:pt idx="13">
                  <c:v>0.13868742792561028</c:v>
                </c:pt>
                <c:pt idx="14">
                  <c:v>0.18638853797251198</c:v>
                </c:pt>
                <c:pt idx="15">
                  <c:v>-0.20071677551985512</c:v>
                </c:pt>
                <c:pt idx="16">
                  <c:v>0.20262845642032346</c:v>
                </c:pt>
                <c:pt idx="17">
                  <c:v>-9.1482438382696971E-3</c:v>
                </c:pt>
                <c:pt idx="18">
                  <c:v>-0.3267936607108648</c:v>
                </c:pt>
                <c:pt idx="19">
                  <c:v>-0.14957125605699437</c:v>
                </c:pt>
                <c:pt idx="20">
                  <c:v>-0.7072452096320988</c:v>
                </c:pt>
                <c:pt idx="21">
                  <c:v>-2.1308377913469609</c:v>
                </c:pt>
                <c:pt idx="22">
                  <c:v>-0.8017096029334061</c:v>
                </c:pt>
                <c:pt idx="23">
                  <c:v>-0.54797142039304825</c:v>
                </c:pt>
                <c:pt idx="24">
                  <c:v>7.0850055204653054E-2</c:v>
                </c:pt>
                <c:pt idx="25">
                  <c:v>2.0598150661116326</c:v>
                </c:pt>
                <c:pt idx="26">
                  <c:v>0.54732740156649295</c:v>
                </c:pt>
                <c:pt idx="27">
                  <c:v>0.28187017007306092</c:v>
                </c:pt>
                <c:pt idx="28">
                  <c:v>0.35832508124582935</c:v>
                </c:pt>
                <c:pt idx="29">
                  <c:v>9.1653825182652457E-2</c:v>
                </c:pt>
                <c:pt idx="30">
                  <c:v>0.48964765301851315</c:v>
                </c:pt>
                <c:pt idx="31">
                  <c:v>0.65392427024919109</c:v>
                </c:pt>
                <c:pt idx="32">
                  <c:v>0.4743954191459484</c:v>
                </c:pt>
                <c:pt idx="33">
                  <c:v>0.39139167102075056</c:v>
                </c:pt>
                <c:pt idx="34">
                  <c:v>-0.58039125250365531</c:v>
                </c:pt>
                <c:pt idx="35">
                  <c:v>-0.75561598264437491</c:v>
                </c:pt>
                <c:pt idx="36">
                  <c:v>-1.073463095123095</c:v>
                </c:pt>
                <c:pt idx="37">
                  <c:v>-1.0305547204707144</c:v>
                </c:pt>
                <c:pt idx="38">
                  <c:v>-0.44773919643458537</c:v>
                </c:pt>
              </c:numCache>
            </c:numRef>
          </c:val>
          <c:extLst>
            <c:ext xmlns:c16="http://schemas.microsoft.com/office/drawing/2014/chart" uri="{C3380CC4-5D6E-409C-BE32-E72D297353CC}">
              <c16:uniqueId val="{00000002-7714-4E25-9607-FD511CF638D0}"/>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IPP'!$R$30:$BD$30</c:f>
              <c:numCache>
                <c:formatCode>0.0</c:formatCode>
                <c:ptCount val="39"/>
                <c:pt idx="0">
                  <c:v>0.69488451852266242</c:v>
                </c:pt>
                <c:pt idx="1">
                  <c:v>0.78494764780669857</c:v>
                </c:pt>
                <c:pt idx="2">
                  <c:v>0.99085589155838827</c:v>
                </c:pt>
                <c:pt idx="3">
                  <c:v>0.60110426817331475</c:v>
                </c:pt>
                <c:pt idx="4">
                  <c:v>0.81011316513160325</c:v>
                </c:pt>
                <c:pt idx="5">
                  <c:v>0.36137817304287012</c:v>
                </c:pt>
                <c:pt idx="6">
                  <c:v>0.23174116441034223</c:v>
                </c:pt>
                <c:pt idx="7">
                  <c:v>0.25113007311661406</c:v>
                </c:pt>
                <c:pt idx="8">
                  <c:v>0.38676361423749528</c:v>
                </c:pt>
                <c:pt idx="9">
                  <c:v>0.95166355765299349</c:v>
                </c:pt>
                <c:pt idx="10">
                  <c:v>0.86091550298549102</c:v>
                </c:pt>
                <c:pt idx="11">
                  <c:v>0.96020285266505589</c:v>
                </c:pt>
                <c:pt idx="12">
                  <c:v>0.67147421279246411</c:v>
                </c:pt>
                <c:pt idx="13">
                  <c:v>0.46338675111775501</c:v>
                </c:pt>
                <c:pt idx="14">
                  <c:v>0.40465307945227347</c:v>
                </c:pt>
                <c:pt idx="15">
                  <c:v>0.13991647838864771</c:v>
                </c:pt>
                <c:pt idx="16">
                  <c:v>0.23284119938910905</c:v>
                </c:pt>
                <c:pt idx="17">
                  <c:v>-2.3018109664658163E-3</c:v>
                </c:pt>
                <c:pt idx="18">
                  <c:v>-0.27902616348258918</c:v>
                </c:pt>
                <c:pt idx="19">
                  <c:v>-0.28921256974210446</c:v>
                </c:pt>
                <c:pt idx="20">
                  <c:v>-0.59705730498174525</c:v>
                </c:pt>
                <c:pt idx="21">
                  <c:v>-2.0768472147616719</c:v>
                </c:pt>
                <c:pt idx="22">
                  <c:v>-0.62165835195312102</c:v>
                </c:pt>
                <c:pt idx="23">
                  <c:v>4.661253810289321E-2</c:v>
                </c:pt>
                <c:pt idx="24">
                  <c:v>0.4319844451866503</c:v>
                </c:pt>
                <c:pt idx="25">
                  <c:v>2.9892153039365739</c:v>
                </c:pt>
                <c:pt idx="26">
                  <c:v>0.80117841210531138</c:v>
                </c:pt>
                <c:pt idx="27">
                  <c:v>1.7463387937825797E-2</c:v>
                </c:pt>
                <c:pt idx="28">
                  <c:v>0.22598481032929491</c:v>
                </c:pt>
                <c:pt idx="29">
                  <c:v>-0.40391403937362469</c:v>
                </c:pt>
                <c:pt idx="30">
                  <c:v>-0.31530952555716046</c:v>
                </c:pt>
                <c:pt idx="31">
                  <c:v>-0.21505799769140796</c:v>
                </c:pt>
                <c:pt idx="32">
                  <c:v>-0.35405207260318489</c:v>
                </c:pt>
                <c:pt idx="33">
                  <c:v>-9.6885897827818007E-2</c:v>
                </c:pt>
                <c:pt idx="34">
                  <c:v>-0.20936242560906063</c:v>
                </c:pt>
                <c:pt idx="35">
                  <c:v>-0.27619740847507079</c:v>
                </c:pt>
                <c:pt idx="36">
                  <c:v>-0.12568649659298328</c:v>
                </c:pt>
                <c:pt idx="37">
                  <c:v>-7.7322802600924181E-2</c:v>
                </c:pt>
                <c:pt idx="38">
                  <c:v>0.34979997609795332</c:v>
                </c:pt>
              </c:numCache>
            </c:numRef>
          </c:val>
          <c:extLst>
            <c:ext xmlns:c16="http://schemas.microsoft.com/office/drawing/2014/chart" uri="{C3380CC4-5D6E-409C-BE32-E72D297353CC}">
              <c16:uniqueId val="{00000003-7714-4E25-9607-FD511CF638D0}"/>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IPP'!$R$31:$BD$31</c:f>
              <c:numCache>
                <c:formatCode>0.0</c:formatCode>
                <c:ptCount val="39"/>
                <c:pt idx="0">
                  <c:v>0.10274789516452397</c:v>
                </c:pt>
                <c:pt idx="1">
                  <c:v>1.6624023651880003E-2</c:v>
                </c:pt>
                <c:pt idx="2">
                  <c:v>3.1029768728409929E-2</c:v>
                </c:pt>
                <c:pt idx="3">
                  <c:v>-6.717825999350098E-2</c:v>
                </c:pt>
                <c:pt idx="4">
                  <c:v>-9.0690116406332948E-3</c:v>
                </c:pt>
                <c:pt idx="5">
                  <c:v>6.8577664711048592E-2</c:v>
                </c:pt>
                <c:pt idx="6">
                  <c:v>4.7878835623817111E-2</c:v>
                </c:pt>
                <c:pt idx="7">
                  <c:v>0.16200567329703564</c:v>
                </c:pt>
                <c:pt idx="8">
                  <c:v>0.1517960019133566</c:v>
                </c:pt>
                <c:pt idx="9">
                  <c:v>0.35040742405813147</c:v>
                </c:pt>
                <c:pt idx="10">
                  <c:v>0.22701547985990286</c:v>
                </c:pt>
                <c:pt idx="11">
                  <c:v>0.23483306705633769</c:v>
                </c:pt>
                <c:pt idx="12">
                  <c:v>0.38575845909308681</c:v>
                </c:pt>
                <c:pt idx="13">
                  <c:v>0.1585479563430445</c:v>
                </c:pt>
                <c:pt idx="14">
                  <c:v>0.63604123808561219</c:v>
                </c:pt>
                <c:pt idx="15">
                  <c:v>0.3169722012936107</c:v>
                </c:pt>
                <c:pt idx="16">
                  <c:v>-0.10335857004416719</c:v>
                </c:pt>
                <c:pt idx="17">
                  <c:v>-3.5698176267711781E-2</c:v>
                </c:pt>
                <c:pt idx="18">
                  <c:v>-0.60934912550064046</c:v>
                </c:pt>
                <c:pt idx="19">
                  <c:v>-0.3641176829939205</c:v>
                </c:pt>
                <c:pt idx="20">
                  <c:v>-0.1013700779981392</c:v>
                </c:pt>
                <c:pt idx="21">
                  <c:v>-0.31920945262277456</c:v>
                </c:pt>
                <c:pt idx="22">
                  <c:v>3.1049160053994794E-2</c:v>
                </c:pt>
                <c:pt idx="23">
                  <c:v>2.2349038466741165E-2</c:v>
                </c:pt>
                <c:pt idx="24">
                  <c:v>0.12974311148891404</c:v>
                </c:pt>
                <c:pt idx="25">
                  <c:v>0.21647002151163328</c:v>
                </c:pt>
                <c:pt idx="26">
                  <c:v>0.19205806664585179</c:v>
                </c:pt>
                <c:pt idx="27">
                  <c:v>-0.23628033126313611</c:v>
                </c:pt>
                <c:pt idx="28">
                  <c:v>2.5262432705383895E-2</c:v>
                </c:pt>
                <c:pt idx="29">
                  <c:v>-1.8781509562061992E-2</c:v>
                </c:pt>
                <c:pt idx="30">
                  <c:v>5.9957016296618329E-2</c:v>
                </c:pt>
                <c:pt idx="31">
                  <c:v>0.43275534414748673</c:v>
                </c:pt>
                <c:pt idx="32">
                  <c:v>0.14797572480386773</c:v>
                </c:pt>
                <c:pt idx="33">
                  <c:v>8.3419533160410703E-2</c:v>
                </c:pt>
                <c:pt idx="34">
                  <c:v>-7.2085015188834867E-2</c:v>
                </c:pt>
                <c:pt idx="35">
                  <c:v>-6.5736974006284782E-2</c:v>
                </c:pt>
                <c:pt idx="36">
                  <c:v>-7.6942350249072561E-2</c:v>
                </c:pt>
                <c:pt idx="37">
                  <c:v>0.14202620550136791</c:v>
                </c:pt>
                <c:pt idx="38">
                  <c:v>0.23935022642016729</c:v>
                </c:pt>
              </c:numCache>
            </c:numRef>
          </c:val>
          <c:extLst>
            <c:ext xmlns:c16="http://schemas.microsoft.com/office/drawing/2014/chart" uri="{C3380CC4-5D6E-409C-BE32-E72D297353CC}">
              <c16:uniqueId val="{00000004-7714-4E25-9607-FD511CF638D0}"/>
            </c:ext>
          </c:extLst>
        </c:ser>
        <c:ser>
          <c:idx val="5"/>
          <c:order val="5"/>
          <c:tx>
            <c:strRef>
              <c:f>'GRAF příspěvky IPP'!$A$32</c:f>
              <c:strCache>
                <c:ptCount val="1"/>
                <c:pt idx="0">
                  <c:v>Chemický a farmaceutický pr. (20, 21)</c:v>
                </c:pt>
              </c:strCache>
            </c:strRef>
          </c:tx>
          <c:spPr>
            <a:solidFill>
              <a:srgbClr val="F8A124"/>
            </a:solidFill>
            <a:ln>
              <a:noFill/>
            </a:ln>
          </c:spPr>
          <c:invertIfNegative val="0"/>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IPP'!$R$32:$BD$32</c:f>
              <c:numCache>
                <c:formatCode>0.0</c:formatCode>
                <c:ptCount val="39"/>
                <c:pt idx="0">
                  <c:v>7.7157547125760104E-2</c:v>
                </c:pt>
                <c:pt idx="1">
                  <c:v>0.23593755110737841</c:v>
                </c:pt>
                <c:pt idx="2">
                  <c:v>-0.16353071050900619</c:v>
                </c:pt>
                <c:pt idx="3">
                  <c:v>-0.33446774192766959</c:v>
                </c:pt>
                <c:pt idx="4">
                  <c:v>-0.41480189964943331</c:v>
                </c:pt>
                <c:pt idx="5">
                  <c:v>-0.43289982593467702</c:v>
                </c:pt>
                <c:pt idx="6">
                  <c:v>-0.1055173929140575</c:v>
                </c:pt>
                <c:pt idx="7">
                  <c:v>0.23717747625834851</c:v>
                </c:pt>
                <c:pt idx="8">
                  <c:v>0.51439307947726998</c:v>
                </c:pt>
                <c:pt idx="9">
                  <c:v>0.83289717197907565</c:v>
                </c:pt>
                <c:pt idx="10">
                  <c:v>0.65310318202327911</c:v>
                </c:pt>
                <c:pt idx="11">
                  <c:v>0.50440121167449548</c:v>
                </c:pt>
                <c:pt idx="12">
                  <c:v>0.40911320927322647</c:v>
                </c:pt>
                <c:pt idx="13">
                  <c:v>7.7633111380155301E-2</c:v>
                </c:pt>
                <c:pt idx="14">
                  <c:v>-5.3190732776962651E-2</c:v>
                </c:pt>
                <c:pt idx="15">
                  <c:v>-7.1103221110709838E-2</c:v>
                </c:pt>
                <c:pt idx="16">
                  <c:v>9.3101613350728932E-2</c:v>
                </c:pt>
                <c:pt idx="17">
                  <c:v>6.1474211824515262E-2</c:v>
                </c:pt>
                <c:pt idx="18">
                  <c:v>0.2229684142187896</c:v>
                </c:pt>
                <c:pt idx="19">
                  <c:v>3.2130190492489386E-2</c:v>
                </c:pt>
                <c:pt idx="20">
                  <c:v>-3.6216479616950112E-2</c:v>
                </c:pt>
                <c:pt idx="21">
                  <c:v>-0.57135666895590331</c:v>
                </c:pt>
                <c:pt idx="22">
                  <c:v>-0.22076865898667289</c:v>
                </c:pt>
                <c:pt idx="23">
                  <c:v>0.42176753383241716</c:v>
                </c:pt>
                <c:pt idx="24">
                  <c:v>0.28428412011687404</c:v>
                </c:pt>
                <c:pt idx="25">
                  <c:v>0.82249631111331634</c:v>
                </c:pt>
                <c:pt idx="26">
                  <c:v>0.32027597160186944</c:v>
                </c:pt>
                <c:pt idx="27">
                  <c:v>8.7321622360171852E-2</c:v>
                </c:pt>
                <c:pt idx="28">
                  <c:v>0.24814976114220236</c:v>
                </c:pt>
                <c:pt idx="29">
                  <c:v>0.15906491022417332</c:v>
                </c:pt>
                <c:pt idx="30">
                  <c:v>-9.9156705361591546E-2</c:v>
                </c:pt>
                <c:pt idx="31">
                  <c:v>-0.2903361250797567</c:v>
                </c:pt>
                <c:pt idx="32">
                  <c:v>-0.60093194811787198</c:v>
                </c:pt>
                <c:pt idx="33">
                  <c:v>-0.17634605689268518</c:v>
                </c:pt>
                <c:pt idx="34">
                  <c:v>-7.3142262120512377E-2</c:v>
                </c:pt>
                <c:pt idx="35">
                  <c:v>-0.12595269503796017</c:v>
                </c:pt>
                <c:pt idx="36">
                  <c:v>0.29106249132180767</c:v>
                </c:pt>
                <c:pt idx="37">
                  <c:v>3.2252555674296565E-2</c:v>
                </c:pt>
                <c:pt idx="38">
                  <c:v>-7.7546843476391111E-2</c:v>
                </c:pt>
              </c:numCache>
            </c:numRef>
          </c:val>
          <c:extLst>
            <c:ext xmlns:c16="http://schemas.microsoft.com/office/drawing/2014/chart" uri="{C3380CC4-5D6E-409C-BE32-E72D297353CC}">
              <c16:uniqueId val="{00000005-7714-4E25-9607-FD511CF638D0}"/>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IPP'!$R$33:$BD$33</c:f>
              <c:numCache>
                <c:formatCode>0.0</c:formatCode>
                <c:ptCount val="39"/>
                <c:pt idx="0">
                  <c:v>0.98443956746970962</c:v>
                </c:pt>
                <c:pt idx="1">
                  <c:v>0.89749369767930132</c:v>
                </c:pt>
                <c:pt idx="2">
                  <c:v>1.0110169889951346</c:v>
                </c:pt>
                <c:pt idx="3">
                  <c:v>-0.20272196687510713</c:v>
                </c:pt>
                <c:pt idx="4">
                  <c:v>-0.44835386658683185</c:v>
                </c:pt>
                <c:pt idx="5">
                  <c:v>-1.1528022020710338</c:v>
                </c:pt>
                <c:pt idx="6">
                  <c:v>-0.3721343772053517</c:v>
                </c:pt>
                <c:pt idx="7">
                  <c:v>0.44554477386112834</c:v>
                </c:pt>
                <c:pt idx="8">
                  <c:v>-0.13802711444318691</c:v>
                </c:pt>
                <c:pt idx="9">
                  <c:v>1.4520150527939983</c:v>
                </c:pt>
                <c:pt idx="10">
                  <c:v>0.65687676657011995</c:v>
                </c:pt>
                <c:pt idx="11">
                  <c:v>0.76186639439852744</c:v>
                </c:pt>
                <c:pt idx="12">
                  <c:v>1.1768838940724016</c:v>
                </c:pt>
                <c:pt idx="13">
                  <c:v>0.73260991135089881</c:v>
                </c:pt>
                <c:pt idx="14">
                  <c:v>1.1309843102453647</c:v>
                </c:pt>
                <c:pt idx="15">
                  <c:v>0.15993804771029091</c:v>
                </c:pt>
                <c:pt idx="16">
                  <c:v>-0.32185268974320136</c:v>
                </c:pt>
                <c:pt idx="17">
                  <c:v>-0.30512916964802844</c:v>
                </c:pt>
                <c:pt idx="18">
                  <c:v>-0.97407463154620033</c:v>
                </c:pt>
                <c:pt idx="19">
                  <c:v>-3.9701171551173531E-2</c:v>
                </c:pt>
                <c:pt idx="20">
                  <c:v>0.31377104389497573</c:v>
                </c:pt>
                <c:pt idx="21">
                  <c:v>-1.6010940767108721</c:v>
                </c:pt>
                <c:pt idx="22">
                  <c:v>-5.0886354263985356E-3</c:v>
                </c:pt>
                <c:pt idx="23">
                  <c:v>-0.12175513984550231</c:v>
                </c:pt>
                <c:pt idx="24">
                  <c:v>-3.4125834156235602E-3</c:v>
                </c:pt>
                <c:pt idx="25">
                  <c:v>3.2141937782937271</c:v>
                </c:pt>
                <c:pt idx="26">
                  <c:v>1.5247062667635272</c:v>
                </c:pt>
                <c:pt idx="27">
                  <c:v>1.1683376200242677</c:v>
                </c:pt>
                <c:pt idx="28">
                  <c:v>1.6901750523412213</c:v>
                </c:pt>
                <c:pt idx="29">
                  <c:v>0.27341674219238665</c:v>
                </c:pt>
                <c:pt idx="30">
                  <c:v>-1.6650039614606045</c:v>
                </c:pt>
                <c:pt idx="31">
                  <c:v>-1.5212796857672286</c:v>
                </c:pt>
                <c:pt idx="32">
                  <c:v>-3.3366692351327236</c:v>
                </c:pt>
                <c:pt idx="33">
                  <c:v>-3.5778039994492534</c:v>
                </c:pt>
                <c:pt idx="34">
                  <c:v>-1.7990084031826756</c:v>
                </c:pt>
                <c:pt idx="35">
                  <c:v>-1.6134513672711486</c:v>
                </c:pt>
                <c:pt idx="36">
                  <c:v>0.19522876374191578</c:v>
                </c:pt>
                <c:pt idx="37">
                  <c:v>0.2172671316823212</c:v>
                </c:pt>
                <c:pt idx="38">
                  <c:v>-0.16539917932590179</c:v>
                </c:pt>
              </c:numCache>
            </c:numRef>
          </c:val>
          <c:extLst>
            <c:ext xmlns:c16="http://schemas.microsoft.com/office/drawing/2014/chart" uri="{C3380CC4-5D6E-409C-BE32-E72D297353CC}">
              <c16:uniqueId val="{00000006-7714-4E25-9607-FD511CF638D0}"/>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IPP'!$R$34:$BD$34</c:f>
              <c:numCache>
                <c:formatCode>0.0</c:formatCode>
                <c:ptCount val="39"/>
                <c:pt idx="0">
                  <c:v>0.14402037647140767</c:v>
                </c:pt>
                <c:pt idx="1">
                  <c:v>-0.33675824148789951</c:v>
                </c:pt>
                <c:pt idx="2">
                  <c:v>-0.3968935754815921</c:v>
                </c:pt>
                <c:pt idx="3">
                  <c:v>-1.1136308902205647</c:v>
                </c:pt>
                <c:pt idx="4">
                  <c:v>-0.66026658968149066</c:v>
                </c:pt>
                <c:pt idx="5">
                  <c:v>6.6763502761356674E-2</c:v>
                </c:pt>
                <c:pt idx="6">
                  <c:v>-0.46574952767530198</c:v>
                </c:pt>
                <c:pt idx="7">
                  <c:v>0.47124206252466205</c:v>
                </c:pt>
                <c:pt idx="8">
                  <c:v>0.68579685044543348</c:v>
                </c:pt>
                <c:pt idx="9">
                  <c:v>-0.21786071250878586</c:v>
                </c:pt>
                <c:pt idx="10">
                  <c:v>0.74762012671732325</c:v>
                </c:pt>
                <c:pt idx="11">
                  <c:v>0.67922569430551583</c:v>
                </c:pt>
                <c:pt idx="12">
                  <c:v>-0.54241645010765449</c:v>
                </c:pt>
                <c:pt idx="13">
                  <c:v>-1.8631527880888649E-3</c:v>
                </c:pt>
                <c:pt idx="14">
                  <c:v>0.78670127678843149</c:v>
                </c:pt>
                <c:pt idx="15">
                  <c:v>0.32960713526562863</c:v>
                </c:pt>
                <c:pt idx="16">
                  <c:v>6.8904910133199077E-2</c:v>
                </c:pt>
                <c:pt idx="17">
                  <c:v>0.12170682001164354</c:v>
                </c:pt>
                <c:pt idx="18">
                  <c:v>-0.5109816723970585</c:v>
                </c:pt>
                <c:pt idx="19">
                  <c:v>-0.36784640528649537</c:v>
                </c:pt>
                <c:pt idx="20">
                  <c:v>-1.0379724863245821</c:v>
                </c:pt>
                <c:pt idx="21">
                  <c:v>-1.638329285379571</c:v>
                </c:pt>
                <c:pt idx="22">
                  <c:v>-0.82494325172790062</c:v>
                </c:pt>
                <c:pt idx="23">
                  <c:v>-0.74239007583737793</c:v>
                </c:pt>
                <c:pt idx="24">
                  <c:v>0.59158556249174743</c:v>
                </c:pt>
                <c:pt idx="25">
                  <c:v>0.52574532126604923</c:v>
                </c:pt>
                <c:pt idx="26">
                  <c:v>0.3141749245133067</c:v>
                </c:pt>
                <c:pt idx="27">
                  <c:v>0.81673244983703708</c:v>
                </c:pt>
                <c:pt idx="28">
                  <c:v>-0.20930722480594036</c:v>
                </c:pt>
                <c:pt idx="29">
                  <c:v>0.24261992579068087</c:v>
                </c:pt>
                <c:pt idx="30">
                  <c:v>0.41437274042222183</c:v>
                </c:pt>
                <c:pt idx="31">
                  <c:v>-1.2875007654766373</c:v>
                </c:pt>
                <c:pt idx="32">
                  <c:v>-1.3048253110472505</c:v>
                </c:pt>
                <c:pt idx="33">
                  <c:v>-1.5779992607638813</c:v>
                </c:pt>
                <c:pt idx="34">
                  <c:v>-1.6272504326464061</c:v>
                </c:pt>
                <c:pt idx="35">
                  <c:v>-1.1082452978573207</c:v>
                </c:pt>
                <c:pt idx="36">
                  <c:v>-0.77467267910945481</c:v>
                </c:pt>
                <c:pt idx="37">
                  <c:v>-8.6422350697300643E-2</c:v>
                </c:pt>
                <c:pt idx="38">
                  <c:v>-7.1467606120229066E-5</c:v>
                </c:pt>
              </c:numCache>
            </c:numRef>
          </c:val>
          <c:extLst>
            <c:ext xmlns:c16="http://schemas.microsoft.com/office/drawing/2014/chart" uri="{C3380CC4-5D6E-409C-BE32-E72D297353CC}">
              <c16:uniqueId val="{00000007-7714-4E25-9607-FD511CF638D0}"/>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Průmysl celkem (NACE B až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IPP'!$R$35:$BD$35</c:f>
              <c:numCache>
                <c:formatCode>0.0</c:formatCode>
                <c:ptCount val="39"/>
                <c:pt idx="0">
                  <c:v>4.8496605073000012</c:v>
                </c:pt>
                <c:pt idx="1">
                  <c:v>5.3026307429999946</c:v>
                </c:pt>
                <c:pt idx="2">
                  <c:v>5.6592883106000045</c:v>
                </c:pt>
                <c:pt idx="3">
                  <c:v>2.4009241675999959</c:v>
                </c:pt>
                <c:pt idx="4">
                  <c:v>3.7935036281999999</c:v>
                </c:pt>
                <c:pt idx="5">
                  <c:v>1.667340101700006</c:v>
                </c:pt>
                <c:pt idx="6">
                  <c:v>1.295772459600002</c:v>
                </c:pt>
                <c:pt idx="7">
                  <c:v>3.346652804200005</c:v>
                </c:pt>
                <c:pt idx="8">
                  <c:v>4.4694819295000059</c:v>
                </c:pt>
                <c:pt idx="9">
                  <c:v>8.0757287747999982</c:v>
                </c:pt>
                <c:pt idx="10">
                  <c:v>6.471008530800006</c:v>
                </c:pt>
                <c:pt idx="11">
                  <c:v>7.2646448002000028</c:v>
                </c:pt>
                <c:pt idx="12">
                  <c:v>4.3462152320000058</c:v>
                </c:pt>
                <c:pt idx="13">
                  <c:v>2.4365124655000017</c:v>
                </c:pt>
                <c:pt idx="14">
                  <c:v>3.7641930207000058</c:v>
                </c:pt>
                <c:pt idx="15">
                  <c:v>1.5933483905999992</c:v>
                </c:pt>
                <c:pt idx="16">
                  <c:v>0.47230060009999875</c:v>
                </c:pt>
                <c:pt idx="17">
                  <c:v>0.71920116619999419</c:v>
                </c:pt>
                <c:pt idx="18">
                  <c:v>-1.5414330485999983</c:v>
                </c:pt>
                <c:pt idx="19">
                  <c:v>-1.7724070997000041</c:v>
                </c:pt>
                <c:pt idx="20">
                  <c:v>-4.2521142571000041</c:v>
                </c:pt>
                <c:pt idx="21">
                  <c:v>-21.785210571700006</c:v>
                </c:pt>
                <c:pt idx="22">
                  <c:v>-3.0649898566999951</c:v>
                </c:pt>
                <c:pt idx="23">
                  <c:v>1.6725311281000046</c:v>
                </c:pt>
                <c:pt idx="24">
                  <c:v>4.1158860233999945</c:v>
                </c:pt>
                <c:pt idx="25">
                  <c:v>26.265903552099999</c:v>
                </c:pt>
                <c:pt idx="26">
                  <c:v>0.54202255549999734</c:v>
                </c:pt>
                <c:pt idx="27">
                  <c:v>-1.5347689435999996</c:v>
                </c:pt>
                <c:pt idx="28">
                  <c:v>0.52428299340000706</c:v>
                </c:pt>
                <c:pt idx="29">
                  <c:v>0.58224571780000645</c:v>
                </c:pt>
                <c:pt idx="30">
                  <c:v>5.0280839376000017</c:v>
                </c:pt>
                <c:pt idx="31">
                  <c:v>2.3885389629000002</c:v>
                </c:pt>
                <c:pt idx="32">
                  <c:v>0.5475739112000042</c:v>
                </c:pt>
                <c:pt idx="33">
                  <c:v>0.25524216140000533</c:v>
                </c:pt>
                <c:pt idx="34">
                  <c:v>-3.4385428575999981</c:v>
                </c:pt>
                <c:pt idx="35">
                  <c:v>-0.7315204164000022</c:v>
                </c:pt>
                <c:pt idx="36">
                  <c:v>-0.93474912739999638</c:v>
                </c:pt>
                <c:pt idx="37">
                  <c:v>-2.2375234641999953</c:v>
                </c:pt>
                <c:pt idx="38">
                  <c:v>0.49387188000000037</c:v>
                </c:pt>
              </c:numCache>
            </c:numRef>
          </c:val>
          <c:smooth val="0"/>
          <c:extLst>
            <c:ext xmlns:c16="http://schemas.microsoft.com/office/drawing/2014/chart" uri="{C3380CC4-5D6E-409C-BE32-E72D297353CC}">
              <c16:uniqueId val="{00000008-7714-4E25-9607-FD511CF638D0}"/>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IPP'!$R$36:$BD$36</c:f>
              <c:numCache>
                <c:formatCode>General</c:formatCode>
                <c:ptCount val="39"/>
              </c:numCache>
            </c:numRef>
          </c:val>
          <c:smooth val="0"/>
          <c:extLst>
            <c:ext xmlns:c16="http://schemas.microsoft.com/office/drawing/2014/chart" uri="{C3380CC4-5D6E-409C-BE32-E72D297353CC}">
              <c16:uniqueId val="{00000009-7714-4E25-9607-FD511CF638D0}"/>
            </c:ext>
          </c:extLst>
        </c:ser>
        <c:ser>
          <c:idx val="10"/>
          <c:order val="10"/>
          <c:tx>
            <c:strRef>
              <c:f>'GRAF příspěvky IPP'!$A$37</c:f>
              <c:strCache>
                <c:ptCount val="1"/>
                <c:pt idx="0">
                  <c:v>Produkce, prům. v ČR celkem (2021=100)</c:v>
                </c:pt>
              </c:strCache>
            </c:strRef>
          </c:tx>
          <c:spPr>
            <a:ln w="15875">
              <a:solidFill>
                <a:schemeClr val="tx1">
                  <a:lumMod val="95000"/>
                  <a:lumOff val="5000"/>
                </a:schemeClr>
              </a:solidFill>
            </a:ln>
          </c:spPr>
          <c:marker>
            <c:symbol val="none"/>
          </c:marker>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IPP'!$R$37:$BD$37</c:f>
              <c:numCache>
                <c:formatCode>##0.0</c:formatCode>
                <c:ptCount val="39"/>
                <c:pt idx="0">
                  <c:v>88.390702936699995</c:v>
                </c:pt>
                <c:pt idx="1">
                  <c:v>89.851789280000006</c:v>
                </c:pt>
                <c:pt idx="2">
                  <c:v>90.937920156700002</c:v>
                </c:pt>
                <c:pt idx="3">
                  <c:v>90.09209328</c:v>
                </c:pt>
                <c:pt idx="4">
                  <c:v>91.845525449999997</c:v>
                </c:pt>
                <c:pt idx="5">
                  <c:v>91.348851603300005</c:v>
                </c:pt>
                <c:pt idx="6">
                  <c:v>92.034390920000007</c:v>
                </c:pt>
                <c:pt idx="7">
                  <c:v>93.087876796700002</c:v>
                </c:pt>
                <c:pt idx="8">
                  <c:v>95.604840586700007</c:v>
                </c:pt>
                <c:pt idx="9">
                  <c:v>98.559215283300006</c:v>
                </c:pt>
                <c:pt idx="10">
                  <c:v>98.238515626700007</c:v>
                </c:pt>
                <c:pt idx="11">
                  <c:v>100.10607955</c:v>
                </c:pt>
                <c:pt idx="12">
                  <c:v>100.07787473330001</c:v>
                </c:pt>
                <c:pt idx="13">
                  <c:v>101.0878591267</c:v>
                </c:pt>
                <c:pt idx="14">
                  <c:v>101.9903844033</c:v>
                </c:pt>
                <c:pt idx="15">
                  <c:v>101.2901701267</c:v>
                </c:pt>
                <c:pt idx="16">
                  <c:v>100.6232900533</c:v>
                </c:pt>
                <c:pt idx="17">
                  <c:v>102.21724220999999</c:v>
                </c:pt>
                <c:pt idx="18">
                  <c:v>100.0972944833</c:v>
                </c:pt>
                <c:pt idx="19">
                  <c:v>99.380540980000006</c:v>
                </c:pt>
                <c:pt idx="20">
                  <c:v>96.706705176699998</c:v>
                </c:pt>
                <c:pt idx="21">
                  <c:v>80.240781016699998</c:v>
                </c:pt>
                <c:pt idx="22">
                  <c:v>97.020602233299996</c:v>
                </c:pt>
                <c:pt idx="23">
                  <c:v>101.08710295669999</c:v>
                </c:pt>
                <c:pt idx="24">
                  <c:v>99.658696516700005</c:v>
                </c:pt>
                <c:pt idx="25">
                  <c:v>100.69194511000001</c:v>
                </c:pt>
                <c:pt idx="26">
                  <c:v>98.349697399999997</c:v>
                </c:pt>
                <c:pt idx="27">
                  <c:v>99.142403656699997</c:v>
                </c:pt>
                <c:pt idx="28">
                  <c:v>100.8069587167</c:v>
                </c:pt>
                <c:pt idx="29">
                  <c:v>101.4617270767</c:v>
                </c:pt>
                <c:pt idx="30">
                  <c:v>102.79842501</c:v>
                </c:pt>
                <c:pt idx="31">
                  <c:v>101.7597867433</c:v>
                </c:pt>
                <c:pt idx="32">
                  <c:v>101.3478434733</c:v>
                </c:pt>
                <c:pt idx="33">
                  <c:v>101.56320845330001</c:v>
                </c:pt>
                <c:pt idx="34">
                  <c:v>99.187167656699998</c:v>
                </c:pt>
                <c:pt idx="35">
                  <c:v>101.25765746</c:v>
                </c:pt>
                <c:pt idx="36">
                  <c:v>100.4487864167</c:v>
                </c:pt>
                <c:pt idx="37">
                  <c:v>99.424114836699999</c:v>
                </c:pt>
                <c:pt idx="38">
                  <c:v>99.531778683300004</c:v>
                </c:pt>
              </c:numCache>
            </c:numRef>
          </c:val>
          <c:smooth val="0"/>
          <c:extLst>
            <c:ext xmlns:c16="http://schemas.microsoft.com/office/drawing/2014/chart" uri="{C3380CC4-5D6E-409C-BE32-E72D297353CC}">
              <c16:uniqueId val="{0000000A-7714-4E25-9607-FD511CF638D0}"/>
            </c:ext>
          </c:extLst>
        </c:ser>
        <c:ser>
          <c:idx val="11"/>
          <c:order val="11"/>
          <c:tx>
            <c:strRef>
              <c:f>'GRAF příspěvky IPP'!$A$38</c:f>
              <c:strCache>
                <c:ptCount val="1"/>
                <c:pt idx="0">
                  <c:v>Produkce, prům. v EU27 celkem (2021=100)</c:v>
                </c:pt>
              </c:strCache>
            </c:strRef>
          </c:tx>
          <c:spPr>
            <a:ln w="15875">
              <a:solidFill>
                <a:schemeClr val="tx1">
                  <a:lumMod val="50000"/>
                  <a:lumOff val="50000"/>
                </a:schemeClr>
              </a:solidFill>
              <a:prstDash val="sysDash"/>
            </a:ln>
          </c:spPr>
          <c:marker>
            <c:symbol val="none"/>
          </c:marker>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IPP'!$R$38:$BD$38</c:f>
              <c:numCache>
                <c:formatCode>#\ ##0.##########</c:formatCode>
                <c:ptCount val="39"/>
                <c:pt idx="0">
                  <c:v>92.9</c:v>
                </c:pt>
                <c:pt idx="1">
                  <c:v>93.8</c:v>
                </c:pt>
                <c:pt idx="2">
                  <c:v>94.1</c:v>
                </c:pt>
                <c:pt idx="3">
                  <c:v>93.9</c:v>
                </c:pt>
                <c:pt idx="4">
                  <c:v>95</c:v>
                </c:pt>
                <c:pt idx="5">
                  <c:v>94.9</c:v>
                </c:pt>
                <c:pt idx="6">
                  <c:v>95</c:v>
                </c:pt>
                <c:pt idx="7">
                  <c:v>96.1</c:v>
                </c:pt>
                <c:pt idx="8">
                  <c:v>96.3</c:v>
                </c:pt>
                <c:pt idx="9">
                  <c:v>97.5</c:v>
                </c:pt>
                <c:pt idx="10">
                  <c:v>98.8</c:v>
                </c:pt>
                <c:pt idx="11">
                  <c:v>100.6</c:v>
                </c:pt>
                <c:pt idx="12">
                  <c:v>99.2</c:v>
                </c:pt>
                <c:pt idx="13">
                  <c:v>99.8</c:v>
                </c:pt>
                <c:pt idx="14">
                  <c:v>99.6</c:v>
                </c:pt>
                <c:pt idx="15">
                  <c:v>99.2</c:v>
                </c:pt>
                <c:pt idx="16">
                  <c:v>99.7</c:v>
                </c:pt>
                <c:pt idx="17">
                  <c:v>99.4</c:v>
                </c:pt>
                <c:pt idx="18">
                  <c:v>98.7</c:v>
                </c:pt>
                <c:pt idx="19">
                  <c:v>97.9</c:v>
                </c:pt>
                <c:pt idx="20">
                  <c:v>95.3</c:v>
                </c:pt>
                <c:pt idx="21">
                  <c:v>80.5</c:v>
                </c:pt>
                <c:pt idx="22">
                  <c:v>93.5</c:v>
                </c:pt>
                <c:pt idx="23">
                  <c:v>98</c:v>
                </c:pt>
                <c:pt idx="24">
                  <c:v>99.5</c:v>
                </c:pt>
                <c:pt idx="25">
                  <c:v>99.7</c:v>
                </c:pt>
                <c:pt idx="26">
                  <c:v>99.7</c:v>
                </c:pt>
                <c:pt idx="27">
                  <c:v>101.1</c:v>
                </c:pt>
                <c:pt idx="28">
                  <c:v>102.2</c:v>
                </c:pt>
                <c:pt idx="29">
                  <c:v>102.6</c:v>
                </c:pt>
                <c:pt idx="30">
                  <c:v>103.9</c:v>
                </c:pt>
                <c:pt idx="31">
                  <c:v>102.7</c:v>
                </c:pt>
                <c:pt idx="32">
                  <c:v>103</c:v>
                </c:pt>
                <c:pt idx="33">
                  <c:v>101.6</c:v>
                </c:pt>
                <c:pt idx="34">
                  <c:v>99.6</c:v>
                </c:pt>
                <c:pt idx="35">
                  <c:v>99.9</c:v>
                </c:pt>
                <c:pt idx="36">
                  <c:v>98.9</c:v>
                </c:pt>
                <c:pt idx="37">
                  <c:v>98.7</c:v>
                </c:pt>
                <c:pt idx="38" formatCode="General">
                  <c:v>98.4</c:v>
                </c:pt>
              </c:numCache>
            </c:numRef>
          </c:val>
          <c:smooth val="0"/>
          <c:extLst>
            <c:ext xmlns:c16="http://schemas.microsoft.com/office/drawing/2014/chart" uri="{C3380CC4-5D6E-409C-BE32-E72D297353CC}">
              <c16:uniqueId val="{0000000B-7714-4E25-9607-FD511CF638D0}"/>
            </c:ext>
          </c:extLst>
        </c:ser>
        <c:ser>
          <c:idx val="12"/>
          <c:order val="12"/>
          <c:tx>
            <c:strRef>
              <c:f>'GRAF příspěvky IPP'!$A$39</c:f>
              <c:strCache>
                <c:ptCount val="1"/>
                <c:pt idx="0">
                  <c:v>Produkce, prům. v Německu (2021=100)</c:v>
                </c:pt>
              </c:strCache>
            </c:strRef>
          </c:tx>
          <c:spPr>
            <a:ln w="15875">
              <a:solidFill>
                <a:srgbClr val="996633"/>
              </a:solidFill>
              <a:prstDash val="dash"/>
            </a:ln>
          </c:spPr>
          <c:marker>
            <c:symbol val="none"/>
          </c:marker>
          <c:cat>
            <c:multiLvlStrRef>
              <c:f>'GRAF příspěvky IPP'!$R$25:$BD$26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IPP'!$R$39:$BD$39</c:f>
              <c:numCache>
                <c:formatCode>#\ ##0.##########</c:formatCode>
                <c:ptCount val="39"/>
                <c:pt idx="0">
                  <c:v>102.7</c:v>
                </c:pt>
                <c:pt idx="1">
                  <c:v>104</c:v>
                </c:pt>
                <c:pt idx="2">
                  <c:v>103.8</c:v>
                </c:pt>
                <c:pt idx="3">
                  <c:v>103.3</c:v>
                </c:pt>
                <c:pt idx="4">
                  <c:v>104.4</c:v>
                </c:pt>
                <c:pt idx="5">
                  <c:v>104</c:v>
                </c:pt>
                <c:pt idx="6">
                  <c:v>104.4</c:v>
                </c:pt>
                <c:pt idx="7">
                  <c:v>104.5</c:v>
                </c:pt>
                <c:pt idx="8">
                  <c:v>105</c:v>
                </c:pt>
                <c:pt idx="9">
                  <c:v>107</c:v>
                </c:pt>
                <c:pt idx="10">
                  <c:v>108.8</c:v>
                </c:pt>
                <c:pt idx="11">
                  <c:v>109.6</c:v>
                </c:pt>
                <c:pt idx="12">
                  <c:v>109</c:v>
                </c:pt>
                <c:pt idx="13">
                  <c:v>109.8</c:v>
                </c:pt>
                <c:pt idx="14">
                  <c:v>108.8</c:v>
                </c:pt>
                <c:pt idx="15">
                  <c:v>107.2</c:v>
                </c:pt>
                <c:pt idx="16">
                  <c:v>107</c:v>
                </c:pt>
                <c:pt idx="17">
                  <c:v>105.8</c:v>
                </c:pt>
                <c:pt idx="18">
                  <c:v>104.6</c:v>
                </c:pt>
                <c:pt idx="19">
                  <c:v>102.9</c:v>
                </c:pt>
                <c:pt idx="20">
                  <c:v>101.3</c:v>
                </c:pt>
                <c:pt idx="21">
                  <c:v>82.9</c:v>
                </c:pt>
                <c:pt idx="22">
                  <c:v>94.8</c:v>
                </c:pt>
                <c:pt idx="23">
                  <c:v>100.9</c:v>
                </c:pt>
                <c:pt idx="24">
                  <c:v>100.8</c:v>
                </c:pt>
                <c:pt idx="25">
                  <c:v>99.9</c:v>
                </c:pt>
                <c:pt idx="26">
                  <c:v>96.9</c:v>
                </c:pt>
                <c:pt idx="27">
                  <c:v>99.9</c:v>
                </c:pt>
                <c:pt idx="28">
                  <c:v>99.4</c:v>
                </c:pt>
                <c:pt idx="29">
                  <c:v>98.8</c:v>
                </c:pt>
                <c:pt idx="30">
                  <c:v>99.2</c:v>
                </c:pt>
                <c:pt idx="31">
                  <c:v>99</c:v>
                </c:pt>
                <c:pt idx="32">
                  <c:v>100.1</c:v>
                </c:pt>
                <c:pt idx="33">
                  <c:v>98.3</c:v>
                </c:pt>
                <c:pt idx="34">
                  <c:v>95.8</c:v>
                </c:pt>
                <c:pt idx="35">
                  <c:v>94.5</c:v>
                </c:pt>
                <c:pt idx="36">
                  <c:v>94.5</c:v>
                </c:pt>
                <c:pt idx="37">
                  <c:v>93.4</c:v>
                </c:pt>
                <c:pt idx="38" formatCode="General">
                  <c:v>91.7</c:v>
                </c:pt>
              </c:numCache>
            </c:numRef>
          </c:val>
          <c:smooth val="0"/>
          <c:extLst>
            <c:ext xmlns:c16="http://schemas.microsoft.com/office/drawing/2014/chart" uri="{C3380CC4-5D6E-409C-BE32-E72D297353CC}">
              <c16:uniqueId val="{0000000C-7714-4E25-9607-FD511CF638D0}"/>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30"/>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Prům. produkce (příspěvky  k meziroč. změně)</a:t>
                </a:r>
                <a:endParaRPr lang="cs-CZ" sz="700" b="0" i="1">
                  <a:latin typeface="Arial" panose="020B0604020202020204" pitchFamily="34" charset="0"/>
                  <a:cs typeface="Arial" panose="020B0604020202020204" pitchFamily="34" charset="0"/>
                </a:endParaRPr>
              </a:p>
            </c:rich>
          </c:tx>
          <c:layout>
            <c:manualLayout>
              <c:xMode val="edge"/>
              <c:yMode val="edge"/>
              <c:x val="0"/>
              <c:y val="0.1165198004318692"/>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5"/>
      </c:valAx>
      <c:valAx>
        <c:axId val="1513729024"/>
        <c:scaling>
          <c:orientation val="minMax"/>
          <c:max val="118"/>
          <c:min val="52"/>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Produkce</a:t>
                </a:r>
                <a:r>
                  <a:rPr lang="cs-CZ" sz="700" b="0" i="1" baseline="0">
                    <a:latin typeface="Arial" panose="020B0604020202020204" pitchFamily="34" charset="0"/>
                    <a:cs typeface="Arial" panose="020B0604020202020204" pitchFamily="34" charset="0"/>
                  </a:rPr>
                  <a:t> </a:t>
                </a:r>
                <a:r>
                  <a:rPr lang="cs-CZ" sz="700" b="0" i="1">
                    <a:latin typeface="Arial" panose="020B0604020202020204" pitchFamily="34" charset="0"/>
                    <a:cs typeface="Arial" panose="020B0604020202020204" pitchFamily="34" charset="0"/>
                  </a:rPr>
                  <a:t>v průmyslu (báze 2021=100)</a:t>
                </a:r>
              </a:p>
            </c:rich>
          </c:tx>
          <c:layout>
            <c:manualLayout>
              <c:xMode val="edge"/>
              <c:yMode val="edge"/>
              <c:x val="0.97040158454025283"/>
              <c:y val="0.16649922312229412"/>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6"/>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57665068025226E-3"/>
          <c:y val="0.78956533796177808"/>
          <c:w val="0.98866589538224925"/>
          <c:h val="0.20327688625655532"/>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52E-2"/>
          <c:w val="0.84974974879787502"/>
          <c:h val="0.750636022143085"/>
        </c:manualLayout>
      </c:layout>
      <c:barChart>
        <c:barDir val="col"/>
        <c:grouping val="clustered"/>
        <c:varyColors val="0"/>
        <c:ser>
          <c:idx val="0"/>
          <c:order val="0"/>
          <c:tx>
            <c:strRef>
              <c:f>'výkonnost odvětví 2'!$A$36</c:f>
              <c:strCache>
                <c:ptCount val="1"/>
                <c:pt idx="0">
                  <c:v>Průmyslové zakázky celkem</c:v>
                </c:pt>
              </c:strCache>
            </c:strRef>
          </c:tx>
          <c:spPr>
            <a:solidFill>
              <a:schemeClr val="bg1">
                <a:lumMod val="75000"/>
              </a:schemeClr>
            </a:solidFill>
            <a:ln>
              <a:noFill/>
            </a:ln>
          </c:spPr>
          <c:invertIfNegative val="0"/>
          <c:cat>
            <c:multiLvlStrRef>
              <c:f>'výkonnost odvětví 2'!$R$34:$BE$35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2'!$R$36:$BE$36</c:f>
              <c:numCache>
                <c:formatCode>##0.0</c:formatCode>
                <c:ptCount val="40"/>
                <c:pt idx="0">
                  <c:v>8.5341163004000009</c:v>
                </c:pt>
                <c:pt idx="1">
                  <c:v>6.3710040105000019</c:v>
                </c:pt>
                <c:pt idx="2">
                  <c:v>6.0473469386000005</c:v>
                </c:pt>
                <c:pt idx="3">
                  <c:v>5.2688430824999983</c:v>
                </c:pt>
                <c:pt idx="4">
                  <c:v>2.4833916856999991</c:v>
                </c:pt>
                <c:pt idx="5">
                  <c:v>7.1316561812000003</c:v>
                </c:pt>
                <c:pt idx="6">
                  <c:v>1.949144685899995</c:v>
                </c:pt>
                <c:pt idx="7">
                  <c:v>6.4416747929000024</c:v>
                </c:pt>
                <c:pt idx="8">
                  <c:v>7.3441955548999971</c:v>
                </c:pt>
                <c:pt idx="9">
                  <c:v>8.3762247843000068</c:v>
                </c:pt>
                <c:pt idx="10">
                  <c:v>8.1209134774999967</c:v>
                </c:pt>
                <c:pt idx="11">
                  <c:v>7.2572871451999958</c:v>
                </c:pt>
                <c:pt idx="12">
                  <c:v>3.2993551214999997</c:v>
                </c:pt>
                <c:pt idx="13">
                  <c:v>2.9773571834000023</c:v>
                </c:pt>
                <c:pt idx="14">
                  <c:v>3.5300064828000046</c:v>
                </c:pt>
                <c:pt idx="15">
                  <c:v>2.4324207204000032</c:v>
                </c:pt>
                <c:pt idx="16">
                  <c:v>3.2234606388999936</c:v>
                </c:pt>
                <c:pt idx="17">
                  <c:v>2.1291359181000047</c:v>
                </c:pt>
                <c:pt idx="18">
                  <c:v>-1.1496242270000039</c:v>
                </c:pt>
                <c:pt idx="19">
                  <c:v>-2.8233445845000062</c:v>
                </c:pt>
                <c:pt idx="20">
                  <c:v>-4.1421474552000035</c:v>
                </c:pt>
                <c:pt idx="21">
                  <c:v>-27.261303375300002</c:v>
                </c:pt>
                <c:pt idx="22">
                  <c:v>-0.61408028729999842</c:v>
                </c:pt>
                <c:pt idx="23">
                  <c:v>6.5219093458999993</c:v>
                </c:pt>
                <c:pt idx="24">
                  <c:v>10.301322581099996</c:v>
                </c:pt>
                <c:pt idx="25">
                  <c:v>47.0084012632</c:v>
                </c:pt>
                <c:pt idx="26">
                  <c:v>7.4116795309000025</c:v>
                </c:pt>
                <c:pt idx="27">
                  <c:v>4.1368343349000014</c:v>
                </c:pt>
                <c:pt idx="28">
                  <c:v>6.8575430460000035</c:v>
                </c:pt>
                <c:pt idx="29">
                  <c:v>10.087902526500002</c:v>
                </c:pt>
                <c:pt idx="30">
                  <c:v>15.319582045000004</c:v>
                </c:pt>
                <c:pt idx="31">
                  <c:v>12.426004411700006</c:v>
                </c:pt>
                <c:pt idx="32">
                  <c:v>2.9175286371999931</c:v>
                </c:pt>
                <c:pt idx="33">
                  <c:v>-2.4108609179999974</c:v>
                </c:pt>
                <c:pt idx="34">
                  <c:v>-4.883843575100002</c:v>
                </c:pt>
                <c:pt idx="35">
                  <c:v>-0.99340732529999798</c:v>
                </c:pt>
                <c:pt idx="36">
                  <c:v>3.8829823386000015</c:v>
                </c:pt>
                <c:pt idx="37">
                  <c:v>2.8442275559000052</c:v>
                </c:pt>
                <c:pt idx="38">
                  <c:v>4.3894508446999936</c:v>
                </c:pt>
              </c:numCache>
            </c:numRef>
          </c:val>
          <c:extLst>
            <c:ext xmlns:c16="http://schemas.microsoft.com/office/drawing/2014/chart" uri="{C3380CC4-5D6E-409C-BE32-E72D297353CC}">
              <c16:uniqueId val="{00000000-674E-49F3-B4B9-78CD4DA1243D}"/>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2'!$A$37</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2'!$R$34:$BE$35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2'!$R$37:$BE$37</c:f>
              <c:numCache>
                <c:formatCode>##0.0</c:formatCode>
                <c:ptCount val="40"/>
                <c:pt idx="0">
                  <c:v>4.3632508753999986</c:v>
                </c:pt>
                <c:pt idx="1">
                  <c:v>9.9207675196999929</c:v>
                </c:pt>
                <c:pt idx="2">
                  <c:v>-2.8142131774000063</c:v>
                </c:pt>
                <c:pt idx="3">
                  <c:v>-0.26578169440000465</c:v>
                </c:pt>
                <c:pt idx="4">
                  <c:v>1.7666970267000011</c:v>
                </c:pt>
                <c:pt idx="5">
                  <c:v>1.7586378578999984</c:v>
                </c:pt>
                <c:pt idx="6">
                  <c:v>0.20173230330000536</c:v>
                </c:pt>
                <c:pt idx="7">
                  <c:v>2.9064722939999967</c:v>
                </c:pt>
                <c:pt idx="8">
                  <c:v>12.341459895900002</c:v>
                </c:pt>
                <c:pt idx="9">
                  <c:v>15.691073458800005</c:v>
                </c:pt>
                <c:pt idx="10">
                  <c:v>15.834685004400001</c:v>
                </c:pt>
                <c:pt idx="11">
                  <c:v>15.445227057699995</c:v>
                </c:pt>
                <c:pt idx="12">
                  <c:v>2.1530605192999985</c:v>
                </c:pt>
                <c:pt idx="13">
                  <c:v>2.440306231799994</c:v>
                </c:pt>
                <c:pt idx="14">
                  <c:v>4.7510172912000002</c:v>
                </c:pt>
                <c:pt idx="15">
                  <c:v>3.3084884759999937</c:v>
                </c:pt>
                <c:pt idx="16">
                  <c:v>7.6964313707999992</c:v>
                </c:pt>
                <c:pt idx="17">
                  <c:v>5.9656126075999936</c:v>
                </c:pt>
                <c:pt idx="18">
                  <c:v>0.2850715043000065</c:v>
                </c:pt>
                <c:pt idx="19">
                  <c:v>-0.84674153630000148</c:v>
                </c:pt>
                <c:pt idx="20">
                  <c:v>0.84542569580000304</c:v>
                </c:pt>
                <c:pt idx="21">
                  <c:v>-25.680778364399998</c:v>
                </c:pt>
                <c:pt idx="22">
                  <c:v>-3.379983194199994</c:v>
                </c:pt>
                <c:pt idx="23">
                  <c:v>5.566224000099993</c:v>
                </c:pt>
                <c:pt idx="24">
                  <c:v>2.1978596176000025</c:v>
                </c:pt>
                <c:pt idx="25">
                  <c:v>42.285185977800012</c:v>
                </c:pt>
                <c:pt idx="26">
                  <c:v>9.2433033518999963</c:v>
                </c:pt>
                <c:pt idx="27">
                  <c:v>5.7937932358999973</c:v>
                </c:pt>
                <c:pt idx="28">
                  <c:v>8.7771855149999993</c:v>
                </c:pt>
                <c:pt idx="29">
                  <c:v>15.464000589999998</c:v>
                </c:pt>
                <c:pt idx="30">
                  <c:v>26.236596071799994</c:v>
                </c:pt>
                <c:pt idx="31">
                  <c:v>19.240791608999999</c:v>
                </c:pt>
                <c:pt idx="32">
                  <c:v>12.039251423699994</c:v>
                </c:pt>
                <c:pt idx="33">
                  <c:v>2.2572737563999965</c:v>
                </c:pt>
                <c:pt idx="34">
                  <c:v>-6.8310928819000054</c:v>
                </c:pt>
                <c:pt idx="35">
                  <c:v>-0.65805693229999918</c:v>
                </c:pt>
                <c:pt idx="36">
                  <c:v>3.287274550099994</c:v>
                </c:pt>
                <c:pt idx="37">
                  <c:v>1.9000512443000019</c:v>
                </c:pt>
                <c:pt idx="38">
                  <c:v>7.079649244899997</c:v>
                </c:pt>
              </c:numCache>
            </c:numRef>
          </c:val>
          <c:smooth val="0"/>
          <c:extLst>
            <c:ext xmlns:c16="http://schemas.microsoft.com/office/drawing/2014/chart" uri="{C3380CC4-5D6E-409C-BE32-E72D297353CC}">
              <c16:uniqueId val="{00000001-674E-49F3-B4B9-78CD4DA1243D}"/>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2'!$A$38</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2'!$R$34:$BE$35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2'!$R$38:$BE$38</c:f>
              <c:numCache>
                <c:formatCode>##0.0</c:formatCode>
                <c:ptCount val="40"/>
                <c:pt idx="0">
                  <c:v>85.6</c:v>
                </c:pt>
                <c:pt idx="1">
                  <c:v>85.1</c:v>
                </c:pt>
                <c:pt idx="2">
                  <c:v>84.9</c:v>
                </c:pt>
                <c:pt idx="3">
                  <c:v>84.3</c:v>
                </c:pt>
                <c:pt idx="4">
                  <c:v>84</c:v>
                </c:pt>
                <c:pt idx="5">
                  <c:v>85.2</c:v>
                </c:pt>
                <c:pt idx="6">
                  <c:v>84</c:v>
                </c:pt>
                <c:pt idx="7">
                  <c:v>84.8</c:v>
                </c:pt>
                <c:pt idx="8">
                  <c:v>84.7</c:v>
                </c:pt>
                <c:pt idx="9">
                  <c:v>83.7</c:v>
                </c:pt>
                <c:pt idx="10">
                  <c:v>83.8</c:v>
                </c:pt>
                <c:pt idx="11">
                  <c:v>84.4</c:v>
                </c:pt>
                <c:pt idx="12">
                  <c:v>85.33</c:v>
                </c:pt>
                <c:pt idx="13">
                  <c:v>84.89</c:v>
                </c:pt>
                <c:pt idx="14">
                  <c:v>85.13</c:v>
                </c:pt>
                <c:pt idx="15">
                  <c:v>84.76</c:v>
                </c:pt>
                <c:pt idx="16">
                  <c:v>84.93</c:v>
                </c:pt>
                <c:pt idx="17">
                  <c:v>85.19</c:v>
                </c:pt>
                <c:pt idx="18">
                  <c:v>83.6</c:v>
                </c:pt>
                <c:pt idx="19">
                  <c:v>83.7</c:v>
                </c:pt>
                <c:pt idx="20">
                  <c:v>84.2</c:v>
                </c:pt>
                <c:pt idx="21">
                  <c:v>70.400000000000006</c:v>
                </c:pt>
                <c:pt idx="22">
                  <c:v>76.3</c:v>
                </c:pt>
                <c:pt idx="23">
                  <c:v>82.7</c:v>
                </c:pt>
                <c:pt idx="24">
                  <c:v>85.8</c:v>
                </c:pt>
                <c:pt idx="25">
                  <c:v>84.4</c:v>
                </c:pt>
                <c:pt idx="26">
                  <c:v>86.41</c:v>
                </c:pt>
                <c:pt idx="27">
                  <c:v>77.599999999999994</c:v>
                </c:pt>
                <c:pt idx="28">
                  <c:v>83.6</c:v>
                </c:pt>
                <c:pt idx="29">
                  <c:v>82.17</c:v>
                </c:pt>
                <c:pt idx="30">
                  <c:v>83.5</c:v>
                </c:pt>
                <c:pt idx="31">
                  <c:v>81.099999999999994</c:v>
                </c:pt>
                <c:pt idx="32">
                  <c:v>81.400000000000006</c:v>
                </c:pt>
                <c:pt idx="33">
                  <c:v>83.7</c:v>
                </c:pt>
                <c:pt idx="34">
                  <c:v>83.5</c:v>
                </c:pt>
                <c:pt idx="35">
                  <c:v>83.6</c:v>
                </c:pt>
                <c:pt idx="36">
                  <c:v>83.1</c:v>
                </c:pt>
                <c:pt idx="37">
                  <c:v>83</c:v>
                </c:pt>
                <c:pt idx="38">
                  <c:v>80.599999999999994</c:v>
                </c:pt>
                <c:pt idx="39">
                  <c:v>82.47</c:v>
                </c:pt>
              </c:numCache>
            </c:numRef>
          </c:val>
          <c:smooth val="0"/>
          <c:extLst>
            <c:ext xmlns:c16="http://schemas.microsoft.com/office/drawing/2014/chart" uri="{C3380CC4-5D6E-409C-BE32-E72D297353CC}">
              <c16:uniqueId val="{00000002-674E-49F3-B4B9-78CD4DA1243D}"/>
            </c:ext>
          </c:extLst>
        </c:ser>
        <c:ser>
          <c:idx val="3"/>
          <c:order val="3"/>
          <c:tx>
            <c:strRef>
              <c:f>'výkonnost odvětví 2'!$A$39</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2'!$R$34:$BE$35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2'!$R$39:$BE$39</c:f>
              <c:numCache>
                <c:formatCode>##0.0</c:formatCode>
                <c:ptCount val="40"/>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pt idx="34">
                  <c:v>92.2</c:v>
                </c:pt>
                <c:pt idx="35">
                  <c:v>92.2</c:v>
                </c:pt>
                <c:pt idx="36">
                  <c:v>92.7</c:v>
                </c:pt>
                <c:pt idx="37">
                  <c:v>93.5</c:v>
                </c:pt>
                <c:pt idx="38">
                  <c:v>89.9</c:v>
                </c:pt>
                <c:pt idx="39">
                  <c:v>92.9</c:v>
                </c:pt>
              </c:numCache>
            </c:numRef>
          </c:val>
          <c:smooth val="0"/>
          <c:extLst>
            <c:ext xmlns:c16="http://schemas.microsoft.com/office/drawing/2014/chart" uri="{C3380CC4-5D6E-409C-BE32-E72D297353CC}">
              <c16:uniqueId val="{00000003-674E-49F3-B4B9-78CD4DA1243D}"/>
            </c:ext>
          </c:extLst>
        </c:ser>
        <c:ser>
          <c:idx val="4"/>
          <c:order val="4"/>
          <c:tx>
            <c:strRef>
              <c:f>'výkonnost odvětví 2'!$A$40</c:f>
              <c:strCache>
                <c:ptCount val="1"/>
                <c:pt idx="0">
                  <c:v>Bariéra růstu: nedostatečná poptávka</c:v>
                </c:pt>
              </c:strCache>
            </c:strRef>
          </c:tx>
          <c:spPr>
            <a:ln w="15875">
              <a:solidFill>
                <a:srgbClr val="00B050"/>
              </a:solidFill>
              <a:prstDash val="solid"/>
            </a:ln>
          </c:spPr>
          <c:marker>
            <c:symbol val="none"/>
          </c:marker>
          <c:cat>
            <c:multiLvlStrRef>
              <c:f>'výkonnost odvětví 2'!$R$34:$BE$35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2'!$R$40:$BE$40</c:f>
              <c:numCache>
                <c:formatCode>#\ ##0.0</c:formatCode>
                <c:ptCount val="40"/>
                <c:pt idx="0">
                  <c:v>45.3</c:v>
                </c:pt>
                <c:pt idx="1">
                  <c:v>49.6</c:v>
                </c:pt>
                <c:pt idx="2">
                  <c:v>49.7</c:v>
                </c:pt>
                <c:pt idx="3">
                  <c:v>46.4</c:v>
                </c:pt>
                <c:pt idx="4">
                  <c:v>45.9</c:v>
                </c:pt>
                <c:pt idx="5">
                  <c:v>44.6</c:v>
                </c:pt>
                <c:pt idx="6">
                  <c:v>43.8</c:v>
                </c:pt>
                <c:pt idx="7">
                  <c:v>42.9</c:v>
                </c:pt>
                <c:pt idx="8">
                  <c:v>42.7</c:v>
                </c:pt>
                <c:pt idx="9">
                  <c:v>41</c:v>
                </c:pt>
                <c:pt idx="10">
                  <c:v>41.2</c:v>
                </c:pt>
                <c:pt idx="11">
                  <c:v>35.799999999999997</c:v>
                </c:pt>
                <c:pt idx="12">
                  <c:v>35.4</c:v>
                </c:pt>
                <c:pt idx="13">
                  <c:v>36.299999999999997</c:v>
                </c:pt>
                <c:pt idx="14">
                  <c:v>32.4</c:v>
                </c:pt>
                <c:pt idx="15">
                  <c:v>32.9</c:v>
                </c:pt>
                <c:pt idx="16">
                  <c:v>33.799999999999997</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pt idx="34">
                  <c:v>44.3</c:v>
                </c:pt>
                <c:pt idx="35">
                  <c:v>46.2</c:v>
                </c:pt>
                <c:pt idx="36">
                  <c:v>47.5</c:v>
                </c:pt>
                <c:pt idx="37">
                  <c:v>49.8</c:v>
                </c:pt>
                <c:pt idx="38">
                  <c:v>52</c:v>
                </c:pt>
                <c:pt idx="39">
                  <c:v>49</c:v>
                </c:pt>
              </c:numCache>
            </c:numRef>
          </c:val>
          <c:smooth val="0"/>
          <c:extLst>
            <c:ext xmlns:c16="http://schemas.microsoft.com/office/drawing/2014/chart" uri="{C3380CC4-5D6E-409C-BE32-E72D297353CC}">
              <c16:uniqueId val="{00000004-674E-49F3-B4B9-78CD4DA1243D}"/>
            </c:ext>
          </c:extLst>
        </c:ser>
        <c:ser>
          <c:idx val="5"/>
          <c:order val="5"/>
          <c:tx>
            <c:strRef>
              <c:f>'výkonnost odvětví 2'!$A$41</c:f>
              <c:strCache>
                <c:ptCount val="1"/>
                <c:pt idx="0">
                  <c:v>Bariéra růstu: nedostatek pracovníků</c:v>
                </c:pt>
              </c:strCache>
            </c:strRef>
          </c:tx>
          <c:spPr>
            <a:ln w="15875">
              <a:solidFill>
                <a:srgbClr val="6FE772"/>
              </a:solidFill>
              <a:prstDash val="solid"/>
            </a:ln>
          </c:spPr>
          <c:marker>
            <c:symbol val="none"/>
          </c:marker>
          <c:cat>
            <c:multiLvlStrRef>
              <c:f>'výkonnost odvětví 2'!$R$34:$BE$35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2'!$R$41:$BE$41</c:f>
              <c:numCache>
                <c:formatCode>#\ ##0.0</c:formatCode>
                <c:ptCount val="40"/>
                <c:pt idx="0">
                  <c:v>6.1</c:v>
                </c:pt>
                <c:pt idx="1">
                  <c:v>6.9</c:v>
                </c:pt>
                <c:pt idx="2">
                  <c:v>8.6999999999999993</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pt idx="34">
                  <c:v>18.899999999999999</c:v>
                </c:pt>
                <c:pt idx="35">
                  <c:v>22.5</c:v>
                </c:pt>
                <c:pt idx="36">
                  <c:v>14.6</c:v>
                </c:pt>
                <c:pt idx="37">
                  <c:v>11.8</c:v>
                </c:pt>
                <c:pt idx="38">
                  <c:v>12.8</c:v>
                </c:pt>
                <c:pt idx="39">
                  <c:v>17.8</c:v>
                </c:pt>
              </c:numCache>
            </c:numRef>
          </c:val>
          <c:smooth val="0"/>
          <c:extLst>
            <c:ext xmlns:c16="http://schemas.microsoft.com/office/drawing/2014/chart" uri="{C3380CC4-5D6E-409C-BE32-E72D297353CC}">
              <c16:uniqueId val="{00000005-674E-49F3-B4B9-78CD4DA1243D}"/>
            </c:ext>
          </c:extLst>
        </c:ser>
        <c:ser>
          <c:idx val="6"/>
          <c:order val="6"/>
          <c:tx>
            <c:strRef>
              <c:f>'výkonnost odvětví 2'!$A$42</c:f>
              <c:strCache>
                <c:ptCount val="1"/>
                <c:pt idx="0">
                  <c:v>Bariéra růstu: nedost. materiálu a zařízení</c:v>
                </c:pt>
              </c:strCache>
            </c:strRef>
          </c:tx>
          <c:spPr>
            <a:ln w="15875">
              <a:solidFill>
                <a:schemeClr val="accent3">
                  <a:lumMod val="75000"/>
                </a:schemeClr>
              </a:solidFill>
              <a:prstDash val="dash"/>
            </a:ln>
          </c:spPr>
          <c:marker>
            <c:symbol val="none"/>
          </c:marker>
          <c:cat>
            <c:multiLvlStrRef>
              <c:f>'výkonnost odvětví 2'!$R$34:$BE$35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2'!$R$42:$BE$42</c:f>
              <c:numCache>
                <c:formatCode>#\ ##0.0</c:formatCode>
                <c:ptCount val="40"/>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10.199999999999999</c:v>
                </c:pt>
                <c:pt idx="22">
                  <c:v>6.7</c:v>
                </c:pt>
                <c:pt idx="23">
                  <c:v>10.9</c:v>
                </c:pt>
                <c:pt idx="24">
                  <c:v>23.1</c:v>
                </c:pt>
                <c:pt idx="25">
                  <c:v>32.1</c:v>
                </c:pt>
                <c:pt idx="26">
                  <c:v>45.9</c:v>
                </c:pt>
                <c:pt idx="27">
                  <c:v>41.2</c:v>
                </c:pt>
                <c:pt idx="28">
                  <c:v>39.299999999999997</c:v>
                </c:pt>
                <c:pt idx="29">
                  <c:v>47.8</c:v>
                </c:pt>
                <c:pt idx="30">
                  <c:v>53.4</c:v>
                </c:pt>
                <c:pt idx="31">
                  <c:v>46.4</c:v>
                </c:pt>
                <c:pt idx="32">
                  <c:v>37.4</c:v>
                </c:pt>
                <c:pt idx="33">
                  <c:v>32.5</c:v>
                </c:pt>
                <c:pt idx="34">
                  <c:v>20.6</c:v>
                </c:pt>
                <c:pt idx="35">
                  <c:v>17.100000000000001</c:v>
                </c:pt>
                <c:pt idx="36">
                  <c:v>32.700000000000003</c:v>
                </c:pt>
                <c:pt idx="37">
                  <c:v>28.1</c:v>
                </c:pt>
                <c:pt idx="38">
                  <c:v>13</c:v>
                </c:pt>
                <c:pt idx="39">
                  <c:v>24.7</c:v>
                </c:pt>
              </c:numCache>
            </c:numRef>
          </c:val>
          <c:smooth val="0"/>
          <c:extLst>
            <c:ext xmlns:c16="http://schemas.microsoft.com/office/drawing/2014/chart" uri="{C3380CC4-5D6E-409C-BE32-E72D297353CC}">
              <c16:uniqueId val="{00000006-674E-49F3-B4B9-78CD4DA1243D}"/>
            </c:ext>
          </c:extLst>
        </c:ser>
        <c:ser>
          <c:idx val="7"/>
          <c:order val="7"/>
          <c:tx>
            <c:strRef>
              <c:f>'výkonnost odvětví 2'!$A$43</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2'!$R$34:$BE$35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2'!$R$43:$BE$43</c:f>
              <c:numCache>
                <c:formatCode>#\ ##0.0</c:formatCode>
                <c:ptCount val="40"/>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c:v>
                </c:pt>
                <c:pt idx="17">
                  <c:v>-2</c:v>
                </c:pt>
                <c:pt idx="18">
                  <c:v>-3</c:v>
                </c:pt>
                <c:pt idx="19">
                  <c:v>-6.7</c:v>
                </c:pt>
                <c:pt idx="20">
                  <c:v>-5</c:v>
                </c:pt>
                <c:pt idx="21">
                  <c:v>-25</c:v>
                </c:pt>
                <c:pt idx="22">
                  <c:v>-6.3</c:v>
                </c:pt>
                <c:pt idx="23">
                  <c:v>-10</c:v>
                </c:pt>
                <c:pt idx="24">
                  <c:v>-1.3</c:v>
                </c:pt>
                <c:pt idx="25">
                  <c:v>5.3</c:v>
                </c:pt>
                <c:pt idx="26">
                  <c:v>-1.3</c:v>
                </c:pt>
                <c:pt idx="27">
                  <c:v>-5.3</c:v>
                </c:pt>
                <c:pt idx="28">
                  <c:v>-0.3</c:v>
                </c:pt>
                <c:pt idx="29">
                  <c:v>8.3000000000000007</c:v>
                </c:pt>
                <c:pt idx="30">
                  <c:v>-1.7</c:v>
                </c:pt>
                <c:pt idx="31">
                  <c:v>-8.3000000000000007</c:v>
                </c:pt>
                <c:pt idx="32">
                  <c:v>-10.1</c:v>
                </c:pt>
                <c:pt idx="33">
                  <c:v>-7</c:v>
                </c:pt>
                <c:pt idx="34">
                  <c:v>-7</c:v>
                </c:pt>
                <c:pt idx="35">
                  <c:v>-6</c:v>
                </c:pt>
                <c:pt idx="36">
                  <c:v>-14</c:v>
                </c:pt>
                <c:pt idx="37">
                  <c:v>-8.6999999999999993</c:v>
                </c:pt>
                <c:pt idx="38">
                  <c:v>-7.7</c:v>
                </c:pt>
                <c:pt idx="39">
                  <c:v>-8.3000000000000007</c:v>
                </c:pt>
              </c:numCache>
            </c:numRef>
          </c:val>
          <c:smooth val="0"/>
          <c:extLst>
            <c:ext xmlns:c16="http://schemas.microsoft.com/office/drawing/2014/chart" uri="{C3380CC4-5D6E-409C-BE32-E72D297353CC}">
              <c16:uniqueId val="{00000007-674E-49F3-B4B9-78CD4DA1243D}"/>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Zakázky</a:t>
                </a:r>
              </a:p>
            </c:rich>
          </c:tx>
          <c:layout/>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layout/>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0624233317307999E-3"/>
          <c:y val="0.85586448957034"/>
          <c:w val="0.98943298357870768"/>
          <c:h val="0.14063307954958187"/>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312E-2"/>
          <c:y val="1.5663550999370279E-2"/>
          <c:w val="0.85237839893753009"/>
          <c:h val="0.75413191483370345"/>
        </c:manualLayout>
      </c:layout>
      <c:barChart>
        <c:barDir val="col"/>
        <c:grouping val="stacked"/>
        <c:varyColors val="0"/>
        <c:ser>
          <c:idx val="1"/>
          <c:order val="1"/>
          <c:tx>
            <c:strRef>
              <c:f>'výkonnost odvětví 3'!$Y$10</c:f>
              <c:strCache>
                <c:ptCount val="1"/>
                <c:pt idx="0">
                  <c:v>Pozemní stavitelství (příspěvek v p. b.)</c:v>
                </c:pt>
              </c:strCache>
            </c:strRef>
          </c:tx>
          <c:spPr>
            <a:solidFill>
              <a:schemeClr val="accent5">
                <a:lumMod val="60000"/>
                <a:lumOff val="40000"/>
              </a:schemeClr>
            </a:solidFill>
            <a:ln>
              <a:noFill/>
            </a:ln>
          </c:spPr>
          <c:invertIfNegative val="0"/>
          <c:cat>
            <c:multiLvlStrRef>
              <c:f>'výkonnost odvětví 3'!$V$31:$W$70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3'!$Y$31:$Y$70</c:f>
              <c:numCache>
                <c:formatCode>0.0</c:formatCode>
                <c:ptCount val="40"/>
                <c:pt idx="0">
                  <c:v>5.748716579411445</c:v>
                </c:pt>
                <c:pt idx="1">
                  <c:v>4.7489923277143378</c:v>
                </c:pt>
                <c:pt idx="2">
                  <c:v>0.72860376801438353</c:v>
                </c:pt>
                <c:pt idx="3">
                  <c:v>-1.5997494872130962</c:v>
                </c:pt>
                <c:pt idx="4">
                  <c:v>-4.5800585311347017</c:v>
                </c:pt>
                <c:pt idx="5">
                  <c:v>-4.8364432126044203</c:v>
                </c:pt>
                <c:pt idx="6">
                  <c:v>0.7673453632215238</c:v>
                </c:pt>
                <c:pt idx="7">
                  <c:v>3.5913890122868475</c:v>
                </c:pt>
                <c:pt idx="8">
                  <c:v>1.818439140996319</c:v>
                </c:pt>
                <c:pt idx="9">
                  <c:v>9.5161866462127662</c:v>
                </c:pt>
                <c:pt idx="10">
                  <c:v>3.2650480956647083</c:v>
                </c:pt>
                <c:pt idx="11">
                  <c:v>2.30805126241866</c:v>
                </c:pt>
                <c:pt idx="12">
                  <c:v>13.039459362857237</c:v>
                </c:pt>
                <c:pt idx="13">
                  <c:v>5.6850806062932753</c:v>
                </c:pt>
                <c:pt idx="14">
                  <c:v>7.036028465591686</c:v>
                </c:pt>
                <c:pt idx="15">
                  <c:v>2.3869078764089537</c:v>
                </c:pt>
                <c:pt idx="16">
                  <c:v>2.4727635166988868</c:v>
                </c:pt>
                <c:pt idx="17">
                  <c:v>2.9341574628565144</c:v>
                </c:pt>
                <c:pt idx="18">
                  <c:v>-0.67535503037810629</c:v>
                </c:pt>
                <c:pt idx="19">
                  <c:v>1.7116954805541678</c:v>
                </c:pt>
                <c:pt idx="20">
                  <c:v>-0.69584807703082285</c:v>
                </c:pt>
                <c:pt idx="21">
                  <c:v>-7.7523651483361782</c:v>
                </c:pt>
                <c:pt idx="22">
                  <c:v>-7.0746219815718145</c:v>
                </c:pt>
                <c:pt idx="23">
                  <c:v>-7.7412314636348389</c:v>
                </c:pt>
                <c:pt idx="24">
                  <c:v>-5.0708138922486361</c:v>
                </c:pt>
                <c:pt idx="25">
                  <c:v>2.4533429519933425</c:v>
                </c:pt>
                <c:pt idx="26">
                  <c:v>2.7122244604870871</c:v>
                </c:pt>
                <c:pt idx="27">
                  <c:v>5.3785151221536101</c:v>
                </c:pt>
                <c:pt idx="28">
                  <c:v>7.24446951670825</c:v>
                </c:pt>
                <c:pt idx="29">
                  <c:v>3.5218774348747592</c:v>
                </c:pt>
                <c:pt idx="30">
                  <c:v>-0.76173313005859078</c:v>
                </c:pt>
                <c:pt idx="31">
                  <c:v>-1.4303059576385138</c:v>
                </c:pt>
                <c:pt idx="32">
                  <c:v>2.0687809684072285</c:v>
                </c:pt>
                <c:pt idx="33">
                  <c:v>-1.7743988802556427</c:v>
                </c:pt>
                <c:pt idx="34">
                  <c:v>-0.43305336366149788</c:v>
                </c:pt>
                <c:pt idx="35">
                  <c:v>-2.3489672058084188</c:v>
                </c:pt>
                <c:pt idx="36">
                  <c:v>-5.5265299908848542</c:v>
                </c:pt>
                <c:pt idx="37">
                  <c:v>-4.6330648448602085</c:v>
                </c:pt>
                <c:pt idx="38">
                  <c:v>-3.0735011447209257</c:v>
                </c:pt>
              </c:numCache>
            </c:numRef>
          </c:val>
          <c:extLst>
            <c:ext xmlns:c16="http://schemas.microsoft.com/office/drawing/2014/chart" uri="{C3380CC4-5D6E-409C-BE32-E72D297353CC}">
              <c16:uniqueId val="{00000000-43F0-44CD-AB0C-0133C0D40953}"/>
            </c:ext>
          </c:extLst>
        </c:ser>
        <c:ser>
          <c:idx val="2"/>
          <c:order val="2"/>
          <c:tx>
            <c:strRef>
              <c:f>'výkonnost odvětví 3'!$Z$10</c:f>
              <c:strCache>
                <c:ptCount val="1"/>
                <c:pt idx="0">
                  <c:v>Inženýrské stavitelství (příspěvek v p. b.)</c:v>
                </c:pt>
              </c:strCache>
            </c:strRef>
          </c:tx>
          <c:spPr>
            <a:solidFill>
              <a:schemeClr val="accent2">
                <a:lumMod val="60000"/>
                <a:lumOff val="40000"/>
              </a:schemeClr>
            </a:solidFill>
            <a:ln>
              <a:noFill/>
            </a:ln>
          </c:spPr>
          <c:invertIfNegative val="0"/>
          <c:cat>
            <c:multiLvlStrRef>
              <c:f>'výkonnost odvětví 3'!$V$31:$W$70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3'!$Z$31:$Z$70</c:f>
              <c:numCache>
                <c:formatCode>0.0</c:formatCode>
                <c:ptCount val="40"/>
                <c:pt idx="0">
                  <c:v>3.8654453061663498</c:v>
                </c:pt>
                <c:pt idx="1">
                  <c:v>8.4074328223660437</c:v>
                </c:pt>
                <c:pt idx="2">
                  <c:v>8.536513170572011</c:v>
                </c:pt>
                <c:pt idx="3">
                  <c:v>3.3830353457973681</c:v>
                </c:pt>
                <c:pt idx="4">
                  <c:v>-1.4655710356774887</c:v>
                </c:pt>
                <c:pt idx="5">
                  <c:v>-6.4494987337786789</c:v>
                </c:pt>
                <c:pt idx="6">
                  <c:v>-8.0288007564184198</c:v>
                </c:pt>
                <c:pt idx="7">
                  <c:v>-6.8710829128275535</c:v>
                </c:pt>
                <c:pt idx="8">
                  <c:v>-4.1473356084740605</c:v>
                </c:pt>
                <c:pt idx="9">
                  <c:v>-1.1362269417632547</c:v>
                </c:pt>
                <c:pt idx="10">
                  <c:v>-1.6997694917449739</c:v>
                </c:pt>
                <c:pt idx="11">
                  <c:v>0.18912136047288933</c:v>
                </c:pt>
                <c:pt idx="12">
                  <c:v>2.313855161184069</c:v>
                </c:pt>
                <c:pt idx="13">
                  <c:v>1.4433818342413158</c:v>
                </c:pt>
                <c:pt idx="14">
                  <c:v>5.805340800033207</c:v>
                </c:pt>
                <c:pt idx="15">
                  <c:v>2.0257219814852485</c:v>
                </c:pt>
                <c:pt idx="16">
                  <c:v>2.8832113797347176</c:v>
                </c:pt>
                <c:pt idx="17">
                  <c:v>2.2916559515195796</c:v>
                </c:pt>
                <c:pt idx="18">
                  <c:v>0.1275103650053056</c:v>
                </c:pt>
                <c:pt idx="19">
                  <c:v>0.80716183036284428</c:v>
                </c:pt>
                <c:pt idx="20">
                  <c:v>2.6239699221333534</c:v>
                </c:pt>
                <c:pt idx="21">
                  <c:v>0.26317252359280197</c:v>
                </c:pt>
                <c:pt idx="22">
                  <c:v>-3.3347591135837273</c:v>
                </c:pt>
                <c:pt idx="23">
                  <c:v>-0.42839192125115316</c:v>
                </c:pt>
                <c:pt idx="24">
                  <c:v>-0.39474274321390451</c:v>
                </c:pt>
                <c:pt idx="25">
                  <c:v>1.8613572990046166</c:v>
                </c:pt>
                <c:pt idx="26">
                  <c:v>0.51981002260707732</c:v>
                </c:pt>
                <c:pt idx="27">
                  <c:v>-1.0553043513883114</c:v>
                </c:pt>
                <c:pt idx="28">
                  <c:v>5.3557919409596391</c:v>
                </c:pt>
                <c:pt idx="29">
                  <c:v>1.3481730044316667</c:v>
                </c:pt>
                <c:pt idx="30">
                  <c:v>0.66748987084715738</c:v>
                </c:pt>
                <c:pt idx="31">
                  <c:v>1.4174565925736915</c:v>
                </c:pt>
                <c:pt idx="32">
                  <c:v>-3.8407582121025858</c:v>
                </c:pt>
                <c:pt idx="33">
                  <c:v>-2.3666951116174544</c:v>
                </c:pt>
                <c:pt idx="34">
                  <c:v>-0.13398953982138251</c:v>
                </c:pt>
                <c:pt idx="35">
                  <c:v>-0.5641778818570039</c:v>
                </c:pt>
                <c:pt idx="36">
                  <c:v>1.2295949097773025</c:v>
                </c:pt>
                <c:pt idx="37">
                  <c:v>-1.4034637178606486</c:v>
                </c:pt>
                <c:pt idx="38">
                  <c:v>0.29530873552236109</c:v>
                </c:pt>
              </c:numCache>
            </c:numRef>
          </c:val>
          <c:extLst>
            <c:ext xmlns:c16="http://schemas.microsoft.com/office/drawing/2014/chart" uri="{C3380CC4-5D6E-409C-BE32-E72D297353CC}">
              <c16:uniqueId val="{00000001-43F0-44CD-AB0C-0133C0D40953}"/>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Celková stavební produkce</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3'!$V$31:$W$70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3'!$X$31:$X$70</c:f>
              <c:numCache>
                <c:formatCode>0.0</c:formatCode>
                <c:ptCount val="40"/>
                <c:pt idx="0">
                  <c:v>9.6141618855778006</c:v>
                </c:pt>
                <c:pt idx="1">
                  <c:v>13.156425150080381</c:v>
                </c:pt>
                <c:pt idx="2">
                  <c:v>9.2651169385864023</c:v>
                </c:pt>
                <c:pt idx="3">
                  <c:v>1.7832858585842644</c:v>
                </c:pt>
                <c:pt idx="4">
                  <c:v>-6.0456295668121669</c:v>
                </c:pt>
                <c:pt idx="5">
                  <c:v>-11.28594194638309</c:v>
                </c:pt>
                <c:pt idx="6">
                  <c:v>-7.2614553931968828</c:v>
                </c:pt>
                <c:pt idx="7">
                  <c:v>-3.2796939005406927</c:v>
                </c:pt>
                <c:pt idx="8">
                  <c:v>-2.3288964674777475</c:v>
                </c:pt>
                <c:pt idx="9">
                  <c:v>8.3799597044495187</c:v>
                </c:pt>
                <c:pt idx="10">
                  <c:v>1.5652786039197224</c:v>
                </c:pt>
                <c:pt idx="11">
                  <c:v>2.4971726228915543</c:v>
                </c:pt>
                <c:pt idx="12">
                  <c:v>15.353314524041295</c:v>
                </c:pt>
                <c:pt idx="13">
                  <c:v>7.1284624405345767</c:v>
                </c:pt>
                <c:pt idx="14">
                  <c:v>12.84136926562492</c:v>
                </c:pt>
                <c:pt idx="15">
                  <c:v>4.4126298578941885</c:v>
                </c:pt>
                <c:pt idx="16">
                  <c:v>5.355974896433608</c:v>
                </c:pt>
                <c:pt idx="17">
                  <c:v>5.2258134143760913</c:v>
                </c:pt>
                <c:pt idx="18">
                  <c:v>-0.54784466537279286</c:v>
                </c:pt>
                <c:pt idx="19">
                  <c:v>2.5188573109170278</c:v>
                </c:pt>
                <c:pt idx="20">
                  <c:v>1.9281218451025097</c:v>
                </c:pt>
                <c:pt idx="21">
                  <c:v>-7.4891926247433531</c:v>
                </c:pt>
                <c:pt idx="22">
                  <c:v>-10.409381095155553</c:v>
                </c:pt>
                <c:pt idx="23">
                  <c:v>-8.1696233848860089</c:v>
                </c:pt>
                <c:pt idx="24">
                  <c:v>-5.4685206544410931</c:v>
                </c:pt>
                <c:pt idx="25">
                  <c:v>4.3114295832891116</c:v>
                </c:pt>
                <c:pt idx="26">
                  <c:v>3.2287977611279501</c:v>
                </c:pt>
                <c:pt idx="27">
                  <c:v>4.3199398362188788</c:v>
                </c:pt>
                <c:pt idx="28">
                  <c:v>12.600261457667926</c:v>
                </c:pt>
                <c:pt idx="29">
                  <c:v>4.8700504393064392</c:v>
                </c:pt>
                <c:pt idx="30">
                  <c:v>-9.4243259211410191E-2</c:v>
                </c:pt>
                <c:pt idx="31">
                  <c:v>-1.2849365064809604E-2</c:v>
                </c:pt>
                <c:pt idx="32">
                  <c:v>-1.771977243695332</c:v>
                </c:pt>
                <c:pt idx="33">
                  <c:v>-4.141093991873106</c:v>
                </c:pt>
                <c:pt idx="34">
                  <c:v>-0.56704290348289987</c:v>
                </c:pt>
                <c:pt idx="35">
                  <c:v>-2.9131450876654412</c:v>
                </c:pt>
                <c:pt idx="36">
                  <c:v>-4.2969350811075913</c:v>
                </c:pt>
                <c:pt idx="37">
                  <c:v>-6.0365285627208465</c:v>
                </c:pt>
                <c:pt idx="38">
                  <c:v>-2.7781924091985815</c:v>
                </c:pt>
              </c:numCache>
            </c:numRef>
          </c:val>
          <c:smooth val="0"/>
          <c:extLst>
            <c:ext xmlns:c16="http://schemas.microsoft.com/office/drawing/2014/chart" uri="{C3380CC4-5D6E-409C-BE32-E72D297353CC}">
              <c16:uniqueId val="{00000002-43F0-44CD-AB0C-0133C0D40953}"/>
            </c:ext>
          </c:extLst>
        </c:ser>
        <c:ser>
          <c:idx val="3"/>
          <c:order val="3"/>
          <c:tx>
            <c:strRef>
              <c:f>'výkonnost odvětví 3'!$AA$10</c:f>
              <c:strCache>
                <c:ptCount val="1"/>
                <c:pt idx="0">
                  <c:v>Nové stavební zakázky v tuzemsku</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3'!$V$31:$W$70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3'!$AA$31:$AA$70</c:f>
              <c:numCache>
                <c:formatCode>0.0</c:formatCode>
                <c:ptCount val="40"/>
                <c:pt idx="0">
                  <c:v>-3.1547956675580053</c:v>
                </c:pt>
                <c:pt idx="1">
                  <c:v>9.7504961091663205</c:v>
                </c:pt>
                <c:pt idx="2">
                  <c:v>-1.097606022761255</c:v>
                </c:pt>
                <c:pt idx="3">
                  <c:v>-2.3987783410040464</c:v>
                </c:pt>
                <c:pt idx="4">
                  <c:v>-6.6406358945753823</c:v>
                </c:pt>
                <c:pt idx="5">
                  <c:v>-0.49977652269311079</c:v>
                </c:pt>
                <c:pt idx="6">
                  <c:v>-7.0322087253454839</c:v>
                </c:pt>
                <c:pt idx="7">
                  <c:v>10.122126124559955</c:v>
                </c:pt>
                <c:pt idx="8">
                  <c:v>16.177217458847437</c:v>
                </c:pt>
                <c:pt idx="9">
                  <c:v>9.5350878984013008</c:v>
                </c:pt>
                <c:pt idx="10">
                  <c:v>-1.2817324431350698</c:v>
                </c:pt>
                <c:pt idx="11">
                  <c:v>15.620806693503823</c:v>
                </c:pt>
                <c:pt idx="12">
                  <c:v>30.10697387368856</c:v>
                </c:pt>
                <c:pt idx="13">
                  <c:v>32.836878110611963</c:v>
                </c:pt>
                <c:pt idx="14">
                  <c:v>5.2768249907951201</c:v>
                </c:pt>
                <c:pt idx="15">
                  <c:v>1.8944565811032277</c:v>
                </c:pt>
                <c:pt idx="16">
                  <c:v>14.157245632065781</c:v>
                </c:pt>
                <c:pt idx="17">
                  <c:v>-9.3849543241233135</c:v>
                </c:pt>
                <c:pt idx="18">
                  <c:v>17.407871000993993</c:v>
                </c:pt>
                <c:pt idx="19">
                  <c:v>5.8323004254463768</c:v>
                </c:pt>
                <c:pt idx="20">
                  <c:v>-12.441635069859245</c:v>
                </c:pt>
                <c:pt idx="21">
                  <c:v>7.497345722028669</c:v>
                </c:pt>
                <c:pt idx="22">
                  <c:v>2.0599736606932879</c:v>
                </c:pt>
                <c:pt idx="23">
                  <c:v>7.5507850088630164</c:v>
                </c:pt>
                <c:pt idx="24">
                  <c:v>28.856340981154403</c:v>
                </c:pt>
                <c:pt idx="25">
                  <c:v>22.047871359987184</c:v>
                </c:pt>
                <c:pt idx="26">
                  <c:v>10.015015612184257</c:v>
                </c:pt>
                <c:pt idx="27">
                  <c:v>1.0053213537781147</c:v>
                </c:pt>
                <c:pt idx="28">
                  <c:v>13.067478460417874</c:v>
                </c:pt>
                <c:pt idx="29">
                  <c:v>17.619163607261129</c:v>
                </c:pt>
                <c:pt idx="30">
                  <c:v>12.421954480552543</c:v>
                </c:pt>
                <c:pt idx="31">
                  <c:v>13.031852753748723</c:v>
                </c:pt>
                <c:pt idx="32">
                  <c:v>-10.144501025957553</c:v>
                </c:pt>
                <c:pt idx="33">
                  <c:v>-18.697561390531931</c:v>
                </c:pt>
                <c:pt idx="34">
                  <c:v>27.514816854662854</c:v>
                </c:pt>
                <c:pt idx="35">
                  <c:v>9.3063425617587683</c:v>
                </c:pt>
                <c:pt idx="36">
                  <c:v>30.591327492018308</c:v>
                </c:pt>
                <c:pt idx="37">
                  <c:v>24.637718081535937</c:v>
                </c:pt>
                <c:pt idx="38">
                  <c:v>-2.249528855429773</c:v>
                </c:pt>
              </c:numCache>
            </c:numRef>
          </c:val>
          <c:smooth val="0"/>
          <c:extLst>
            <c:ext xmlns:c16="http://schemas.microsoft.com/office/drawing/2014/chart" uri="{C3380CC4-5D6E-409C-BE32-E72D297353CC}">
              <c16:uniqueId val="{00000003-43F0-44CD-AB0C-0133C0D40953}"/>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4"/>
          <c:order val="4"/>
          <c:tx>
            <c:strRef>
              <c:f>'výkonnost odvětví 3'!$AB$10</c:f>
              <c:strCache>
                <c:ptCount val="1"/>
                <c:pt idx="0">
                  <c:v>Bariéra růstu: nedostatečná poptávka</c:v>
                </c:pt>
              </c:strCache>
            </c:strRef>
          </c:tx>
          <c:spPr>
            <a:ln w="15875">
              <a:solidFill>
                <a:srgbClr val="00B050"/>
              </a:solidFill>
              <a:prstDash val="solid"/>
            </a:ln>
          </c:spPr>
          <c:marker>
            <c:symbol val="none"/>
          </c:marker>
          <c:cat>
            <c:multiLvlStrRef>
              <c:f>'výkonnost odvětví 3'!$V$31:$W$70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3'!$AB$31:$AB$70</c:f>
              <c:numCache>
                <c:formatCode>#\ ##0.0</c:formatCode>
                <c:ptCount val="40"/>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32.299999999999997</c:v>
                </c:pt>
                <c:pt idx="34">
                  <c:v>36.299999999999997</c:v>
                </c:pt>
                <c:pt idx="35">
                  <c:v>29.2</c:v>
                </c:pt>
                <c:pt idx="36">
                  <c:v>20.5</c:v>
                </c:pt>
                <c:pt idx="37">
                  <c:v>22.3</c:v>
                </c:pt>
                <c:pt idx="38">
                  <c:v>24</c:v>
                </c:pt>
                <c:pt idx="39" formatCode="0.0">
                  <c:v>25.3</c:v>
                </c:pt>
              </c:numCache>
            </c:numRef>
          </c:val>
          <c:smooth val="0"/>
          <c:extLst>
            <c:ext xmlns:c16="http://schemas.microsoft.com/office/drawing/2014/chart" uri="{C3380CC4-5D6E-409C-BE32-E72D297353CC}">
              <c16:uniqueId val="{00000004-43F0-44CD-AB0C-0133C0D40953}"/>
            </c:ext>
          </c:extLst>
        </c:ser>
        <c:ser>
          <c:idx val="5"/>
          <c:order val="5"/>
          <c:tx>
            <c:strRef>
              <c:f>'výkonnost odvětví 3'!$AC$10</c:f>
              <c:strCache>
                <c:ptCount val="1"/>
                <c:pt idx="0">
                  <c:v>Bariéra růstu: nedostatek pracovníků</c:v>
                </c:pt>
              </c:strCache>
            </c:strRef>
          </c:tx>
          <c:spPr>
            <a:ln w="15875">
              <a:solidFill>
                <a:schemeClr val="accent3">
                  <a:lumMod val="75000"/>
                </a:schemeClr>
              </a:solidFill>
              <a:prstDash val="dash"/>
            </a:ln>
          </c:spPr>
          <c:marker>
            <c:symbol val="none"/>
          </c:marker>
          <c:cat>
            <c:multiLvlStrRef>
              <c:f>'výkonnost odvětví 3'!$V$31:$W$70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3'!$AC$31:$AC$70</c:f>
              <c:numCache>
                <c:formatCode>#\ ##0.0</c:formatCode>
                <c:ptCount val="40"/>
                <c:pt idx="0">
                  <c:v>8.3000000000000007</c:v>
                </c:pt>
                <c:pt idx="1">
                  <c:v>8.1</c:v>
                </c:pt>
                <c:pt idx="2">
                  <c:v>6.1</c:v>
                </c:pt>
                <c:pt idx="3">
                  <c:v>6</c:v>
                </c:pt>
                <c:pt idx="4">
                  <c:v>6.5</c:v>
                </c:pt>
                <c:pt idx="5">
                  <c:v>7.2</c:v>
                </c:pt>
                <c:pt idx="6">
                  <c:v>7.1</c:v>
                </c:pt>
                <c:pt idx="7">
                  <c:v>10.4</c:v>
                </c:pt>
                <c:pt idx="8">
                  <c:v>13.9</c:v>
                </c:pt>
                <c:pt idx="9">
                  <c:v>14.9</c:v>
                </c:pt>
                <c:pt idx="10">
                  <c:v>21.7</c:v>
                </c:pt>
                <c:pt idx="11">
                  <c:v>21.3</c:v>
                </c:pt>
                <c:pt idx="12">
                  <c:v>27</c:v>
                </c:pt>
                <c:pt idx="13">
                  <c:v>30.1</c:v>
                </c:pt>
                <c:pt idx="14">
                  <c:v>28.5</c:v>
                </c:pt>
                <c:pt idx="15">
                  <c:v>38.4</c:v>
                </c:pt>
                <c:pt idx="16">
                  <c:v>36.4</c:v>
                </c:pt>
                <c:pt idx="17">
                  <c:v>43.4</c:v>
                </c:pt>
                <c:pt idx="18">
                  <c:v>50.4</c:v>
                </c:pt>
                <c:pt idx="19">
                  <c:v>46.4</c:v>
                </c:pt>
                <c:pt idx="20">
                  <c:v>51.8</c:v>
                </c:pt>
                <c:pt idx="21">
                  <c:v>46</c:v>
                </c:pt>
                <c:pt idx="22">
                  <c:v>35.9</c:v>
                </c:pt>
                <c:pt idx="23" formatCode="0.0">
                  <c:v>32.1</c:v>
                </c:pt>
                <c:pt idx="24">
                  <c:v>47.9</c:v>
                </c:pt>
                <c:pt idx="25">
                  <c:v>31.7</c:v>
                </c:pt>
                <c:pt idx="26">
                  <c:v>41.4</c:v>
                </c:pt>
                <c:pt idx="27">
                  <c:v>42.5</c:v>
                </c:pt>
                <c:pt idx="28">
                  <c:v>57.2</c:v>
                </c:pt>
                <c:pt idx="29">
                  <c:v>44.3</c:v>
                </c:pt>
                <c:pt idx="30">
                  <c:v>39.4</c:v>
                </c:pt>
                <c:pt idx="31">
                  <c:v>47.3</c:v>
                </c:pt>
                <c:pt idx="32">
                  <c:v>39.299999999999997</c:v>
                </c:pt>
                <c:pt idx="33">
                  <c:v>35.4</c:v>
                </c:pt>
                <c:pt idx="34">
                  <c:v>30.5</c:v>
                </c:pt>
                <c:pt idx="35">
                  <c:v>30.9</c:v>
                </c:pt>
                <c:pt idx="36">
                  <c:v>54.2</c:v>
                </c:pt>
                <c:pt idx="37">
                  <c:v>46.6</c:v>
                </c:pt>
                <c:pt idx="38">
                  <c:v>42.2</c:v>
                </c:pt>
                <c:pt idx="39" formatCode="0.0">
                  <c:v>41.8</c:v>
                </c:pt>
              </c:numCache>
            </c:numRef>
          </c:val>
          <c:smooth val="0"/>
          <c:extLst>
            <c:ext xmlns:c16="http://schemas.microsoft.com/office/drawing/2014/chart" uri="{C3380CC4-5D6E-409C-BE32-E72D297353CC}">
              <c16:uniqueId val="{00000005-43F0-44CD-AB0C-0133C0D40953}"/>
            </c:ext>
          </c:extLst>
        </c:ser>
        <c:ser>
          <c:idx val="6"/>
          <c:order val="6"/>
          <c:tx>
            <c:strRef>
              <c:f>'výkonnost odvětví 3'!$AD$10</c:f>
              <c:strCache>
                <c:ptCount val="1"/>
                <c:pt idx="0">
                  <c:v>Bariéra růstu: nedost. materiálu a vybavení</c:v>
                </c:pt>
              </c:strCache>
            </c:strRef>
          </c:tx>
          <c:spPr>
            <a:ln w="15875">
              <a:solidFill>
                <a:srgbClr val="37DD3B"/>
              </a:solidFill>
              <a:prstDash val="sysDash"/>
            </a:ln>
          </c:spPr>
          <c:marker>
            <c:symbol val="none"/>
          </c:marker>
          <c:cat>
            <c:multiLvlStrRef>
              <c:f>'výkonnost odvětví 3'!$V$31:$W$70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3'!$AD$31:$AD$70</c:f>
              <c:numCache>
                <c:formatCode>#\ ##0.0</c:formatCode>
                <c:ptCount val="40"/>
                <c:pt idx="0">
                  <c:v>0.1</c:v>
                </c:pt>
                <c:pt idx="1">
                  <c:v>0.4</c:v>
                </c:pt>
                <c:pt idx="2">
                  <c:v>4</c:v>
                </c:pt>
                <c:pt idx="3">
                  <c:v>0.5</c:v>
                </c:pt>
                <c:pt idx="4">
                  <c:v>0.4</c:v>
                </c:pt>
                <c:pt idx="5">
                  <c:v>0.5</c:v>
                </c:pt>
                <c:pt idx="6">
                  <c:v>0.5</c:v>
                </c:pt>
                <c:pt idx="7">
                  <c:v>1.5</c:v>
                </c:pt>
                <c:pt idx="8">
                  <c:v>0.3</c:v>
                </c:pt>
                <c:pt idx="9">
                  <c:v>0.3</c:v>
                </c:pt>
                <c:pt idx="10">
                  <c:v>3.3</c:v>
                </c:pt>
                <c:pt idx="11">
                  <c:v>4.2</c:v>
                </c:pt>
                <c:pt idx="12">
                  <c:v>5.5</c:v>
                </c:pt>
                <c:pt idx="13">
                  <c:v>1.2</c:v>
                </c:pt>
                <c:pt idx="14">
                  <c:v>6.8</c:v>
                </c:pt>
                <c:pt idx="15">
                  <c:v>3.5</c:v>
                </c:pt>
                <c:pt idx="16">
                  <c:v>4.3</c:v>
                </c:pt>
                <c:pt idx="17">
                  <c:v>5.7</c:v>
                </c:pt>
                <c:pt idx="18">
                  <c:v>5.3</c:v>
                </c:pt>
                <c:pt idx="19">
                  <c:v>4</c:v>
                </c:pt>
                <c:pt idx="20">
                  <c:v>1.9</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c:v>
                </c:pt>
                <c:pt idx="34">
                  <c:v>13</c:v>
                </c:pt>
                <c:pt idx="35">
                  <c:v>13.9</c:v>
                </c:pt>
                <c:pt idx="36">
                  <c:v>22.5</c:v>
                </c:pt>
                <c:pt idx="37">
                  <c:v>22.2</c:v>
                </c:pt>
                <c:pt idx="38">
                  <c:v>22.2</c:v>
                </c:pt>
                <c:pt idx="39" formatCode="0.0">
                  <c:v>18</c:v>
                </c:pt>
              </c:numCache>
            </c:numRef>
          </c:val>
          <c:smooth val="0"/>
          <c:extLst>
            <c:ext xmlns:c16="http://schemas.microsoft.com/office/drawing/2014/chart" uri="{C3380CC4-5D6E-409C-BE32-E72D297353CC}">
              <c16:uniqueId val="{00000006-43F0-44CD-AB0C-0133C0D40953}"/>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3'!$V$31:$W$70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3'!$AE$31:$AE$70</c:f>
              <c:numCache>
                <c:formatCode>0.0</c:formatCode>
                <c:ptCount val="40"/>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pt idx="34">
                  <c:v>-16.5</c:v>
                </c:pt>
                <c:pt idx="35">
                  <c:v>-11</c:v>
                </c:pt>
                <c:pt idx="36">
                  <c:v>-7</c:v>
                </c:pt>
                <c:pt idx="37">
                  <c:v>-14</c:v>
                </c:pt>
                <c:pt idx="38">
                  <c:v>-12</c:v>
                </c:pt>
                <c:pt idx="39">
                  <c:v>-5</c:v>
                </c:pt>
              </c:numCache>
            </c:numRef>
          </c:val>
          <c:smooth val="0"/>
          <c:extLst>
            <c:ext xmlns:c16="http://schemas.microsoft.com/office/drawing/2014/chart" uri="{C3380CC4-5D6E-409C-BE32-E72D297353CC}">
              <c16:uniqueId val="{00000007-43F0-44CD-AB0C-0133C0D40953}"/>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7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příspěvky k změně stavební produkce</a:t>
                </a:r>
              </a:p>
            </c:rich>
          </c:tx>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0"/>
      </c:valAx>
      <c:valAx>
        <c:axId val="1118080463"/>
        <c:scaling>
          <c:orientation val="minMax"/>
          <c:max val="8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 důvěry, bariéry růstu</a:t>
                </a:r>
              </a:p>
            </c:rich>
          </c:tx>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20"/>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7.6126793553942364E-3"/>
          <c:y val="0.85936703322638608"/>
          <c:w val="0.9801437714811797"/>
          <c:h val="0.13362821778942557"/>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435E-2"/>
          <c:y val="1.5803328678987455E-2"/>
          <c:w val="0.83979584077702996"/>
          <c:h val="0.69902590308489432"/>
        </c:manualLayout>
      </c:layout>
      <c:barChart>
        <c:barDir val="col"/>
        <c:grouping val="stacked"/>
        <c:varyColors val="0"/>
        <c:ser>
          <c:idx val="0"/>
          <c:order val="1"/>
          <c:tx>
            <c:strRef>
              <c:f>'Služby-příspěvkyk růstu-4'!$D$33</c:f>
              <c:strCache>
                <c:ptCount val="1"/>
                <c:pt idx="0">
                  <c:v>Doprava a skladování (p. b.)</c:v>
                </c:pt>
              </c:strCache>
            </c:strRef>
          </c:tx>
          <c:spPr>
            <a:solidFill>
              <a:srgbClr val="92D050"/>
            </a:solidFill>
            <a:ln>
              <a:noFill/>
            </a:ln>
          </c:spPr>
          <c:invertIfNegative val="0"/>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růstu-4'!$D$46:$D$85</c:f>
              <c:numCache>
                <c:formatCode>0.0</c:formatCode>
                <c:ptCount val="40"/>
                <c:pt idx="0">
                  <c:v>0.28583707131499864</c:v>
                </c:pt>
                <c:pt idx="1">
                  <c:v>9.9073319502600551E-2</c:v>
                </c:pt>
                <c:pt idx="2">
                  <c:v>0.31769782750540138</c:v>
                </c:pt>
                <c:pt idx="3">
                  <c:v>0.12210619116400009</c:v>
                </c:pt>
                <c:pt idx="4">
                  <c:v>0.28220883268199926</c:v>
                </c:pt>
                <c:pt idx="5">
                  <c:v>6.1181950046598127E-2</c:v>
                </c:pt>
                <c:pt idx="6">
                  <c:v>0.16591602609100148</c:v>
                </c:pt>
                <c:pt idx="7">
                  <c:v>0.78068825847900136</c:v>
                </c:pt>
                <c:pt idx="8">
                  <c:v>1.5613141921709988</c:v>
                </c:pt>
                <c:pt idx="9">
                  <c:v>1.122930781783998</c:v>
                </c:pt>
                <c:pt idx="10">
                  <c:v>1.0641446548009998</c:v>
                </c:pt>
                <c:pt idx="11">
                  <c:v>0.59189353382399879</c:v>
                </c:pt>
                <c:pt idx="12">
                  <c:v>1.6915596254819993</c:v>
                </c:pt>
                <c:pt idx="13">
                  <c:v>1.8149616493690008</c:v>
                </c:pt>
                <c:pt idx="14">
                  <c:v>1.4972066301569984</c:v>
                </c:pt>
                <c:pt idx="15">
                  <c:v>0.48435757114800193</c:v>
                </c:pt>
                <c:pt idx="16">
                  <c:v>8.7680447270998052E-2</c:v>
                </c:pt>
                <c:pt idx="17">
                  <c:v>-0.13218522120399967</c:v>
                </c:pt>
                <c:pt idx="18">
                  <c:v>-0.30882816758200105</c:v>
                </c:pt>
                <c:pt idx="19">
                  <c:v>-7.2429796977600117E-2</c:v>
                </c:pt>
                <c:pt idx="20">
                  <c:v>-1.5388901719333996</c:v>
                </c:pt>
                <c:pt idx="21">
                  <c:v>-6.3630415493666987</c:v>
                </c:pt>
                <c:pt idx="22">
                  <c:v>-3.9404740003479741</c:v>
                </c:pt>
                <c:pt idx="23">
                  <c:v>-1.3606128435167992</c:v>
                </c:pt>
                <c:pt idx="24">
                  <c:v>0.40899428206630034</c:v>
                </c:pt>
                <c:pt idx="25">
                  <c:v>6.4857042983519992</c:v>
                </c:pt>
                <c:pt idx="26">
                  <c:v>3.6844418834935992</c:v>
                </c:pt>
                <c:pt idx="27">
                  <c:v>3.3217790689831346</c:v>
                </c:pt>
                <c:pt idx="28">
                  <c:v>3.9514408665104899</c:v>
                </c:pt>
                <c:pt idx="29">
                  <c:v>4.0151538723392397</c:v>
                </c:pt>
                <c:pt idx="30">
                  <c:v>3.2323731249468759</c:v>
                </c:pt>
                <c:pt idx="31">
                  <c:v>0.68736316295880218</c:v>
                </c:pt>
                <c:pt idx="32">
                  <c:v>-1.2129729416320014</c:v>
                </c:pt>
                <c:pt idx="33">
                  <c:v>-3.099026668853849</c:v>
                </c:pt>
                <c:pt idx="34">
                  <c:v>-3.4692285655333293</c:v>
                </c:pt>
                <c:pt idx="35">
                  <c:v>-2.6080977613502347</c:v>
                </c:pt>
                <c:pt idx="36">
                  <c:v>0.12301447772012634</c:v>
                </c:pt>
                <c:pt idx="37">
                  <c:v>1.1719168050476052</c:v>
                </c:pt>
                <c:pt idx="38">
                  <c:v>1.6217905002203377</c:v>
                </c:pt>
              </c:numCache>
            </c:numRef>
          </c:val>
          <c:extLst>
            <c:ext xmlns:c16="http://schemas.microsoft.com/office/drawing/2014/chart" uri="{C3380CC4-5D6E-409C-BE32-E72D297353CC}">
              <c16:uniqueId val="{00000000-4E3A-4019-A51B-F5B445A0E4E0}"/>
            </c:ext>
          </c:extLst>
        </c:ser>
        <c:ser>
          <c:idx val="1"/>
          <c:order val="2"/>
          <c:tx>
            <c:strRef>
              <c:f>'Služby-příspěvkyk růstu-4'!$E$33</c:f>
              <c:strCache>
                <c:ptCount val="1"/>
                <c:pt idx="0">
                  <c:v>Ubytování, stravování a pohostinství (p. b.)</c:v>
                </c:pt>
              </c:strCache>
            </c:strRef>
          </c:tx>
          <c:spPr>
            <a:solidFill>
              <a:srgbClr val="00B0F0"/>
            </a:solidFill>
            <a:ln>
              <a:noFill/>
            </a:ln>
          </c:spPr>
          <c:invertIfNegative val="0"/>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růstu-4'!$E$46:$E$85</c:f>
              <c:numCache>
                <c:formatCode>0.0</c:formatCode>
                <c:ptCount val="40"/>
                <c:pt idx="0">
                  <c:v>0.22716240604080018</c:v>
                </c:pt>
                <c:pt idx="1">
                  <c:v>0.65001523589900034</c:v>
                </c:pt>
                <c:pt idx="2">
                  <c:v>0.65043885271950042</c:v>
                </c:pt>
                <c:pt idx="3">
                  <c:v>0.40286531384040036</c:v>
                </c:pt>
                <c:pt idx="4">
                  <c:v>0.47082926396040031</c:v>
                </c:pt>
                <c:pt idx="5">
                  <c:v>0.17677577920749962</c:v>
                </c:pt>
                <c:pt idx="6">
                  <c:v>0.57113528170200001</c:v>
                </c:pt>
                <c:pt idx="7">
                  <c:v>0.60157631975219972</c:v>
                </c:pt>
                <c:pt idx="8">
                  <c:v>0.9154231899449996</c:v>
                </c:pt>
                <c:pt idx="9">
                  <c:v>1.2344281014258005</c:v>
                </c:pt>
                <c:pt idx="10">
                  <c:v>0.55621615324820017</c:v>
                </c:pt>
                <c:pt idx="11">
                  <c:v>0.45646654612940007</c:v>
                </c:pt>
                <c:pt idx="12">
                  <c:v>0.20372087178279991</c:v>
                </c:pt>
                <c:pt idx="13">
                  <c:v>5.3418687620000245E-2</c:v>
                </c:pt>
                <c:pt idx="14">
                  <c:v>6.3072083089999523E-2</c:v>
                </c:pt>
                <c:pt idx="15">
                  <c:v>-3.690856285000052E-2</c:v>
                </c:pt>
                <c:pt idx="16">
                  <c:v>-0.36352759744700047</c:v>
                </c:pt>
                <c:pt idx="17">
                  <c:v>-0.66972254409340026</c:v>
                </c:pt>
                <c:pt idx="18">
                  <c:v>0.55939150605359955</c:v>
                </c:pt>
                <c:pt idx="19">
                  <c:v>0.81136645955399955</c:v>
                </c:pt>
                <c:pt idx="20">
                  <c:v>-1.02121923221554</c:v>
                </c:pt>
                <c:pt idx="21">
                  <c:v>-4.7572576440565006</c:v>
                </c:pt>
                <c:pt idx="22">
                  <c:v>-1.8794605145432095</c:v>
                </c:pt>
                <c:pt idx="23">
                  <c:v>-4.4951618716172961</c:v>
                </c:pt>
                <c:pt idx="24">
                  <c:v>-3.6369333050125001</c:v>
                </c:pt>
                <c:pt idx="25">
                  <c:v>1.4031540944905208</c:v>
                </c:pt>
                <c:pt idx="26">
                  <c:v>0.65992665946500029</c:v>
                </c:pt>
                <c:pt idx="27">
                  <c:v>2.8955262444650116</c:v>
                </c:pt>
                <c:pt idx="28">
                  <c:v>2.8318183263071997</c:v>
                </c:pt>
                <c:pt idx="29">
                  <c:v>2.4351378857488077</c:v>
                </c:pt>
                <c:pt idx="30">
                  <c:v>-0.45787271333559287</c:v>
                </c:pt>
                <c:pt idx="31">
                  <c:v>0.56724882175460012</c:v>
                </c:pt>
                <c:pt idx="32">
                  <c:v>0.47232775791700016</c:v>
                </c:pt>
                <c:pt idx="33">
                  <c:v>-2.9380545797294239E-2</c:v>
                </c:pt>
                <c:pt idx="34">
                  <c:v>0.13034872931637551</c:v>
                </c:pt>
                <c:pt idx="35">
                  <c:v>7.6431753799216448E-2</c:v>
                </c:pt>
                <c:pt idx="36">
                  <c:v>0.15978861624508284</c:v>
                </c:pt>
                <c:pt idx="37">
                  <c:v>0.18872901032163661</c:v>
                </c:pt>
                <c:pt idx="38" formatCode="0.00">
                  <c:v>-0.14232705864181189</c:v>
                </c:pt>
              </c:numCache>
            </c:numRef>
          </c:val>
          <c:extLst>
            <c:ext xmlns:c16="http://schemas.microsoft.com/office/drawing/2014/chart" uri="{C3380CC4-5D6E-409C-BE32-E72D297353CC}">
              <c16:uniqueId val="{00000001-4E3A-4019-A51B-F5B445A0E4E0}"/>
            </c:ext>
          </c:extLst>
        </c:ser>
        <c:ser>
          <c:idx val="2"/>
          <c:order val="3"/>
          <c:tx>
            <c:strRef>
              <c:f>'Služby-příspěvkyk růstu-4'!$F$33</c:f>
              <c:strCache>
                <c:ptCount val="1"/>
                <c:pt idx="0">
                  <c:v>Informační a komunikační činnosti (p. b.)</c:v>
                </c:pt>
              </c:strCache>
            </c:strRef>
          </c:tx>
          <c:spPr>
            <a:solidFill>
              <a:srgbClr val="E6E100"/>
            </a:solidFill>
            <a:ln>
              <a:noFill/>
            </a:ln>
          </c:spPr>
          <c:invertIfNegative val="0"/>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růstu-4'!$F$46:$F$85</c:f>
              <c:numCache>
                <c:formatCode>0.0</c:formatCode>
                <c:ptCount val="40"/>
                <c:pt idx="0">
                  <c:v>1.3475600006119992</c:v>
                </c:pt>
                <c:pt idx="1">
                  <c:v>0.66866302459200067</c:v>
                </c:pt>
                <c:pt idx="2">
                  <c:v>0.76957802431699907</c:v>
                </c:pt>
                <c:pt idx="3">
                  <c:v>1.4886414789369995</c:v>
                </c:pt>
                <c:pt idx="4">
                  <c:v>0.31877743705500039</c:v>
                </c:pt>
                <c:pt idx="5">
                  <c:v>0.20661529177999968</c:v>
                </c:pt>
                <c:pt idx="6">
                  <c:v>0.33414735394100048</c:v>
                </c:pt>
                <c:pt idx="7">
                  <c:v>-1.5907952160003447E-3</c:v>
                </c:pt>
                <c:pt idx="8">
                  <c:v>0.81368973776000075</c:v>
                </c:pt>
                <c:pt idx="9">
                  <c:v>0.85417546131300082</c:v>
                </c:pt>
                <c:pt idx="10">
                  <c:v>0.70502890964199894</c:v>
                </c:pt>
                <c:pt idx="11">
                  <c:v>0.57956639880599936</c:v>
                </c:pt>
                <c:pt idx="12">
                  <c:v>1.4478889516160005</c:v>
                </c:pt>
                <c:pt idx="13">
                  <c:v>0.80994689822300014</c:v>
                </c:pt>
                <c:pt idx="14">
                  <c:v>1.4688126825399994</c:v>
                </c:pt>
                <c:pt idx="15">
                  <c:v>1.086122449493</c:v>
                </c:pt>
                <c:pt idx="16">
                  <c:v>0.58941772132699954</c:v>
                </c:pt>
                <c:pt idx="17">
                  <c:v>1.4226829106699992</c:v>
                </c:pt>
                <c:pt idx="18">
                  <c:v>1.6743952337219994</c:v>
                </c:pt>
                <c:pt idx="19">
                  <c:v>0.80346819102189926</c:v>
                </c:pt>
                <c:pt idx="20">
                  <c:v>0.70778641415200061</c:v>
                </c:pt>
                <c:pt idx="21">
                  <c:v>-0.1282918788954005</c:v>
                </c:pt>
                <c:pt idx="22">
                  <c:v>-0.45078576191000025</c:v>
                </c:pt>
                <c:pt idx="23">
                  <c:v>-0.76558883395124844</c:v>
                </c:pt>
                <c:pt idx="24">
                  <c:v>0.73366723394700006</c:v>
                </c:pt>
                <c:pt idx="25">
                  <c:v>1.7207045513606583</c:v>
                </c:pt>
                <c:pt idx="26">
                  <c:v>1.7361457132958011</c:v>
                </c:pt>
                <c:pt idx="27">
                  <c:v>2.1189808181123286</c:v>
                </c:pt>
                <c:pt idx="28">
                  <c:v>1.7513568138013991</c:v>
                </c:pt>
                <c:pt idx="29">
                  <c:v>0.98399950600799913</c:v>
                </c:pt>
                <c:pt idx="30">
                  <c:v>0.77268922490967784</c:v>
                </c:pt>
                <c:pt idx="31">
                  <c:v>0.37460811931764648</c:v>
                </c:pt>
                <c:pt idx="32">
                  <c:v>0.58485544392239908</c:v>
                </c:pt>
                <c:pt idx="33">
                  <c:v>-1.1415645740895557E-2</c:v>
                </c:pt>
                <c:pt idx="34">
                  <c:v>-0.79502750900049046</c:v>
                </c:pt>
                <c:pt idx="35">
                  <c:v>-0.7938046823104834</c:v>
                </c:pt>
                <c:pt idx="36">
                  <c:v>0.10083125511494737</c:v>
                </c:pt>
                <c:pt idx="37">
                  <c:v>0.36817298322197645</c:v>
                </c:pt>
                <c:pt idx="38">
                  <c:v>0.94105057058705177</c:v>
                </c:pt>
              </c:numCache>
            </c:numRef>
          </c:val>
          <c:extLst>
            <c:ext xmlns:c16="http://schemas.microsoft.com/office/drawing/2014/chart" uri="{C3380CC4-5D6E-409C-BE32-E72D297353CC}">
              <c16:uniqueId val="{00000002-4E3A-4019-A51B-F5B445A0E4E0}"/>
            </c:ext>
          </c:extLst>
        </c:ser>
        <c:ser>
          <c:idx val="4"/>
          <c:order val="4"/>
          <c:tx>
            <c:strRef>
              <c:f>'Služby-příspěvkyk růstu-4'!$G$33</c:f>
              <c:strCache>
                <c:ptCount val="1"/>
                <c:pt idx="0">
                  <c:v>Činnosti v oblasti nemovitostí (p. b.)</c:v>
                </c:pt>
              </c:strCache>
            </c:strRef>
          </c:tx>
          <c:spPr>
            <a:solidFill>
              <a:schemeClr val="accent5">
                <a:lumMod val="60000"/>
                <a:lumOff val="40000"/>
              </a:schemeClr>
            </a:solidFill>
            <a:ln>
              <a:noFill/>
              <a:prstDash val="sysDash"/>
            </a:ln>
          </c:spPr>
          <c:invertIfNegative val="0"/>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růstu-4'!$G$46:$G$85</c:f>
              <c:numCache>
                <c:formatCode>0.0</c:formatCode>
                <c:ptCount val="40"/>
                <c:pt idx="0">
                  <c:v>4.746770298419966E-2</c:v>
                </c:pt>
                <c:pt idx="1">
                  <c:v>-7.1736494634002381E-3</c:v>
                </c:pt>
                <c:pt idx="2">
                  <c:v>0.12594742008660062</c:v>
                </c:pt>
                <c:pt idx="3">
                  <c:v>2.5503553016999546E-2</c:v>
                </c:pt>
                <c:pt idx="4">
                  <c:v>0.25581412202700016</c:v>
                </c:pt>
                <c:pt idx="5">
                  <c:v>-5.8871280300053285E-4</c:v>
                </c:pt>
                <c:pt idx="6">
                  <c:v>0.14820611830979977</c:v>
                </c:pt>
                <c:pt idx="7">
                  <c:v>-6.673245353100031E-2</c:v>
                </c:pt>
                <c:pt idx="8">
                  <c:v>0.21337518275449996</c:v>
                </c:pt>
                <c:pt idx="9">
                  <c:v>0.44510148149939993</c:v>
                </c:pt>
                <c:pt idx="10">
                  <c:v>-2.3161044655499695E-2</c:v>
                </c:pt>
                <c:pt idx="11">
                  <c:v>0.13973557355700003</c:v>
                </c:pt>
                <c:pt idx="12">
                  <c:v>2.4776891451000493E-2</c:v>
                </c:pt>
                <c:pt idx="13">
                  <c:v>-0.24771466350479987</c:v>
                </c:pt>
                <c:pt idx="14">
                  <c:v>-0.12634060942140016</c:v>
                </c:pt>
                <c:pt idx="15">
                  <c:v>-0.22296155792339972</c:v>
                </c:pt>
                <c:pt idx="16">
                  <c:v>-0.59230274151539974</c:v>
                </c:pt>
                <c:pt idx="17">
                  <c:v>-0.14941666489739952</c:v>
                </c:pt>
                <c:pt idx="18">
                  <c:v>0.15857003378880019</c:v>
                </c:pt>
                <c:pt idx="19">
                  <c:v>0.41231320665960003</c:v>
                </c:pt>
                <c:pt idx="20">
                  <c:v>0.43752910629419994</c:v>
                </c:pt>
                <c:pt idx="21">
                  <c:v>-0.31303453713669938</c:v>
                </c:pt>
                <c:pt idx="22">
                  <c:v>-0.26031344919999999</c:v>
                </c:pt>
                <c:pt idx="23">
                  <c:v>-0.23208025015669992</c:v>
                </c:pt>
                <c:pt idx="24">
                  <c:v>-0.20717928801940017</c:v>
                </c:pt>
                <c:pt idx="25">
                  <c:v>0.47457604296674993</c:v>
                </c:pt>
                <c:pt idx="26">
                  <c:v>-4.0996780129997036E-3</c:v>
                </c:pt>
                <c:pt idx="27">
                  <c:v>0.24096930540479963</c:v>
                </c:pt>
                <c:pt idx="28">
                  <c:v>0.94475021021679939</c:v>
                </c:pt>
                <c:pt idx="29">
                  <c:v>0.4723015234319996</c:v>
                </c:pt>
                <c:pt idx="30">
                  <c:v>0.21987990588947368</c:v>
                </c:pt>
                <c:pt idx="31">
                  <c:v>0.34935607946666636</c:v>
                </c:pt>
                <c:pt idx="32">
                  <c:v>0.14370495810719947</c:v>
                </c:pt>
                <c:pt idx="33">
                  <c:v>-0.15312531256454071</c:v>
                </c:pt>
                <c:pt idx="34">
                  <c:v>-0.26269128038412337</c:v>
                </c:pt>
                <c:pt idx="35">
                  <c:v>-0.20581433335534355</c:v>
                </c:pt>
                <c:pt idx="36">
                  <c:v>-7.6998825414431121E-2</c:v>
                </c:pt>
                <c:pt idx="37">
                  <c:v>0.16535812627071414</c:v>
                </c:pt>
                <c:pt idx="38">
                  <c:v>-9.3521380803397211E-2</c:v>
                </c:pt>
              </c:numCache>
            </c:numRef>
          </c:val>
          <c:extLst>
            <c:ext xmlns:c16="http://schemas.microsoft.com/office/drawing/2014/chart" uri="{C3380CC4-5D6E-409C-BE32-E72D297353CC}">
              <c16:uniqueId val="{00000003-4E3A-4019-A51B-F5B445A0E4E0}"/>
            </c:ext>
          </c:extLst>
        </c:ser>
        <c:ser>
          <c:idx val="5"/>
          <c:order val="5"/>
          <c:tx>
            <c:strRef>
              <c:f>'Služby-příspěvkyk růstu-4'!$H$33</c:f>
              <c:strCache>
                <c:ptCount val="1"/>
                <c:pt idx="0">
                  <c:v>Profesní, vědecké a technické činnosti (p. b.)</c:v>
                </c:pt>
              </c:strCache>
            </c:strRef>
          </c:tx>
          <c:spPr>
            <a:solidFill>
              <a:schemeClr val="accent6">
                <a:lumMod val="60000"/>
                <a:lumOff val="40000"/>
              </a:schemeClr>
            </a:solidFill>
            <a:ln>
              <a:noFill/>
            </a:ln>
          </c:spPr>
          <c:invertIfNegative val="0"/>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růstu-4'!$H$46:$H$85</c:f>
              <c:numCache>
                <c:formatCode>0.0</c:formatCode>
                <c:ptCount val="40"/>
                <c:pt idx="0">
                  <c:v>1.0880520996029996</c:v>
                </c:pt>
                <c:pt idx="1">
                  <c:v>0.74361697973999985</c:v>
                </c:pt>
                <c:pt idx="2">
                  <c:v>1.1124163133600007</c:v>
                </c:pt>
                <c:pt idx="3">
                  <c:v>-4.565689538760101E-2</c:v>
                </c:pt>
                <c:pt idx="4">
                  <c:v>-0.42777544952319951</c:v>
                </c:pt>
                <c:pt idx="5">
                  <c:v>-1.3881659651599989</c:v>
                </c:pt>
                <c:pt idx="6">
                  <c:v>3.2450629870800683E-2</c:v>
                </c:pt>
                <c:pt idx="7">
                  <c:v>-0.31316142237530059</c:v>
                </c:pt>
                <c:pt idx="8">
                  <c:v>0.97301367041999931</c:v>
                </c:pt>
                <c:pt idx="9">
                  <c:v>0.61036630698759931</c:v>
                </c:pt>
                <c:pt idx="10">
                  <c:v>0.29822562376110068</c:v>
                </c:pt>
                <c:pt idx="11">
                  <c:v>0.39661775964799895</c:v>
                </c:pt>
                <c:pt idx="12">
                  <c:v>1.0432277278803002</c:v>
                </c:pt>
                <c:pt idx="13">
                  <c:v>0.5277616084097011</c:v>
                </c:pt>
                <c:pt idx="14">
                  <c:v>0.33063617776669868</c:v>
                </c:pt>
                <c:pt idx="15">
                  <c:v>-0.3275368981885991</c:v>
                </c:pt>
                <c:pt idx="16">
                  <c:v>-0.22084952351709861</c:v>
                </c:pt>
                <c:pt idx="17">
                  <c:v>0.93052352491439916</c:v>
                </c:pt>
                <c:pt idx="18">
                  <c:v>-1.1995249704883002</c:v>
                </c:pt>
                <c:pt idx="19">
                  <c:v>0.1316248734900006</c:v>
                </c:pt>
                <c:pt idx="20">
                  <c:v>-1.2601566612770994</c:v>
                </c:pt>
                <c:pt idx="21">
                  <c:v>-3.4366386991859987</c:v>
                </c:pt>
                <c:pt idx="22">
                  <c:v>-1.7291196666688515</c:v>
                </c:pt>
                <c:pt idx="23">
                  <c:v>-1.6772597720676004</c:v>
                </c:pt>
                <c:pt idx="24">
                  <c:v>-1.8346424682827585</c:v>
                </c:pt>
                <c:pt idx="25">
                  <c:v>2.6510046263427998</c:v>
                </c:pt>
                <c:pt idx="26">
                  <c:v>1.7508962010128015</c:v>
                </c:pt>
                <c:pt idx="27">
                  <c:v>2.2400850079907202</c:v>
                </c:pt>
                <c:pt idx="28">
                  <c:v>2.2876079414759998</c:v>
                </c:pt>
                <c:pt idx="29">
                  <c:v>1.3872455323777775</c:v>
                </c:pt>
                <c:pt idx="30">
                  <c:v>0.99227591104347768</c:v>
                </c:pt>
                <c:pt idx="31">
                  <c:v>0.14393939496428487</c:v>
                </c:pt>
                <c:pt idx="32">
                  <c:v>0.81900948593429967</c:v>
                </c:pt>
                <c:pt idx="33">
                  <c:v>0.78508139570585855</c:v>
                </c:pt>
                <c:pt idx="34">
                  <c:v>0.13004879090092139</c:v>
                </c:pt>
                <c:pt idx="35">
                  <c:v>0.82734148939788288</c:v>
                </c:pt>
                <c:pt idx="36">
                  <c:v>0.36102471036532224</c:v>
                </c:pt>
                <c:pt idx="37">
                  <c:v>0.52723405192192407</c:v>
                </c:pt>
                <c:pt idx="38">
                  <c:v>0.11651862848493233</c:v>
                </c:pt>
              </c:numCache>
            </c:numRef>
          </c:val>
          <c:extLst>
            <c:ext xmlns:c16="http://schemas.microsoft.com/office/drawing/2014/chart" uri="{C3380CC4-5D6E-409C-BE32-E72D297353CC}">
              <c16:uniqueId val="{00000004-4E3A-4019-A51B-F5B445A0E4E0}"/>
            </c:ext>
          </c:extLst>
        </c:ser>
        <c:ser>
          <c:idx val="6"/>
          <c:order val="6"/>
          <c:tx>
            <c:strRef>
              <c:f>'Služby-příspěvkyk růstu-4'!$I$33</c:f>
              <c:strCache>
                <c:ptCount val="1"/>
                <c:pt idx="0">
                  <c:v>Administr. a podpůrné čin. (příspěvek v p. b.)</c:v>
                </c:pt>
              </c:strCache>
            </c:strRef>
          </c:tx>
          <c:spPr>
            <a:solidFill>
              <a:schemeClr val="accent1">
                <a:lumMod val="20000"/>
                <a:lumOff val="80000"/>
              </a:schemeClr>
            </a:solidFill>
            <a:ln>
              <a:noFill/>
            </a:ln>
          </c:spPr>
          <c:invertIfNegative val="0"/>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růstu-4'!$I$46:$I$85</c:f>
              <c:numCache>
                <c:formatCode>0.0</c:formatCode>
                <c:ptCount val="40"/>
                <c:pt idx="0">
                  <c:v>0.43712925900860061</c:v>
                </c:pt>
                <c:pt idx="1">
                  <c:v>0.52715289377499985</c:v>
                </c:pt>
                <c:pt idx="2">
                  <c:v>0.30410241097500013</c:v>
                </c:pt>
                <c:pt idx="3">
                  <c:v>0.36652377459450047</c:v>
                </c:pt>
                <c:pt idx="4">
                  <c:v>0.38200556495039989</c:v>
                </c:pt>
                <c:pt idx="5">
                  <c:v>5.5683904032899467E-2</c:v>
                </c:pt>
                <c:pt idx="6">
                  <c:v>0.25322776738810082</c:v>
                </c:pt>
                <c:pt idx="7">
                  <c:v>0.50752865690419957</c:v>
                </c:pt>
                <c:pt idx="8">
                  <c:v>1.2867283782210006</c:v>
                </c:pt>
                <c:pt idx="9">
                  <c:v>1.1106873038032994</c:v>
                </c:pt>
                <c:pt idx="10">
                  <c:v>0.67802933227800077</c:v>
                </c:pt>
                <c:pt idx="11">
                  <c:v>0.27967830350980011</c:v>
                </c:pt>
                <c:pt idx="12">
                  <c:v>0.54732406709499937</c:v>
                </c:pt>
                <c:pt idx="13">
                  <c:v>0.38206091352559962</c:v>
                </c:pt>
                <c:pt idx="14">
                  <c:v>0.39483194314119968</c:v>
                </c:pt>
                <c:pt idx="15">
                  <c:v>-3.3562302980400686E-2</c:v>
                </c:pt>
                <c:pt idx="16">
                  <c:v>-1.2004885543983994</c:v>
                </c:pt>
                <c:pt idx="17">
                  <c:v>0.45312965092039981</c:v>
                </c:pt>
                <c:pt idx="18">
                  <c:v>-0.39654158277710005</c:v>
                </c:pt>
                <c:pt idx="19">
                  <c:v>1.3094816479706997</c:v>
                </c:pt>
                <c:pt idx="20">
                  <c:v>-1.1435941660679998</c:v>
                </c:pt>
                <c:pt idx="21">
                  <c:v>-5.2829127749359994</c:v>
                </c:pt>
                <c:pt idx="22">
                  <c:v>-4.9399258629473684</c:v>
                </c:pt>
                <c:pt idx="23">
                  <c:v>-2.9775292557339998</c:v>
                </c:pt>
                <c:pt idx="24">
                  <c:v>-1.3823007427793008</c:v>
                </c:pt>
                <c:pt idx="25">
                  <c:v>2.2520526033025252</c:v>
                </c:pt>
                <c:pt idx="26">
                  <c:v>2.1161672980700006</c:v>
                </c:pt>
                <c:pt idx="27">
                  <c:v>1.4333424903022896</c:v>
                </c:pt>
                <c:pt idx="28">
                  <c:v>1.7137920826735484</c:v>
                </c:pt>
                <c:pt idx="29">
                  <c:v>3.1129083870827094</c:v>
                </c:pt>
                <c:pt idx="30">
                  <c:v>2.2148815412970997</c:v>
                </c:pt>
                <c:pt idx="31">
                  <c:v>0.75709334776319981</c:v>
                </c:pt>
                <c:pt idx="32">
                  <c:v>0.44529605054279975</c:v>
                </c:pt>
                <c:pt idx="33">
                  <c:v>0.17025495003951477</c:v>
                </c:pt>
                <c:pt idx="34">
                  <c:v>-0.14281883952654037</c:v>
                </c:pt>
                <c:pt idx="35">
                  <c:v>-4.456522643089033E-2</c:v>
                </c:pt>
                <c:pt idx="36">
                  <c:v>0.31595667469514804</c:v>
                </c:pt>
                <c:pt idx="37">
                  <c:v>0.12625409767933218</c:v>
                </c:pt>
                <c:pt idx="38">
                  <c:v>0.46198888779707814</c:v>
                </c:pt>
              </c:numCache>
            </c:numRef>
          </c:val>
          <c:extLst>
            <c:ext xmlns:c16="http://schemas.microsoft.com/office/drawing/2014/chart" uri="{C3380CC4-5D6E-409C-BE32-E72D297353CC}">
              <c16:uniqueId val="{00000005-4E3A-4019-A51B-F5B445A0E4E0}"/>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'Služby-příspěvkyk růstu-4'!$C$33</c:f>
              <c:strCache>
                <c:ptCount val="1"/>
                <c:pt idx="0">
                  <c:v>Služby celkem (meziroční růst v %)</c:v>
                </c:pt>
              </c:strCache>
            </c:strRef>
          </c:tx>
          <c:spPr>
            <a:ln>
              <a:noFill/>
            </a:ln>
          </c:spPr>
          <c:marker>
            <c:symbol val="dot"/>
            <c:size val="7"/>
            <c:spPr>
              <a:solidFill>
                <a:schemeClr val="tx1">
                  <a:lumMod val="95000"/>
                  <a:lumOff val="5000"/>
                </a:schemeClr>
              </a:solidFill>
              <a:ln>
                <a:noFill/>
              </a:ln>
            </c:spPr>
          </c:marker>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růstu-4'!$C$46:$C$85</c:f>
              <c:numCache>
                <c:formatCode>0.0</c:formatCode>
                <c:ptCount val="40"/>
                <c:pt idx="0">
                  <c:v>3.4824690008999966</c:v>
                </c:pt>
                <c:pt idx="1">
                  <c:v>2.7934385740000067</c:v>
                </c:pt>
                <c:pt idx="2">
                  <c:v>3.3397363911000042</c:v>
                </c:pt>
                <c:pt idx="3">
                  <c:v>2.4240605071999966</c:v>
                </c:pt>
                <c:pt idx="4">
                  <c:v>1.3060861837000033</c:v>
                </c:pt>
                <c:pt idx="5">
                  <c:v>-1.1913006246000037</c:v>
                </c:pt>
                <c:pt idx="6">
                  <c:v>1.5541405019999956</c:v>
                </c:pt>
                <c:pt idx="7">
                  <c:v>1.2878413721000044</c:v>
                </c:pt>
                <c:pt idx="8">
                  <c:v>5.6991785797000034</c:v>
                </c:pt>
                <c:pt idx="9">
                  <c:v>5.5722364333000058</c:v>
                </c:pt>
                <c:pt idx="10">
                  <c:v>3.3112064832999977</c:v>
                </c:pt>
                <c:pt idx="11">
                  <c:v>2.4385054390999983</c:v>
                </c:pt>
                <c:pt idx="12">
                  <c:v>4.8776432854999996</c:v>
                </c:pt>
                <c:pt idx="13">
                  <c:v>3.1428894752999952</c:v>
                </c:pt>
                <c:pt idx="14">
                  <c:v>3.5062767616000059</c:v>
                </c:pt>
                <c:pt idx="15">
                  <c:v>0.9447540274999966</c:v>
                </c:pt>
                <c:pt idx="16">
                  <c:v>-2.0638978244000015</c:v>
                </c:pt>
                <c:pt idx="17">
                  <c:v>2.0119271263999963</c:v>
                </c:pt>
                <c:pt idx="18">
                  <c:v>0.46201626920000649</c:v>
                </c:pt>
                <c:pt idx="19">
                  <c:v>3.6792793010999958</c:v>
                </c:pt>
                <c:pt idx="20">
                  <c:v>-3.7161332750000042</c:v>
                </c:pt>
                <c:pt idx="21">
                  <c:v>-20.482789201800003</c:v>
                </c:pt>
                <c:pt idx="22">
                  <c:v>-13.818107271499997</c:v>
                </c:pt>
                <c:pt idx="23">
                  <c:v>-12.693117899800001</c:v>
                </c:pt>
                <c:pt idx="24">
                  <c:v>-6.3693589936000023</c:v>
                </c:pt>
                <c:pt idx="25">
                  <c:v>14.465315188399998</c:v>
                </c:pt>
                <c:pt idx="26">
                  <c:v>9.8426032083000052</c:v>
                </c:pt>
                <c:pt idx="27">
                  <c:v>12.458895707300002</c:v>
                </c:pt>
                <c:pt idx="28">
                  <c:v>13.594020608700006</c:v>
                </c:pt>
                <c:pt idx="29">
                  <c:v>12.576126104400004</c:v>
                </c:pt>
                <c:pt idx="30">
                  <c:v>6.8800025819000012</c:v>
                </c:pt>
                <c:pt idx="31">
                  <c:v>3.1515382043999978</c:v>
                </c:pt>
                <c:pt idx="32">
                  <c:v>1.5887463999000033</c:v>
                </c:pt>
                <c:pt idx="33">
                  <c:v>-1.6472916421000008</c:v>
                </c:pt>
                <c:pt idx="34">
                  <c:v>-3.8356574305999942</c:v>
                </c:pt>
                <c:pt idx="35">
                  <c:v>-2.1960265641999968</c:v>
                </c:pt>
                <c:pt idx="36">
                  <c:v>0.99982212480000499</c:v>
                </c:pt>
                <c:pt idx="37">
                  <c:v>2.5473886300000004</c:v>
                </c:pt>
                <c:pt idx="38">
                  <c:v>2.9055052094000064</c:v>
                </c:pt>
              </c:numCache>
            </c:numRef>
          </c:val>
          <c:smooth val="0"/>
          <c:extLst>
            <c:ext xmlns:c16="http://schemas.microsoft.com/office/drawing/2014/chart" uri="{C3380CC4-5D6E-409C-BE32-E72D297353CC}">
              <c16:uniqueId val="{00000006-4E3A-4019-A51B-F5B445A0E4E0}"/>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růstu-4'!$J$33</c:f>
              <c:strCache>
                <c:ptCount val="1"/>
                <c:pt idx="0">
                  <c:v>Saldo indikátoru důvěry ve službách</c:v>
                </c:pt>
              </c:strCache>
            </c:strRef>
          </c:tx>
          <c:spPr>
            <a:ln w="3175">
              <a:solidFill>
                <a:schemeClr val="bg1">
                  <a:lumMod val="50000"/>
                </a:schemeClr>
              </a:solidFill>
              <a:prstDash val="sysDot"/>
            </a:ln>
          </c:spPr>
          <c:marker>
            <c:symbol val="diamond"/>
            <c:size val="5"/>
            <c:spPr>
              <a:solidFill>
                <a:srgbClr val="FFFF00"/>
              </a:solidFill>
              <a:ln w="6350">
                <a:solidFill>
                  <a:schemeClr val="tx1">
                    <a:lumMod val="85000"/>
                    <a:lumOff val="15000"/>
                  </a:schemeClr>
                </a:solidFill>
              </a:ln>
            </c:spPr>
          </c:marker>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růstu-4'!$J$46:$J$85</c:f>
              <c:numCache>
                <c:formatCode>#\ ##0.0</c:formatCode>
                <c:ptCount val="40"/>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pt idx="34" formatCode="0.0">
                  <c:v>25.7</c:v>
                </c:pt>
                <c:pt idx="35" formatCode="0.0">
                  <c:v>22.7</c:v>
                </c:pt>
                <c:pt idx="36" formatCode="0.0">
                  <c:v>21.3</c:v>
                </c:pt>
                <c:pt idx="37" formatCode="0.0">
                  <c:v>30.1</c:v>
                </c:pt>
                <c:pt idx="38" formatCode="0.0">
                  <c:v>21.7</c:v>
                </c:pt>
                <c:pt idx="39" formatCode="0.0">
                  <c:v>33.700000000000003</c:v>
                </c:pt>
              </c:numCache>
            </c:numRef>
          </c:val>
          <c:smooth val="0"/>
          <c:extLst>
            <c:ext xmlns:c16="http://schemas.microsoft.com/office/drawing/2014/chart" uri="{C3380CC4-5D6E-409C-BE32-E72D297353CC}">
              <c16:uniqueId val="{00000007-4E3A-4019-A51B-F5B445A0E4E0}"/>
            </c:ext>
          </c:extLst>
        </c:ser>
        <c:ser>
          <c:idx val="8"/>
          <c:order val="8"/>
          <c:tx>
            <c:strRef>
              <c:f>'Služby-příspěvkyk růstu-4'!$K$33</c:f>
              <c:strCache>
                <c:ptCount val="1"/>
                <c:pt idx="0">
                  <c:v>Bariéra růstu: nedostatečná poptávka</c:v>
                </c:pt>
              </c:strCache>
            </c:strRef>
          </c:tx>
          <c:spPr>
            <a:ln w="15875">
              <a:solidFill>
                <a:srgbClr val="CA945E"/>
              </a:solidFill>
              <a:prstDash val="solid"/>
            </a:ln>
          </c:spPr>
          <c:marker>
            <c:symbol val="none"/>
          </c:marker>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růstu-4'!$K$46:$K$85</c:f>
              <c:numCache>
                <c:formatCode>#\ ##0.0</c:formatCode>
                <c:ptCount val="40"/>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34.799999999999997</c:v>
                </c:pt>
                <c:pt idx="25">
                  <c:v>36.799999999999997</c:v>
                </c:pt>
                <c:pt idx="26">
                  <c:v>28.9</c:v>
                </c:pt>
                <c:pt idx="27">
                  <c:v>26.3</c:v>
                </c:pt>
                <c:pt idx="28">
                  <c:v>31.6</c:v>
                </c:pt>
                <c:pt idx="29">
                  <c:v>15</c:v>
                </c:pt>
                <c:pt idx="30">
                  <c:v>30.2</c:v>
                </c:pt>
                <c:pt idx="31">
                  <c:v>17.600000000000001</c:v>
                </c:pt>
                <c:pt idx="32">
                  <c:v>25.4</c:v>
                </c:pt>
                <c:pt idx="33">
                  <c:v>19.100000000000001</c:v>
                </c:pt>
                <c:pt idx="34">
                  <c:v>26</c:v>
                </c:pt>
                <c:pt idx="35">
                  <c:v>23</c:v>
                </c:pt>
                <c:pt idx="36">
                  <c:v>18.5</c:v>
                </c:pt>
                <c:pt idx="37">
                  <c:v>19.2</c:v>
                </c:pt>
                <c:pt idx="38">
                  <c:v>17.8</c:v>
                </c:pt>
                <c:pt idx="39">
                  <c:v>29.6</c:v>
                </c:pt>
              </c:numCache>
            </c:numRef>
          </c:val>
          <c:smooth val="0"/>
          <c:extLst>
            <c:ext xmlns:c16="http://schemas.microsoft.com/office/drawing/2014/chart" uri="{C3380CC4-5D6E-409C-BE32-E72D297353CC}">
              <c16:uniqueId val="{00000008-4E3A-4019-A51B-F5B445A0E4E0}"/>
            </c:ext>
          </c:extLst>
        </c:ser>
        <c:ser>
          <c:idx val="9"/>
          <c:order val="9"/>
          <c:tx>
            <c:strRef>
              <c:f>'Služby-příspěvkyk růstu-4'!$L$33</c:f>
              <c:strCache>
                <c:ptCount val="1"/>
                <c:pt idx="0">
                  <c:v>Bariéra růstu: nedostatek pracovníků</c:v>
                </c:pt>
              </c:strCache>
            </c:strRef>
          </c:tx>
          <c:spPr>
            <a:ln w="15875">
              <a:solidFill>
                <a:srgbClr val="CA945E"/>
              </a:solidFill>
              <a:prstDash val="sysDash"/>
            </a:ln>
          </c:spPr>
          <c:marker>
            <c:symbol val="none"/>
          </c:marker>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růstu-4'!$L$46:$L$85</c:f>
              <c:numCache>
                <c:formatCode>#\ ##0.0</c:formatCode>
                <c:ptCount val="40"/>
                <c:pt idx="0">
                  <c:v>1.3</c:v>
                </c:pt>
                <c:pt idx="1">
                  <c:v>6</c:v>
                </c:pt>
                <c:pt idx="2">
                  <c:v>7.2</c:v>
                </c:pt>
                <c:pt idx="3">
                  <c:v>5.6</c:v>
                </c:pt>
                <c:pt idx="4">
                  <c:v>7.5</c:v>
                </c:pt>
                <c:pt idx="5">
                  <c:v>4.5</c:v>
                </c:pt>
                <c:pt idx="6">
                  <c:v>7.9</c:v>
                </c:pt>
                <c:pt idx="7">
                  <c:v>9.5</c:v>
                </c:pt>
                <c:pt idx="8">
                  <c:v>9.4</c:v>
                </c:pt>
                <c:pt idx="9">
                  <c:v>9.6999999999999993</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9.7000000000000011</c:v>
                </c:pt>
                <c:pt idx="34">
                  <c:v>9.2000000000000011</c:v>
                </c:pt>
                <c:pt idx="35">
                  <c:v>12.3</c:v>
                </c:pt>
                <c:pt idx="36">
                  <c:v>8.3000000000000007</c:v>
                </c:pt>
                <c:pt idx="37">
                  <c:v>8.1</c:v>
                </c:pt>
                <c:pt idx="38">
                  <c:v>8.3000000000000007</c:v>
                </c:pt>
                <c:pt idx="39">
                  <c:v>15.3</c:v>
                </c:pt>
              </c:numCache>
            </c:numRef>
          </c:val>
          <c:smooth val="0"/>
          <c:extLst>
            <c:ext xmlns:c16="http://schemas.microsoft.com/office/drawing/2014/chart" uri="{C3380CC4-5D6E-409C-BE32-E72D297353CC}">
              <c16:uniqueId val="{00000009-4E3A-4019-A51B-F5B445A0E4E0}"/>
            </c:ext>
          </c:extLst>
        </c:ser>
        <c:ser>
          <c:idx val="10"/>
          <c:order val="10"/>
          <c:tx>
            <c:strRef>
              <c:f>'Služby-příspěvkyk růstu-4'!$M$33</c:f>
              <c:strCache>
                <c:ptCount val="1"/>
                <c:pt idx="0">
                  <c:v>Tržby celkem (báze 2021=100, stálé ceny)</c:v>
                </c:pt>
              </c:strCache>
            </c:strRef>
          </c:tx>
          <c:spPr>
            <a:ln w="15875">
              <a:solidFill>
                <a:schemeClr val="tx1"/>
              </a:solidFill>
            </a:ln>
          </c:spPr>
          <c:marker>
            <c:symbol val="none"/>
          </c:marker>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růstu-4'!$M$46:$M$85</c:f>
              <c:numCache>
                <c:formatCode>0.0</c:formatCode>
                <c:ptCount val="40"/>
                <c:pt idx="0">
                  <c:v>96.573148776699995</c:v>
                </c:pt>
                <c:pt idx="1">
                  <c:v>97.567742240000001</c:v>
                </c:pt>
                <c:pt idx="2">
                  <c:v>97.872994153299999</c:v>
                </c:pt>
                <c:pt idx="3">
                  <c:v>98.145121336700001</c:v>
                </c:pt>
                <c:pt idx="4">
                  <c:v>97.141074036700005</c:v>
                </c:pt>
                <c:pt idx="5">
                  <c:v>97.220842383299996</c:v>
                </c:pt>
                <c:pt idx="6">
                  <c:v>99.043083436700002</c:v>
                </c:pt>
                <c:pt idx="7">
                  <c:v>100.26520352</c:v>
                </c:pt>
                <c:pt idx="8">
                  <c:v>101.4620500267</c:v>
                </c:pt>
                <c:pt idx="9">
                  <c:v>102.45930216329999</c:v>
                </c:pt>
                <c:pt idx="10">
                  <c:v>102.1784036567</c:v>
                </c:pt>
                <c:pt idx="11">
                  <c:v>103.2635152233</c:v>
                </c:pt>
                <c:pt idx="12">
                  <c:v>106.70430386</c:v>
                </c:pt>
                <c:pt idx="13">
                  <c:v>105.25291280330001</c:v>
                </c:pt>
                <c:pt idx="14">
                  <c:v>105.36498890670001</c:v>
                </c:pt>
                <c:pt idx="15">
                  <c:v>103.79346463</c:v>
                </c:pt>
                <c:pt idx="16">
                  <c:v>104.82319352330001</c:v>
                </c:pt>
                <c:pt idx="17">
                  <c:v>107.08876361</c:v>
                </c:pt>
                <c:pt idx="18">
                  <c:v>106.1526654733</c:v>
                </c:pt>
                <c:pt idx="19">
                  <c:v>106.10865794670001</c:v>
                </c:pt>
                <c:pt idx="20">
                  <c:v>100.92295789329999</c:v>
                </c:pt>
                <c:pt idx="21">
                  <c:v>86.568180609999999</c:v>
                </c:pt>
                <c:pt idx="22">
                  <c:v>93.956559496699995</c:v>
                </c:pt>
                <c:pt idx="23">
                  <c:v>92.2317662767</c:v>
                </c:pt>
                <c:pt idx="24">
                  <c:v>92.998969133299994</c:v>
                </c:pt>
                <c:pt idx="25">
                  <c:v>97.892421819999996</c:v>
                </c:pt>
                <c:pt idx="26">
                  <c:v>102.35372809330001</c:v>
                </c:pt>
                <c:pt idx="27">
                  <c:v>104.44663158669999</c:v>
                </c:pt>
                <c:pt idx="28">
                  <c:v>106.4828438033</c:v>
                </c:pt>
                <c:pt idx="29">
                  <c:v>108.89885323999999</c:v>
                </c:pt>
                <c:pt idx="30">
                  <c:v>109.43050436</c:v>
                </c:pt>
                <c:pt idx="31">
                  <c:v>108.84519659670001</c:v>
                </c:pt>
                <c:pt idx="32">
                  <c:v>108.17571501</c:v>
                </c:pt>
                <c:pt idx="33">
                  <c:v>106.59724242670001</c:v>
                </c:pt>
                <c:pt idx="34">
                  <c:v>105.83188221</c:v>
                </c:pt>
                <c:pt idx="35">
                  <c:v>106.5110976133</c:v>
                </c:pt>
                <c:pt idx="36">
                  <c:v>108.93696392</c:v>
                </c:pt>
                <c:pt idx="37">
                  <c:v>109.06609893</c:v>
                </c:pt>
                <c:pt idx="38">
                  <c:v>108.82751888999999</c:v>
                </c:pt>
              </c:numCache>
            </c:numRef>
          </c:val>
          <c:smooth val="0"/>
          <c:extLst>
            <c:ext xmlns:c16="http://schemas.microsoft.com/office/drawing/2014/chart" uri="{C3380CC4-5D6E-409C-BE32-E72D297353CC}">
              <c16:uniqueId val="{0000000A-4E3A-4019-A51B-F5B445A0E4E0}"/>
            </c:ext>
          </c:extLst>
        </c:ser>
        <c:ser>
          <c:idx val="11"/>
          <c:order val="11"/>
          <c:tx>
            <c:strRef>
              <c:f>'Služby-příspěvkyk růstu-4'!$N$33</c:f>
              <c:strCache>
                <c:ptCount val="1"/>
                <c:pt idx="0">
                  <c:v>Tržby celkem (báze 2021=100, běžné ceny)</c:v>
                </c:pt>
              </c:strCache>
            </c:strRef>
          </c:tx>
          <c:spPr>
            <a:ln w="15875">
              <a:solidFill>
                <a:schemeClr val="bg2">
                  <a:lumMod val="25000"/>
                </a:schemeClr>
              </a:solidFill>
              <a:prstDash val="sysDash"/>
            </a:ln>
          </c:spPr>
          <c:marker>
            <c:symbol val="none"/>
          </c:marker>
          <c:cat>
            <c:multiLvlStrRef>
              <c:f>'Služby-příspěvkyk růstu-4'!$A$46:$B$85</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růstu-4'!$N$46:$N$85</c:f>
              <c:numCache>
                <c:formatCode>0.0</c:formatCode>
                <c:ptCount val="40"/>
                <c:pt idx="0">
                  <c:v>87.052195600000005</c:v>
                </c:pt>
                <c:pt idx="1">
                  <c:v>87.976303153299995</c:v>
                </c:pt>
                <c:pt idx="2">
                  <c:v>88.373010003299996</c:v>
                </c:pt>
                <c:pt idx="3">
                  <c:v>88.620892873299994</c:v>
                </c:pt>
                <c:pt idx="4">
                  <c:v>87.738386106700005</c:v>
                </c:pt>
                <c:pt idx="5">
                  <c:v>88.030049489999996</c:v>
                </c:pt>
                <c:pt idx="6">
                  <c:v>89.823697393299994</c:v>
                </c:pt>
                <c:pt idx="7">
                  <c:v>91.207866260000003</c:v>
                </c:pt>
                <c:pt idx="8">
                  <c:v>92.834550640000003</c:v>
                </c:pt>
                <c:pt idx="9">
                  <c:v>94.103815076700002</c:v>
                </c:pt>
                <c:pt idx="10">
                  <c:v>94.369418403300003</c:v>
                </c:pt>
                <c:pt idx="11">
                  <c:v>95.836186386700007</c:v>
                </c:pt>
                <c:pt idx="12">
                  <c:v>99.311500843299996</c:v>
                </c:pt>
                <c:pt idx="13">
                  <c:v>98.708597956700004</c:v>
                </c:pt>
                <c:pt idx="14">
                  <c:v>99.642436860000004</c:v>
                </c:pt>
                <c:pt idx="15">
                  <c:v>98.769212440000004</c:v>
                </c:pt>
                <c:pt idx="16">
                  <c:v>99.79161551</c:v>
                </c:pt>
                <c:pt idx="17">
                  <c:v>103.22613569329999</c:v>
                </c:pt>
                <c:pt idx="18">
                  <c:v>102.99220393</c:v>
                </c:pt>
                <c:pt idx="19">
                  <c:v>103.49625471</c:v>
                </c:pt>
                <c:pt idx="20">
                  <c:v>98.534612966699996</c:v>
                </c:pt>
                <c:pt idx="21">
                  <c:v>84.950969126700002</c:v>
                </c:pt>
                <c:pt idx="22">
                  <c:v>92.709010469999996</c:v>
                </c:pt>
                <c:pt idx="23">
                  <c:v>91.428986266699994</c:v>
                </c:pt>
                <c:pt idx="24">
                  <c:v>92.1977920267</c:v>
                </c:pt>
                <c:pt idx="25">
                  <c:v>97.1972692967</c:v>
                </c:pt>
                <c:pt idx="26">
                  <c:v>102.40979276</c:v>
                </c:pt>
                <c:pt idx="27">
                  <c:v>105.9734685067</c:v>
                </c:pt>
                <c:pt idx="28">
                  <c:v>109.9633815</c:v>
                </c:pt>
                <c:pt idx="29">
                  <c:v>115.04305889</c:v>
                </c:pt>
                <c:pt idx="30">
                  <c:v>118.0520724567</c:v>
                </c:pt>
                <c:pt idx="31">
                  <c:v>119.41103278999999</c:v>
                </c:pt>
                <c:pt idx="32">
                  <c:v>120.86644972329999</c:v>
                </c:pt>
                <c:pt idx="33">
                  <c:v>121.28088714</c:v>
                </c:pt>
                <c:pt idx="34">
                  <c:v>121.71715223</c:v>
                </c:pt>
                <c:pt idx="35">
                  <c:v>123.8050942533</c:v>
                </c:pt>
                <c:pt idx="36">
                  <c:v>127.20726921000001</c:v>
                </c:pt>
                <c:pt idx="37">
                  <c:v>128.52631946330001</c:v>
                </c:pt>
                <c:pt idx="38">
                  <c:v>129.45782687330001</c:v>
                </c:pt>
              </c:numCache>
            </c:numRef>
          </c:val>
          <c:smooth val="0"/>
          <c:extLst>
            <c:ext xmlns:c16="http://schemas.microsoft.com/office/drawing/2014/chart" uri="{C3380CC4-5D6E-409C-BE32-E72D297353CC}">
              <c16:uniqueId val="{0000000B-4E3A-4019-A51B-F5B445A0E4E0}"/>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Tržby (příspěvky k</a:t>
                </a:r>
                <a:r>
                  <a:rPr lang="cs-CZ" sz="700" b="0" i="1" baseline="0"/>
                  <a:t> meziroční změně)</a:t>
                </a:r>
                <a:endParaRPr lang="cs-CZ" sz="700" b="0" i="1"/>
              </a:p>
            </c:rich>
          </c:tx>
          <c:layout>
            <c:manualLayout>
              <c:xMode val="edge"/>
              <c:yMode val="edge"/>
              <c:x val="0"/>
              <c:y val="0.1364926551121953"/>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56575232"/>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Tržby (báze 2021=100)</a:t>
                </a:r>
                <a:r>
                  <a:rPr lang="cs-CZ" sz="700" b="0" i="1"/>
                  <a:t>,</a:t>
                </a:r>
                <a:r>
                  <a:rPr lang="cs-CZ" sz="700" b="0" i="1" baseline="0"/>
                  <a:t> s</a:t>
                </a:r>
                <a:r>
                  <a:rPr lang="cs-CZ" sz="700" b="0" i="1"/>
                  <a:t>aldo důvěry, bariéry růstu</a:t>
                </a:r>
              </a:p>
            </c:rich>
          </c:tx>
          <c:layout>
            <c:manualLayout>
              <c:xMode val="edge"/>
              <c:yMode val="edge"/>
              <c:x val="0.97059962406015032"/>
              <c:y val="7.2968499427262329E-2"/>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2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lumMod val="75000"/>
              <a:lumOff val="25000"/>
            </a:schemeClr>
          </a:solidFill>
        </a:ln>
      </c:spPr>
    </c:plotArea>
    <c:legend>
      <c:legendPos val="r"/>
      <c:layout>
        <c:manualLayout>
          <c:xMode val="edge"/>
          <c:yMode val="edge"/>
          <c:x val="2.7894149438737266E-3"/>
          <c:y val="0.80683901693256121"/>
          <c:w val="0.99229354112783008"/>
          <c:h val="0.18952404020147029"/>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732E-2"/>
          <c:y val="1.5803328678987455E-2"/>
          <c:w val="0.85878628700879256"/>
          <c:h val="0.73450542783153383"/>
        </c:manualLayout>
      </c:layout>
      <c:barChart>
        <c:barDir val="col"/>
        <c:grouping val="stacked"/>
        <c:varyColors val="0"/>
        <c:ser>
          <c:idx val="0"/>
          <c:order val="1"/>
          <c:tx>
            <c:strRef>
              <c:f>'výkonnost odvětví 5a'!$E$66</c:f>
              <c:strCache>
                <c:ptCount val="1"/>
                <c:pt idx="0">
                  <c:v>Maloobchod s potravinami (příspěvek)</c:v>
                </c:pt>
              </c:strCache>
            </c:strRef>
          </c:tx>
          <c:spPr>
            <a:solidFill>
              <a:srgbClr val="92D050"/>
            </a:solidFill>
            <a:ln w="15875">
              <a:noFill/>
            </a:ln>
          </c:spPr>
          <c:invertIfNegative val="0"/>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5a'!$E$67:$E$106</c:f>
              <c:numCache>
                <c:formatCode>#\ ##0.0</c:formatCode>
                <c:ptCount val="40"/>
                <c:pt idx="0">
                  <c:v>1.7523817972228575</c:v>
                </c:pt>
                <c:pt idx="1">
                  <c:v>1.1495538604575486</c:v>
                </c:pt>
                <c:pt idx="2">
                  <c:v>1.851654245012579</c:v>
                </c:pt>
                <c:pt idx="3">
                  <c:v>1.4230053336458297</c:v>
                </c:pt>
                <c:pt idx="4">
                  <c:v>1.7335386338403211</c:v>
                </c:pt>
                <c:pt idx="5">
                  <c:v>1.4057978539692639</c:v>
                </c:pt>
                <c:pt idx="6">
                  <c:v>1.0226992305466713</c:v>
                </c:pt>
                <c:pt idx="7">
                  <c:v>-4.5727948098357493E-2</c:v>
                </c:pt>
                <c:pt idx="8">
                  <c:v>0.76530947894932633</c:v>
                </c:pt>
                <c:pt idx="9">
                  <c:v>1.3628557482991555</c:v>
                </c:pt>
                <c:pt idx="10">
                  <c:v>1.1031113273196382</c:v>
                </c:pt>
                <c:pt idx="11">
                  <c:v>0.92620191285996878</c:v>
                </c:pt>
                <c:pt idx="12">
                  <c:v>1.4716867951941146</c:v>
                </c:pt>
                <c:pt idx="13">
                  <c:v>0.53065594307662001</c:v>
                </c:pt>
                <c:pt idx="14">
                  <c:v>0.93178458575098189</c:v>
                </c:pt>
                <c:pt idx="15">
                  <c:v>0.38805043936963324</c:v>
                </c:pt>
                <c:pt idx="16">
                  <c:v>-0.29388750825225862</c:v>
                </c:pt>
                <c:pt idx="17">
                  <c:v>1.4252855332899248</c:v>
                </c:pt>
                <c:pt idx="18">
                  <c:v>0.13007735319413302</c:v>
                </c:pt>
                <c:pt idx="19">
                  <c:v>1.4154025710079869</c:v>
                </c:pt>
                <c:pt idx="20">
                  <c:v>0.68707923703683382</c:v>
                </c:pt>
                <c:pt idx="21">
                  <c:v>-1.8614966729136802</c:v>
                </c:pt>
                <c:pt idx="22">
                  <c:v>-0.64766112448952962</c:v>
                </c:pt>
                <c:pt idx="23">
                  <c:v>-0.28286695735560252</c:v>
                </c:pt>
                <c:pt idx="24">
                  <c:v>-0.60033878493335169</c:v>
                </c:pt>
                <c:pt idx="25">
                  <c:v>0.49712996078350541</c:v>
                </c:pt>
                <c:pt idx="26">
                  <c:v>-0.28841482525274181</c:v>
                </c:pt>
                <c:pt idx="27">
                  <c:v>-9.977915000883754E-5</c:v>
                </c:pt>
                <c:pt idx="28">
                  <c:v>-5.6711556096241109E-2</c:v>
                </c:pt>
                <c:pt idx="29">
                  <c:v>-1.1162419066567921</c:v>
                </c:pt>
                <c:pt idx="30">
                  <c:v>-2.2908717718466018</c:v>
                </c:pt>
                <c:pt idx="31">
                  <c:v>-3.2435027623872776</c:v>
                </c:pt>
                <c:pt idx="32">
                  <c:v>-3.1069199645328642</c:v>
                </c:pt>
                <c:pt idx="33">
                  <c:v>-2.8480975877934389</c:v>
                </c:pt>
                <c:pt idx="34">
                  <c:v>-1.6900123846165827</c:v>
                </c:pt>
                <c:pt idx="35">
                  <c:v>-0.73229022215427264</c:v>
                </c:pt>
                <c:pt idx="36">
                  <c:v>0.9024483910307598</c:v>
                </c:pt>
                <c:pt idx="37">
                  <c:v>1.1520280651660322</c:v>
                </c:pt>
                <c:pt idx="38">
                  <c:v>0.91840595633734001</c:v>
                </c:pt>
              </c:numCache>
            </c:numRef>
          </c:val>
          <c:extLst>
            <c:ext xmlns:c16="http://schemas.microsoft.com/office/drawing/2014/chart" uri="{C3380CC4-5D6E-409C-BE32-E72D297353CC}">
              <c16:uniqueId val="{00000000-1A94-4C9F-9F61-4B339E5CB1A0}"/>
            </c:ext>
          </c:extLst>
        </c:ser>
        <c:ser>
          <c:idx val="1"/>
          <c:order val="2"/>
          <c:tx>
            <c:strRef>
              <c:f>'výkonnost odvětví 5a'!$F$66</c:f>
              <c:strCache>
                <c:ptCount val="1"/>
                <c:pt idx="0">
                  <c:v>Mal. s nepotravinářským zbož. (příspěvek)</c:v>
                </c:pt>
              </c:strCache>
            </c:strRef>
          </c:tx>
          <c:spPr>
            <a:solidFill>
              <a:schemeClr val="accent1">
                <a:lumMod val="40000"/>
                <a:lumOff val="60000"/>
              </a:schemeClr>
            </a:solidFill>
            <a:ln w="15875">
              <a:noFill/>
            </a:ln>
          </c:spPr>
          <c:invertIfNegative val="0"/>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5a'!$F$67:$F$106</c:f>
              <c:numCache>
                <c:formatCode>#\ ##0.0</c:formatCode>
                <c:ptCount val="40"/>
                <c:pt idx="0">
                  <c:v>3.196375922725744</c:v>
                </c:pt>
                <c:pt idx="1">
                  <c:v>3.8741896087490026</c:v>
                </c:pt>
                <c:pt idx="2">
                  <c:v>2.6728850705219784</c:v>
                </c:pt>
                <c:pt idx="3">
                  <c:v>3.6626826182851304</c:v>
                </c:pt>
                <c:pt idx="4">
                  <c:v>2.7862532923580798</c:v>
                </c:pt>
                <c:pt idx="5">
                  <c:v>2.5540667218407971</c:v>
                </c:pt>
                <c:pt idx="6">
                  <c:v>3.2508787600372759</c:v>
                </c:pt>
                <c:pt idx="7">
                  <c:v>3.4435667776451586</c:v>
                </c:pt>
                <c:pt idx="8">
                  <c:v>4.1783561564843161</c:v>
                </c:pt>
                <c:pt idx="9">
                  <c:v>4.4153226755500015</c:v>
                </c:pt>
                <c:pt idx="10">
                  <c:v>4.0607561596078439</c:v>
                </c:pt>
                <c:pt idx="11">
                  <c:v>4.5695527698288956</c:v>
                </c:pt>
                <c:pt idx="12">
                  <c:v>3.963036260303999</c:v>
                </c:pt>
                <c:pt idx="13">
                  <c:v>3.3542121185564358</c:v>
                </c:pt>
                <c:pt idx="14">
                  <c:v>2.577047135089233</c:v>
                </c:pt>
                <c:pt idx="15">
                  <c:v>3.7162196737466258</c:v>
                </c:pt>
                <c:pt idx="16">
                  <c:v>1.303288764236783</c:v>
                </c:pt>
                <c:pt idx="17">
                  <c:v>2.4531469805048736</c:v>
                </c:pt>
                <c:pt idx="18">
                  <c:v>4.2934983663490245</c:v>
                </c:pt>
                <c:pt idx="19">
                  <c:v>5.6709230985066315</c:v>
                </c:pt>
                <c:pt idx="20">
                  <c:v>-5.7511622856734265E-2</c:v>
                </c:pt>
                <c:pt idx="21">
                  <c:v>-0.33300612932107432</c:v>
                </c:pt>
                <c:pt idx="22">
                  <c:v>1.4198268570219985</c:v>
                </c:pt>
                <c:pt idx="23">
                  <c:v>-1.8469460892868841</c:v>
                </c:pt>
                <c:pt idx="24">
                  <c:v>0.21061776675534943</c:v>
                </c:pt>
                <c:pt idx="25">
                  <c:v>5.5790183869169416</c:v>
                </c:pt>
                <c:pt idx="26">
                  <c:v>3.6250811084712713</c:v>
                </c:pt>
                <c:pt idx="27">
                  <c:v>5.6715980375015249</c:v>
                </c:pt>
                <c:pt idx="28">
                  <c:v>5.9931517097170435</c:v>
                </c:pt>
                <c:pt idx="29">
                  <c:v>-0.95178371016794128</c:v>
                </c:pt>
                <c:pt idx="30">
                  <c:v>-3.9413147620950633</c:v>
                </c:pt>
                <c:pt idx="31">
                  <c:v>-5.6408012480799696</c:v>
                </c:pt>
                <c:pt idx="32">
                  <c:v>-4.7805101815133124</c:v>
                </c:pt>
                <c:pt idx="33">
                  <c:v>-4.4948044033014938</c:v>
                </c:pt>
                <c:pt idx="34">
                  <c:v>-2.4601141627556746</c:v>
                </c:pt>
                <c:pt idx="35">
                  <c:v>0.4539192379309796</c:v>
                </c:pt>
                <c:pt idx="36">
                  <c:v>2.5293406235329501</c:v>
                </c:pt>
                <c:pt idx="37">
                  <c:v>2.6534593118189482</c:v>
                </c:pt>
                <c:pt idx="38">
                  <c:v>3.4908937664324209</c:v>
                </c:pt>
              </c:numCache>
            </c:numRef>
          </c:val>
          <c:extLst>
            <c:ext xmlns:c16="http://schemas.microsoft.com/office/drawing/2014/chart" uri="{C3380CC4-5D6E-409C-BE32-E72D297353CC}">
              <c16:uniqueId val="{00000001-1A94-4C9F-9F61-4B339E5CB1A0}"/>
            </c:ext>
          </c:extLst>
        </c:ser>
        <c:ser>
          <c:idx val="4"/>
          <c:order val="3"/>
          <c:tx>
            <c:strRef>
              <c:f>'výkonnost odvětví 5a'!$G$66</c:f>
              <c:strCache>
                <c:ptCount val="1"/>
                <c:pt idx="0">
                  <c:v>Maloobchodní prodej PHM (příspěvek)</c:v>
                </c:pt>
              </c:strCache>
            </c:strRef>
          </c:tx>
          <c:spPr>
            <a:solidFill>
              <a:schemeClr val="accent6">
                <a:lumMod val="40000"/>
                <a:lumOff val="60000"/>
              </a:schemeClr>
            </a:solidFill>
            <a:ln w="15875">
              <a:noFill/>
            </a:ln>
          </c:spPr>
          <c:invertIfNegative val="0"/>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5a'!$G$67:$G$106</c:f>
              <c:numCache>
                <c:formatCode>#\ ##0.0</c:formatCode>
                <c:ptCount val="40"/>
                <c:pt idx="0">
                  <c:v>0.75440023430656378</c:v>
                </c:pt>
                <c:pt idx="1">
                  <c:v>0.588112843666875</c:v>
                </c:pt>
                <c:pt idx="2">
                  <c:v>0.78402402568450724</c:v>
                </c:pt>
                <c:pt idx="3">
                  <c:v>0.94331728244946667</c:v>
                </c:pt>
                <c:pt idx="4">
                  <c:v>0.6744248436917698</c:v>
                </c:pt>
                <c:pt idx="5">
                  <c:v>0.72348584188138532</c:v>
                </c:pt>
                <c:pt idx="6">
                  <c:v>0.62302098548854723</c:v>
                </c:pt>
                <c:pt idx="7">
                  <c:v>0.62533415443375595</c:v>
                </c:pt>
                <c:pt idx="8">
                  <c:v>0.54805568528260806</c:v>
                </c:pt>
                <c:pt idx="9">
                  <c:v>0.75356148860252614</c:v>
                </c:pt>
                <c:pt idx="10">
                  <c:v>0.84316485479481218</c:v>
                </c:pt>
                <c:pt idx="11">
                  <c:v>0.68534345825768528</c:v>
                </c:pt>
                <c:pt idx="12">
                  <c:v>0.66536323714663226</c:v>
                </c:pt>
                <c:pt idx="13">
                  <c:v>0.59516252422904425</c:v>
                </c:pt>
                <c:pt idx="14">
                  <c:v>0.3739332000264744</c:v>
                </c:pt>
                <c:pt idx="15">
                  <c:v>0.43257407692417521</c:v>
                </c:pt>
                <c:pt idx="16">
                  <c:v>0.17809135629917194</c:v>
                </c:pt>
                <c:pt idx="17">
                  <c:v>0.36908315571938399</c:v>
                </c:pt>
                <c:pt idx="18">
                  <c:v>0.27107333589466731</c:v>
                </c:pt>
                <c:pt idx="19">
                  <c:v>0.19660561540526125</c:v>
                </c:pt>
                <c:pt idx="20">
                  <c:v>-0.75718611502805722</c:v>
                </c:pt>
                <c:pt idx="21">
                  <c:v>-1.9736345702533769</c:v>
                </c:pt>
                <c:pt idx="22">
                  <c:v>8.4968496843834063E-2</c:v>
                </c:pt>
                <c:pt idx="23">
                  <c:v>-1.074545645994486</c:v>
                </c:pt>
                <c:pt idx="24">
                  <c:v>-0.67665927913906165</c:v>
                </c:pt>
                <c:pt idx="25">
                  <c:v>1.0671080837237854</c:v>
                </c:pt>
                <c:pt idx="26">
                  <c:v>0.37022446710666651</c:v>
                </c:pt>
                <c:pt idx="27">
                  <c:v>0.92331122739333127</c:v>
                </c:pt>
                <c:pt idx="28">
                  <c:v>1.2434054262022374</c:v>
                </c:pt>
                <c:pt idx="29">
                  <c:v>-0.71068102285792556</c:v>
                </c:pt>
                <c:pt idx="30">
                  <c:v>-1.4490861674970055</c:v>
                </c:pt>
                <c:pt idx="31">
                  <c:v>-0.43043185301112769</c:v>
                </c:pt>
                <c:pt idx="32">
                  <c:v>9.4544918290108332E-2</c:v>
                </c:pt>
                <c:pt idx="33">
                  <c:v>1.0477315332444843</c:v>
                </c:pt>
                <c:pt idx="34">
                  <c:v>1.0254379867952947</c:v>
                </c:pt>
                <c:pt idx="35">
                  <c:v>0.21063329288941432</c:v>
                </c:pt>
                <c:pt idx="36">
                  <c:v>0.48660186345901507</c:v>
                </c:pt>
                <c:pt idx="37">
                  <c:v>0.2819882960001644</c:v>
                </c:pt>
                <c:pt idx="38">
                  <c:v>0.46214898017944683</c:v>
                </c:pt>
              </c:numCache>
            </c:numRef>
          </c:val>
          <c:extLst>
            <c:ext xmlns:c16="http://schemas.microsoft.com/office/drawing/2014/chart" uri="{C3380CC4-5D6E-409C-BE32-E72D297353CC}">
              <c16:uniqueId val="{00000002-1A94-4C9F-9F61-4B339E5CB1A0}"/>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Maloobchod celkem (meziroční růst)</c:v>
                </c:pt>
              </c:strCache>
            </c:strRef>
          </c:tx>
          <c:spPr>
            <a:ln>
              <a:noFill/>
            </a:ln>
          </c:spPr>
          <c:marker>
            <c:symbol val="dash"/>
            <c:size val="7"/>
            <c:spPr>
              <a:solidFill>
                <a:schemeClr val="tx1">
                  <a:lumMod val="85000"/>
                  <a:lumOff val="15000"/>
                </a:schemeClr>
              </a:solidFill>
              <a:ln w="6350">
                <a:noFill/>
              </a:ln>
            </c:spPr>
          </c:marker>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5a'!$D$67:$D$106</c:f>
              <c:numCache>
                <c:formatCode>#\ ##0.0</c:formatCode>
                <c:ptCount val="40"/>
                <c:pt idx="0">
                  <c:v>5.5650157121000063</c:v>
                </c:pt>
                <c:pt idx="1">
                  <c:v>5.3140316102000043</c:v>
                </c:pt>
                <c:pt idx="2">
                  <c:v>5.261668949500006</c:v>
                </c:pt>
                <c:pt idx="3">
                  <c:v>5.8260167462999988</c:v>
                </c:pt>
                <c:pt idx="4">
                  <c:v>5.1163484119999936</c:v>
                </c:pt>
                <c:pt idx="5">
                  <c:v>4.584747701699996</c:v>
                </c:pt>
                <c:pt idx="6">
                  <c:v>4.6478731618999944</c:v>
                </c:pt>
                <c:pt idx="7">
                  <c:v>3.5966109598000031</c:v>
                </c:pt>
                <c:pt idx="8">
                  <c:v>5.068305469799995</c:v>
                </c:pt>
                <c:pt idx="9">
                  <c:v>6.2034114922000043</c:v>
                </c:pt>
                <c:pt idx="10">
                  <c:v>5.6856724027999945</c:v>
                </c:pt>
                <c:pt idx="11">
                  <c:v>5.8244576314999961</c:v>
                </c:pt>
                <c:pt idx="12">
                  <c:v>5.9658330699000004</c:v>
                </c:pt>
                <c:pt idx="13">
                  <c:v>4.3854129643000022</c:v>
                </c:pt>
                <c:pt idx="14">
                  <c:v>3.8380531616000013</c:v>
                </c:pt>
                <c:pt idx="15">
                  <c:v>4.3570454750999943</c:v>
                </c:pt>
                <c:pt idx="16">
                  <c:v>1.1052891966999994</c:v>
                </c:pt>
                <c:pt idx="17">
                  <c:v>4.2167027101999963</c:v>
                </c:pt>
                <c:pt idx="18">
                  <c:v>4.5117376484000005</c:v>
                </c:pt>
                <c:pt idx="19">
                  <c:v>7.2113533302999997</c:v>
                </c:pt>
                <c:pt idx="20">
                  <c:v>-0.15887647600000321</c:v>
                </c:pt>
                <c:pt idx="21">
                  <c:v>-4.2817243594000018</c:v>
                </c:pt>
                <c:pt idx="22">
                  <c:v>0.81643935670000189</c:v>
                </c:pt>
                <c:pt idx="23">
                  <c:v>-3.1393056612999999</c:v>
                </c:pt>
                <c:pt idx="24">
                  <c:v>-1.1382510513000028</c:v>
                </c:pt>
                <c:pt idx="25">
                  <c:v>6.9679581171999985</c:v>
                </c:pt>
                <c:pt idx="26">
                  <c:v>3.5942571922000042</c:v>
                </c:pt>
                <c:pt idx="27">
                  <c:v>6.4916018952000059</c:v>
                </c:pt>
                <c:pt idx="28">
                  <c:v>6.7814191883000063</c:v>
                </c:pt>
                <c:pt idx="29">
                  <c:v>-2.8215747625999938</c:v>
                </c:pt>
                <c:pt idx="30">
                  <c:v>-7.6594390055000048</c:v>
                </c:pt>
                <c:pt idx="31">
                  <c:v>-9.3135717451999938</c:v>
                </c:pt>
                <c:pt idx="32">
                  <c:v>-7.7746153302000067</c:v>
                </c:pt>
                <c:pt idx="33">
                  <c:v>-6.2743843612000063</c:v>
                </c:pt>
                <c:pt idx="34">
                  <c:v>-3.1424515510999953</c:v>
                </c:pt>
                <c:pt idx="35">
                  <c:v>-0.12907576310000479</c:v>
                </c:pt>
                <c:pt idx="36">
                  <c:v>3.9216901478999944</c:v>
                </c:pt>
                <c:pt idx="37">
                  <c:v>4.0877525525000067</c:v>
                </c:pt>
                <c:pt idx="38">
                  <c:v>4.8712484656000044</c:v>
                </c:pt>
              </c:numCache>
            </c:numRef>
          </c:val>
          <c:smooth val="0"/>
          <c:extLst>
            <c:ext xmlns:c16="http://schemas.microsoft.com/office/drawing/2014/chart" uri="{C3380CC4-5D6E-409C-BE32-E72D297353CC}">
              <c16:uniqueId val="{00000003-1A94-4C9F-9F61-4B339E5CB1A0}"/>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Maloobchod, bez motor. segm. (2021=100)</c:v>
                </c:pt>
              </c:strCache>
            </c:strRef>
          </c:tx>
          <c:spPr>
            <a:ln w="15875">
              <a:solidFill>
                <a:schemeClr val="tx1">
                  <a:lumMod val="95000"/>
                  <a:lumOff val="5000"/>
                </a:schemeClr>
              </a:solidFill>
              <a:prstDash val="solid"/>
            </a:ln>
          </c:spPr>
          <c:marker>
            <c:symbol val="none"/>
          </c:marker>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5a'!$H$67:$H$106</c:f>
              <c:numCache>
                <c:formatCode>#\ ##0.0</c:formatCode>
                <c:ptCount val="40"/>
                <c:pt idx="0">
                  <c:v>79.387619700000002</c:v>
                </c:pt>
                <c:pt idx="1">
                  <c:v>80.3062253433</c:v>
                </c:pt>
                <c:pt idx="2">
                  <c:v>81.199263806700003</c:v>
                </c:pt>
                <c:pt idx="3">
                  <c:v>82.829916143299997</c:v>
                </c:pt>
                <c:pt idx="4">
                  <c:v>83.359185409999995</c:v>
                </c:pt>
                <c:pt idx="5">
                  <c:v>84.084432476700002</c:v>
                </c:pt>
                <c:pt idx="6">
                  <c:v>85.181352770000004</c:v>
                </c:pt>
                <c:pt idx="7">
                  <c:v>85.88258064</c:v>
                </c:pt>
                <c:pt idx="8">
                  <c:v>87.4984558867</c:v>
                </c:pt>
                <c:pt idx="9">
                  <c:v>89.139402750000002</c:v>
                </c:pt>
                <c:pt idx="10">
                  <c:v>90.153519266700002</c:v>
                </c:pt>
                <c:pt idx="11">
                  <c:v>90.503926663300007</c:v>
                </c:pt>
                <c:pt idx="12">
                  <c:v>93.105140056699994</c:v>
                </c:pt>
                <c:pt idx="13">
                  <c:v>93.1742804167</c:v>
                </c:pt>
                <c:pt idx="14">
                  <c:v>93.514300739999996</c:v>
                </c:pt>
                <c:pt idx="15">
                  <c:v>93.457195813300004</c:v>
                </c:pt>
                <c:pt idx="16">
                  <c:v>95.080488453300006</c:v>
                </c:pt>
                <c:pt idx="17">
                  <c:v>97.775211506700003</c:v>
                </c:pt>
                <c:pt idx="18">
                  <c:v>97.432309173299998</c:v>
                </c:pt>
                <c:pt idx="19">
                  <c:v>98.591741543300003</c:v>
                </c:pt>
                <c:pt idx="20">
                  <c:v>95.1745252467</c:v>
                </c:pt>
                <c:pt idx="21">
                  <c:v>94.2238113433</c:v>
                </c:pt>
                <c:pt idx="22">
                  <c:v>98.2489351567</c:v>
                </c:pt>
                <c:pt idx="23">
                  <c:v>95.276546670000002</c:v>
                </c:pt>
                <c:pt idx="24">
                  <c:v>93.085231556699995</c:v>
                </c:pt>
                <c:pt idx="25">
                  <c:v>100.68734419</c:v>
                </c:pt>
                <c:pt idx="26">
                  <c:v>102.05627647670001</c:v>
                </c:pt>
                <c:pt idx="27">
                  <c:v>101.6244914933</c:v>
                </c:pt>
                <c:pt idx="28">
                  <c:v>99.642163116700004</c:v>
                </c:pt>
                <c:pt idx="29">
                  <c:v>97.803516169999995</c:v>
                </c:pt>
                <c:pt idx="30">
                  <c:v>94.902212676700003</c:v>
                </c:pt>
                <c:pt idx="31">
                  <c:v>92.902012920000004</c:v>
                </c:pt>
                <c:pt idx="32">
                  <c:v>91.705612616699995</c:v>
                </c:pt>
                <c:pt idx="33">
                  <c:v>91.400801286700002</c:v>
                </c:pt>
                <c:pt idx="34">
                  <c:v>91.82826068</c:v>
                </c:pt>
                <c:pt idx="35">
                  <c:v>92.832267123299999</c:v>
                </c:pt>
                <c:pt idx="36">
                  <c:v>94.822207820000003</c:v>
                </c:pt>
                <c:pt idx="37">
                  <c:v>95.5062408167</c:v>
                </c:pt>
                <c:pt idx="38">
                  <c:v>96.514793583300005</c:v>
                </c:pt>
              </c:numCache>
            </c:numRef>
          </c:val>
          <c:smooth val="0"/>
          <c:extLst>
            <c:ext xmlns:c16="http://schemas.microsoft.com/office/drawing/2014/chart" uri="{C3380CC4-5D6E-409C-BE32-E72D297353CC}">
              <c16:uniqueId val="{00000004-1A94-4C9F-9F61-4B339E5CB1A0}"/>
            </c:ext>
          </c:extLst>
        </c:ser>
        <c:ser>
          <c:idx val="2"/>
          <c:order val="5"/>
          <c:tx>
            <c:strRef>
              <c:f>'výkonnost odvětví 5a'!$I$66</c:f>
              <c:strCache>
                <c:ptCount val="1"/>
                <c:pt idx="0">
                  <c:v>z toho: maloobchod.prodej PHM (2021=100)</c:v>
                </c:pt>
              </c:strCache>
            </c:strRef>
          </c:tx>
          <c:spPr>
            <a:ln w="15875">
              <a:solidFill>
                <a:schemeClr val="bg2">
                  <a:lumMod val="50000"/>
                </a:schemeClr>
              </a:solidFill>
              <a:prstDash val="sysDash"/>
            </a:ln>
          </c:spPr>
          <c:marker>
            <c:symbol val="none"/>
          </c:marker>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5a'!$I$67:$I$106</c:f>
              <c:numCache>
                <c:formatCode>#\ ##0.0</c:formatCode>
                <c:ptCount val="40"/>
                <c:pt idx="0">
                  <c:v>86.524761636700006</c:v>
                </c:pt>
                <c:pt idx="1">
                  <c:v>87.411957833299994</c:v>
                </c:pt>
                <c:pt idx="2">
                  <c:v>89.056815003300002</c:v>
                </c:pt>
                <c:pt idx="3">
                  <c:v>90.635829810000004</c:v>
                </c:pt>
                <c:pt idx="4">
                  <c:v>91.354174043300006</c:v>
                </c:pt>
                <c:pt idx="5">
                  <c:v>92.452717846699997</c:v>
                </c:pt>
                <c:pt idx="6">
                  <c:v>93.451031206699994</c:v>
                </c:pt>
                <c:pt idx="7">
                  <c:v>94.790568546700001</c:v>
                </c:pt>
                <c:pt idx="8">
                  <c:v>96.066324203299999</c:v>
                </c:pt>
                <c:pt idx="9">
                  <c:v>97.673183713300006</c:v>
                </c:pt>
                <c:pt idx="10">
                  <c:v>99.237647573299995</c:v>
                </c:pt>
                <c:pt idx="11">
                  <c:v>100.2896053067</c:v>
                </c:pt>
                <c:pt idx="12">
                  <c:v>101.9259088133</c:v>
                </c:pt>
                <c:pt idx="13">
                  <c:v>102.3498273733</c:v>
                </c:pt>
                <c:pt idx="14">
                  <c:v>102.00124114330001</c:v>
                </c:pt>
                <c:pt idx="15">
                  <c:v>101.92222832669999</c:v>
                </c:pt>
                <c:pt idx="16">
                  <c:v>105.52141971330001</c:v>
                </c:pt>
                <c:pt idx="17">
                  <c:v>106.7492027433</c:v>
                </c:pt>
                <c:pt idx="18">
                  <c:v>102.2677534367</c:v>
                </c:pt>
                <c:pt idx="19">
                  <c:v>102.38734820329999</c:v>
                </c:pt>
                <c:pt idx="20">
                  <c:v>101.74032914999999</c:v>
                </c:pt>
                <c:pt idx="21">
                  <c:v>89.521872973300006</c:v>
                </c:pt>
                <c:pt idx="22">
                  <c:v>98.536132409999993</c:v>
                </c:pt>
                <c:pt idx="23">
                  <c:v>92.227044199999995</c:v>
                </c:pt>
                <c:pt idx="24">
                  <c:v>96.291281263299993</c:v>
                </c:pt>
                <c:pt idx="25">
                  <c:v>101.04365437</c:v>
                </c:pt>
                <c:pt idx="26">
                  <c:v>102.2297312367</c:v>
                </c:pt>
                <c:pt idx="27">
                  <c:v>100.1517753767</c:v>
                </c:pt>
                <c:pt idx="28">
                  <c:v>100.60378222670001</c:v>
                </c:pt>
                <c:pt idx="29">
                  <c:v>95.989461030000001</c:v>
                </c:pt>
                <c:pt idx="30">
                  <c:v>95.304583916699997</c:v>
                </c:pt>
                <c:pt idx="31">
                  <c:v>98.051835253299998</c:v>
                </c:pt>
                <c:pt idx="32">
                  <c:v>99.150168566700003</c:v>
                </c:pt>
                <c:pt idx="33">
                  <c:v>101.9336974367</c:v>
                </c:pt>
                <c:pt idx="34">
                  <c:v>102.8604334833</c:v>
                </c:pt>
                <c:pt idx="35">
                  <c:v>101.8850149733</c:v>
                </c:pt>
                <c:pt idx="36">
                  <c:v>103.8544651233</c:v>
                </c:pt>
                <c:pt idx="37">
                  <c:v>105.0951542933</c:v>
                </c:pt>
                <c:pt idx="38">
                  <c:v>107.0113015467</c:v>
                </c:pt>
              </c:numCache>
            </c:numRef>
          </c:val>
          <c:smooth val="0"/>
          <c:extLst>
            <c:ext xmlns:c16="http://schemas.microsoft.com/office/drawing/2014/chart" uri="{C3380CC4-5D6E-409C-BE32-E72D297353CC}">
              <c16:uniqueId val="{00000005-1A94-4C9F-9F61-4B339E5CB1A0}"/>
            </c:ext>
          </c:extLst>
        </c:ser>
        <c:ser>
          <c:idx val="6"/>
          <c:order val="6"/>
          <c:tx>
            <c:strRef>
              <c:f>'výkonnost odvětví 5a'!$J$66</c:f>
              <c:strCache>
                <c:ptCount val="1"/>
                <c:pt idx="0">
                  <c:v>Obchod a opravy motor. vozidel (2021=100)</c:v>
                </c:pt>
              </c:strCache>
            </c:strRef>
          </c:tx>
          <c:spPr>
            <a:ln w="15875">
              <a:solidFill>
                <a:srgbClr val="984807"/>
              </a:solidFill>
              <a:prstDash val="solid"/>
            </a:ln>
          </c:spPr>
          <c:marker>
            <c:symbol val="none"/>
          </c:marker>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5a'!$J$67:$J$106</c:f>
              <c:numCache>
                <c:formatCode>#\ ##0.0</c:formatCode>
                <c:ptCount val="40"/>
                <c:pt idx="0">
                  <c:v>94.876410473299998</c:v>
                </c:pt>
                <c:pt idx="1">
                  <c:v>97.695799643300006</c:v>
                </c:pt>
                <c:pt idx="2">
                  <c:v>100.06974644669999</c:v>
                </c:pt>
                <c:pt idx="3">
                  <c:v>102.95079615</c:v>
                </c:pt>
                <c:pt idx="4">
                  <c:v>104.2505530033</c:v>
                </c:pt>
                <c:pt idx="5">
                  <c:v>105.7391903267</c:v>
                </c:pt>
                <c:pt idx="6">
                  <c:v>107.83085998670001</c:v>
                </c:pt>
                <c:pt idx="7">
                  <c:v>108.3916669833</c:v>
                </c:pt>
                <c:pt idx="8">
                  <c:v>109.6607583333</c:v>
                </c:pt>
                <c:pt idx="9">
                  <c:v>110.11505321999999</c:v>
                </c:pt>
                <c:pt idx="10">
                  <c:v>109.31164355999999</c:v>
                </c:pt>
                <c:pt idx="11">
                  <c:v>110.27179532</c:v>
                </c:pt>
                <c:pt idx="12">
                  <c:v>108.78251946669999</c:v>
                </c:pt>
                <c:pt idx="13">
                  <c:v>108.49123695</c:v>
                </c:pt>
                <c:pt idx="14">
                  <c:v>108.3772654867</c:v>
                </c:pt>
                <c:pt idx="15">
                  <c:v>106.77434101</c:v>
                </c:pt>
                <c:pt idx="16">
                  <c:v>108.7007365533</c:v>
                </c:pt>
                <c:pt idx="17">
                  <c:v>109.26996463</c:v>
                </c:pt>
                <c:pt idx="18">
                  <c:v>107.48895487670001</c:v>
                </c:pt>
                <c:pt idx="19">
                  <c:v>107.35668517000001</c:v>
                </c:pt>
                <c:pt idx="20">
                  <c:v>95.100964756699994</c:v>
                </c:pt>
                <c:pt idx="21">
                  <c:v>78.817161313300005</c:v>
                </c:pt>
                <c:pt idx="22">
                  <c:v>99.582288770000005</c:v>
                </c:pt>
                <c:pt idx="23">
                  <c:v>99.444996476699998</c:v>
                </c:pt>
                <c:pt idx="24">
                  <c:v>101.46299121</c:v>
                </c:pt>
                <c:pt idx="25">
                  <c:v>101.19404523670001</c:v>
                </c:pt>
                <c:pt idx="26">
                  <c:v>98.559819239999996</c:v>
                </c:pt>
                <c:pt idx="27">
                  <c:v>97.331106026699999</c:v>
                </c:pt>
                <c:pt idx="28">
                  <c:v>96.612995826700001</c:v>
                </c:pt>
                <c:pt idx="29">
                  <c:v>95.531365586700005</c:v>
                </c:pt>
                <c:pt idx="30">
                  <c:v>95.5321426</c:v>
                </c:pt>
                <c:pt idx="31">
                  <c:v>96.024004660000003</c:v>
                </c:pt>
                <c:pt idx="32">
                  <c:v>98.779390903299998</c:v>
                </c:pt>
                <c:pt idx="33">
                  <c:v>99.551942569999994</c:v>
                </c:pt>
                <c:pt idx="34">
                  <c:v>100.9935914167</c:v>
                </c:pt>
                <c:pt idx="35">
                  <c:v>101.55433032000001</c:v>
                </c:pt>
                <c:pt idx="36">
                  <c:v>101.9034549733</c:v>
                </c:pt>
                <c:pt idx="37">
                  <c:v>101.5006662367</c:v>
                </c:pt>
                <c:pt idx="38">
                  <c:v>101.43484343</c:v>
                </c:pt>
              </c:numCache>
            </c:numRef>
          </c:val>
          <c:smooth val="0"/>
          <c:extLst>
            <c:ext xmlns:c16="http://schemas.microsoft.com/office/drawing/2014/chart" uri="{C3380CC4-5D6E-409C-BE32-E72D297353CC}">
              <c16:uniqueId val="{00000006-1A94-4C9F-9F61-4B339E5CB1A0}"/>
            </c:ext>
          </c:extLst>
        </c:ser>
        <c:ser>
          <c:idx val="7"/>
          <c:order val="7"/>
          <c:tx>
            <c:strRef>
              <c:f>'výkonnost odvětví 5a'!$K$66</c:f>
              <c:strCache>
                <c:ptCount val="1"/>
              </c:strCache>
            </c:strRef>
          </c:tx>
          <c:spPr>
            <a:ln w="3175">
              <a:noFill/>
              <a:prstDash val="sysDash"/>
            </a:ln>
          </c:spPr>
          <c:marker>
            <c:symbol val="none"/>
          </c:marker>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5a'!$K$67:$K$106</c:f>
              <c:numCache>
                <c:formatCode>General</c:formatCode>
                <c:ptCount val="40"/>
              </c:numCache>
            </c:numRef>
          </c:val>
          <c:smooth val="0"/>
          <c:extLst>
            <c:ext xmlns:c16="http://schemas.microsoft.com/office/drawing/2014/chart" uri="{C3380CC4-5D6E-409C-BE32-E72D297353CC}">
              <c16:uniqueId val="{00000007-1A94-4C9F-9F61-4B339E5CB1A0}"/>
            </c:ext>
          </c:extLst>
        </c:ser>
        <c:ser>
          <c:idx val="8"/>
          <c:order val="8"/>
          <c:tx>
            <c:strRef>
              <c:f>'výkonnost odvětví 5a'!$L$66</c:f>
              <c:strCache>
                <c:ptCount val="1"/>
                <c:pt idx="0">
                  <c:v>Saldo indikátoru důvěry spotřebitelů</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5a'!$L$67:$L$106</c:f>
              <c:numCache>
                <c:formatCode>0.0</c:formatCode>
                <c:ptCount val="40"/>
                <c:pt idx="0">
                  <c:v>-1.75</c:v>
                </c:pt>
                <c:pt idx="1">
                  <c:v>0.25</c:v>
                </c:pt>
                <c:pt idx="2">
                  <c:v>-3.75</c:v>
                </c:pt>
                <c:pt idx="3">
                  <c:v>-0.25</c:v>
                </c:pt>
                <c:pt idx="4">
                  <c:v>-1.5</c:v>
                </c:pt>
                <c:pt idx="5">
                  <c:v>0</c:v>
                </c:pt>
                <c:pt idx="6">
                  <c:v>-2.25</c:v>
                </c:pt>
                <c:pt idx="7">
                  <c:v>0.75</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pt idx="34">
                  <c:v>-18</c:v>
                </c:pt>
                <c:pt idx="35">
                  <c:v>-18.3</c:v>
                </c:pt>
                <c:pt idx="36">
                  <c:v>-15.8</c:v>
                </c:pt>
                <c:pt idx="37">
                  <c:v>-9</c:v>
                </c:pt>
                <c:pt idx="38">
                  <c:v>-12.8</c:v>
                </c:pt>
                <c:pt idx="39">
                  <c:v>-9</c:v>
                </c:pt>
              </c:numCache>
            </c:numRef>
          </c:val>
          <c:smooth val="0"/>
          <c:extLst>
            <c:ext xmlns:c16="http://schemas.microsoft.com/office/drawing/2014/chart" uri="{C3380CC4-5D6E-409C-BE32-E72D297353CC}">
              <c16:uniqueId val="{00000008-1A94-4C9F-9F61-4B339E5CB1A0}"/>
            </c:ext>
          </c:extLst>
        </c:ser>
        <c:ser>
          <c:idx val="9"/>
          <c:order val="9"/>
          <c:tx>
            <c:strRef>
              <c:f>'výkonnost odvětví 5a'!$M$66</c:f>
              <c:strCache>
                <c:ptCount val="1"/>
                <c:pt idx="0">
                  <c:v>Saldo indikátoru důvěry obchodníků</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5a'!$M$67:$M$106</c:f>
              <c:numCache>
                <c:formatCode>0.0</c:formatCode>
                <c:ptCount val="40"/>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pt idx="34">
                  <c:v>5.7</c:v>
                </c:pt>
                <c:pt idx="35">
                  <c:v>3.3</c:v>
                </c:pt>
                <c:pt idx="36">
                  <c:v>1.7</c:v>
                </c:pt>
                <c:pt idx="37">
                  <c:v>11.3</c:v>
                </c:pt>
                <c:pt idx="38">
                  <c:v>9.3000000000000007</c:v>
                </c:pt>
                <c:pt idx="39">
                  <c:v>11.3</c:v>
                </c:pt>
              </c:numCache>
            </c:numRef>
          </c:val>
          <c:smooth val="0"/>
          <c:extLst>
            <c:ext xmlns:c16="http://schemas.microsoft.com/office/drawing/2014/chart" uri="{C3380CC4-5D6E-409C-BE32-E72D297353CC}">
              <c16:uniqueId val="{00000009-1A94-4C9F-9F61-4B339E5CB1A0}"/>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Tržby</a:t>
                </a:r>
                <a:r>
                  <a:rPr lang="cs-CZ" sz="750" b="0" i="1" baseline="0"/>
                  <a:t> (příspěvky k meziroč. změně)</a:t>
                </a:r>
                <a:endParaRPr lang="cs-CZ" sz="750" b="0" i="1"/>
              </a:p>
            </c:rich>
          </c:tx>
          <c:layout>
            <c:manualLayout>
              <c:xMode val="edge"/>
              <c:yMode val="edge"/>
              <c:x val="2.6086947381477195E-3"/>
              <c:y val="0.16393316671713359"/>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2"/>
      </c:valAx>
      <c:valAx>
        <c:axId val="1875563695"/>
        <c:scaling>
          <c:orientation val="minMax"/>
          <c:max val="125"/>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Tržby</a:t>
                </a:r>
                <a:r>
                  <a:rPr lang="cs-CZ" sz="750" b="0" i="1" baseline="0">
                    <a:latin typeface="Arial" panose="020B0604020202020204" pitchFamily="34" charset="0"/>
                    <a:cs typeface="Arial" panose="020B0604020202020204" pitchFamily="34" charset="0"/>
                  </a:rPr>
                  <a:t> (rok 2021=100), </a:t>
                </a:r>
                <a:r>
                  <a:rPr lang="cs-CZ" sz="750" b="0" i="1" u="none" strike="noStrike" baseline="0">
                    <a:effectLst/>
                    <a:latin typeface="Arial" panose="020B0604020202020204" pitchFamily="34" charset="0"/>
                    <a:cs typeface="Arial" panose="020B0604020202020204" pitchFamily="34" charset="0"/>
                  </a:rPr>
                  <a:t>saldo důvěry</a:t>
                </a:r>
                <a:endParaRPr lang="cs-CZ" sz="750" b="0" i="1">
                  <a:latin typeface="Arial" panose="020B0604020202020204" pitchFamily="34" charset="0"/>
                  <a:cs typeface="Arial" panose="020B0604020202020204" pitchFamily="34" charset="0"/>
                </a:endParaRPr>
              </a:p>
            </c:rich>
          </c:tx>
          <c:layout>
            <c:manualLayout>
              <c:xMode val="edge"/>
              <c:yMode val="edge"/>
              <c:x val="0.96896265019335537"/>
              <c:y val="0.1743397117509615"/>
            </c:manualLayout>
          </c:layout>
          <c:overlay val="0"/>
        </c:title>
        <c:numFmt formatCode="#,##0" sourceLinked="0"/>
        <c:majorTickMark val="out"/>
        <c:minorTickMark val="none"/>
        <c:tickLblPos val="nextTo"/>
        <c:txPr>
          <a:bodyPr/>
          <a:lstStyle/>
          <a:p>
            <a:pPr>
              <a:defRPr sz="800"/>
            </a:pPr>
            <a:endParaRPr lang="cs-CZ"/>
          </a:p>
        </c:txPr>
        <c:crossAx val="1875570767"/>
        <c:crosses val="max"/>
        <c:crossBetween val="between"/>
        <c:majorUnit val="15"/>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5.1385534144624996E-3"/>
          <c:y val="0.837216076019483"/>
          <c:w val="0.98691543107779145"/>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'Vnější vztahy'!$E$6</c:f>
              <c:strCache>
                <c:ptCount val="1"/>
                <c:pt idx="0">
                  <c:v>Bilance</c:v>
                </c:pt>
              </c:strCache>
            </c:strRef>
          </c:tx>
          <c:spPr>
            <a:solidFill>
              <a:srgbClr val="A6A6A6"/>
            </a:solidFill>
            <a:ln>
              <a:noFill/>
            </a:ln>
            <a:effectLst/>
          </c:spPr>
          <c:invertIfNegative val="0"/>
          <c:cat>
            <c:multiLvlStrRef>
              <c:f>'Vnější vztahy'!$A$7:$B$29</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'Vnější vztahy'!$E$7:$E$29</c:f>
              <c:numCache>
                <c:formatCode>0.0</c:formatCode>
                <c:ptCount val="23"/>
                <c:pt idx="0">
                  <c:v>48.244762452000003</c:v>
                </c:pt>
                <c:pt idx="1">
                  <c:v>56.993667721000001</c:v>
                </c:pt>
                <c:pt idx="2">
                  <c:v>27.532477373999999</c:v>
                </c:pt>
                <c:pt idx="3">
                  <c:v>12.923809864000001</c:v>
                </c:pt>
                <c:pt idx="4">
                  <c:v>36.182428658999996</c:v>
                </c:pt>
                <c:pt idx="5">
                  <c:v>9.2911503559999993</c:v>
                </c:pt>
                <c:pt idx="6">
                  <c:v>55.286836668000007</c:v>
                </c:pt>
                <c:pt idx="7">
                  <c:v>78.879761297999991</c:v>
                </c:pt>
                <c:pt idx="8">
                  <c:v>60.916821217999995</c:v>
                </c:pt>
                <c:pt idx="9">
                  <c:v>13.848192235000001</c:v>
                </c:pt>
                <c:pt idx="10">
                  <c:v>-54.700282055000002</c:v>
                </c:pt>
                <c:pt idx="11">
                  <c:v>-29.269374235000001</c:v>
                </c:pt>
                <c:pt idx="12">
                  <c:v>-12.635912592</c:v>
                </c:pt>
                <c:pt idx="13">
                  <c:v>-73.225200095999995</c:v>
                </c:pt>
                <c:pt idx="14">
                  <c:v>-64.314002961</c:v>
                </c:pt>
                <c:pt idx="15">
                  <c:v>-54.639469009000003</c:v>
                </c:pt>
                <c:pt idx="16">
                  <c:v>40.885161205999999</c:v>
                </c:pt>
                <c:pt idx="17">
                  <c:v>36.180839551999995</c:v>
                </c:pt>
                <c:pt idx="18">
                  <c:v>-1.2235418870000001</c:v>
                </c:pt>
                <c:pt idx="19">
                  <c:v>46.660049057999998</c:v>
                </c:pt>
                <c:pt idx="20">
                  <c:v>83.060090013999996</c:v>
                </c:pt>
                <c:pt idx="21">
                  <c:v>71.53971091599999</c:v>
                </c:pt>
                <c:pt idx="22">
                  <c:v>29.390521852999999</c:v>
                </c:pt>
              </c:numCache>
            </c:numRef>
          </c:val>
          <c:extLst>
            <c:ext xmlns:c16="http://schemas.microsoft.com/office/drawing/2014/chart" uri="{C3380CC4-5D6E-409C-BE32-E72D297353CC}">
              <c16:uniqueId val="{00000000-217D-4D78-9DA6-8FB41173A5C4}"/>
            </c:ext>
          </c:extLst>
        </c:ser>
        <c:dLbls>
          <c:showLegendKey val="0"/>
          <c:showVal val="0"/>
          <c:showCatName val="0"/>
          <c:showSerName val="0"/>
          <c:showPercent val="0"/>
          <c:showBubbleSize val="0"/>
        </c:dLbls>
        <c:gapWidth val="90"/>
        <c:axId val="1842150016"/>
        <c:axId val="1842137120"/>
      </c:barChart>
      <c:lineChart>
        <c:grouping val="standard"/>
        <c:varyColors val="0"/>
        <c:ser>
          <c:idx val="0"/>
          <c:order val="0"/>
          <c:tx>
            <c:strRef>
              <c:f>'Vnější vztahy'!$C$6</c:f>
              <c:strCache>
                <c:ptCount val="1"/>
                <c:pt idx="0">
                  <c:v>Vývoz</c:v>
                </c:pt>
              </c:strCache>
            </c:strRef>
          </c:tx>
          <c:spPr>
            <a:ln w="28575" cap="rnd">
              <a:noFill/>
              <a:round/>
            </a:ln>
            <a:effectLst/>
          </c:spPr>
          <c:marker>
            <c:symbol val="dash"/>
            <c:size val="9"/>
            <c:spPr>
              <a:solidFill>
                <a:srgbClr val="0071BC"/>
              </a:solidFill>
              <a:ln w="9525">
                <a:noFill/>
              </a:ln>
              <a:effectLst/>
            </c:spPr>
          </c:marker>
          <c:cat>
            <c:multiLvlStrRef>
              <c:f>'Vnější vztahy'!$A$7:$B$29</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'Vnější vztahy'!$C$7:$C$29</c:f>
              <c:numCache>
                <c:formatCode>0.0</c:formatCode>
                <c:ptCount val="23"/>
                <c:pt idx="0">
                  <c:v>3.7143750821000054</c:v>
                </c:pt>
                <c:pt idx="1">
                  <c:v>3.3683840658000008</c:v>
                </c:pt>
                <c:pt idx="2">
                  <c:v>4.8286280231999967</c:v>
                </c:pt>
                <c:pt idx="3">
                  <c:v>-3.1636168855000051</c:v>
                </c:pt>
                <c:pt idx="4">
                  <c:v>-6.4135636115999972</c:v>
                </c:pt>
                <c:pt idx="5">
                  <c:v>-25.037497579399997</c:v>
                </c:pt>
                <c:pt idx="6">
                  <c:v>-3.5785611728999953</c:v>
                </c:pt>
                <c:pt idx="7">
                  <c:v>7.411852265899995</c:v>
                </c:pt>
                <c:pt idx="8">
                  <c:v>10.962313304399999</c:v>
                </c:pt>
                <c:pt idx="9">
                  <c:v>41.981094956100009</c:v>
                </c:pt>
                <c:pt idx="10">
                  <c:v>3.4515742189000065</c:v>
                </c:pt>
                <c:pt idx="11">
                  <c:v>2.749198525500006</c:v>
                </c:pt>
                <c:pt idx="12">
                  <c:v>8.0064988441999958</c:v>
                </c:pt>
                <c:pt idx="13">
                  <c:v>11.287163968300007</c:v>
                </c:pt>
                <c:pt idx="14">
                  <c:v>22.470879917399998</c:v>
                </c:pt>
                <c:pt idx="15">
                  <c:v>13.234980039600003</c:v>
                </c:pt>
                <c:pt idx="16">
                  <c:v>10.691327997000002</c:v>
                </c:pt>
                <c:pt idx="17">
                  <c:v>0.90534101039999371</c:v>
                </c:pt>
                <c:pt idx="18">
                  <c:v>-6.7264620790000009</c:v>
                </c:pt>
                <c:pt idx="19">
                  <c:v>-1.1504207308999952</c:v>
                </c:pt>
                <c:pt idx="20">
                  <c:v>7.0512274699993327E-2</c:v>
                </c:pt>
                <c:pt idx="21" formatCode="General">
                  <c:v>4.6991054141000035</c:v>
                </c:pt>
                <c:pt idx="22" formatCode="General">
                  <c:v>10.6100771869</c:v>
                </c:pt>
              </c:numCache>
            </c:numRef>
          </c:val>
          <c:smooth val="0"/>
          <c:extLst>
            <c:ext xmlns:c16="http://schemas.microsoft.com/office/drawing/2014/chart" uri="{C3380CC4-5D6E-409C-BE32-E72D297353CC}">
              <c16:uniqueId val="{00000001-217D-4D78-9DA6-8FB41173A5C4}"/>
            </c:ext>
          </c:extLst>
        </c:ser>
        <c:ser>
          <c:idx val="1"/>
          <c:order val="1"/>
          <c:tx>
            <c:strRef>
              <c:f>'Vnější vztahy'!$D$6</c:f>
              <c:strCache>
                <c:ptCount val="1"/>
                <c:pt idx="0">
                  <c:v>Dovoz</c:v>
                </c:pt>
              </c:strCache>
            </c:strRef>
          </c:tx>
          <c:spPr>
            <a:ln w="28575" cap="rnd">
              <a:noFill/>
              <a:round/>
            </a:ln>
            <a:effectLst/>
          </c:spPr>
          <c:marker>
            <c:symbol val="dash"/>
            <c:size val="9"/>
            <c:spPr>
              <a:solidFill>
                <a:srgbClr val="BD1B21"/>
              </a:solidFill>
              <a:ln w="9525">
                <a:noFill/>
              </a:ln>
              <a:effectLst/>
            </c:spPr>
          </c:marker>
          <c:cat>
            <c:multiLvlStrRef>
              <c:f>'Vnější vztahy'!$A$7:$B$29</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2019</c:v>
                  </c:pt>
                  <c:pt idx="4">
                    <c:v>2020</c:v>
                  </c:pt>
                  <c:pt idx="8">
                    <c:v>2021</c:v>
                  </c:pt>
                  <c:pt idx="12">
                    <c:v>2022</c:v>
                  </c:pt>
                  <c:pt idx="16">
                    <c:v>2023</c:v>
                  </c:pt>
                  <c:pt idx="20">
                    <c:v>2024</c:v>
                  </c:pt>
                </c:lvl>
              </c:multiLvlStrCache>
            </c:multiLvlStrRef>
          </c:cat>
          <c:val>
            <c:numRef>
              <c:f>'Vnější vztahy'!$D$7:$D$29</c:f>
              <c:numCache>
                <c:formatCode>0.0</c:formatCode>
                <c:ptCount val="23"/>
                <c:pt idx="0">
                  <c:v>4.8123766788999944</c:v>
                </c:pt>
                <c:pt idx="1">
                  <c:v>1.0619237693999963</c:v>
                </c:pt>
                <c:pt idx="2">
                  <c:v>1.0984183013000006</c:v>
                </c:pt>
                <c:pt idx="3">
                  <c:v>-3.3198043863000066</c:v>
                </c:pt>
                <c:pt idx="4">
                  <c:v>-5.3981676209999989</c:v>
                </c:pt>
                <c:pt idx="5">
                  <c:v>-21.285728278400001</c:v>
                </c:pt>
                <c:pt idx="6">
                  <c:v>-6.8912364523999941</c:v>
                </c:pt>
                <c:pt idx="7">
                  <c:v>0.22314936540000474</c:v>
                </c:pt>
                <c:pt idx="8">
                  <c:v>8.4767312925000056</c:v>
                </c:pt>
                <c:pt idx="9">
                  <c:v>41.887499316600014</c:v>
                </c:pt>
                <c:pt idx="10">
                  <c:v>17.303793961099998</c:v>
                </c:pt>
                <c:pt idx="11">
                  <c:v>14.923030300799994</c:v>
                </c:pt>
                <c:pt idx="12">
                  <c:v>16.659765110899997</c:v>
                </c:pt>
                <c:pt idx="13">
                  <c:v>20.193090002000005</c:v>
                </c:pt>
                <c:pt idx="14">
                  <c:v>22.188267180799997</c:v>
                </c:pt>
                <c:pt idx="15">
                  <c:v>15.2991180633</c:v>
                </c:pt>
                <c:pt idx="16">
                  <c:v>5.5018043466999984</c:v>
                </c:pt>
                <c:pt idx="17">
                  <c:v>-8.2960208406999953</c:v>
                </c:pt>
                <c:pt idx="18">
                  <c:v>-11.801975368499996</c:v>
                </c:pt>
                <c:pt idx="19">
                  <c:v>-9.5344571271999996</c:v>
                </c:pt>
                <c:pt idx="20">
                  <c:v>-3.7075929174999942</c:v>
                </c:pt>
                <c:pt idx="21" formatCode="General">
                  <c:v>1.630816303900005</c:v>
                </c:pt>
                <c:pt idx="22" formatCode="General">
                  <c:v>7.5993910276999941</c:v>
                </c:pt>
              </c:numCache>
            </c:numRef>
          </c:val>
          <c:smooth val="0"/>
          <c:extLst>
            <c:ext xmlns:c16="http://schemas.microsoft.com/office/drawing/2014/chart" uri="{C3380CC4-5D6E-409C-BE32-E72D297353CC}">
              <c16:uniqueId val="{00000002-217D-4D78-9DA6-8FB41173A5C4}"/>
            </c:ext>
          </c:extLst>
        </c:ser>
        <c:dLbls>
          <c:showLegendKey val="0"/>
          <c:showVal val="0"/>
          <c:showCatName val="0"/>
          <c:showSerName val="0"/>
          <c:showPercent val="0"/>
          <c:showBubbleSize val="0"/>
        </c:dLbls>
        <c:marker val="1"/>
        <c:smooth val="0"/>
        <c:axId val="1621653648"/>
        <c:axId val="1621653232"/>
      </c:lineChart>
      <c:catAx>
        <c:axId val="1621653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232"/>
        <c:crosses val="autoZero"/>
        <c:auto val="1"/>
        <c:lblAlgn val="ctr"/>
        <c:lblOffset val="100"/>
        <c:noMultiLvlLbl val="0"/>
      </c:catAx>
      <c:valAx>
        <c:axId val="1621653232"/>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648"/>
        <c:crosses val="autoZero"/>
        <c:crossBetween val="between"/>
      </c:valAx>
      <c:valAx>
        <c:axId val="1842137120"/>
        <c:scaling>
          <c:orientation val="minMax"/>
          <c:min val="-8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842150016"/>
        <c:crosses val="max"/>
        <c:crossBetween val="between"/>
      </c:valAx>
      <c:catAx>
        <c:axId val="1842150016"/>
        <c:scaling>
          <c:orientation val="minMax"/>
        </c:scaling>
        <c:delete val="1"/>
        <c:axPos val="b"/>
        <c:numFmt formatCode="General" sourceLinked="1"/>
        <c:majorTickMark val="out"/>
        <c:minorTickMark val="none"/>
        <c:tickLblPos val="nextTo"/>
        <c:crossAx val="1842137120"/>
        <c:crosses val="autoZero"/>
        <c:auto val="1"/>
        <c:lblAlgn val="ctr"/>
        <c:lblOffset val="100"/>
        <c:noMultiLvlLbl val="0"/>
      </c:catAx>
      <c:spPr>
        <a:noFill/>
        <a:ln>
          <a:noFill/>
        </a:ln>
        <a:effectLst/>
      </c:spPr>
    </c:plotArea>
    <c:legend>
      <c:legendPos val="b"/>
      <c:layout>
        <c:manualLayout>
          <c:xMode val="edge"/>
          <c:yMode val="edge"/>
          <c:x val="6.7334595959595941E-2"/>
          <c:y val="0.9241869988545246"/>
          <c:w val="0.85464057239057234"/>
          <c:h val="5.399169530355097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openxmlformats.org/package/2006/metadata/core-propertie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b8c0c86d-151e-4fca-b0d5-747e6692fa1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217542A-452A-49A6-BD70-25B5200F3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C8A2B-6735-489C-AAC5-22C9CED6A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18382</Words>
  <Characters>108456</Characters>
  <Application>Microsoft Office Word</Application>
  <DocSecurity>0</DocSecurity>
  <Lines>903</Lines>
  <Paragraphs>253</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126585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4</cp:revision>
  <cp:lastPrinted>2014-07-17T14:07:00Z</cp:lastPrinted>
  <dcterms:created xsi:type="dcterms:W3CDTF">2024-12-16T10:31:00Z</dcterms:created>
  <dcterms:modified xsi:type="dcterms:W3CDTF">2024-12-16T10:35:00Z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