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BDEB9D" w14:textId="6917A815" w:rsidR="00A75E40" w:rsidRPr="000A3A2C" w:rsidRDefault="00C062EB" w:rsidP="00E67696">
      <w:pPr>
        <w:rPr>
          <w:lang w:eastAsia="ar-SA"/>
        </w:rPr>
        <w:sectPr w:rsidR="00A75E40" w:rsidRPr="000A3A2C" w:rsidSect="0085114D">
          <w:pgSz w:w="11906" w:h="16838" w:code="9"/>
          <w:pgMar w:top="1134" w:right="1134" w:bottom="1418" w:left="1134" w:header="709" w:footer="709" w:gutter="0"/>
          <w:pgNumType w:start="1"/>
          <w:cols w:space="708"/>
          <w:docGrid w:linePitch="360"/>
        </w:sectPr>
      </w:pPr>
      <w:r>
        <w:rPr>
          <w:noProof/>
        </w:rPr>
        <mc:AlternateContent>
          <mc:Choice Requires="wpg">
            <w:drawing>
              <wp:anchor distT="0" distB="0" distL="114300" distR="114300" simplePos="0" relativeHeight="251657728" behindDoc="0" locked="1" layoutInCell="1" allowOverlap="1" wp14:anchorId="6899BAF9" wp14:editId="3B488B60">
                <wp:simplePos x="0" y="0"/>
                <wp:positionH relativeFrom="page">
                  <wp:posOffset>571500</wp:posOffset>
                </wp:positionH>
                <wp:positionV relativeFrom="page">
                  <wp:posOffset>466725</wp:posOffset>
                </wp:positionV>
                <wp:extent cx="2249805" cy="554355"/>
                <wp:effectExtent l="0" t="0" r="0" b="0"/>
                <wp:wrapSquare wrapText="bothSides"/>
                <wp:docPr id="36"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37"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41"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42"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9A772" id="Group 24" o:spid="_x0000_s1026" style="position:absolute;margin-left:45pt;margin-top:36.7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">
                <o:lock v:ext="edit" aspectratio="t"/>
                <v:rect id="Rectangle 9" o:spid="_x0000_s1027" style="position:absolute;left:1215;top:901;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" fillcolor="#0071bc" stroked="f">
                  <o:lock v:ext="edit" aspectratio="t"/>
                </v:rect>
                <v:rect id="Rectangle 10" o:spid="_x0000_s1028" style="position:absolute;left:567;top:1131;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" fillcolor="#0071bc" stroked="f">
                  <o:lock v:ext="edit" aspectratio="t"/>
                </v:rect>
                <v:rect id="Rectangle 11" o:spid="_x0000_s1029" style="position:absolute;left:1288;top:1361;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Pr>
          <w:noProof/>
        </w:rPr>
        <mc:AlternateContent>
          <mc:Choice Requires="wps">
            <w:drawing>
              <wp:anchor distT="0" distB="0" distL="114300" distR="114300" simplePos="0" relativeHeight="251656704" behindDoc="0" locked="1" layoutInCell="1" allowOverlap="1" wp14:anchorId="6CA6E129" wp14:editId="3E0A685C">
                <wp:simplePos x="0" y="0"/>
                <wp:positionH relativeFrom="page">
                  <wp:posOffset>1705610</wp:posOffset>
                </wp:positionH>
                <wp:positionV relativeFrom="page">
                  <wp:posOffset>8173085</wp:posOffset>
                </wp:positionV>
                <wp:extent cx="5130165" cy="925195"/>
                <wp:effectExtent l="0" t="0" r="0" b="0"/>
                <wp:wrapNone/>
                <wp:docPr id="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22995C77" w14:textId="77777777" w:rsidR="00A37CD1" w:rsidRPr="006C5577" w:rsidRDefault="00A37CD1" w:rsidP="004924DC">
                            <w:r>
                              <w:t>Zpracoval: Odbor statistik rozvoje společnosti</w:t>
                            </w:r>
                          </w:p>
                          <w:p w14:paraId="707CF6BA" w14:textId="77777777" w:rsidR="00A37CD1" w:rsidRPr="006C5577" w:rsidRDefault="00A37CD1" w:rsidP="004924DC">
                            <w:r w:rsidRPr="006C5577">
                              <w:t xml:space="preserve">Ředitel odboru: </w:t>
                            </w:r>
                            <w:r>
                              <w:t>Ing. Martin Mana</w:t>
                            </w:r>
                          </w:p>
                          <w:p w14:paraId="051231F0" w14:textId="77777777" w:rsidR="00A37CD1" w:rsidRPr="006C5577" w:rsidRDefault="00A37CD1" w:rsidP="0049175C">
                            <w:r w:rsidRPr="006C5577">
                              <w:t xml:space="preserve">Kontaktní osoba: </w:t>
                            </w:r>
                            <w:r>
                              <w:t xml:space="preserve">Ing. Alena Hykyšová, e-mail: </w:t>
                            </w:r>
                            <w:hyperlink r:id="rId8" w:history="1">
                              <w:r w:rsidRPr="000C78A4">
                                <w:rPr>
                                  <w:rStyle w:val="Hypertextovodkaz"/>
                                </w:rPr>
                                <w:t>alena.hykysova@czso.cz</w:t>
                              </w:r>
                            </w:hyperlink>
                            <w:r>
                              <w:t xml:space="preserve"> </w:t>
                            </w:r>
                          </w:p>
                          <w:p w14:paraId="26127B1D" w14:textId="77777777" w:rsidR="00A37CD1" w:rsidRPr="006C5577" w:rsidRDefault="00A37CD1" w:rsidP="004924DC"/>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6E129" id="_x0000_t202" coordsize="21600,21600" o:spt="202" path="m,l,21600r21600,l21600,xe">
                <v:stroke joinstyle="miter"/>
                <v:path gradientshapeok="t" o:connecttype="rect"/>
              </v:shapetype>
              <v:shape id="Textové pole 2" o:spid="_x0000_s1026" type="#_x0000_t202" style="position:absolute;margin-left:134.3pt;margin-top:643.55pt;width:403.95pt;height:7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" filled="f" stroked="f">
                <v:textbox inset="0,0,0,0">
                  <w:txbxContent>
                    <w:p w14:paraId="22995C77" w14:textId="77777777" w:rsidR="00A37CD1" w:rsidRPr="006C5577" w:rsidRDefault="00A37CD1" w:rsidP="004924DC">
                      <w:r>
                        <w:t>Zpracoval: Odbor statistik rozvoje společnosti</w:t>
                      </w:r>
                    </w:p>
                    <w:p w14:paraId="707CF6BA" w14:textId="77777777" w:rsidR="00A37CD1" w:rsidRPr="006C5577" w:rsidRDefault="00A37CD1" w:rsidP="004924DC">
                      <w:r w:rsidRPr="006C5577">
                        <w:t xml:space="preserve">Ředitel odboru: </w:t>
                      </w:r>
                      <w:r>
                        <w:t>Ing. Martin Mana</w:t>
                      </w:r>
                    </w:p>
                    <w:p w14:paraId="051231F0" w14:textId="77777777" w:rsidR="00A37CD1" w:rsidRPr="006C5577" w:rsidRDefault="00A37CD1" w:rsidP="0049175C">
                      <w:r w:rsidRPr="006C5577">
                        <w:t xml:space="preserve">Kontaktní osoba: </w:t>
                      </w:r>
                      <w:r>
                        <w:t xml:space="preserve">Ing. Alena Hykyšová, e-mail: </w:t>
                      </w:r>
                      <w:hyperlink r:id="rId9" w:history="1">
                        <w:r w:rsidRPr="000C78A4">
                          <w:rPr>
                            <w:rStyle w:val="Hypertextovodkaz"/>
                          </w:rPr>
                          <w:t>alena.hykysova@czso.cz</w:t>
                        </w:r>
                      </w:hyperlink>
                      <w:r>
                        <w:t xml:space="preserve"> </w:t>
                      </w:r>
                    </w:p>
                    <w:p w14:paraId="26127B1D" w14:textId="77777777" w:rsidR="00A37CD1" w:rsidRPr="006C5577" w:rsidRDefault="00A37CD1" w:rsidP="004924DC"/>
                  </w:txbxContent>
                </v:textbox>
                <w10:wrap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1" wp14:anchorId="5918C1A7" wp14:editId="51193A58">
                <wp:simplePos x="0" y="0"/>
                <wp:positionH relativeFrom="page">
                  <wp:posOffset>1710055</wp:posOffset>
                </wp:positionH>
                <wp:positionV relativeFrom="page">
                  <wp:posOffset>4680585</wp:posOffset>
                </wp:positionV>
                <wp:extent cx="5129530" cy="1686560"/>
                <wp:effectExtent l="0" t="0" r="0" b="0"/>
                <wp:wrapNone/>
                <wp:docPr id="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472A0A52" w14:textId="77777777" w:rsidR="00A37CD1" w:rsidRPr="004924DC" w:rsidRDefault="00A37CD1" w:rsidP="004924DC">
                            <w:pPr>
                              <w:pStyle w:val="TLIdentifikace-sted"/>
                            </w:pPr>
                            <w:r>
                              <w:t>Lidé a společnost</w:t>
                            </w:r>
                          </w:p>
                          <w:p w14:paraId="32DACB40" w14:textId="2B30ECC7" w:rsidR="00A37CD1" w:rsidRPr="004924DC" w:rsidRDefault="00A37CD1" w:rsidP="004924DC">
                            <w:pPr>
                              <w:pStyle w:val="TLIdentifikace-sted"/>
                            </w:pPr>
                            <w:r>
                              <w:t>Praha, 31. 5. 2019</w:t>
                            </w:r>
                          </w:p>
                          <w:p w14:paraId="0EB41977" w14:textId="77777777" w:rsidR="00A37CD1" w:rsidRPr="004924DC" w:rsidRDefault="00A37CD1" w:rsidP="004924DC">
                            <w:pPr>
                              <w:pStyle w:val="TLIdentifikace-sted"/>
                            </w:pPr>
                            <w:r w:rsidRPr="004924DC">
                              <w:t xml:space="preserve">Kód publikace: </w:t>
                            </w:r>
                            <w:r w:rsidRPr="0083799B">
                              <w:t>260004-18</w:t>
                            </w:r>
                          </w:p>
                          <w:p w14:paraId="2E419B16" w14:textId="71A57A68" w:rsidR="00A37CD1" w:rsidRPr="004924DC" w:rsidRDefault="00A37CD1" w:rsidP="004924DC">
                            <w:pPr>
                              <w:pStyle w:val="TLIdentifikace-sted"/>
                            </w:pPr>
                            <w:r w:rsidRPr="004924DC">
                              <w:t xml:space="preserve">Č. j.: </w:t>
                            </w:r>
                            <w:r w:rsidRPr="008E6108">
                              <w:t>CSU-1974/2019-63</w:t>
                            </w:r>
                          </w:p>
                          <w:p w14:paraId="25E75EF4" w14:textId="77777777" w:rsidR="00A37CD1" w:rsidRPr="004924DC" w:rsidRDefault="00A37CD1" w:rsidP="004924DC">
                            <w:pPr>
                              <w:pStyle w:val="TLIdentifikace-sted"/>
                            </w:pPr>
                            <w:r w:rsidRPr="004924DC">
                              <w:t xml:space="preserve">Pořadové číslo v roce: </w:t>
                            </w:r>
                            <w: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918C1A7" id="_x0000_s1027" type="#_x0000_t202" style="position:absolute;margin-left:134.65pt;margin-top:368.55pt;width:403.9pt;height:13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" filled="f" stroked="f">
                <v:textbox style="mso-fit-shape-to-text:t" inset="0,0,0,0">
                  <w:txbxContent>
                    <w:p w14:paraId="472A0A52" w14:textId="77777777" w:rsidR="00A37CD1" w:rsidRPr="004924DC" w:rsidRDefault="00A37CD1" w:rsidP="004924DC">
                      <w:pPr>
                        <w:pStyle w:val="TLIdentifikace-sted"/>
                      </w:pPr>
                      <w:r>
                        <w:t>Lidé a společnost</w:t>
                      </w:r>
                    </w:p>
                    <w:p w14:paraId="32DACB40" w14:textId="2B30ECC7" w:rsidR="00A37CD1" w:rsidRPr="004924DC" w:rsidRDefault="00A37CD1" w:rsidP="004924DC">
                      <w:pPr>
                        <w:pStyle w:val="TLIdentifikace-sted"/>
                      </w:pPr>
                      <w:r>
                        <w:t>Praha, 31. 5. 2019</w:t>
                      </w:r>
                    </w:p>
                    <w:p w14:paraId="0EB41977" w14:textId="77777777" w:rsidR="00A37CD1" w:rsidRPr="004924DC" w:rsidRDefault="00A37CD1" w:rsidP="004924DC">
                      <w:pPr>
                        <w:pStyle w:val="TLIdentifikace-sted"/>
                      </w:pPr>
                      <w:r w:rsidRPr="004924DC">
                        <w:t xml:space="preserve">Kód publikace: </w:t>
                      </w:r>
                      <w:r w:rsidRPr="0083799B">
                        <w:t>260004-18</w:t>
                      </w:r>
                    </w:p>
                    <w:p w14:paraId="2E419B16" w14:textId="71A57A68" w:rsidR="00A37CD1" w:rsidRPr="004924DC" w:rsidRDefault="00A37CD1" w:rsidP="004924DC">
                      <w:pPr>
                        <w:pStyle w:val="TLIdentifikace-sted"/>
                      </w:pPr>
                      <w:r w:rsidRPr="004924DC">
                        <w:t xml:space="preserve">Č. j.: </w:t>
                      </w:r>
                      <w:r w:rsidRPr="008E6108">
                        <w:t>CSU-1974/2019-63</w:t>
                      </w:r>
                    </w:p>
                    <w:p w14:paraId="25E75EF4" w14:textId="77777777" w:rsidR="00A37CD1" w:rsidRPr="004924DC" w:rsidRDefault="00A37CD1" w:rsidP="004924DC">
                      <w:pPr>
                        <w:pStyle w:val="TLIdentifikace-sted"/>
                      </w:pPr>
                      <w:r w:rsidRPr="004924DC">
                        <w:t xml:space="preserve">Pořadové číslo v roce: </w:t>
                      </w:r>
                      <w:r>
                        <w:t>2</w:t>
                      </w:r>
                    </w:p>
                  </w:txbxContent>
                </v:textbox>
                <w10:wrap anchorx="page" anchory="page"/>
                <w10:anchorlock/>
              </v:shape>
            </w:pict>
          </mc:Fallback>
        </mc:AlternateContent>
      </w:r>
      <w:r>
        <w:rPr>
          <w:noProof/>
        </w:rPr>
        <mc:AlternateContent>
          <mc:Choice Requires="wps">
            <w:drawing>
              <wp:anchor distT="0" distB="0" distL="114300" distR="114300" simplePos="0" relativeHeight="251654656" behindDoc="0" locked="1" layoutInCell="1" allowOverlap="1" wp14:anchorId="25CA02E7" wp14:editId="06AD41DF">
                <wp:simplePos x="0" y="0"/>
                <wp:positionH relativeFrom="page">
                  <wp:posOffset>1710055</wp:posOffset>
                </wp:positionH>
                <wp:positionV relativeFrom="page">
                  <wp:posOffset>1476375</wp:posOffset>
                </wp:positionV>
                <wp:extent cx="5129530" cy="1997710"/>
                <wp:effectExtent l="0" t="0" r="0" b="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99771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056AC10B" w14:textId="77777777" w:rsidR="00A37CD1" w:rsidRDefault="00A37CD1" w:rsidP="000E6FBD">
                            <w:pPr>
                              <w:pStyle w:val="Nzev"/>
                            </w:pPr>
                            <w:r>
                              <w:t>PRACOVNÍ NESCHOPNOST PRO NEMOC A ÚRAZ</w:t>
                            </w:r>
                          </w:p>
                          <w:p w14:paraId="6B7C708D" w14:textId="77777777" w:rsidR="00A37CD1" w:rsidRPr="000E6FBD" w:rsidRDefault="00A37CD1" w:rsidP="000E6FBD">
                            <w:pPr>
                              <w:pStyle w:val="Nzev"/>
                            </w:pPr>
                            <w:r>
                              <w:t>V ČESKÉ REPUBLICE</w:t>
                            </w:r>
                          </w:p>
                          <w:p w14:paraId="1FF6BBD9" w14:textId="77777777" w:rsidR="00A37CD1" w:rsidRPr="0012192F" w:rsidRDefault="00A37CD1" w:rsidP="0012192F">
                            <w:pPr>
                              <w:pStyle w:val="Podnadpis"/>
                            </w:pPr>
                          </w:p>
                          <w:p w14:paraId="57913997" w14:textId="77777777" w:rsidR="00A37CD1" w:rsidRPr="00796E73" w:rsidRDefault="00A37CD1" w:rsidP="0012192F">
                            <w:pPr>
                              <w:pStyle w:val="Podnadpis"/>
                              <w:rPr>
                                <w:sz w:val="32"/>
                                <w:szCs w:val="32"/>
                              </w:rPr>
                            </w:pPr>
                            <w:r w:rsidRPr="00796E73">
                              <w:rPr>
                                <w:sz w:val="32"/>
                                <w:szCs w:val="32"/>
                              </w:rPr>
                              <w:t>za rok 201</w:t>
                            </w:r>
                            <w:r>
                              <w:rPr>
                                <w:sz w:val="32"/>
                                <w:szCs w:val="32"/>
                              </w:rPr>
                              <w:t>8</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5CA02E7" id="_x0000_s1028" type="#_x0000_t202" style="position:absolute;margin-left:134.65pt;margin-top:116.25pt;width:403.9pt;height:157.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" filled="f" stroked="f">
                <v:textbox style="mso-fit-shape-to-text:t" inset="0,0,0,0">
                  <w:txbxContent>
                    <w:p w14:paraId="056AC10B" w14:textId="77777777" w:rsidR="00A37CD1" w:rsidRDefault="00A37CD1" w:rsidP="000E6FBD">
                      <w:pPr>
                        <w:pStyle w:val="Nzev"/>
                      </w:pPr>
                      <w:r>
                        <w:t>PRACOVNÍ NESCHOPNOST PRO NEMOC A ÚRAZ</w:t>
                      </w:r>
                    </w:p>
                    <w:p w14:paraId="6B7C708D" w14:textId="77777777" w:rsidR="00A37CD1" w:rsidRPr="000E6FBD" w:rsidRDefault="00A37CD1" w:rsidP="000E6FBD">
                      <w:pPr>
                        <w:pStyle w:val="Nzev"/>
                      </w:pPr>
                      <w:r>
                        <w:t>V ČESKÉ REPUBLICE</w:t>
                      </w:r>
                    </w:p>
                    <w:p w14:paraId="1FF6BBD9" w14:textId="77777777" w:rsidR="00A37CD1" w:rsidRPr="0012192F" w:rsidRDefault="00A37CD1" w:rsidP="0012192F">
                      <w:pPr>
                        <w:pStyle w:val="Podnadpis"/>
                      </w:pPr>
                    </w:p>
                    <w:p w14:paraId="57913997" w14:textId="77777777" w:rsidR="00A37CD1" w:rsidRPr="00796E73" w:rsidRDefault="00A37CD1" w:rsidP="0012192F">
                      <w:pPr>
                        <w:pStyle w:val="Podnadpis"/>
                        <w:rPr>
                          <w:sz w:val="32"/>
                          <w:szCs w:val="32"/>
                        </w:rPr>
                      </w:pPr>
                      <w:r w:rsidRPr="00796E73">
                        <w:rPr>
                          <w:sz w:val="32"/>
                          <w:szCs w:val="32"/>
                        </w:rPr>
                        <w:t>za rok 201</w:t>
                      </w:r>
                      <w:r>
                        <w:rPr>
                          <w:sz w:val="32"/>
                          <w:szCs w:val="32"/>
                        </w:rPr>
                        <w:t>8</w:t>
                      </w:r>
                    </w:p>
                  </w:txbxContent>
                </v:textbox>
                <w10:wrap anchorx="page" anchory="page"/>
                <w10:anchorlock/>
              </v:shape>
            </w:pict>
          </mc:Fallback>
        </mc:AlternateContent>
      </w:r>
      <w:r>
        <w:rPr>
          <w:noProof/>
        </w:rPr>
        <mc:AlternateContent>
          <mc:Choice Requires="wps">
            <w:drawing>
              <wp:anchor distT="0" distB="0" distL="114300" distR="114300" simplePos="0" relativeHeight="251658752" behindDoc="0" locked="1" layoutInCell="1" allowOverlap="1" wp14:anchorId="51DE2C96" wp14:editId="6E3A6235">
                <wp:simplePos x="0" y="0"/>
                <wp:positionH relativeFrom="page">
                  <wp:posOffset>1710055</wp:posOffset>
                </wp:positionH>
                <wp:positionV relativeFrom="page">
                  <wp:posOffset>9649460</wp:posOffset>
                </wp:positionV>
                <wp:extent cx="5130165" cy="179705"/>
                <wp:effectExtent l="0" t="0" r="0" b="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3ADFAA39" w14:textId="77777777" w:rsidR="00A37CD1" w:rsidRPr="004924DC" w:rsidRDefault="00A37CD1" w:rsidP="004924DC">
                            <w:r w:rsidRPr="004924DC">
                              <w:t xml:space="preserve">© Český statistický úřad, </w:t>
                            </w:r>
                            <w:r>
                              <w:t>Praha</w:t>
                            </w:r>
                            <w:r w:rsidRPr="004924DC">
                              <w:t xml:space="preserve">, </w:t>
                            </w:r>
                            <w:r>
                              <w:t>2019</w:t>
                            </w:r>
                          </w:p>
                          <w:p w14:paraId="319229B2" w14:textId="77777777" w:rsidR="00A37CD1" w:rsidRPr="005251DD" w:rsidRDefault="00A37CD1" w:rsidP="00665BA4"/>
                          <w:p w14:paraId="4F565519" w14:textId="77777777" w:rsidR="00A37CD1" w:rsidRPr="005251DD" w:rsidRDefault="00A37CD1" w:rsidP="00FC684B"/>
                          <w:p w14:paraId="3E0B8C34" w14:textId="77777777" w:rsidR="00A37CD1" w:rsidRDefault="00A37CD1"/>
                          <w:p w14:paraId="5C0E84D9" w14:textId="77777777" w:rsidR="00A37CD1" w:rsidRPr="00097407" w:rsidRDefault="00A37CD1"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340B707E" w14:textId="77777777" w:rsidR="00A37CD1" w:rsidRPr="005251DD" w:rsidRDefault="00A37CD1" w:rsidP="00665BA4"/>
                          <w:p w14:paraId="35E76EAF" w14:textId="77777777" w:rsidR="00A37CD1" w:rsidRPr="005251DD" w:rsidRDefault="00A37CD1"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E2C96" id="_x0000_s1029" type="#_x0000_t202" style="position:absolute;margin-left:134.65pt;margin-top:759.8pt;width:403.9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" filled="f" stroked="f">
                <v:textbox inset="0,0,0,0">
                  <w:txbxContent>
                    <w:p w14:paraId="3ADFAA39" w14:textId="77777777" w:rsidR="00A37CD1" w:rsidRPr="004924DC" w:rsidRDefault="00A37CD1" w:rsidP="004924DC">
                      <w:r w:rsidRPr="004924DC">
                        <w:t xml:space="preserve">© Český statistický úřad, </w:t>
                      </w:r>
                      <w:r>
                        <w:t>Praha</w:t>
                      </w:r>
                      <w:r w:rsidRPr="004924DC">
                        <w:t xml:space="preserve">, </w:t>
                      </w:r>
                      <w:r>
                        <w:t>2019</w:t>
                      </w:r>
                    </w:p>
                    <w:p w14:paraId="319229B2" w14:textId="77777777" w:rsidR="00A37CD1" w:rsidRPr="005251DD" w:rsidRDefault="00A37CD1" w:rsidP="00665BA4"/>
                    <w:p w14:paraId="4F565519" w14:textId="77777777" w:rsidR="00A37CD1" w:rsidRPr="005251DD" w:rsidRDefault="00A37CD1" w:rsidP="00FC684B"/>
                    <w:p w14:paraId="3E0B8C34" w14:textId="77777777" w:rsidR="00A37CD1" w:rsidRDefault="00A37CD1"/>
                    <w:p w14:paraId="5C0E84D9" w14:textId="77777777" w:rsidR="00A37CD1" w:rsidRPr="00097407" w:rsidRDefault="00A37CD1"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340B707E" w14:textId="77777777" w:rsidR="00A37CD1" w:rsidRPr="005251DD" w:rsidRDefault="00A37CD1" w:rsidP="00665BA4"/>
                    <w:p w14:paraId="35E76EAF" w14:textId="77777777" w:rsidR="00A37CD1" w:rsidRPr="005251DD" w:rsidRDefault="00A37CD1" w:rsidP="00FC684B"/>
                  </w:txbxContent>
                </v:textbox>
                <w10:wrap anchorx="page" anchory="page"/>
                <w10:anchorlock/>
              </v:shape>
            </w:pict>
          </mc:Fallback>
        </mc:AlternateContent>
      </w:r>
      <w:r>
        <w:rPr>
          <w:noProof/>
        </w:rPr>
        <mc:AlternateContent>
          <mc:Choice Requires="wps">
            <w:drawing>
              <wp:anchor distT="4294967293" distB="4294967293" distL="114300" distR="114300" simplePos="0" relativeHeight="251653632" behindDoc="0" locked="1" layoutInCell="0" allowOverlap="1" wp14:anchorId="53615A12" wp14:editId="34620771">
                <wp:simplePos x="0" y="0"/>
                <wp:positionH relativeFrom="page">
                  <wp:posOffset>1710055</wp:posOffset>
                </wp:positionH>
                <wp:positionV relativeFrom="page">
                  <wp:posOffset>9361169</wp:posOffset>
                </wp:positionV>
                <wp:extent cx="5130165" cy="0"/>
                <wp:effectExtent l="0" t="0" r="13335" b="0"/>
                <wp:wrapNone/>
                <wp:docPr id="19"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0D549C" id="Přímá spojnice 33" o:spid="_x0000_s1026" style="position:absolute;z-index:25165363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Dc0YMm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br w:type="page"/>
      </w:r>
      <w:r w:rsidR="00016992">
        <w:lastRenderedPageBreak/>
        <w:br w:type="page"/>
      </w:r>
      <w:r>
        <w:rPr>
          <w:noProof/>
        </w:rPr>
        <mc:AlternateContent>
          <mc:Choice Requires="wps">
            <w:drawing>
              <wp:anchor distT="0" distB="0" distL="114300" distR="114300" simplePos="0" relativeHeight="251659776" behindDoc="0" locked="1" layoutInCell="1" allowOverlap="1" wp14:anchorId="58C94DBD" wp14:editId="532A0F8D">
                <wp:simplePos x="0" y="0"/>
                <wp:positionH relativeFrom="page">
                  <wp:posOffset>723900</wp:posOffset>
                </wp:positionH>
                <wp:positionV relativeFrom="page">
                  <wp:posOffset>1440180</wp:posOffset>
                </wp:positionV>
                <wp:extent cx="6119495" cy="7690485"/>
                <wp:effectExtent l="0" t="0" r="0" b="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69048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0764E9AA" w14:textId="77777777" w:rsidR="00A37CD1" w:rsidRPr="006F5416" w:rsidRDefault="00A37CD1" w:rsidP="000B30FA">
                            <w:pPr>
                              <w:pStyle w:val="TLKontaktyerven"/>
                            </w:pPr>
                            <w:r w:rsidRPr="006F5416">
                              <w:t>KONTAKTY V ÚSTŘEDÍ</w:t>
                            </w:r>
                          </w:p>
                          <w:p w14:paraId="4564D5FB" w14:textId="77777777" w:rsidR="00A37CD1" w:rsidRPr="007D40DF" w:rsidRDefault="00A37CD1"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4871D301" w14:textId="77777777" w:rsidR="00A37CD1" w:rsidRPr="00D235B7" w:rsidRDefault="00A37CD1"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51B89884" w14:textId="77777777" w:rsidR="00A37CD1" w:rsidRPr="00D235B7" w:rsidRDefault="00A37CD1"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31BFE0E9" w14:textId="77777777" w:rsidR="00A37CD1" w:rsidRPr="00D235B7" w:rsidRDefault="00A37CD1"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29242622" w14:textId="77777777" w:rsidR="00A37CD1" w:rsidRPr="00D235B7" w:rsidRDefault="00A37CD1"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6AD7B7DF" w14:textId="77777777" w:rsidR="00A37CD1" w:rsidRPr="004A61C5" w:rsidRDefault="00A37CD1" w:rsidP="000B30FA">
                            <w:pPr>
                              <w:pStyle w:val="TLKontakty"/>
                              <w:spacing w:after="80" w:line="240" w:lineRule="auto"/>
                              <w:contextualSpacing w:val="0"/>
                              <w:rPr>
                                <w:color w:val="auto"/>
                              </w:rPr>
                            </w:pPr>
                          </w:p>
                          <w:p w14:paraId="70B5D7D3" w14:textId="77777777" w:rsidR="00A37CD1" w:rsidRPr="00D66223" w:rsidRDefault="00A37CD1" w:rsidP="000B30FA">
                            <w:pPr>
                              <w:pStyle w:val="TLKontaktyerven"/>
                            </w:pPr>
                            <w:r w:rsidRPr="00D66223">
                              <w:t>INFORMAČNÍ SLUŽBY V REGIONECH</w:t>
                            </w:r>
                          </w:p>
                          <w:p w14:paraId="0B25B690" w14:textId="77777777" w:rsidR="00A37CD1" w:rsidRPr="00992CF3" w:rsidRDefault="00A37CD1"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0D95DFF" w14:textId="77777777" w:rsidR="00A37CD1" w:rsidRPr="00992CF3" w:rsidRDefault="00A37CD1"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6DF7D581" w14:textId="77777777" w:rsidR="00A37CD1" w:rsidRPr="004A61C5" w:rsidRDefault="00A37CD1" w:rsidP="000B30FA">
                            <w:pPr>
                              <w:pStyle w:val="TLKontakty"/>
                              <w:spacing w:after="80" w:line="240" w:lineRule="auto"/>
                              <w:rPr>
                                <w:color w:val="auto"/>
                              </w:rPr>
                            </w:pPr>
                          </w:p>
                          <w:p w14:paraId="57C695D8" w14:textId="77777777" w:rsidR="00A37CD1" w:rsidRPr="00992CF3" w:rsidRDefault="00A37CD1"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786F7388" w14:textId="77777777" w:rsidR="00A37CD1" w:rsidRPr="00992CF3" w:rsidRDefault="00A37CD1"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66B0101B" w14:textId="77777777" w:rsidR="00A37CD1" w:rsidRPr="004A61C5" w:rsidRDefault="00A37CD1" w:rsidP="000B30FA">
                            <w:pPr>
                              <w:pStyle w:val="TLKontakty"/>
                              <w:spacing w:after="80" w:line="240" w:lineRule="auto"/>
                              <w:rPr>
                                <w:color w:val="auto"/>
                              </w:rPr>
                            </w:pPr>
                          </w:p>
                          <w:p w14:paraId="0B66C4A3" w14:textId="77777777" w:rsidR="00A37CD1" w:rsidRPr="00992CF3" w:rsidRDefault="00A37CD1"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0092591E" w14:textId="77777777" w:rsidR="00A37CD1" w:rsidRPr="00992CF3" w:rsidRDefault="00A37CD1"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09717459" w14:textId="77777777" w:rsidR="00A37CD1" w:rsidRPr="004A61C5" w:rsidRDefault="00A37CD1" w:rsidP="000B30FA">
                            <w:pPr>
                              <w:pStyle w:val="TLKontakty"/>
                              <w:spacing w:after="80" w:line="240" w:lineRule="auto"/>
                              <w:rPr>
                                <w:color w:val="auto"/>
                              </w:rPr>
                            </w:pPr>
                          </w:p>
                          <w:p w14:paraId="60892065" w14:textId="77777777" w:rsidR="00A37CD1" w:rsidRPr="00BC731E" w:rsidRDefault="00A37CD1"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07ACB287"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0749892A" w14:textId="77777777" w:rsidR="00A37CD1" w:rsidRPr="004A61C5" w:rsidRDefault="00A37CD1" w:rsidP="000B30FA">
                            <w:pPr>
                              <w:pStyle w:val="TLKontakty"/>
                              <w:spacing w:after="80" w:line="240" w:lineRule="auto"/>
                              <w:rPr>
                                <w:color w:val="auto"/>
                              </w:rPr>
                            </w:pPr>
                          </w:p>
                          <w:p w14:paraId="2B1FB280" w14:textId="77777777" w:rsidR="00A37CD1" w:rsidRPr="004A61C5" w:rsidRDefault="00A37CD1"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7A0FB2B6"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4747E4A1" w14:textId="77777777" w:rsidR="00A37CD1" w:rsidRPr="004A61C5" w:rsidRDefault="00A37CD1" w:rsidP="000B30FA">
                            <w:pPr>
                              <w:pStyle w:val="TLKontakty"/>
                              <w:spacing w:after="80" w:line="240" w:lineRule="auto"/>
                              <w:rPr>
                                <w:color w:val="auto"/>
                              </w:rPr>
                            </w:pPr>
                          </w:p>
                          <w:p w14:paraId="2C1ADFB6" w14:textId="77777777" w:rsidR="00A37CD1" w:rsidRPr="004A61C5" w:rsidRDefault="00A37CD1"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1E052030"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45B08776" w14:textId="77777777" w:rsidR="00A37CD1" w:rsidRPr="004A61C5" w:rsidRDefault="00A37CD1" w:rsidP="000B30FA">
                            <w:pPr>
                              <w:pStyle w:val="TLKontakty"/>
                              <w:spacing w:after="80" w:line="240" w:lineRule="auto"/>
                              <w:rPr>
                                <w:color w:val="auto"/>
                              </w:rPr>
                            </w:pPr>
                          </w:p>
                          <w:p w14:paraId="20499249" w14:textId="77777777" w:rsidR="00A37CD1" w:rsidRPr="004A61C5" w:rsidRDefault="00A37CD1"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417DBAE2"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0F774B11" w14:textId="77777777" w:rsidR="00A37CD1" w:rsidRPr="004A61C5" w:rsidRDefault="00A37CD1" w:rsidP="000B30FA">
                            <w:pPr>
                              <w:pStyle w:val="TLKontakty"/>
                              <w:spacing w:after="80" w:line="240" w:lineRule="auto"/>
                              <w:rPr>
                                <w:b w:val="0"/>
                                <w:color w:val="auto"/>
                              </w:rPr>
                            </w:pPr>
                          </w:p>
                          <w:p w14:paraId="6E879248" w14:textId="77777777" w:rsidR="00A37CD1" w:rsidRPr="004A61C5" w:rsidRDefault="00A37CD1"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6203BC74"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4461A859" w14:textId="77777777" w:rsidR="00A37CD1" w:rsidRPr="004A61C5" w:rsidRDefault="00A37CD1" w:rsidP="000B30FA">
                            <w:pPr>
                              <w:pStyle w:val="TLKontakty"/>
                              <w:spacing w:after="80" w:line="240" w:lineRule="auto"/>
                              <w:rPr>
                                <w:color w:val="auto"/>
                              </w:rPr>
                            </w:pPr>
                          </w:p>
                          <w:p w14:paraId="718441FC" w14:textId="77777777" w:rsidR="00A37CD1" w:rsidRPr="004A61C5" w:rsidRDefault="00A37CD1"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79E450B6"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46F9532C" w14:textId="77777777" w:rsidR="00A37CD1" w:rsidRPr="004A61C5" w:rsidRDefault="00A37CD1" w:rsidP="000B30FA">
                            <w:pPr>
                              <w:pStyle w:val="TLKontakty"/>
                              <w:spacing w:after="80" w:line="240" w:lineRule="auto"/>
                              <w:rPr>
                                <w:b w:val="0"/>
                                <w:color w:val="auto"/>
                              </w:rPr>
                            </w:pPr>
                          </w:p>
                          <w:p w14:paraId="65F89EF7" w14:textId="77777777" w:rsidR="00A37CD1" w:rsidRPr="004A61C5" w:rsidRDefault="00A37CD1"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0DF75DB9"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65D33C93" w14:textId="77777777" w:rsidR="00A37CD1" w:rsidRDefault="00A37CD1" w:rsidP="000B30FA">
                            <w:pPr>
                              <w:pStyle w:val="TLKontakty"/>
                              <w:spacing w:after="80" w:line="240" w:lineRule="auto"/>
                            </w:pPr>
                          </w:p>
                          <w:p w14:paraId="73C7C058" w14:textId="77777777" w:rsidR="00A37CD1" w:rsidRPr="00BC731E" w:rsidRDefault="00A37CD1"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512AF437" w14:textId="77777777" w:rsidR="00A37CD1" w:rsidRPr="004A61C5" w:rsidRDefault="00A37CD1"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77E7D2BF" w14:textId="77777777" w:rsidR="00A37CD1" w:rsidRPr="004A61C5" w:rsidRDefault="00A37CD1" w:rsidP="000B30FA">
                            <w:pPr>
                              <w:pStyle w:val="TLKontakty"/>
                              <w:spacing w:after="80" w:line="240" w:lineRule="auto"/>
                              <w:rPr>
                                <w:b w:val="0"/>
                                <w:color w:val="auto"/>
                              </w:rPr>
                            </w:pPr>
                          </w:p>
                          <w:p w14:paraId="138CD164" w14:textId="77777777" w:rsidR="00A37CD1" w:rsidRPr="005E7C78" w:rsidRDefault="00A37CD1"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1C49A14D" w14:textId="77777777" w:rsidR="00A37CD1" w:rsidRPr="005E7C78" w:rsidRDefault="00A37CD1"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4FBDD4BF" w14:textId="77777777" w:rsidR="00A37CD1" w:rsidRPr="005E7C78" w:rsidRDefault="00A37CD1" w:rsidP="000B30FA">
                            <w:pPr>
                              <w:pStyle w:val="TLKontakty"/>
                              <w:spacing w:after="80" w:line="240" w:lineRule="auto"/>
                              <w:rPr>
                                <w:b w:val="0"/>
                                <w:color w:val="auto"/>
                              </w:rPr>
                            </w:pPr>
                          </w:p>
                          <w:p w14:paraId="4097920E" w14:textId="77777777" w:rsidR="00A37CD1" w:rsidRPr="005E7C78" w:rsidRDefault="00A37CD1"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11CB07CB" w14:textId="77777777" w:rsidR="00A37CD1" w:rsidRDefault="00A37CD1"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34F6AF05" w14:textId="77777777" w:rsidR="00A37CD1" w:rsidRPr="005E7C78" w:rsidRDefault="00A37CD1" w:rsidP="000B30FA">
                            <w:pPr>
                              <w:pStyle w:val="TLKontakty"/>
                              <w:spacing w:after="80" w:line="240" w:lineRule="auto"/>
                              <w:rPr>
                                <w:b w:val="0"/>
                                <w:color w:val="auto"/>
                              </w:rPr>
                            </w:pPr>
                          </w:p>
                          <w:p w14:paraId="76A51619" w14:textId="77777777" w:rsidR="00A37CD1" w:rsidRPr="005E7C78" w:rsidRDefault="00A37CD1"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364DC1A2" w14:textId="77777777" w:rsidR="00A37CD1" w:rsidRPr="0010437D" w:rsidRDefault="00A37CD1"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8C94DBD" id="_x0000_s1030" type="#_x0000_t202" style="position:absolute;margin-left:57pt;margin-top:113.4pt;width:481.85pt;height:605.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" filled="f" stroked="f">
                <v:textbox style="mso-fit-shape-to-text:t" inset="0,0,0,0">
                  <w:txbxContent>
                    <w:p w14:paraId="0764E9AA" w14:textId="77777777" w:rsidR="00A37CD1" w:rsidRPr="006F5416" w:rsidRDefault="00A37CD1" w:rsidP="000B30FA">
                      <w:pPr>
                        <w:pStyle w:val="TLKontaktyerven"/>
                      </w:pPr>
                      <w:r w:rsidRPr="006F5416">
                        <w:t>KONTAKTY V ÚSTŘEDÍ</w:t>
                      </w:r>
                    </w:p>
                    <w:p w14:paraId="4564D5FB" w14:textId="77777777" w:rsidR="00A37CD1" w:rsidRPr="007D40DF" w:rsidRDefault="00A37CD1"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4871D301" w14:textId="77777777" w:rsidR="00A37CD1" w:rsidRPr="00D235B7" w:rsidRDefault="00A37CD1"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51B89884" w14:textId="77777777" w:rsidR="00A37CD1" w:rsidRPr="00D235B7" w:rsidRDefault="00A37CD1"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31BFE0E9" w14:textId="77777777" w:rsidR="00A37CD1" w:rsidRPr="00D235B7" w:rsidRDefault="00A37CD1"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29242622" w14:textId="77777777" w:rsidR="00A37CD1" w:rsidRPr="00D235B7" w:rsidRDefault="00A37CD1"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6AD7B7DF" w14:textId="77777777" w:rsidR="00A37CD1" w:rsidRPr="004A61C5" w:rsidRDefault="00A37CD1" w:rsidP="000B30FA">
                      <w:pPr>
                        <w:pStyle w:val="TLKontakty"/>
                        <w:spacing w:after="80" w:line="240" w:lineRule="auto"/>
                        <w:contextualSpacing w:val="0"/>
                        <w:rPr>
                          <w:color w:val="auto"/>
                        </w:rPr>
                      </w:pPr>
                    </w:p>
                    <w:p w14:paraId="70B5D7D3" w14:textId="77777777" w:rsidR="00A37CD1" w:rsidRPr="00D66223" w:rsidRDefault="00A37CD1" w:rsidP="000B30FA">
                      <w:pPr>
                        <w:pStyle w:val="TLKontaktyerven"/>
                      </w:pPr>
                      <w:r w:rsidRPr="00D66223">
                        <w:t>INFORMAČNÍ SLUŽBY V REGIONECH</w:t>
                      </w:r>
                    </w:p>
                    <w:p w14:paraId="0B25B690" w14:textId="77777777" w:rsidR="00A37CD1" w:rsidRPr="00992CF3" w:rsidRDefault="00A37CD1"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0D95DFF" w14:textId="77777777" w:rsidR="00A37CD1" w:rsidRPr="00992CF3" w:rsidRDefault="00A37CD1"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6DF7D581" w14:textId="77777777" w:rsidR="00A37CD1" w:rsidRPr="004A61C5" w:rsidRDefault="00A37CD1" w:rsidP="000B30FA">
                      <w:pPr>
                        <w:pStyle w:val="TLKontakty"/>
                        <w:spacing w:after="80" w:line="240" w:lineRule="auto"/>
                        <w:rPr>
                          <w:color w:val="auto"/>
                        </w:rPr>
                      </w:pPr>
                    </w:p>
                    <w:p w14:paraId="57C695D8" w14:textId="77777777" w:rsidR="00A37CD1" w:rsidRPr="00992CF3" w:rsidRDefault="00A37CD1"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786F7388" w14:textId="77777777" w:rsidR="00A37CD1" w:rsidRPr="00992CF3" w:rsidRDefault="00A37CD1"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66B0101B" w14:textId="77777777" w:rsidR="00A37CD1" w:rsidRPr="004A61C5" w:rsidRDefault="00A37CD1" w:rsidP="000B30FA">
                      <w:pPr>
                        <w:pStyle w:val="TLKontakty"/>
                        <w:spacing w:after="80" w:line="240" w:lineRule="auto"/>
                        <w:rPr>
                          <w:color w:val="auto"/>
                        </w:rPr>
                      </w:pPr>
                    </w:p>
                    <w:p w14:paraId="0B66C4A3" w14:textId="77777777" w:rsidR="00A37CD1" w:rsidRPr="00992CF3" w:rsidRDefault="00A37CD1"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0092591E" w14:textId="77777777" w:rsidR="00A37CD1" w:rsidRPr="00992CF3" w:rsidRDefault="00A37CD1"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09717459" w14:textId="77777777" w:rsidR="00A37CD1" w:rsidRPr="004A61C5" w:rsidRDefault="00A37CD1" w:rsidP="000B30FA">
                      <w:pPr>
                        <w:pStyle w:val="TLKontakty"/>
                        <w:spacing w:after="80" w:line="240" w:lineRule="auto"/>
                        <w:rPr>
                          <w:color w:val="auto"/>
                        </w:rPr>
                      </w:pPr>
                    </w:p>
                    <w:p w14:paraId="60892065" w14:textId="77777777" w:rsidR="00A37CD1" w:rsidRPr="00BC731E" w:rsidRDefault="00A37CD1"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07ACB287"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0749892A" w14:textId="77777777" w:rsidR="00A37CD1" w:rsidRPr="004A61C5" w:rsidRDefault="00A37CD1" w:rsidP="000B30FA">
                      <w:pPr>
                        <w:pStyle w:val="TLKontakty"/>
                        <w:spacing w:after="80" w:line="240" w:lineRule="auto"/>
                        <w:rPr>
                          <w:color w:val="auto"/>
                        </w:rPr>
                      </w:pPr>
                    </w:p>
                    <w:p w14:paraId="2B1FB280" w14:textId="77777777" w:rsidR="00A37CD1" w:rsidRPr="004A61C5" w:rsidRDefault="00A37CD1"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7A0FB2B6"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4747E4A1" w14:textId="77777777" w:rsidR="00A37CD1" w:rsidRPr="004A61C5" w:rsidRDefault="00A37CD1" w:rsidP="000B30FA">
                      <w:pPr>
                        <w:pStyle w:val="TLKontakty"/>
                        <w:spacing w:after="80" w:line="240" w:lineRule="auto"/>
                        <w:rPr>
                          <w:color w:val="auto"/>
                        </w:rPr>
                      </w:pPr>
                    </w:p>
                    <w:p w14:paraId="2C1ADFB6" w14:textId="77777777" w:rsidR="00A37CD1" w:rsidRPr="004A61C5" w:rsidRDefault="00A37CD1"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1E052030"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45B08776" w14:textId="77777777" w:rsidR="00A37CD1" w:rsidRPr="004A61C5" w:rsidRDefault="00A37CD1" w:rsidP="000B30FA">
                      <w:pPr>
                        <w:pStyle w:val="TLKontakty"/>
                        <w:spacing w:after="80" w:line="240" w:lineRule="auto"/>
                        <w:rPr>
                          <w:color w:val="auto"/>
                        </w:rPr>
                      </w:pPr>
                    </w:p>
                    <w:p w14:paraId="20499249" w14:textId="77777777" w:rsidR="00A37CD1" w:rsidRPr="004A61C5" w:rsidRDefault="00A37CD1"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417DBAE2"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0F774B11" w14:textId="77777777" w:rsidR="00A37CD1" w:rsidRPr="004A61C5" w:rsidRDefault="00A37CD1" w:rsidP="000B30FA">
                      <w:pPr>
                        <w:pStyle w:val="TLKontakty"/>
                        <w:spacing w:after="80" w:line="240" w:lineRule="auto"/>
                        <w:rPr>
                          <w:b w:val="0"/>
                          <w:color w:val="auto"/>
                        </w:rPr>
                      </w:pPr>
                    </w:p>
                    <w:p w14:paraId="6E879248" w14:textId="77777777" w:rsidR="00A37CD1" w:rsidRPr="004A61C5" w:rsidRDefault="00A37CD1"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6203BC74"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4461A859" w14:textId="77777777" w:rsidR="00A37CD1" w:rsidRPr="004A61C5" w:rsidRDefault="00A37CD1" w:rsidP="000B30FA">
                      <w:pPr>
                        <w:pStyle w:val="TLKontakty"/>
                        <w:spacing w:after="80" w:line="240" w:lineRule="auto"/>
                        <w:rPr>
                          <w:color w:val="auto"/>
                        </w:rPr>
                      </w:pPr>
                    </w:p>
                    <w:p w14:paraId="718441FC" w14:textId="77777777" w:rsidR="00A37CD1" w:rsidRPr="004A61C5" w:rsidRDefault="00A37CD1"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79E450B6"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46F9532C" w14:textId="77777777" w:rsidR="00A37CD1" w:rsidRPr="004A61C5" w:rsidRDefault="00A37CD1" w:rsidP="000B30FA">
                      <w:pPr>
                        <w:pStyle w:val="TLKontakty"/>
                        <w:spacing w:after="80" w:line="240" w:lineRule="auto"/>
                        <w:rPr>
                          <w:b w:val="0"/>
                          <w:color w:val="auto"/>
                        </w:rPr>
                      </w:pPr>
                    </w:p>
                    <w:p w14:paraId="65F89EF7" w14:textId="77777777" w:rsidR="00A37CD1" w:rsidRPr="004A61C5" w:rsidRDefault="00A37CD1"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0DF75DB9" w14:textId="77777777" w:rsidR="00A37CD1" w:rsidRPr="004A61C5" w:rsidRDefault="00A37CD1"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65D33C93" w14:textId="77777777" w:rsidR="00A37CD1" w:rsidRDefault="00A37CD1" w:rsidP="000B30FA">
                      <w:pPr>
                        <w:pStyle w:val="TLKontakty"/>
                        <w:spacing w:after="80" w:line="240" w:lineRule="auto"/>
                      </w:pPr>
                    </w:p>
                    <w:p w14:paraId="73C7C058" w14:textId="77777777" w:rsidR="00A37CD1" w:rsidRPr="00BC731E" w:rsidRDefault="00A37CD1"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512AF437" w14:textId="77777777" w:rsidR="00A37CD1" w:rsidRPr="004A61C5" w:rsidRDefault="00A37CD1"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77E7D2BF" w14:textId="77777777" w:rsidR="00A37CD1" w:rsidRPr="004A61C5" w:rsidRDefault="00A37CD1" w:rsidP="000B30FA">
                      <w:pPr>
                        <w:pStyle w:val="TLKontakty"/>
                        <w:spacing w:after="80" w:line="240" w:lineRule="auto"/>
                        <w:rPr>
                          <w:b w:val="0"/>
                          <w:color w:val="auto"/>
                        </w:rPr>
                      </w:pPr>
                    </w:p>
                    <w:p w14:paraId="138CD164" w14:textId="77777777" w:rsidR="00A37CD1" w:rsidRPr="005E7C78" w:rsidRDefault="00A37CD1"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1C49A14D" w14:textId="77777777" w:rsidR="00A37CD1" w:rsidRPr="005E7C78" w:rsidRDefault="00A37CD1"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4FBDD4BF" w14:textId="77777777" w:rsidR="00A37CD1" w:rsidRPr="005E7C78" w:rsidRDefault="00A37CD1" w:rsidP="000B30FA">
                      <w:pPr>
                        <w:pStyle w:val="TLKontakty"/>
                        <w:spacing w:after="80" w:line="240" w:lineRule="auto"/>
                        <w:rPr>
                          <w:b w:val="0"/>
                          <w:color w:val="auto"/>
                        </w:rPr>
                      </w:pPr>
                    </w:p>
                    <w:p w14:paraId="4097920E" w14:textId="77777777" w:rsidR="00A37CD1" w:rsidRPr="005E7C78" w:rsidRDefault="00A37CD1"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11CB07CB" w14:textId="77777777" w:rsidR="00A37CD1" w:rsidRDefault="00A37CD1"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34F6AF05" w14:textId="77777777" w:rsidR="00A37CD1" w:rsidRPr="005E7C78" w:rsidRDefault="00A37CD1" w:rsidP="000B30FA">
                      <w:pPr>
                        <w:pStyle w:val="TLKontakty"/>
                        <w:spacing w:after="80" w:line="240" w:lineRule="auto"/>
                        <w:rPr>
                          <w:b w:val="0"/>
                          <w:color w:val="auto"/>
                        </w:rPr>
                      </w:pPr>
                    </w:p>
                    <w:p w14:paraId="76A51619" w14:textId="77777777" w:rsidR="00A37CD1" w:rsidRPr="005E7C78" w:rsidRDefault="00A37CD1"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364DC1A2" w14:textId="77777777" w:rsidR="00A37CD1" w:rsidRPr="0010437D" w:rsidRDefault="00A37CD1"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r>
        <w:rPr>
          <w:noProof/>
        </w:rPr>
        <mc:AlternateContent>
          <mc:Choice Requires="wps">
            <w:drawing>
              <wp:anchor distT="0" distB="0" distL="114300" distR="114300" simplePos="0" relativeHeight="251661824" behindDoc="0" locked="1" layoutInCell="1" allowOverlap="1" wp14:anchorId="3DB82666" wp14:editId="29DF1818">
                <wp:simplePos x="0" y="0"/>
                <wp:positionH relativeFrom="page">
                  <wp:posOffset>720090</wp:posOffset>
                </wp:positionH>
                <wp:positionV relativeFrom="page">
                  <wp:posOffset>9486900</wp:posOffset>
                </wp:positionV>
                <wp:extent cx="6120130" cy="360045"/>
                <wp:effectExtent l="0" t="0" r="0" b="0"/>
                <wp:wrapNone/>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58BFDB2A" w14:textId="0BF0F3C1" w:rsidR="00A37CD1" w:rsidRPr="00AF2852" w:rsidRDefault="00A37CD1" w:rsidP="0047139E">
                            <w:pPr>
                              <w:spacing w:after="0" w:line="240" w:lineRule="auto"/>
                            </w:pPr>
                            <w:r w:rsidRPr="00321924">
                              <w:t xml:space="preserve">© Český statistický úřad, </w:t>
                            </w:r>
                            <w:r>
                              <w:t>Praha</w:t>
                            </w:r>
                            <w:r w:rsidRPr="00321924">
                              <w:t xml:space="preserve">, </w:t>
                            </w:r>
                            <w:r>
                              <w:t>2019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82666" id="_x0000_s1031" type="#_x0000_t202" style="position:absolute;margin-left:56.7pt;margin-top:747pt;width:481.9pt;height:2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" filled="f" stroked="f">
                <v:textbox inset="0,0,0,0">
                  <w:txbxContent>
                    <w:p w14:paraId="58BFDB2A" w14:textId="0BF0F3C1" w:rsidR="00A37CD1" w:rsidRPr="00AF2852" w:rsidRDefault="00A37CD1" w:rsidP="0047139E">
                      <w:pPr>
                        <w:spacing w:after="0" w:line="240" w:lineRule="auto"/>
                      </w:pPr>
                      <w:r w:rsidRPr="00321924">
                        <w:t xml:space="preserve">© Český statistický úřad, </w:t>
                      </w:r>
                      <w:r>
                        <w:t>Praha</w:t>
                      </w:r>
                      <w:r w:rsidRPr="00321924">
                        <w:t xml:space="preserve">, </w:t>
                      </w:r>
                      <w:r>
                        <w:t>2019</w:t>
                      </w:r>
                    </w:p>
                  </w:txbxContent>
                </v:textbox>
                <w10:wrap anchorx="page" anchory="page"/>
                <w10:anchorlock/>
              </v:shape>
            </w:pict>
          </mc:Fallback>
        </mc:AlternateContent>
      </w:r>
      <w:r>
        <w:rPr>
          <w:noProof/>
        </w:rPr>
        <mc:AlternateContent>
          <mc:Choice Requires="wps">
            <w:drawing>
              <wp:anchor distT="0" distB="0" distL="114300" distR="114300" simplePos="0" relativeHeight="251660800" behindDoc="0" locked="1" layoutInCell="1" allowOverlap="1" wp14:anchorId="5CA5EF9E" wp14:editId="689AD0FA">
                <wp:simplePos x="0" y="0"/>
                <wp:positionH relativeFrom="page">
                  <wp:posOffset>723265</wp:posOffset>
                </wp:positionH>
                <wp:positionV relativeFrom="page">
                  <wp:posOffset>723265</wp:posOffset>
                </wp:positionV>
                <wp:extent cx="6119495" cy="572770"/>
                <wp:effectExtent l="0" t="0" r="0" b="0"/>
                <wp:wrapNone/>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7277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03EB7131" w14:textId="77777777" w:rsidR="00A37CD1" w:rsidRPr="009A1902" w:rsidRDefault="00A37CD1"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CA5EF9E" id="_x0000_s1032" type="#_x0000_t202" style="position:absolute;margin-left:56.95pt;margin-top:56.95pt;width:481.85pt;height: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DRSQIAAEI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" filled="f" stroked="f">
                <v:textbox style="mso-fit-shape-to-text:t" inset="0,0,0,0">
                  <w:txbxContent>
                    <w:p w14:paraId="03EB7131" w14:textId="77777777" w:rsidR="00A37CD1" w:rsidRPr="009A1902" w:rsidRDefault="00A37CD1"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mc:Fallback>
        </mc:AlternateContent>
      </w:r>
    </w:p>
    <w:p w14:paraId="1E04EB7C" w14:textId="77777777" w:rsidR="00EE4B1B" w:rsidRPr="006F5416" w:rsidRDefault="00EE4B1B" w:rsidP="006F5416">
      <w:pPr>
        <w:pStyle w:val="Obsah"/>
      </w:pPr>
      <w:r w:rsidRPr="006F5416">
        <w:lastRenderedPageBreak/>
        <w:t>Obsah</w:t>
      </w:r>
    </w:p>
    <w:p w14:paraId="228646E1" w14:textId="6F1D9887" w:rsidR="001861BD" w:rsidRDefault="00E5051B">
      <w:pPr>
        <w:pStyle w:val="Obsah1"/>
        <w:rPr>
          <w:rFonts w:asciiTheme="minorHAnsi" w:eastAsiaTheme="minorEastAsia" w:hAnsiTheme="minorHAnsi" w:cstheme="minorBidi"/>
          <w:noProof/>
          <w:sz w:val="22"/>
          <w:szCs w:val="22"/>
        </w:rPr>
      </w:pPr>
      <w:r>
        <w:rPr>
          <w:b/>
        </w:rPr>
        <w:fldChar w:fldCharType="begin"/>
      </w:r>
      <w:r w:rsidR="00C62BD6">
        <w:rPr>
          <w:b/>
        </w:rPr>
        <w:instrText xml:space="preserve"> TOC \o "1-3" \h \z \u </w:instrText>
      </w:r>
      <w:r>
        <w:rPr>
          <w:b/>
        </w:rPr>
        <w:fldChar w:fldCharType="separate"/>
      </w:r>
      <w:hyperlink w:anchor="_Toc10117307" w:history="1">
        <w:r w:rsidR="001861BD" w:rsidRPr="008906FD">
          <w:rPr>
            <w:rStyle w:val="Hypertextovodkaz"/>
            <w:noProof/>
          </w:rPr>
          <w:t>1. Úvod</w:t>
        </w:r>
        <w:r w:rsidR="001861BD">
          <w:rPr>
            <w:noProof/>
            <w:webHidden/>
          </w:rPr>
          <w:tab/>
        </w:r>
        <w:r w:rsidR="001861BD">
          <w:rPr>
            <w:noProof/>
            <w:webHidden/>
          </w:rPr>
          <w:fldChar w:fldCharType="begin"/>
        </w:r>
        <w:r w:rsidR="001861BD">
          <w:rPr>
            <w:noProof/>
            <w:webHidden/>
          </w:rPr>
          <w:instrText xml:space="preserve"> PAGEREF _Toc10117307 \h </w:instrText>
        </w:r>
        <w:r w:rsidR="001861BD">
          <w:rPr>
            <w:noProof/>
            <w:webHidden/>
          </w:rPr>
        </w:r>
        <w:r w:rsidR="001861BD">
          <w:rPr>
            <w:noProof/>
            <w:webHidden/>
          </w:rPr>
          <w:fldChar w:fldCharType="separate"/>
        </w:r>
        <w:r w:rsidR="004426F5">
          <w:rPr>
            <w:noProof/>
            <w:webHidden/>
          </w:rPr>
          <w:t>4</w:t>
        </w:r>
        <w:r w:rsidR="001861BD">
          <w:rPr>
            <w:noProof/>
            <w:webHidden/>
          </w:rPr>
          <w:fldChar w:fldCharType="end"/>
        </w:r>
      </w:hyperlink>
    </w:p>
    <w:p w14:paraId="1459DD57" w14:textId="3C22708D" w:rsidR="001861BD" w:rsidRDefault="0030372D">
      <w:pPr>
        <w:pStyle w:val="Obsah1"/>
        <w:rPr>
          <w:rFonts w:asciiTheme="minorHAnsi" w:eastAsiaTheme="minorEastAsia" w:hAnsiTheme="minorHAnsi" w:cstheme="minorBidi"/>
          <w:noProof/>
          <w:sz w:val="22"/>
          <w:szCs w:val="22"/>
        </w:rPr>
      </w:pPr>
      <w:hyperlink w:anchor="_Toc10117308" w:history="1">
        <w:r w:rsidR="001861BD" w:rsidRPr="008906FD">
          <w:rPr>
            <w:rStyle w:val="Hypertextovodkaz"/>
            <w:noProof/>
          </w:rPr>
          <w:t>2. Legislativní úprava nemocenského pojištění</w:t>
        </w:r>
        <w:r w:rsidR="001861BD">
          <w:rPr>
            <w:noProof/>
            <w:webHidden/>
          </w:rPr>
          <w:tab/>
        </w:r>
        <w:r w:rsidR="001861BD">
          <w:rPr>
            <w:noProof/>
            <w:webHidden/>
          </w:rPr>
          <w:fldChar w:fldCharType="begin"/>
        </w:r>
        <w:r w:rsidR="001861BD">
          <w:rPr>
            <w:noProof/>
            <w:webHidden/>
          </w:rPr>
          <w:instrText xml:space="preserve"> PAGEREF _Toc10117308 \h </w:instrText>
        </w:r>
        <w:r w:rsidR="001861BD">
          <w:rPr>
            <w:noProof/>
            <w:webHidden/>
          </w:rPr>
        </w:r>
        <w:r w:rsidR="001861BD">
          <w:rPr>
            <w:noProof/>
            <w:webHidden/>
          </w:rPr>
          <w:fldChar w:fldCharType="separate"/>
        </w:r>
        <w:r w:rsidR="004426F5">
          <w:rPr>
            <w:noProof/>
            <w:webHidden/>
          </w:rPr>
          <w:t>6</w:t>
        </w:r>
        <w:r w:rsidR="001861BD">
          <w:rPr>
            <w:noProof/>
            <w:webHidden/>
          </w:rPr>
          <w:fldChar w:fldCharType="end"/>
        </w:r>
      </w:hyperlink>
    </w:p>
    <w:p w14:paraId="568CFD8A" w14:textId="3549831D" w:rsidR="001861BD" w:rsidRDefault="0030372D">
      <w:pPr>
        <w:pStyle w:val="Obsah1"/>
        <w:rPr>
          <w:rFonts w:asciiTheme="minorHAnsi" w:eastAsiaTheme="minorEastAsia" w:hAnsiTheme="minorHAnsi" w:cstheme="minorBidi"/>
          <w:noProof/>
          <w:sz w:val="22"/>
          <w:szCs w:val="22"/>
        </w:rPr>
      </w:pPr>
      <w:hyperlink w:anchor="_Toc10117309" w:history="1">
        <w:r w:rsidR="001861BD" w:rsidRPr="008906FD">
          <w:rPr>
            <w:rStyle w:val="Hypertextovodkaz"/>
            <w:noProof/>
          </w:rPr>
          <w:t>3. Metodická část, zdroje dat</w:t>
        </w:r>
        <w:r w:rsidR="001861BD">
          <w:rPr>
            <w:noProof/>
            <w:webHidden/>
          </w:rPr>
          <w:tab/>
        </w:r>
        <w:r w:rsidR="001861BD">
          <w:rPr>
            <w:noProof/>
            <w:webHidden/>
          </w:rPr>
          <w:fldChar w:fldCharType="begin"/>
        </w:r>
        <w:r w:rsidR="001861BD">
          <w:rPr>
            <w:noProof/>
            <w:webHidden/>
          </w:rPr>
          <w:instrText xml:space="preserve"> PAGEREF _Toc10117309 \h </w:instrText>
        </w:r>
        <w:r w:rsidR="001861BD">
          <w:rPr>
            <w:noProof/>
            <w:webHidden/>
          </w:rPr>
        </w:r>
        <w:r w:rsidR="001861BD">
          <w:rPr>
            <w:noProof/>
            <w:webHidden/>
          </w:rPr>
          <w:fldChar w:fldCharType="separate"/>
        </w:r>
        <w:r w:rsidR="004426F5">
          <w:rPr>
            <w:noProof/>
            <w:webHidden/>
          </w:rPr>
          <w:t>11</w:t>
        </w:r>
        <w:r w:rsidR="001861BD">
          <w:rPr>
            <w:noProof/>
            <w:webHidden/>
          </w:rPr>
          <w:fldChar w:fldCharType="end"/>
        </w:r>
      </w:hyperlink>
    </w:p>
    <w:p w14:paraId="79E7740A" w14:textId="55BF8A5C" w:rsidR="001861BD" w:rsidRDefault="0030372D">
      <w:pPr>
        <w:pStyle w:val="Obsah1"/>
        <w:rPr>
          <w:rFonts w:asciiTheme="minorHAnsi" w:eastAsiaTheme="minorEastAsia" w:hAnsiTheme="minorHAnsi" w:cstheme="minorBidi"/>
          <w:noProof/>
          <w:sz w:val="22"/>
          <w:szCs w:val="22"/>
        </w:rPr>
      </w:pPr>
      <w:hyperlink w:anchor="_Toc10117310" w:history="1">
        <w:r w:rsidR="001861BD" w:rsidRPr="008906FD">
          <w:rPr>
            <w:rStyle w:val="Hypertextovodkaz"/>
            <w:noProof/>
          </w:rPr>
          <w:t>4. Analytická část</w:t>
        </w:r>
        <w:r w:rsidR="001861BD">
          <w:rPr>
            <w:noProof/>
            <w:webHidden/>
          </w:rPr>
          <w:tab/>
        </w:r>
        <w:r w:rsidR="001861BD">
          <w:rPr>
            <w:noProof/>
            <w:webHidden/>
          </w:rPr>
          <w:fldChar w:fldCharType="begin"/>
        </w:r>
        <w:r w:rsidR="001861BD">
          <w:rPr>
            <w:noProof/>
            <w:webHidden/>
          </w:rPr>
          <w:instrText xml:space="preserve"> PAGEREF _Toc10117310 \h </w:instrText>
        </w:r>
        <w:r w:rsidR="001861BD">
          <w:rPr>
            <w:noProof/>
            <w:webHidden/>
          </w:rPr>
        </w:r>
        <w:r w:rsidR="001861BD">
          <w:rPr>
            <w:noProof/>
            <w:webHidden/>
          </w:rPr>
          <w:fldChar w:fldCharType="separate"/>
        </w:r>
        <w:r w:rsidR="004426F5">
          <w:rPr>
            <w:noProof/>
            <w:webHidden/>
          </w:rPr>
          <w:t>14</w:t>
        </w:r>
        <w:r w:rsidR="001861BD">
          <w:rPr>
            <w:noProof/>
            <w:webHidden/>
          </w:rPr>
          <w:fldChar w:fldCharType="end"/>
        </w:r>
      </w:hyperlink>
    </w:p>
    <w:p w14:paraId="3F5BACD4" w14:textId="19F6701E" w:rsidR="001861BD" w:rsidRDefault="0030372D">
      <w:pPr>
        <w:pStyle w:val="Obsah2"/>
        <w:rPr>
          <w:rFonts w:asciiTheme="minorHAnsi" w:eastAsiaTheme="minorEastAsia" w:hAnsiTheme="minorHAnsi" w:cstheme="minorBidi"/>
          <w:noProof/>
          <w:sz w:val="22"/>
          <w:szCs w:val="22"/>
        </w:rPr>
      </w:pPr>
      <w:hyperlink w:anchor="_Toc10117311" w:history="1">
        <w:r w:rsidR="001861BD" w:rsidRPr="008906FD">
          <w:rPr>
            <w:rStyle w:val="Hypertextovodkaz"/>
            <w:noProof/>
          </w:rPr>
          <w:t>4.1 Nemocensky pojištěné osoby</w:t>
        </w:r>
        <w:r w:rsidR="001861BD">
          <w:rPr>
            <w:noProof/>
            <w:webHidden/>
          </w:rPr>
          <w:tab/>
        </w:r>
        <w:r w:rsidR="001861BD">
          <w:rPr>
            <w:noProof/>
            <w:webHidden/>
          </w:rPr>
          <w:fldChar w:fldCharType="begin"/>
        </w:r>
        <w:r w:rsidR="001861BD">
          <w:rPr>
            <w:noProof/>
            <w:webHidden/>
          </w:rPr>
          <w:instrText xml:space="preserve"> PAGEREF _Toc10117311 \h </w:instrText>
        </w:r>
        <w:r w:rsidR="001861BD">
          <w:rPr>
            <w:noProof/>
            <w:webHidden/>
          </w:rPr>
        </w:r>
        <w:r w:rsidR="001861BD">
          <w:rPr>
            <w:noProof/>
            <w:webHidden/>
          </w:rPr>
          <w:fldChar w:fldCharType="separate"/>
        </w:r>
        <w:r w:rsidR="004426F5">
          <w:rPr>
            <w:noProof/>
            <w:webHidden/>
          </w:rPr>
          <w:t>14</w:t>
        </w:r>
        <w:r w:rsidR="001861BD">
          <w:rPr>
            <w:noProof/>
            <w:webHidden/>
          </w:rPr>
          <w:fldChar w:fldCharType="end"/>
        </w:r>
      </w:hyperlink>
    </w:p>
    <w:p w14:paraId="3B020AF8" w14:textId="6435E90A" w:rsidR="001861BD" w:rsidRDefault="0030372D">
      <w:pPr>
        <w:pStyle w:val="Obsah2"/>
        <w:rPr>
          <w:rFonts w:asciiTheme="minorHAnsi" w:eastAsiaTheme="minorEastAsia" w:hAnsiTheme="minorHAnsi" w:cstheme="minorBidi"/>
          <w:noProof/>
          <w:sz w:val="22"/>
          <w:szCs w:val="22"/>
        </w:rPr>
      </w:pPr>
      <w:hyperlink w:anchor="_Toc10117312" w:history="1">
        <w:r w:rsidR="001861BD" w:rsidRPr="008906FD">
          <w:rPr>
            <w:rStyle w:val="Hypertextovodkaz"/>
            <w:noProof/>
          </w:rPr>
          <w:t>4.2 Nově hlášené případy dočasné pracovní neschopnosti</w:t>
        </w:r>
        <w:r w:rsidR="001861BD">
          <w:rPr>
            <w:noProof/>
            <w:webHidden/>
          </w:rPr>
          <w:tab/>
        </w:r>
        <w:r w:rsidR="001861BD">
          <w:rPr>
            <w:noProof/>
            <w:webHidden/>
          </w:rPr>
          <w:fldChar w:fldCharType="begin"/>
        </w:r>
        <w:r w:rsidR="001861BD">
          <w:rPr>
            <w:noProof/>
            <w:webHidden/>
          </w:rPr>
          <w:instrText xml:space="preserve"> PAGEREF _Toc10117312 \h </w:instrText>
        </w:r>
        <w:r w:rsidR="001861BD">
          <w:rPr>
            <w:noProof/>
            <w:webHidden/>
          </w:rPr>
        </w:r>
        <w:r w:rsidR="001861BD">
          <w:rPr>
            <w:noProof/>
            <w:webHidden/>
          </w:rPr>
          <w:fldChar w:fldCharType="separate"/>
        </w:r>
        <w:r w:rsidR="004426F5">
          <w:rPr>
            <w:noProof/>
            <w:webHidden/>
          </w:rPr>
          <w:t>16</w:t>
        </w:r>
        <w:r w:rsidR="001861BD">
          <w:rPr>
            <w:noProof/>
            <w:webHidden/>
          </w:rPr>
          <w:fldChar w:fldCharType="end"/>
        </w:r>
      </w:hyperlink>
    </w:p>
    <w:p w14:paraId="586BB0A5" w14:textId="67B28246" w:rsidR="001861BD" w:rsidRDefault="0030372D">
      <w:pPr>
        <w:pStyle w:val="Obsah3"/>
        <w:rPr>
          <w:rFonts w:asciiTheme="minorHAnsi" w:eastAsiaTheme="minorEastAsia" w:hAnsiTheme="minorHAnsi" w:cstheme="minorBidi"/>
          <w:noProof/>
          <w:sz w:val="22"/>
          <w:szCs w:val="22"/>
        </w:rPr>
      </w:pPr>
      <w:hyperlink w:anchor="_Toc10117313" w:history="1">
        <w:r w:rsidR="001861BD" w:rsidRPr="008906FD">
          <w:rPr>
            <w:rStyle w:val="Hypertextovodkaz"/>
            <w:noProof/>
          </w:rPr>
          <w:t>4.2.1 Počet případů dočasné pracovní neschopnosti</w:t>
        </w:r>
        <w:r w:rsidR="001861BD">
          <w:rPr>
            <w:noProof/>
            <w:webHidden/>
          </w:rPr>
          <w:tab/>
        </w:r>
        <w:r w:rsidR="001861BD">
          <w:rPr>
            <w:noProof/>
            <w:webHidden/>
          </w:rPr>
          <w:fldChar w:fldCharType="begin"/>
        </w:r>
        <w:r w:rsidR="001861BD">
          <w:rPr>
            <w:noProof/>
            <w:webHidden/>
          </w:rPr>
          <w:instrText xml:space="preserve"> PAGEREF _Toc10117313 \h </w:instrText>
        </w:r>
        <w:r w:rsidR="001861BD">
          <w:rPr>
            <w:noProof/>
            <w:webHidden/>
          </w:rPr>
        </w:r>
        <w:r w:rsidR="001861BD">
          <w:rPr>
            <w:noProof/>
            <w:webHidden/>
          </w:rPr>
          <w:fldChar w:fldCharType="separate"/>
        </w:r>
        <w:r w:rsidR="004426F5">
          <w:rPr>
            <w:noProof/>
            <w:webHidden/>
          </w:rPr>
          <w:t>16</w:t>
        </w:r>
        <w:r w:rsidR="001861BD">
          <w:rPr>
            <w:noProof/>
            <w:webHidden/>
          </w:rPr>
          <w:fldChar w:fldCharType="end"/>
        </w:r>
      </w:hyperlink>
    </w:p>
    <w:p w14:paraId="3664A101" w14:textId="226EE9C1" w:rsidR="001861BD" w:rsidRDefault="0030372D">
      <w:pPr>
        <w:pStyle w:val="Obsah3"/>
        <w:rPr>
          <w:rFonts w:asciiTheme="minorHAnsi" w:eastAsiaTheme="minorEastAsia" w:hAnsiTheme="minorHAnsi" w:cstheme="minorBidi"/>
          <w:noProof/>
          <w:sz w:val="22"/>
          <w:szCs w:val="22"/>
        </w:rPr>
      </w:pPr>
      <w:hyperlink w:anchor="_Toc10117314" w:history="1">
        <w:r w:rsidR="001861BD" w:rsidRPr="008906FD">
          <w:rPr>
            <w:rStyle w:val="Hypertextovodkaz"/>
            <w:noProof/>
          </w:rPr>
          <w:t>4.2.2 Délka trvání dočasné pracovní neschopnosti</w:t>
        </w:r>
        <w:r w:rsidR="001861BD">
          <w:rPr>
            <w:noProof/>
            <w:webHidden/>
          </w:rPr>
          <w:tab/>
        </w:r>
        <w:r w:rsidR="001861BD">
          <w:rPr>
            <w:noProof/>
            <w:webHidden/>
          </w:rPr>
          <w:fldChar w:fldCharType="begin"/>
        </w:r>
        <w:r w:rsidR="001861BD">
          <w:rPr>
            <w:noProof/>
            <w:webHidden/>
          </w:rPr>
          <w:instrText xml:space="preserve"> PAGEREF _Toc10117314 \h </w:instrText>
        </w:r>
        <w:r w:rsidR="001861BD">
          <w:rPr>
            <w:noProof/>
            <w:webHidden/>
          </w:rPr>
        </w:r>
        <w:r w:rsidR="001861BD">
          <w:rPr>
            <w:noProof/>
            <w:webHidden/>
          </w:rPr>
          <w:fldChar w:fldCharType="separate"/>
        </w:r>
        <w:r w:rsidR="004426F5">
          <w:rPr>
            <w:noProof/>
            <w:webHidden/>
          </w:rPr>
          <w:t>22</w:t>
        </w:r>
        <w:r w:rsidR="001861BD">
          <w:rPr>
            <w:noProof/>
            <w:webHidden/>
          </w:rPr>
          <w:fldChar w:fldCharType="end"/>
        </w:r>
      </w:hyperlink>
    </w:p>
    <w:p w14:paraId="4D816EE4" w14:textId="69943F6A" w:rsidR="001861BD" w:rsidRDefault="0030372D">
      <w:pPr>
        <w:pStyle w:val="Obsah3"/>
        <w:rPr>
          <w:rFonts w:asciiTheme="minorHAnsi" w:eastAsiaTheme="minorEastAsia" w:hAnsiTheme="minorHAnsi" w:cstheme="minorBidi"/>
          <w:noProof/>
          <w:sz w:val="22"/>
          <w:szCs w:val="22"/>
        </w:rPr>
      </w:pPr>
      <w:hyperlink w:anchor="_Toc10117315" w:history="1">
        <w:r w:rsidR="001861BD" w:rsidRPr="008906FD">
          <w:rPr>
            <w:rStyle w:val="Hypertextovodkaz"/>
            <w:noProof/>
          </w:rPr>
          <w:t>4.2.3 Průměrné procento dočasné pracovní neschopnosti a průměrný denní stav práce neschopných</w:t>
        </w:r>
        <w:r w:rsidR="001861BD">
          <w:rPr>
            <w:noProof/>
            <w:webHidden/>
          </w:rPr>
          <w:tab/>
        </w:r>
        <w:r w:rsidR="001861BD">
          <w:rPr>
            <w:noProof/>
            <w:webHidden/>
          </w:rPr>
          <w:fldChar w:fldCharType="begin"/>
        </w:r>
        <w:r w:rsidR="001861BD">
          <w:rPr>
            <w:noProof/>
            <w:webHidden/>
          </w:rPr>
          <w:instrText xml:space="preserve"> PAGEREF _Toc10117315 \h </w:instrText>
        </w:r>
        <w:r w:rsidR="001861BD">
          <w:rPr>
            <w:noProof/>
            <w:webHidden/>
          </w:rPr>
        </w:r>
        <w:r w:rsidR="001861BD">
          <w:rPr>
            <w:noProof/>
            <w:webHidden/>
          </w:rPr>
          <w:fldChar w:fldCharType="separate"/>
        </w:r>
        <w:r w:rsidR="004426F5">
          <w:rPr>
            <w:noProof/>
            <w:webHidden/>
          </w:rPr>
          <w:t>29</w:t>
        </w:r>
        <w:r w:rsidR="001861BD">
          <w:rPr>
            <w:noProof/>
            <w:webHidden/>
          </w:rPr>
          <w:fldChar w:fldCharType="end"/>
        </w:r>
      </w:hyperlink>
    </w:p>
    <w:p w14:paraId="7987FE43" w14:textId="11D0C5B4" w:rsidR="001861BD" w:rsidRDefault="0030372D">
      <w:pPr>
        <w:pStyle w:val="Obsah2"/>
        <w:rPr>
          <w:rFonts w:asciiTheme="minorHAnsi" w:eastAsiaTheme="minorEastAsia" w:hAnsiTheme="minorHAnsi" w:cstheme="minorBidi"/>
          <w:noProof/>
          <w:sz w:val="22"/>
          <w:szCs w:val="22"/>
        </w:rPr>
      </w:pPr>
      <w:hyperlink w:anchor="_Toc10117316" w:history="1">
        <w:r w:rsidR="001861BD" w:rsidRPr="008906FD">
          <w:rPr>
            <w:rStyle w:val="Hypertextovodkaz"/>
            <w:noProof/>
          </w:rPr>
          <w:t>4.3 Ukončené případy dočasné pracovní neschopnosti</w:t>
        </w:r>
        <w:r w:rsidR="001861BD">
          <w:rPr>
            <w:noProof/>
            <w:webHidden/>
          </w:rPr>
          <w:tab/>
        </w:r>
        <w:r w:rsidR="001861BD">
          <w:rPr>
            <w:noProof/>
            <w:webHidden/>
          </w:rPr>
          <w:fldChar w:fldCharType="begin"/>
        </w:r>
        <w:r w:rsidR="001861BD">
          <w:rPr>
            <w:noProof/>
            <w:webHidden/>
          </w:rPr>
          <w:instrText xml:space="preserve"> PAGEREF _Toc10117316 \h </w:instrText>
        </w:r>
        <w:r w:rsidR="001861BD">
          <w:rPr>
            <w:noProof/>
            <w:webHidden/>
          </w:rPr>
        </w:r>
        <w:r w:rsidR="001861BD">
          <w:rPr>
            <w:noProof/>
            <w:webHidden/>
          </w:rPr>
          <w:fldChar w:fldCharType="separate"/>
        </w:r>
        <w:r w:rsidR="004426F5">
          <w:rPr>
            <w:noProof/>
            <w:webHidden/>
          </w:rPr>
          <w:t>35</w:t>
        </w:r>
        <w:r w:rsidR="001861BD">
          <w:rPr>
            <w:noProof/>
            <w:webHidden/>
          </w:rPr>
          <w:fldChar w:fldCharType="end"/>
        </w:r>
      </w:hyperlink>
    </w:p>
    <w:p w14:paraId="71323D95" w14:textId="78D99885" w:rsidR="001861BD" w:rsidRDefault="0030372D">
      <w:pPr>
        <w:pStyle w:val="Obsah2"/>
        <w:rPr>
          <w:rFonts w:asciiTheme="minorHAnsi" w:eastAsiaTheme="minorEastAsia" w:hAnsiTheme="minorHAnsi" w:cstheme="minorBidi"/>
          <w:noProof/>
          <w:sz w:val="22"/>
          <w:szCs w:val="22"/>
        </w:rPr>
      </w:pPr>
      <w:hyperlink w:anchor="_Toc10117317" w:history="1">
        <w:r w:rsidR="001861BD" w:rsidRPr="008906FD">
          <w:rPr>
            <w:rStyle w:val="Hypertextovodkaz"/>
            <w:noProof/>
          </w:rPr>
          <w:t>4.4 Výdaje na nemocenské</w:t>
        </w:r>
        <w:r w:rsidR="001861BD">
          <w:rPr>
            <w:noProof/>
            <w:webHidden/>
          </w:rPr>
          <w:tab/>
        </w:r>
        <w:r w:rsidR="001861BD">
          <w:rPr>
            <w:noProof/>
            <w:webHidden/>
          </w:rPr>
          <w:fldChar w:fldCharType="begin"/>
        </w:r>
        <w:r w:rsidR="001861BD">
          <w:rPr>
            <w:noProof/>
            <w:webHidden/>
          </w:rPr>
          <w:instrText xml:space="preserve"> PAGEREF _Toc10117317 \h </w:instrText>
        </w:r>
        <w:r w:rsidR="001861BD">
          <w:rPr>
            <w:noProof/>
            <w:webHidden/>
          </w:rPr>
        </w:r>
        <w:r w:rsidR="001861BD">
          <w:rPr>
            <w:noProof/>
            <w:webHidden/>
          </w:rPr>
          <w:fldChar w:fldCharType="separate"/>
        </w:r>
        <w:r w:rsidR="004426F5">
          <w:rPr>
            <w:noProof/>
            <w:webHidden/>
          </w:rPr>
          <w:t>39</w:t>
        </w:r>
        <w:r w:rsidR="001861BD">
          <w:rPr>
            <w:noProof/>
            <w:webHidden/>
          </w:rPr>
          <w:fldChar w:fldCharType="end"/>
        </w:r>
      </w:hyperlink>
    </w:p>
    <w:p w14:paraId="2F71770A" w14:textId="481CDDD7" w:rsidR="001861BD" w:rsidRDefault="0030372D">
      <w:pPr>
        <w:pStyle w:val="Obsah2"/>
        <w:rPr>
          <w:rFonts w:asciiTheme="minorHAnsi" w:eastAsiaTheme="minorEastAsia" w:hAnsiTheme="minorHAnsi" w:cstheme="minorBidi"/>
          <w:noProof/>
          <w:sz w:val="22"/>
          <w:szCs w:val="22"/>
        </w:rPr>
      </w:pPr>
      <w:hyperlink w:anchor="_Toc10117318" w:history="1">
        <w:r w:rsidR="001861BD" w:rsidRPr="008906FD">
          <w:rPr>
            <w:rStyle w:val="Hypertextovodkaz"/>
            <w:noProof/>
          </w:rPr>
          <w:t>4.5 Pracovní úrazy</w:t>
        </w:r>
        <w:r w:rsidR="001861BD">
          <w:rPr>
            <w:noProof/>
            <w:webHidden/>
          </w:rPr>
          <w:tab/>
        </w:r>
        <w:r w:rsidR="001861BD">
          <w:rPr>
            <w:noProof/>
            <w:webHidden/>
          </w:rPr>
          <w:fldChar w:fldCharType="begin"/>
        </w:r>
        <w:r w:rsidR="001861BD">
          <w:rPr>
            <w:noProof/>
            <w:webHidden/>
          </w:rPr>
          <w:instrText xml:space="preserve"> PAGEREF _Toc10117318 \h </w:instrText>
        </w:r>
        <w:r w:rsidR="001861BD">
          <w:rPr>
            <w:noProof/>
            <w:webHidden/>
          </w:rPr>
        </w:r>
        <w:r w:rsidR="001861BD">
          <w:rPr>
            <w:noProof/>
            <w:webHidden/>
          </w:rPr>
          <w:fldChar w:fldCharType="separate"/>
        </w:r>
        <w:r w:rsidR="004426F5">
          <w:rPr>
            <w:noProof/>
            <w:webHidden/>
          </w:rPr>
          <w:t>42</w:t>
        </w:r>
        <w:r w:rsidR="001861BD">
          <w:rPr>
            <w:noProof/>
            <w:webHidden/>
          </w:rPr>
          <w:fldChar w:fldCharType="end"/>
        </w:r>
      </w:hyperlink>
    </w:p>
    <w:p w14:paraId="2EF0827E" w14:textId="7D7E1559" w:rsidR="001861BD" w:rsidRDefault="0030372D">
      <w:pPr>
        <w:pStyle w:val="Obsah2"/>
        <w:rPr>
          <w:rFonts w:asciiTheme="minorHAnsi" w:eastAsiaTheme="minorEastAsia" w:hAnsiTheme="minorHAnsi" w:cstheme="minorBidi"/>
          <w:noProof/>
          <w:sz w:val="22"/>
          <w:szCs w:val="22"/>
        </w:rPr>
      </w:pPr>
      <w:hyperlink w:anchor="_Toc10117319" w:history="1">
        <w:r w:rsidR="001861BD" w:rsidRPr="008906FD">
          <w:rPr>
            <w:rStyle w:val="Hypertextovodkaz"/>
            <w:noProof/>
          </w:rPr>
          <w:t>4.6. Evropská statistika pracovních úrazů (ESAW)</w:t>
        </w:r>
        <w:r w:rsidR="001861BD">
          <w:rPr>
            <w:noProof/>
            <w:webHidden/>
          </w:rPr>
          <w:tab/>
        </w:r>
        <w:r w:rsidR="001861BD">
          <w:rPr>
            <w:noProof/>
            <w:webHidden/>
          </w:rPr>
          <w:fldChar w:fldCharType="begin"/>
        </w:r>
        <w:r w:rsidR="001861BD">
          <w:rPr>
            <w:noProof/>
            <w:webHidden/>
          </w:rPr>
          <w:instrText xml:space="preserve"> PAGEREF _Toc10117319 \h </w:instrText>
        </w:r>
        <w:r w:rsidR="001861BD">
          <w:rPr>
            <w:noProof/>
            <w:webHidden/>
          </w:rPr>
        </w:r>
        <w:r w:rsidR="001861BD">
          <w:rPr>
            <w:noProof/>
            <w:webHidden/>
          </w:rPr>
          <w:fldChar w:fldCharType="separate"/>
        </w:r>
        <w:r w:rsidR="004426F5">
          <w:rPr>
            <w:noProof/>
            <w:webHidden/>
          </w:rPr>
          <w:t>46</w:t>
        </w:r>
        <w:r w:rsidR="001861BD">
          <w:rPr>
            <w:noProof/>
            <w:webHidden/>
          </w:rPr>
          <w:fldChar w:fldCharType="end"/>
        </w:r>
      </w:hyperlink>
    </w:p>
    <w:p w14:paraId="5BCAD6AA" w14:textId="240D3F12" w:rsidR="001861BD" w:rsidRDefault="0030372D">
      <w:pPr>
        <w:pStyle w:val="Obsah2"/>
        <w:rPr>
          <w:rFonts w:asciiTheme="minorHAnsi" w:eastAsiaTheme="minorEastAsia" w:hAnsiTheme="minorHAnsi" w:cstheme="minorBidi"/>
          <w:noProof/>
          <w:sz w:val="22"/>
          <w:szCs w:val="22"/>
        </w:rPr>
      </w:pPr>
      <w:hyperlink w:anchor="_Toc10117320" w:history="1">
        <w:r w:rsidR="001861BD" w:rsidRPr="008906FD">
          <w:rPr>
            <w:rStyle w:val="Hypertextovodkaz"/>
            <w:noProof/>
          </w:rPr>
          <w:t>4.7. Závěrečné shrnutí</w:t>
        </w:r>
        <w:r w:rsidR="001861BD">
          <w:rPr>
            <w:noProof/>
            <w:webHidden/>
          </w:rPr>
          <w:tab/>
        </w:r>
        <w:r w:rsidR="001861BD">
          <w:rPr>
            <w:noProof/>
            <w:webHidden/>
          </w:rPr>
          <w:fldChar w:fldCharType="begin"/>
        </w:r>
        <w:r w:rsidR="001861BD">
          <w:rPr>
            <w:noProof/>
            <w:webHidden/>
          </w:rPr>
          <w:instrText xml:space="preserve"> PAGEREF _Toc10117320 \h </w:instrText>
        </w:r>
        <w:r w:rsidR="001861BD">
          <w:rPr>
            <w:noProof/>
            <w:webHidden/>
          </w:rPr>
        </w:r>
        <w:r w:rsidR="001861BD">
          <w:rPr>
            <w:noProof/>
            <w:webHidden/>
          </w:rPr>
          <w:fldChar w:fldCharType="separate"/>
        </w:r>
        <w:r w:rsidR="004426F5">
          <w:rPr>
            <w:noProof/>
            <w:webHidden/>
          </w:rPr>
          <w:t>51</w:t>
        </w:r>
        <w:r w:rsidR="001861BD">
          <w:rPr>
            <w:noProof/>
            <w:webHidden/>
          </w:rPr>
          <w:fldChar w:fldCharType="end"/>
        </w:r>
      </w:hyperlink>
    </w:p>
    <w:p w14:paraId="0F9A2F1F" w14:textId="50008CA2" w:rsidR="001861BD" w:rsidRDefault="0030372D">
      <w:pPr>
        <w:pStyle w:val="Obsah1"/>
        <w:rPr>
          <w:rFonts w:asciiTheme="minorHAnsi" w:eastAsiaTheme="minorEastAsia" w:hAnsiTheme="minorHAnsi" w:cstheme="minorBidi"/>
          <w:noProof/>
          <w:sz w:val="22"/>
          <w:szCs w:val="22"/>
        </w:rPr>
      </w:pPr>
      <w:hyperlink w:anchor="_Toc10117321" w:history="1">
        <w:r w:rsidR="001861BD" w:rsidRPr="008906FD">
          <w:rPr>
            <w:rStyle w:val="Hypertextovodkaz"/>
            <w:noProof/>
          </w:rPr>
          <w:t>5. Použité zkratky a značky</w:t>
        </w:r>
        <w:r w:rsidR="001861BD">
          <w:rPr>
            <w:noProof/>
            <w:webHidden/>
          </w:rPr>
          <w:tab/>
        </w:r>
        <w:r w:rsidR="001861BD">
          <w:rPr>
            <w:noProof/>
            <w:webHidden/>
          </w:rPr>
          <w:fldChar w:fldCharType="begin"/>
        </w:r>
        <w:r w:rsidR="001861BD">
          <w:rPr>
            <w:noProof/>
            <w:webHidden/>
          </w:rPr>
          <w:instrText xml:space="preserve"> PAGEREF _Toc10117321 \h </w:instrText>
        </w:r>
        <w:r w:rsidR="001861BD">
          <w:rPr>
            <w:noProof/>
            <w:webHidden/>
          </w:rPr>
        </w:r>
        <w:r w:rsidR="001861BD">
          <w:rPr>
            <w:noProof/>
            <w:webHidden/>
          </w:rPr>
          <w:fldChar w:fldCharType="separate"/>
        </w:r>
        <w:r w:rsidR="004426F5">
          <w:rPr>
            <w:noProof/>
            <w:webHidden/>
          </w:rPr>
          <w:t>54</w:t>
        </w:r>
        <w:r w:rsidR="001861BD">
          <w:rPr>
            <w:noProof/>
            <w:webHidden/>
          </w:rPr>
          <w:fldChar w:fldCharType="end"/>
        </w:r>
      </w:hyperlink>
    </w:p>
    <w:p w14:paraId="290E794D" w14:textId="26AF3E28" w:rsidR="001861BD" w:rsidRDefault="0030372D">
      <w:pPr>
        <w:pStyle w:val="Obsah1"/>
        <w:rPr>
          <w:rFonts w:asciiTheme="minorHAnsi" w:eastAsiaTheme="minorEastAsia" w:hAnsiTheme="minorHAnsi" w:cstheme="minorBidi"/>
          <w:noProof/>
          <w:sz w:val="22"/>
          <w:szCs w:val="22"/>
        </w:rPr>
      </w:pPr>
      <w:hyperlink w:anchor="_Toc10117322" w:history="1">
        <w:r w:rsidR="001861BD" w:rsidRPr="008906FD">
          <w:rPr>
            <w:rStyle w:val="Hypertextovodkaz"/>
            <w:noProof/>
          </w:rPr>
          <w:t>6. Tabulková část</w:t>
        </w:r>
        <w:r w:rsidR="001861BD">
          <w:rPr>
            <w:noProof/>
            <w:webHidden/>
          </w:rPr>
          <w:tab/>
        </w:r>
        <w:r w:rsidR="001861BD">
          <w:rPr>
            <w:noProof/>
            <w:webHidden/>
          </w:rPr>
          <w:fldChar w:fldCharType="begin"/>
        </w:r>
        <w:r w:rsidR="001861BD">
          <w:rPr>
            <w:noProof/>
            <w:webHidden/>
          </w:rPr>
          <w:instrText xml:space="preserve"> PAGEREF _Toc10117322 \h </w:instrText>
        </w:r>
        <w:r w:rsidR="001861BD">
          <w:rPr>
            <w:noProof/>
            <w:webHidden/>
          </w:rPr>
        </w:r>
        <w:r w:rsidR="001861BD">
          <w:rPr>
            <w:noProof/>
            <w:webHidden/>
          </w:rPr>
          <w:fldChar w:fldCharType="separate"/>
        </w:r>
        <w:r w:rsidR="004426F5">
          <w:rPr>
            <w:noProof/>
            <w:webHidden/>
          </w:rPr>
          <w:t>55</w:t>
        </w:r>
        <w:r w:rsidR="001861BD">
          <w:rPr>
            <w:noProof/>
            <w:webHidden/>
          </w:rPr>
          <w:fldChar w:fldCharType="end"/>
        </w:r>
      </w:hyperlink>
    </w:p>
    <w:p w14:paraId="790F7658" w14:textId="411D77B6" w:rsidR="00924AC8" w:rsidRPr="00912A92" w:rsidRDefault="00E5051B" w:rsidP="00924AC8">
      <w:pPr>
        <w:pStyle w:val="Obsahpoloky"/>
      </w:pPr>
      <w:r>
        <w:rPr>
          <w:b/>
        </w:rPr>
        <w:fldChar w:fldCharType="end"/>
      </w:r>
    </w:p>
    <w:p w14:paraId="5893B8BF" w14:textId="313399F5" w:rsidR="00EE4B1B" w:rsidRDefault="00087F2B" w:rsidP="000264BA">
      <w:pPr>
        <w:pStyle w:val="Nadpis1"/>
      </w:pPr>
      <w:r w:rsidRPr="006F5416">
        <w:br w:type="page"/>
      </w:r>
      <w:r w:rsidR="00C62BD6">
        <w:lastRenderedPageBreak/>
        <w:t xml:space="preserve"> </w:t>
      </w:r>
      <w:bookmarkStart w:id="0" w:name="_Toc10117307"/>
      <w:r w:rsidR="00796E73">
        <w:t>1. Úvod</w:t>
      </w:r>
      <w:bookmarkEnd w:id="0"/>
    </w:p>
    <w:p w14:paraId="03AAC6B2" w14:textId="7773E2D7" w:rsidR="008965CE" w:rsidRDefault="008965CE" w:rsidP="008965CE">
      <w:pPr>
        <w:jc w:val="both"/>
      </w:pPr>
      <w:r w:rsidRPr="008965CE">
        <w:t>Publikace</w:t>
      </w:r>
      <w:r>
        <w:t xml:space="preserve"> </w:t>
      </w:r>
      <w:r w:rsidRPr="008965CE">
        <w:rPr>
          <w:b/>
        </w:rPr>
        <w:t>Pracovní neschopnost pro nemoc a úraz v České republice za rok 2018</w:t>
      </w:r>
      <w:r>
        <w:rPr>
          <w:b/>
        </w:rPr>
        <w:t xml:space="preserve"> </w:t>
      </w:r>
      <w:r w:rsidRPr="008965CE">
        <w:t>přináší</w:t>
      </w:r>
      <w:r>
        <w:t xml:space="preserve"> základní údaje o dočasné pracovní neschopnosti </w:t>
      </w:r>
      <w:r w:rsidR="00BF6442">
        <w:t xml:space="preserve">pracujících </w:t>
      </w:r>
      <w:r>
        <w:t>obyvatel ČR z důvodu nemoci či úrazu v roce 2018 a</w:t>
      </w:r>
      <w:r w:rsidR="00542131">
        <w:t> </w:t>
      </w:r>
      <w:r>
        <w:t>u</w:t>
      </w:r>
      <w:r w:rsidR="00542131">
        <w:t> </w:t>
      </w:r>
      <w:r>
        <w:t>vybraných ukazatelů jejich vývoj v delší časové řadě.</w:t>
      </w:r>
    </w:p>
    <w:p w14:paraId="3AB6C566" w14:textId="65A205E4" w:rsidR="008965CE" w:rsidRDefault="008965CE" w:rsidP="008965CE">
      <w:pPr>
        <w:jc w:val="both"/>
      </w:pPr>
      <w:r>
        <w:t xml:space="preserve">Údaje o pracovní neschopnosti pro nemoc a úraz vycházejí ze společného zpracování dat </w:t>
      </w:r>
      <w:r w:rsidRPr="008965CE">
        <w:rPr>
          <w:b/>
        </w:rPr>
        <w:t xml:space="preserve">České správy sociálního zabezpečení </w:t>
      </w:r>
      <w:r>
        <w:t xml:space="preserve">(ČSSZ) a </w:t>
      </w:r>
      <w:r w:rsidRPr="008965CE">
        <w:rPr>
          <w:b/>
        </w:rPr>
        <w:t>Českého statistického úřadu</w:t>
      </w:r>
      <w:r>
        <w:t xml:space="preserve"> (ČSÚ) a jsou publikovány vždy za</w:t>
      </w:r>
      <w:r w:rsidR="00F547BE">
        <w:t> </w:t>
      </w:r>
      <w:r>
        <w:t>1.</w:t>
      </w:r>
      <w:r w:rsidR="00ED71BD">
        <w:t> </w:t>
      </w:r>
      <w:r>
        <w:t>pololetí (v termínu 31. 10. sledovaného roku) a v kumulaci za celý rok (v termínu 31. 5. následujícího roku)</w:t>
      </w:r>
      <w:r>
        <w:rPr>
          <w:rStyle w:val="Znakapoznpodarou"/>
        </w:rPr>
        <w:footnoteReference w:id="1"/>
      </w:r>
      <w:r>
        <w:t>.</w:t>
      </w:r>
    </w:p>
    <w:p w14:paraId="7BCD6200" w14:textId="3CBB89C7" w:rsidR="008E6108" w:rsidRDefault="0036400F" w:rsidP="008965CE">
      <w:pPr>
        <w:jc w:val="both"/>
      </w:pPr>
      <w:r>
        <w:t xml:space="preserve">Publikace nabízí zejména údaje o </w:t>
      </w:r>
      <w:r w:rsidRPr="0036400F">
        <w:rPr>
          <w:b/>
        </w:rPr>
        <w:t>nově hlášených případech dočasné pracovní neschopnosti pro</w:t>
      </w:r>
      <w:r w:rsidR="00F547BE">
        <w:rPr>
          <w:b/>
        </w:rPr>
        <w:t> </w:t>
      </w:r>
      <w:r w:rsidRPr="0036400F">
        <w:rPr>
          <w:b/>
        </w:rPr>
        <w:t>nemoc a úraz</w:t>
      </w:r>
      <w:r>
        <w:t xml:space="preserve"> </w:t>
      </w:r>
      <w:r w:rsidRPr="00A37CD1">
        <w:rPr>
          <w:b/>
        </w:rPr>
        <w:t>a související ukazatele</w:t>
      </w:r>
      <w:r>
        <w:t xml:space="preserve"> – </w:t>
      </w:r>
      <w:r w:rsidR="008E6108">
        <w:t xml:space="preserve">i) </w:t>
      </w:r>
      <w:r>
        <w:t xml:space="preserve">průměrný počet nemocensky pojištěných osob, </w:t>
      </w:r>
      <w:r w:rsidR="008E6108">
        <w:t xml:space="preserve">ii) </w:t>
      </w:r>
      <w:r>
        <w:t xml:space="preserve">počet nově hlášených případů pracovní neschopnosti na 100 nemocensky pojištěných osob, </w:t>
      </w:r>
      <w:r w:rsidR="008E6108">
        <w:t xml:space="preserve">iii) </w:t>
      </w:r>
      <w:r>
        <w:t xml:space="preserve">počet kalendářních dnů pracovní neschopnosti, </w:t>
      </w:r>
      <w:r w:rsidR="008E6108">
        <w:t xml:space="preserve">iv) </w:t>
      </w:r>
      <w:r>
        <w:t xml:space="preserve">průměrnou délku trvání jednoho případu pracovní neschopnosti, </w:t>
      </w:r>
      <w:r w:rsidR="008E6108">
        <w:t xml:space="preserve">v) </w:t>
      </w:r>
      <w:r>
        <w:t xml:space="preserve">průměrné procento pracovní neschopnosti, </w:t>
      </w:r>
      <w:r w:rsidR="008E6108">
        <w:t xml:space="preserve">vi) </w:t>
      </w:r>
      <w:r>
        <w:t>průměrný denní stav práce neschopných</w:t>
      </w:r>
      <w:r w:rsidR="008E6108">
        <w:t xml:space="preserve"> a vii)</w:t>
      </w:r>
      <w:r>
        <w:t xml:space="preserve"> počet pracovních úrazů s pracovní neschopností delší než tři dny. </w:t>
      </w:r>
    </w:p>
    <w:p w14:paraId="2D5A5238" w14:textId="016D0B04" w:rsidR="0036400F" w:rsidRDefault="0036400F" w:rsidP="008965CE">
      <w:pPr>
        <w:jc w:val="both"/>
      </w:pPr>
      <w:r>
        <w:t>Předkládané ukazatele jsou k dispozici v</w:t>
      </w:r>
      <w:r w:rsidR="008E6108">
        <w:t> </w:t>
      </w:r>
      <w:r w:rsidR="008E6108" w:rsidRPr="00A37CD1">
        <w:rPr>
          <w:b/>
        </w:rPr>
        <w:t xml:space="preserve">celé řadě </w:t>
      </w:r>
      <w:r w:rsidRPr="00A37CD1">
        <w:rPr>
          <w:b/>
        </w:rPr>
        <w:t>třídění</w:t>
      </w:r>
      <w:r>
        <w:t xml:space="preserve"> </w:t>
      </w:r>
      <w:r w:rsidR="008E6108">
        <w:t xml:space="preserve">např. i) </w:t>
      </w:r>
      <w:r>
        <w:t xml:space="preserve">podle sídla (do úrovně krajů a okresů dle klasifikace CZ-NUTS), </w:t>
      </w:r>
      <w:r w:rsidR="008E6108">
        <w:t xml:space="preserve">ii) </w:t>
      </w:r>
      <w:r>
        <w:t>velikosti (dle počtu zaměstnanců)</w:t>
      </w:r>
      <w:r w:rsidR="008E6108">
        <w:t xml:space="preserve">, iii) </w:t>
      </w:r>
      <w:r>
        <w:t>převažující ekonomické činnosti (do úrovně sekcí a oddílů</w:t>
      </w:r>
      <w:r w:rsidR="00ED71BD">
        <w:t xml:space="preserve"> odvětvové klasifikace CZ-NACE) </w:t>
      </w:r>
      <w:r w:rsidR="008E6108">
        <w:t>a iv) sektorů (dle klasifikace institucionálních sektorů a</w:t>
      </w:r>
      <w:r w:rsidR="00F547BE">
        <w:t> </w:t>
      </w:r>
      <w:r w:rsidR="008E6108">
        <w:t xml:space="preserve">subsektorů) </w:t>
      </w:r>
      <w:r>
        <w:t>zaměstnavatele osob nemocensky pojištěných. Členění do krajů a okresů vychází z údaje o</w:t>
      </w:r>
      <w:r w:rsidR="00F547BE">
        <w:t> </w:t>
      </w:r>
      <w:r>
        <w:t xml:space="preserve">sídle útvaru, který vede evidenci mezd u zaměstnavatele osoby, která je v pracovní neschopnosti. Vedle údajů o zaměstnancích publikace poskytuje také data o nemocensky pojištěných </w:t>
      </w:r>
      <w:r w:rsidR="008E6108">
        <w:t>osobách samostatně výdělečně činných (</w:t>
      </w:r>
      <w:r>
        <w:t>OSVČ</w:t>
      </w:r>
      <w:r w:rsidR="008E6108">
        <w:t>)</w:t>
      </w:r>
      <w:r>
        <w:t>.</w:t>
      </w:r>
    </w:p>
    <w:p w14:paraId="7E7CE1D0" w14:textId="319005B4" w:rsidR="0036400F" w:rsidRDefault="0036400F" w:rsidP="008965CE">
      <w:pPr>
        <w:jc w:val="both"/>
      </w:pPr>
      <w:r>
        <w:t>Publikace je členěna na textovou a tabulkovou část.</w:t>
      </w:r>
    </w:p>
    <w:p w14:paraId="10A8DCD8" w14:textId="77777777" w:rsidR="008E6108" w:rsidRDefault="0036400F" w:rsidP="008965CE">
      <w:pPr>
        <w:jc w:val="both"/>
      </w:pPr>
      <w:r w:rsidRPr="0036400F">
        <w:rPr>
          <w:b/>
        </w:rPr>
        <w:t>Textová část</w:t>
      </w:r>
      <w:r>
        <w:t xml:space="preserve"> obsahuje stručné seznámení s legislativní úpravou nemocenského pojištění, vč. významných legislativních změn ovlivňujících podstatným způsobem vývoj ukazatelů pracovní neschopnosti, dále pak metodickou část s popisem metodiky zpracování dat dočasné pracovní neschopnosti prostřednictvím systémů ČSSZ a ČSÚ a výčtem dalších možných zdrojů dat v oblasti statistiky nemocnosti a úrazovosti.</w:t>
      </w:r>
    </w:p>
    <w:p w14:paraId="7D37AA4C" w14:textId="55A4EF1D" w:rsidR="0036400F" w:rsidRDefault="0036400F" w:rsidP="008965CE">
      <w:pPr>
        <w:jc w:val="both"/>
      </w:pPr>
      <w:r w:rsidRPr="008E6108">
        <w:rPr>
          <w:b/>
        </w:rPr>
        <w:t>Analytická část</w:t>
      </w:r>
      <w:r>
        <w:t xml:space="preserve"> nabízí rozbor vývoje a intenzity základních ukazatelů dočasné pracovní neschopnosti pro nemoc a úraz v ČR vč. definic sledovaných indikátorů. Je doplněna i daty z jiných dostupných zdrojů (ČSSZ, ÚZIS ČR, SÚIP, Eurostat), které nabízí doplňující pohled na tuto oblast statistiky</w:t>
      </w:r>
      <w:r w:rsidR="008E6108">
        <w:t xml:space="preserve"> </w:t>
      </w:r>
      <w:r w:rsidR="004D6A14">
        <w:t>(</w:t>
      </w:r>
      <w:r w:rsidR="008E6108">
        <w:t>např. výdaje na dávky nemocenského pojištění, statistiku smrtelných úrazů či mezinárodní srovnání úrazovosti</w:t>
      </w:r>
      <w:r w:rsidR="004D6A14">
        <w:t>)</w:t>
      </w:r>
      <w:r>
        <w:t>.</w:t>
      </w:r>
    </w:p>
    <w:p w14:paraId="55BC7002" w14:textId="25C94FE9" w:rsidR="0036400F" w:rsidRDefault="0036400F" w:rsidP="008965CE">
      <w:pPr>
        <w:jc w:val="both"/>
      </w:pPr>
      <w:r w:rsidRPr="006C2D96">
        <w:rPr>
          <w:b/>
        </w:rPr>
        <w:t>Tabulková část</w:t>
      </w:r>
      <w:r>
        <w:t xml:space="preserve"> publikace obsahuje datové výstupy ze zpracování nově hlášených případů dočasné pracovní neschopnosti zaměstnanců a osob samostatně výdělečně činných v </w:t>
      </w:r>
      <w:r w:rsidR="006C2D96">
        <w:t>čle</w:t>
      </w:r>
      <w:r>
        <w:t>nění dle:</w:t>
      </w:r>
    </w:p>
    <w:p w14:paraId="53D545E0" w14:textId="40CABA6B" w:rsidR="00F36267" w:rsidRDefault="00F36267" w:rsidP="006C2D96">
      <w:pPr>
        <w:pStyle w:val="Odstavecseseznamem"/>
        <w:numPr>
          <w:ilvl w:val="0"/>
          <w:numId w:val="26"/>
        </w:numPr>
        <w:spacing w:before="100" w:beforeAutospacing="1" w:after="0"/>
        <w:ind w:left="714" w:hanging="357"/>
        <w:jc w:val="both"/>
        <w:rPr>
          <w:rFonts w:ascii="Arial" w:hAnsi="Arial" w:cs="Arial"/>
          <w:sz w:val="20"/>
        </w:rPr>
      </w:pPr>
      <w:r>
        <w:rPr>
          <w:rFonts w:ascii="Arial" w:hAnsi="Arial" w:cs="Arial"/>
          <w:sz w:val="20"/>
        </w:rPr>
        <w:t>pohlaví nemocensky pojištěných osob</w:t>
      </w:r>
    </w:p>
    <w:p w14:paraId="3C5E7815" w14:textId="30AA3858" w:rsidR="00F36267" w:rsidRDefault="00F36267" w:rsidP="006C2D96">
      <w:pPr>
        <w:pStyle w:val="Odstavecseseznamem"/>
        <w:numPr>
          <w:ilvl w:val="0"/>
          <w:numId w:val="26"/>
        </w:numPr>
        <w:spacing w:before="100" w:beforeAutospacing="1" w:after="0"/>
        <w:ind w:left="714" w:hanging="357"/>
        <w:jc w:val="both"/>
        <w:rPr>
          <w:rFonts w:ascii="Arial" w:hAnsi="Arial" w:cs="Arial"/>
          <w:sz w:val="20"/>
        </w:rPr>
      </w:pPr>
      <w:r>
        <w:rPr>
          <w:rFonts w:ascii="Arial" w:hAnsi="Arial" w:cs="Arial"/>
          <w:sz w:val="20"/>
        </w:rPr>
        <w:t>postavení v zaměstnání nemocensky pojištěných osob (zaměstnanci, OSVČ)</w:t>
      </w:r>
    </w:p>
    <w:p w14:paraId="0D4047BC" w14:textId="14C8EF16" w:rsidR="00F36267" w:rsidRDefault="00F36267" w:rsidP="006C2D96">
      <w:pPr>
        <w:pStyle w:val="Odstavecseseznamem"/>
        <w:numPr>
          <w:ilvl w:val="0"/>
          <w:numId w:val="26"/>
        </w:numPr>
        <w:spacing w:before="100" w:beforeAutospacing="1" w:after="0"/>
        <w:ind w:left="714" w:hanging="357"/>
        <w:jc w:val="both"/>
        <w:rPr>
          <w:rFonts w:ascii="Arial" w:hAnsi="Arial" w:cs="Arial"/>
          <w:sz w:val="20"/>
        </w:rPr>
      </w:pPr>
      <w:r>
        <w:rPr>
          <w:rFonts w:ascii="Arial" w:hAnsi="Arial" w:cs="Arial"/>
          <w:sz w:val="20"/>
        </w:rPr>
        <w:t>velikosti ekonomického subjektu (dle počtu zaměstnanců)</w:t>
      </w:r>
    </w:p>
    <w:p w14:paraId="362D772E" w14:textId="77777777" w:rsidR="00F36267" w:rsidRDefault="00F36267" w:rsidP="00F36267">
      <w:pPr>
        <w:pStyle w:val="Odstavecseseznamem"/>
        <w:numPr>
          <w:ilvl w:val="0"/>
          <w:numId w:val="26"/>
        </w:numPr>
        <w:spacing w:before="24" w:after="0"/>
        <w:ind w:left="714" w:hanging="357"/>
        <w:jc w:val="both"/>
        <w:rPr>
          <w:rFonts w:ascii="Arial" w:hAnsi="Arial" w:cs="Arial"/>
          <w:sz w:val="20"/>
        </w:rPr>
      </w:pPr>
      <w:r>
        <w:rPr>
          <w:rFonts w:ascii="Arial" w:hAnsi="Arial" w:cs="Arial"/>
          <w:sz w:val="20"/>
        </w:rPr>
        <w:t>sektoru zaměstnavatele (dle klasifikace institucionálních sektorů a subsektorů)</w:t>
      </w:r>
    </w:p>
    <w:p w14:paraId="39BD028C" w14:textId="1323D7DD" w:rsidR="00F36267" w:rsidRPr="006C2D96" w:rsidRDefault="00F36267" w:rsidP="00F36267">
      <w:pPr>
        <w:pStyle w:val="Odstavecseseznamem"/>
        <w:numPr>
          <w:ilvl w:val="0"/>
          <w:numId w:val="26"/>
        </w:numPr>
        <w:spacing w:before="24" w:after="0"/>
        <w:ind w:left="714" w:hanging="357"/>
        <w:jc w:val="both"/>
        <w:rPr>
          <w:rFonts w:ascii="Arial" w:hAnsi="Arial" w:cs="Arial"/>
          <w:sz w:val="20"/>
        </w:rPr>
      </w:pPr>
      <w:r w:rsidRPr="006C2D96">
        <w:rPr>
          <w:rFonts w:ascii="Arial" w:hAnsi="Arial" w:cs="Arial"/>
          <w:sz w:val="20"/>
        </w:rPr>
        <w:t>přev</w:t>
      </w:r>
      <w:r>
        <w:rPr>
          <w:rFonts w:ascii="Arial" w:hAnsi="Arial" w:cs="Arial"/>
          <w:sz w:val="20"/>
        </w:rPr>
        <w:t>a</w:t>
      </w:r>
      <w:r w:rsidRPr="006C2D96">
        <w:rPr>
          <w:rFonts w:ascii="Arial" w:hAnsi="Arial" w:cs="Arial"/>
          <w:sz w:val="20"/>
        </w:rPr>
        <w:t>žující ekonomické činnosti (na úrovni sekcí či oddílů CZ-NACE),</w:t>
      </w:r>
    </w:p>
    <w:p w14:paraId="7B88CDAB" w14:textId="0C1E6C9D" w:rsidR="00F36267" w:rsidRDefault="00F36267" w:rsidP="006C2D96">
      <w:pPr>
        <w:pStyle w:val="Odstavecseseznamem"/>
        <w:numPr>
          <w:ilvl w:val="0"/>
          <w:numId w:val="26"/>
        </w:numPr>
        <w:spacing w:before="100" w:beforeAutospacing="1" w:after="0"/>
        <w:ind w:left="714" w:hanging="357"/>
        <w:jc w:val="both"/>
        <w:rPr>
          <w:rFonts w:ascii="Arial" w:hAnsi="Arial" w:cs="Arial"/>
          <w:sz w:val="20"/>
        </w:rPr>
      </w:pPr>
      <w:r>
        <w:rPr>
          <w:rFonts w:ascii="Arial" w:hAnsi="Arial" w:cs="Arial"/>
          <w:sz w:val="20"/>
        </w:rPr>
        <w:t>sídla zaměstnavatele (kraje a okresy ČR dle klasifikace CZ-NUTS)</w:t>
      </w:r>
    </w:p>
    <w:p w14:paraId="2F99F5EC" w14:textId="27EF4165" w:rsidR="006C2D96" w:rsidRDefault="006C2D96" w:rsidP="006C2D96">
      <w:pPr>
        <w:spacing w:before="24" w:after="0"/>
        <w:jc w:val="both"/>
        <w:rPr>
          <w:rFonts w:cs="Arial"/>
        </w:rPr>
      </w:pPr>
    </w:p>
    <w:p w14:paraId="0330CF0D" w14:textId="7D7813E6" w:rsidR="0036400F" w:rsidRDefault="006C2D96" w:rsidP="004B4EAD">
      <w:pPr>
        <w:spacing w:before="24" w:after="0"/>
        <w:jc w:val="both"/>
        <w:rPr>
          <w:rFonts w:cs="Arial"/>
        </w:rPr>
      </w:pPr>
      <w:r>
        <w:rPr>
          <w:rFonts w:cs="Arial"/>
        </w:rPr>
        <w:lastRenderedPageBreak/>
        <w:t xml:space="preserve">Tabulková část dále obsahuje data o pracovní úrazovosti s dočasnou pracovní neschopností delší než 3 dny v členění dle krajů ČR, se samostatným výstupem o </w:t>
      </w:r>
      <w:r w:rsidRPr="00A37CD1">
        <w:rPr>
          <w:rFonts w:cs="Arial"/>
          <w:b/>
        </w:rPr>
        <w:t>pracovní úrazovosti mladistvých</w:t>
      </w:r>
      <w:r>
        <w:rPr>
          <w:rFonts w:cs="Arial"/>
        </w:rPr>
        <w:t xml:space="preserve"> (tj. nemocensky pojištěných osob do 18 let).</w:t>
      </w:r>
    </w:p>
    <w:p w14:paraId="02A0479C" w14:textId="6A9B3504" w:rsidR="00F36267" w:rsidRDefault="00F36267" w:rsidP="004B4EAD">
      <w:pPr>
        <w:spacing w:before="24" w:after="0"/>
        <w:jc w:val="both"/>
        <w:rPr>
          <w:rFonts w:cs="Arial"/>
        </w:rPr>
      </w:pPr>
    </w:p>
    <w:p w14:paraId="5F4DB7BD" w14:textId="2609345C" w:rsidR="00F36267" w:rsidRDefault="00F36267" w:rsidP="004B4EAD">
      <w:pPr>
        <w:spacing w:before="24" w:after="0"/>
        <w:jc w:val="both"/>
        <w:rPr>
          <w:rFonts w:cs="Arial"/>
        </w:rPr>
      </w:pPr>
      <w:r>
        <w:rPr>
          <w:rFonts w:cs="Arial"/>
        </w:rPr>
        <w:t>Problematika pracovní neschopnosti pro nemoc a úraz je závažná</w:t>
      </w:r>
      <w:r w:rsidR="003959BE">
        <w:rPr>
          <w:rFonts w:cs="Arial"/>
        </w:rPr>
        <w:t xml:space="preserve"> a z pohledu hodnocení vývoje v čase také zajímavá nejméně ze dvou důvodů. Za prvé – </w:t>
      </w:r>
      <w:r w:rsidR="003959BE" w:rsidRPr="00A37CD1">
        <w:rPr>
          <w:rFonts w:cs="Arial"/>
          <w:b/>
        </w:rPr>
        <w:t>ze zdravotního</w:t>
      </w:r>
      <w:r w:rsidR="003959BE">
        <w:rPr>
          <w:rFonts w:cs="Arial"/>
        </w:rPr>
        <w:t>, jelikož souvisí se zdravotním stavem zaměstnanců v návaznosti na určitou pracovní činnost, prostředí, pracovní podmínky, používanou techniku a</w:t>
      </w:r>
      <w:r w:rsidR="004D6A14">
        <w:rPr>
          <w:rFonts w:cs="Arial"/>
        </w:rPr>
        <w:t> </w:t>
      </w:r>
      <w:r w:rsidR="003959BE">
        <w:rPr>
          <w:rFonts w:cs="Arial"/>
        </w:rPr>
        <w:t xml:space="preserve">technologii, bezpečnost a hygienu práce apod. Za druhé – </w:t>
      </w:r>
      <w:r w:rsidR="003959BE" w:rsidRPr="00A37CD1">
        <w:rPr>
          <w:rFonts w:cs="Arial"/>
          <w:b/>
        </w:rPr>
        <w:t>z ekonomického důvodu</w:t>
      </w:r>
      <w:r w:rsidR="003959BE">
        <w:rPr>
          <w:rFonts w:cs="Arial"/>
        </w:rPr>
        <w:t>. Vztahuje se totiž k důsledkům nepřítomnosti dočasně práce neschopných v zaměstnání, ke snížení tvorby zdrojů, k čerpání fondu nemocenského pojištění a v neposlední řadě i k vyvolaným nákladům zdravotní péče.</w:t>
      </w:r>
    </w:p>
    <w:p w14:paraId="4AC619FF" w14:textId="5EA1ECC3" w:rsidR="003959BE" w:rsidRDefault="003959BE" w:rsidP="004B4EAD">
      <w:pPr>
        <w:spacing w:before="24" w:after="0"/>
        <w:jc w:val="both"/>
        <w:rPr>
          <w:rFonts w:cs="Arial"/>
        </w:rPr>
      </w:pPr>
    </w:p>
    <w:p w14:paraId="0504CEE8" w14:textId="5EBD36A2" w:rsidR="003959BE" w:rsidRDefault="003959BE" w:rsidP="004B4EAD">
      <w:pPr>
        <w:spacing w:before="24" w:after="0"/>
        <w:jc w:val="both"/>
        <w:rPr>
          <w:rFonts w:cs="Arial"/>
        </w:rPr>
      </w:pPr>
      <w:r>
        <w:rPr>
          <w:rFonts w:cs="Arial"/>
        </w:rPr>
        <w:t xml:space="preserve">Statistiky pracovní neschopnosti sice nabízí </w:t>
      </w:r>
      <w:r w:rsidRPr="00A37CD1">
        <w:rPr>
          <w:rFonts w:cs="Arial"/>
          <w:b/>
        </w:rPr>
        <w:t>dlouhodobé časové řady</w:t>
      </w:r>
      <w:r>
        <w:rPr>
          <w:rFonts w:cs="Arial"/>
        </w:rPr>
        <w:t>, které ukazují mnohé souvislosti a</w:t>
      </w:r>
      <w:r w:rsidR="00F547BE">
        <w:rPr>
          <w:rFonts w:cs="Arial"/>
        </w:rPr>
        <w:t> </w:t>
      </w:r>
      <w:r>
        <w:rPr>
          <w:rFonts w:cs="Arial"/>
        </w:rPr>
        <w:t xml:space="preserve">trendy, nicméně je třeba si dobře uvědomit faktory, které tento jev ovlivňují. Zjednodušeně lze říci, že v průběhu času dochází ke změnám dvojího druhu. Jedny jsou projevem </w:t>
      </w:r>
      <w:r w:rsidRPr="00A37CD1">
        <w:rPr>
          <w:rFonts w:cs="Arial"/>
          <w:b/>
        </w:rPr>
        <w:t>„přirozeného“ vývoje</w:t>
      </w:r>
      <w:r>
        <w:rPr>
          <w:rFonts w:cs="Arial"/>
        </w:rPr>
        <w:t xml:space="preserve"> sledovaných jevů, zatímco druhé vycházejí z určitého </w:t>
      </w:r>
      <w:r w:rsidRPr="00A37CD1">
        <w:rPr>
          <w:rFonts w:cs="Arial"/>
          <w:b/>
        </w:rPr>
        <w:t>vědomého rozhodnutí</w:t>
      </w:r>
      <w:r>
        <w:rPr>
          <w:rFonts w:cs="Arial"/>
        </w:rPr>
        <w:t>. Mezi přirozené patří mj. demografické (změny počtu nemocensky pojištěných, stárnutí obyvatelstva) či ekonomické (vývoj nezaměstnanosti, inflace) změny podobně jako technický a technologický rozvoj (mající vliv na bezpečnost a náročnost práce). Vedle těchto jevů působí i vědomě prováděná opatření v oblasti legislativy (např. změny výše dávek a jiných nároků, úpravy pojištění apod.)</w:t>
      </w:r>
      <w:r w:rsidR="008E63E7">
        <w:rPr>
          <w:rFonts w:cs="Arial"/>
        </w:rPr>
        <w:t>, ale rovněž změny metodické (způsob sběru dat, změny klasifikací).</w:t>
      </w:r>
    </w:p>
    <w:p w14:paraId="21BBCEE4" w14:textId="2FD4E6FE" w:rsidR="00F36267" w:rsidRDefault="00F36267" w:rsidP="004B4EAD">
      <w:pPr>
        <w:spacing w:before="24" w:after="0"/>
        <w:jc w:val="both"/>
        <w:rPr>
          <w:rFonts w:cs="Arial"/>
        </w:rPr>
      </w:pPr>
    </w:p>
    <w:p w14:paraId="15AE6875" w14:textId="2E31B41B" w:rsidR="008E63E7" w:rsidRDefault="00F36267" w:rsidP="008E63E7">
      <w:pPr>
        <w:jc w:val="both"/>
      </w:pPr>
      <w:r>
        <w:t xml:space="preserve">Oba výše uvedené druhy změn ovlivňují chování dotčených subjektů v různé míře a je nutné k nim při analytickém hodnocení přihlížet. </w:t>
      </w:r>
    </w:p>
    <w:p w14:paraId="43D739FD" w14:textId="77777777" w:rsidR="008E63E7" w:rsidRDefault="008E63E7">
      <w:pPr>
        <w:spacing w:after="0" w:line="240" w:lineRule="auto"/>
      </w:pPr>
      <w:r>
        <w:br w:type="page"/>
      </w:r>
    </w:p>
    <w:p w14:paraId="10C952C0" w14:textId="77777777" w:rsidR="00796E73" w:rsidRDefault="00796E73" w:rsidP="00796E73">
      <w:pPr>
        <w:pStyle w:val="Nadpis1"/>
      </w:pPr>
      <w:bookmarkStart w:id="1" w:name="_Toc10117308"/>
      <w:r>
        <w:lastRenderedPageBreak/>
        <w:t>2. Legislativní úprava nemocenského pojištění</w:t>
      </w:r>
      <w:bookmarkEnd w:id="1"/>
    </w:p>
    <w:p w14:paraId="1678580F" w14:textId="77777777" w:rsidR="00A86205" w:rsidRDefault="00A86205" w:rsidP="00A86205">
      <w:pPr>
        <w:jc w:val="both"/>
      </w:pPr>
      <w:r>
        <w:t>Systém nemocenského pojištění je určen pro výdělečně činné osoby, které při ztrátě příjmu v případech tzv. krátkodobých sociálních událostí (dočasné pracovní neschopnosti z důvodu nemoci nebo úrazu či karantény, ošetřování člena rodiny, těhotenství a mateřství, péče o dítě) zabezpečuje peněžitými dávkami nemocenského pojištění.</w:t>
      </w:r>
    </w:p>
    <w:p w14:paraId="21D6F5CB" w14:textId="77777777" w:rsidR="00A86205" w:rsidRDefault="00A86205" w:rsidP="00A86205">
      <w:pPr>
        <w:jc w:val="both"/>
      </w:pPr>
      <w:r>
        <w:t xml:space="preserve">Od 1. ledna 2009 je nemocenské pojištění upraveno </w:t>
      </w:r>
      <w:r>
        <w:rPr>
          <w:b/>
          <w:bCs/>
        </w:rPr>
        <w:t>zákonem č. 187/2006 Sb., o nemocenském pojištění</w:t>
      </w:r>
      <w:r>
        <w:t>, ve znění pozdějších předpisů (</w:t>
      </w:r>
      <w:r w:rsidRPr="004974FE">
        <w:t xml:space="preserve">dále </w:t>
      </w:r>
      <w:r>
        <w:t>též</w:t>
      </w:r>
      <w:r w:rsidRPr="004974FE">
        <w:t xml:space="preserve"> „zákon o nemocenském pojištění“).</w:t>
      </w:r>
      <w:r>
        <w:t xml:space="preserve"> Jde o komplexní úpravu nemocenského pojištění, která zahrnuje jak okruh osob účastných nemocenského pojištění, jejich nároky z tohoto pojištění a stanovení výše poskytovaných dávek, posuzování zdravotního stavu pro účely nemocenského pojištění, tak organizační uspořádání nemocenského pojištění, jakož i řízení v tomto pojištění.</w:t>
      </w:r>
    </w:p>
    <w:p w14:paraId="4EA02504" w14:textId="77777777" w:rsidR="00A86205" w:rsidRPr="00494E37" w:rsidRDefault="00A86205" w:rsidP="00A86205">
      <w:pPr>
        <w:pStyle w:val="Seznam"/>
        <w:jc w:val="both"/>
        <w:rPr>
          <w:b/>
          <w:bCs/>
        </w:rPr>
      </w:pPr>
      <w:r w:rsidRPr="00494E37">
        <w:t>K oblasti nemocenského pojištění se kromě zákona o nemocenském pojištění dále vztahují následující právní předpisy:</w:t>
      </w:r>
    </w:p>
    <w:p w14:paraId="70B8F419" w14:textId="69181637" w:rsidR="00A86205" w:rsidRDefault="00A86205" w:rsidP="00A86205">
      <w:pPr>
        <w:pStyle w:val="Seznam"/>
        <w:numPr>
          <w:ilvl w:val="0"/>
          <w:numId w:val="14"/>
        </w:numPr>
        <w:jc w:val="both"/>
      </w:pPr>
      <w:r w:rsidRPr="00494E37">
        <w:t>zákon č. 589/1992 Sb., o pojistném na sociální zabezpečení a příspěvku na státní politiku zaměstnanosti, ve znění pozdějších předpisů</w:t>
      </w:r>
      <w:r>
        <w:t xml:space="preserve"> (upravuje pojistné na nemocenské pojištění),</w:t>
      </w:r>
    </w:p>
    <w:p w14:paraId="027967A2" w14:textId="5DB9108A" w:rsidR="00A86205" w:rsidRDefault="00A86205" w:rsidP="00A86205">
      <w:pPr>
        <w:pStyle w:val="Seznam"/>
        <w:numPr>
          <w:ilvl w:val="0"/>
          <w:numId w:val="14"/>
        </w:numPr>
        <w:jc w:val="both"/>
      </w:pPr>
      <w:r>
        <w:t>zákon č. 262/2006 Sb., zákoník práce, ve znění pozdějších předpisů (upravuje náhradu mzdy nebo platu při pracovní neschopnosti),</w:t>
      </w:r>
    </w:p>
    <w:p w14:paraId="068971C5" w14:textId="4A0BD7E8" w:rsidR="009D65DD" w:rsidRDefault="009D65DD" w:rsidP="00285EDB">
      <w:pPr>
        <w:pStyle w:val="Seznam"/>
        <w:numPr>
          <w:ilvl w:val="0"/>
          <w:numId w:val="14"/>
        </w:numPr>
        <w:jc w:val="both"/>
      </w:pPr>
      <w:r>
        <w:rPr>
          <w:bCs/>
        </w:rPr>
        <w:t>n</w:t>
      </w:r>
      <w:r w:rsidRPr="00F45472">
        <w:rPr>
          <w:bCs/>
        </w:rPr>
        <w:t>ařízení vlády č. 3</w:t>
      </w:r>
      <w:r w:rsidR="00BF6442">
        <w:rPr>
          <w:bCs/>
        </w:rPr>
        <w:t>43</w:t>
      </w:r>
      <w:r w:rsidRPr="00F45472">
        <w:rPr>
          <w:bCs/>
        </w:rPr>
        <w:t>/201</w:t>
      </w:r>
      <w:r w:rsidR="00BF6442">
        <w:rPr>
          <w:bCs/>
        </w:rPr>
        <w:t>7</w:t>
      </w:r>
      <w:r w:rsidRPr="00F45472">
        <w:rPr>
          <w:bCs/>
        </w:rPr>
        <w:t> Sb.</w:t>
      </w:r>
      <w:r w:rsidRPr="00F45472">
        <w:t>,</w:t>
      </w:r>
      <w:r>
        <w:t xml:space="preserve"> o výši všeobecného vyměřovacího základu </w:t>
      </w:r>
      <w:r w:rsidR="00285EDB" w:rsidRPr="00285EDB">
        <w:t>za rok 2016, přepočítacího koeficientu pro úpravu všeobecného vyměřovacího základu za rok 2016, redukčních hranic pro stanovení výpočtového základu pro rok 2018 a základní výměry důchodu stanovené pro rok 2018 a o zvýšení důchodů v roce 2018</w:t>
      </w:r>
      <w:r>
        <w:t>,</w:t>
      </w:r>
    </w:p>
    <w:p w14:paraId="61DE43B8" w14:textId="1D7153C8" w:rsidR="009D65DD" w:rsidRPr="00494E37" w:rsidRDefault="009D65DD" w:rsidP="009D65DD">
      <w:pPr>
        <w:pStyle w:val="Seznam"/>
        <w:numPr>
          <w:ilvl w:val="0"/>
          <w:numId w:val="14"/>
        </w:numPr>
        <w:jc w:val="both"/>
      </w:pPr>
      <w:r>
        <w:rPr>
          <w:bCs/>
        </w:rPr>
        <w:t>s</w:t>
      </w:r>
      <w:r w:rsidRPr="00F45472">
        <w:rPr>
          <w:bCs/>
        </w:rPr>
        <w:t>dělení</w:t>
      </w:r>
      <w:r w:rsidRPr="00F45472">
        <w:t xml:space="preserve"> M</w:t>
      </w:r>
      <w:r>
        <w:t>inisterst</w:t>
      </w:r>
      <w:r w:rsidR="00285EDB">
        <w:t>va práce a sociálních věcí č. </w:t>
      </w:r>
      <w:r>
        <w:t>3</w:t>
      </w:r>
      <w:r w:rsidR="00285EDB">
        <w:t>49</w:t>
      </w:r>
      <w:r>
        <w:t>/201</w:t>
      </w:r>
      <w:r w:rsidR="00285EDB">
        <w:t>7</w:t>
      </w:r>
      <w:r>
        <w:t> Sb., kterým se vyhlašuje pro účely nemocenského pojištění výše redukčních hranic pro úpravu denního vyměřovacího základu platných v roce 201</w:t>
      </w:r>
      <w:r w:rsidR="00285EDB">
        <w:t>8</w:t>
      </w:r>
      <w:r w:rsidRPr="00494E37">
        <w:t>.</w:t>
      </w:r>
    </w:p>
    <w:p w14:paraId="26D8E0AC" w14:textId="77777777" w:rsidR="00A86205" w:rsidRPr="00C91277" w:rsidRDefault="00A86205" w:rsidP="00A86205">
      <w:pPr>
        <w:jc w:val="both"/>
        <w:rPr>
          <w:b/>
          <w:sz w:val="24"/>
        </w:rPr>
      </w:pPr>
      <w:r w:rsidRPr="00C91277">
        <w:rPr>
          <w:b/>
          <w:sz w:val="24"/>
        </w:rPr>
        <w:t>Účast na nemocenském pojištění</w:t>
      </w:r>
    </w:p>
    <w:p w14:paraId="692FF42F" w14:textId="77777777" w:rsidR="00A86205" w:rsidRPr="0093420B" w:rsidRDefault="00A86205" w:rsidP="00A86205">
      <w:pPr>
        <w:jc w:val="both"/>
        <w:rPr>
          <w:rFonts w:cs="Arial"/>
          <w:szCs w:val="20"/>
        </w:rPr>
      </w:pPr>
      <w:r w:rsidRPr="0093420B">
        <w:rPr>
          <w:rFonts w:cs="Arial"/>
          <w:szCs w:val="20"/>
        </w:rPr>
        <w:t xml:space="preserve">Nemocenského pojištění jsou účastni </w:t>
      </w:r>
      <w:r w:rsidRPr="0093420B">
        <w:rPr>
          <w:rFonts w:cs="Arial"/>
          <w:b/>
          <w:bCs/>
          <w:szCs w:val="20"/>
        </w:rPr>
        <w:t>zaměstnanci</w:t>
      </w:r>
      <w:r w:rsidRPr="0093420B">
        <w:rPr>
          <w:rFonts w:cs="Arial"/>
          <w:szCs w:val="20"/>
        </w:rPr>
        <w:t xml:space="preserve"> (bližší určení viz § 5 zákona o nemocenském pojištění) a </w:t>
      </w:r>
      <w:r w:rsidRPr="0093420B">
        <w:rPr>
          <w:rFonts w:cs="Arial"/>
          <w:b/>
          <w:bCs/>
          <w:szCs w:val="20"/>
        </w:rPr>
        <w:t>osoby samostatně výdělečně činné</w:t>
      </w:r>
      <w:r w:rsidRPr="0093420B">
        <w:rPr>
          <w:rFonts w:cs="Arial"/>
          <w:szCs w:val="20"/>
        </w:rPr>
        <w:t xml:space="preserve"> (dále též „OSVČ“). </w:t>
      </w:r>
      <w:r w:rsidRPr="0093420B">
        <w:rPr>
          <w:rFonts w:cs="Arial"/>
          <w:bCs/>
          <w:szCs w:val="20"/>
        </w:rPr>
        <w:t>Zaměstnanci</w:t>
      </w:r>
      <w:r w:rsidRPr="0093420B">
        <w:rPr>
          <w:rFonts w:cs="Arial"/>
          <w:szCs w:val="20"/>
        </w:rPr>
        <w:t xml:space="preserve"> jsou </w:t>
      </w:r>
      <w:r w:rsidRPr="0093420B">
        <w:rPr>
          <w:rFonts w:cs="Arial"/>
          <w:bCs/>
          <w:szCs w:val="20"/>
        </w:rPr>
        <w:t>povinně</w:t>
      </w:r>
      <w:r w:rsidRPr="0093420B">
        <w:rPr>
          <w:rFonts w:cs="Arial"/>
          <w:szCs w:val="20"/>
        </w:rPr>
        <w:t xml:space="preserve"> účastni nemocenského pojištění, na rozdíl od </w:t>
      </w:r>
      <w:r w:rsidRPr="0093420B">
        <w:rPr>
          <w:rFonts w:cs="Arial"/>
          <w:bCs/>
          <w:szCs w:val="20"/>
        </w:rPr>
        <w:t>OSVČ</w:t>
      </w:r>
      <w:r w:rsidRPr="0093420B">
        <w:rPr>
          <w:rFonts w:cs="Arial"/>
          <w:szCs w:val="20"/>
        </w:rPr>
        <w:t xml:space="preserve">, jejichž nemocenské pojištění zůstává </w:t>
      </w:r>
      <w:r w:rsidRPr="0093420B">
        <w:rPr>
          <w:rFonts w:cs="Arial"/>
          <w:bCs/>
          <w:szCs w:val="20"/>
        </w:rPr>
        <w:t>dobrovolné</w:t>
      </w:r>
      <w:r w:rsidRPr="0093420B">
        <w:rPr>
          <w:rFonts w:cs="Arial"/>
          <w:szCs w:val="20"/>
        </w:rPr>
        <w:t>.</w:t>
      </w:r>
    </w:p>
    <w:p w14:paraId="6FB796C6" w14:textId="77777777" w:rsidR="00A86205" w:rsidRPr="0093420B" w:rsidRDefault="00A86205" w:rsidP="007C2E22">
      <w:pPr>
        <w:spacing w:after="0"/>
        <w:ind w:left="57"/>
        <w:rPr>
          <w:rFonts w:cs="Arial"/>
          <w:bCs/>
          <w:szCs w:val="20"/>
        </w:rPr>
      </w:pPr>
      <w:r w:rsidRPr="00D06F01">
        <w:rPr>
          <w:rFonts w:cs="Arial"/>
          <w:bCs/>
          <w:szCs w:val="20"/>
        </w:rPr>
        <w:t>Od 1. 1. 2014 </w:t>
      </w:r>
      <w:r>
        <w:rPr>
          <w:rFonts w:cs="Arial"/>
          <w:bCs/>
          <w:szCs w:val="20"/>
        </w:rPr>
        <w:t>byly</w:t>
      </w:r>
      <w:r w:rsidRPr="00D06F01">
        <w:rPr>
          <w:rFonts w:cs="Arial"/>
          <w:bCs/>
          <w:szCs w:val="20"/>
        </w:rPr>
        <w:t xml:space="preserve"> nově </w:t>
      </w:r>
      <w:r>
        <w:rPr>
          <w:rFonts w:cs="Arial"/>
          <w:bCs/>
          <w:szCs w:val="20"/>
        </w:rPr>
        <w:t>definovány</w:t>
      </w:r>
      <w:r w:rsidRPr="00D06F01">
        <w:rPr>
          <w:rFonts w:cs="Arial"/>
          <w:bCs/>
          <w:szCs w:val="20"/>
        </w:rPr>
        <w:t xml:space="preserve"> některé pojmy:</w:t>
      </w:r>
      <w:r w:rsidRPr="0093420B">
        <w:rPr>
          <w:rFonts w:cs="Arial"/>
          <w:bCs/>
          <w:szCs w:val="20"/>
        </w:rPr>
        <w:t xml:space="preserve"> </w:t>
      </w:r>
    </w:p>
    <w:p w14:paraId="712012C0" w14:textId="77777777" w:rsidR="00A86205" w:rsidRPr="0093420B" w:rsidRDefault="00A86205" w:rsidP="00A86205">
      <w:pPr>
        <w:pStyle w:val="Seznam"/>
        <w:numPr>
          <w:ilvl w:val="0"/>
          <w:numId w:val="14"/>
        </w:numPr>
        <w:jc w:val="both"/>
      </w:pPr>
      <w:r w:rsidRPr="0093420B">
        <w:t>Za „zaměstnání“ se již nepovažuje právní vztah, na jehož základě vykonával zaměstnanec práci. Nově se za zaměstnání pro účely nemocenského pojištění považuje činnost zaměstnance pro zaměstnavatele, z níž mu plynou nebo by mohly plynout od zaměstnavatele příjmy ze závislé činnosti bez ohledu na druh pracovního vztahu.</w:t>
      </w:r>
    </w:p>
    <w:p w14:paraId="767C5472" w14:textId="31AF5923" w:rsidR="00A86205" w:rsidRPr="00D06F01" w:rsidRDefault="00A86205" w:rsidP="00A86205">
      <w:pPr>
        <w:pStyle w:val="Seznam"/>
        <w:numPr>
          <w:ilvl w:val="0"/>
          <w:numId w:val="14"/>
        </w:numPr>
        <w:jc w:val="both"/>
      </w:pPr>
      <w:r w:rsidRPr="0093420B">
        <w:rPr>
          <w:b/>
        </w:rPr>
        <w:t>Z</w:t>
      </w:r>
      <w:r w:rsidRPr="00D06F01">
        <w:rPr>
          <w:b/>
        </w:rPr>
        <w:t>aměstnanci</w:t>
      </w:r>
      <w:r w:rsidRPr="00D06F01">
        <w:t xml:space="preserve"> se rozumí osoby</w:t>
      </w:r>
      <w:r w:rsidR="002C4F33">
        <w:t>, které jsou účastny pojištění</w:t>
      </w:r>
      <w:r w:rsidRPr="00D06F01">
        <w:t xml:space="preserve"> v době zaměstnání, pokud jim plynou nebo by mohly plynout příjmy ze závislé činnosti, které jsou nebo by byly, pokud by podléhaly zdanění v ČR, předmětem daně a nejsou od této daně osvobozeny.</w:t>
      </w:r>
    </w:p>
    <w:p w14:paraId="1AC08DA1" w14:textId="77777777" w:rsidR="00A86205" w:rsidRDefault="00A86205" w:rsidP="00A86205">
      <w:pPr>
        <w:ind w:left="57"/>
        <w:jc w:val="both"/>
      </w:pPr>
      <w:r w:rsidRPr="00D06F01">
        <w:rPr>
          <w:b/>
        </w:rPr>
        <w:t xml:space="preserve">Výjimka z této zásady </w:t>
      </w:r>
      <w:r w:rsidRPr="00D06F01">
        <w:t xml:space="preserve">platí pouze pro zastupitele územních samosprávných celků, kteří nejsou pro výkon funkce dlouhodobě uvolněni, nebo ji nevykonávají ve stejném rozsahu jako dlouhodobě uvolnění členové zastupitelstva. Neuvolnění zastupitelé nejsou nadále účastni nemocenského pojištění, z jejich odměn se neplatí pojistné na sociální zabezpečení. </w:t>
      </w:r>
    </w:p>
    <w:p w14:paraId="680628D6" w14:textId="0737B7FD" w:rsidR="00A86205" w:rsidRPr="00D06F01" w:rsidRDefault="00A86205" w:rsidP="00A86205">
      <w:pPr>
        <w:ind w:left="57"/>
        <w:jc w:val="both"/>
      </w:pPr>
      <w:r w:rsidRPr="00D06F01">
        <w:rPr>
          <w:b/>
        </w:rPr>
        <w:t>Povinná účast na nemocenském pojištění</w:t>
      </w:r>
      <w:r w:rsidRPr="00D06F01">
        <w:t xml:space="preserve"> vzniká u zaměstnance (s výjimkou zaměstnance činného na</w:t>
      </w:r>
      <w:r w:rsidR="00F547BE">
        <w:t> </w:t>
      </w:r>
      <w:r w:rsidRPr="00D06F01">
        <w:t>základě dohody o provedení práce), pokud splňuje podmínky stanovené zákonem o nemocenském pojištění.</w:t>
      </w:r>
    </w:p>
    <w:p w14:paraId="4F59814B" w14:textId="77777777" w:rsidR="00A86205" w:rsidRDefault="00A86205" w:rsidP="00A86205">
      <w:pPr>
        <w:pStyle w:val="Seznam"/>
        <w:jc w:val="both"/>
        <w:rPr>
          <w:b/>
          <w:bCs/>
        </w:rPr>
      </w:pPr>
      <w:r>
        <w:t>Jedná se o dvě základní podmínky, a to o:</w:t>
      </w:r>
    </w:p>
    <w:p w14:paraId="37C1F523" w14:textId="77777777" w:rsidR="00A86205" w:rsidRDefault="00A86205" w:rsidP="00A86205">
      <w:pPr>
        <w:pStyle w:val="Seznam"/>
        <w:numPr>
          <w:ilvl w:val="0"/>
          <w:numId w:val="15"/>
        </w:numPr>
        <w:jc w:val="both"/>
        <w:rPr>
          <w:b/>
          <w:bCs/>
        </w:rPr>
      </w:pPr>
      <w:r>
        <w:rPr>
          <w:b/>
          <w:bCs/>
        </w:rPr>
        <w:lastRenderedPageBreak/>
        <w:t>výkon práce</w:t>
      </w:r>
      <w:r>
        <w:t xml:space="preserve"> na území České republiky (dále též „ČR“) v zaměstnání vykonávaném v pracovněprávním či </w:t>
      </w:r>
      <w:r w:rsidRPr="00F45472">
        <w:rPr>
          <w:bCs/>
        </w:rPr>
        <w:t>pracovním vztahu</w:t>
      </w:r>
      <w:r>
        <w:t>, který může účast na nemocenském pojištění založit,</w:t>
      </w:r>
    </w:p>
    <w:p w14:paraId="26E5FFDB" w14:textId="77777777" w:rsidR="00A86205" w:rsidRDefault="00A86205" w:rsidP="00A86205">
      <w:pPr>
        <w:pStyle w:val="Seznam"/>
        <w:numPr>
          <w:ilvl w:val="0"/>
          <w:numId w:val="15"/>
        </w:numPr>
        <w:jc w:val="both"/>
      </w:pPr>
      <w:r>
        <w:rPr>
          <w:b/>
          <w:bCs/>
        </w:rPr>
        <w:t>minimální výši sjednaného příjmu</w:t>
      </w:r>
      <w:r>
        <w:t xml:space="preserve"> (jedná se o tzv. </w:t>
      </w:r>
      <w:r w:rsidRPr="00F45472">
        <w:rPr>
          <w:bCs/>
        </w:rPr>
        <w:t>rozhodný příjem</w:t>
      </w:r>
      <w:r w:rsidRPr="00F45472">
        <w:t xml:space="preserve">, jehož hranice byla od 1. 1. 2009 stanovena na </w:t>
      </w:r>
      <w:r w:rsidRPr="00F45472">
        <w:rPr>
          <w:bCs/>
        </w:rPr>
        <w:t>2 000 Kč</w:t>
      </w:r>
      <w:r>
        <w:rPr>
          <w:bCs/>
        </w:rPr>
        <w:t>,</w:t>
      </w:r>
      <w:r w:rsidRPr="00F45472">
        <w:rPr>
          <w:bCs/>
        </w:rPr>
        <w:t xml:space="preserve"> od 1. 1. 2012 </w:t>
      </w:r>
      <w:r>
        <w:rPr>
          <w:bCs/>
        </w:rPr>
        <w:t xml:space="preserve">se </w:t>
      </w:r>
      <w:r w:rsidRPr="00F45472">
        <w:rPr>
          <w:bCs/>
        </w:rPr>
        <w:t>zvýšila na částku</w:t>
      </w:r>
      <w:r>
        <w:rPr>
          <w:b/>
          <w:bCs/>
        </w:rPr>
        <w:t xml:space="preserve"> 2 500 Kč</w:t>
      </w:r>
      <w:r>
        <w:t>).</w:t>
      </w:r>
    </w:p>
    <w:p w14:paraId="60953A9D" w14:textId="77777777" w:rsidR="00A86205" w:rsidRPr="00402E84" w:rsidRDefault="00A86205" w:rsidP="00A86205">
      <w:pPr>
        <w:pStyle w:val="Normlnweb"/>
        <w:spacing w:after="240" w:afterAutospacing="0" w:line="288" w:lineRule="auto"/>
        <w:jc w:val="both"/>
        <w:rPr>
          <w:rFonts w:ascii="Arial" w:hAnsi="Arial" w:cs="Arial"/>
          <w:sz w:val="20"/>
          <w:szCs w:val="20"/>
        </w:rPr>
      </w:pPr>
      <w:r w:rsidRPr="00402E84">
        <w:rPr>
          <w:rFonts w:ascii="Arial" w:hAnsi="Arial" w:cs="Arial"/>
          <w:sz w:val="20"/>
          <w:szCs w:val="20"/>
        </w:rPr>
        <w:t>Od 1. 1. 2014 </w:t>
      </w:r>
      <w:r>
        <w:rPr>
          <w:rFonts w:ascii="Arial" w:hAnsi="Arial" w:cs="Arial"/>
          <w:sz w:val="20"/>
          <w:szCs w:val="20"/>
        </w:rPr>
        <w:t>došlo ke zrušení</w:t>
      </w:r>
      <w:r w:rsidRPr="00402E84">
        <w:rPr>
          <w:rFonts w:ascii="Arial" w:hAnsi="Arial" w:cs="Arial"/>
          <w:sz w:val="20"/>
          <w:szCs w:val="20"/>
        </w:rPr>
        <w:t xml:space="preserve"> zvláštní úprav</w:t>
      </w:r>
      <w:r>
        <w:rPr>
          <w:rFonts w:ascii="Arial" w:hAnsi="Arial" w:cs="Arial"/>
          <w:sz w:val="20"/>
          <w:szCs w:val="20"/>
        </w:rPr>
        <w:t>y</w:t>
      </w:r>
      <w:r w:rsidRPr="00402E84">
        <w:rPr>
          <w:rFonts w:ascii="Arial" w:hAnsi="Arial" w:cs="Arial"/>
          <w:sz w:val="20"/>
          <w:szCs w:val="20"/>
        </w:rPr>
        <w:t xml:space="preserve"> podmínek účasti na nemocenském pojištění pro krátkodobá zaměstnání, tj. zaměstnání, která neměla trvat a ani netrvala déle než 14 dnů. Zaměstnání se proto z hlediska podmínek účasti na nemocenském pojištění děl</w:t>
      </w:r>
      <w:r>
        <w:rPr>
          <w:rFonts w:ascii="Arial" w:hAnsi="Arial" w:cs="Arial"/>
          <w:sz w:val="20"/>
          <w:szCs w:val="20"/>
        </w:rPr>
        <w:t>í</w:t>
      </w:r>
      <w:r w:rsidRPr="00402E84">
        <w:rPr>
          <w:rFonts w:ascii="Arial" w:hAnsi="Arial" w:cs="Arial"/>
          <w:sz w:val="20"/>
          <w:szCs w:val="20"/>
        </w:rPr>
        <w:t xml:space="preserve"> na zaměstnání vykonávaná na základě dohody o provedení práce, na zaměstnání malého rozsahu a na ostatní zaměstnání.</w:t>
      </w:r>
    </w:p>
    <w:p w14:paraId="57F692DE" w14:textId="7ED937F3" w:rsidR="00A86205" w:rsidRPr="00402E84" w:rsidRDefault="00A86205" w:rsidP="00A86205">
      <w:pPr>
        <w:pStyle w:val="Normlnweb"/>
        <w:spacing w:after="240" w:afterAutospacing="0" w:line="288" w:lineRule="auto"/>
        <w:jc w:val="both"/>
        <w:rPr>
          <w:rFonts w:ascii="Arial" w:hAnsi="Arial" w:cs="Arial"/>
          <w:sz w:val="20"/>
          <w:szCs w:val="20"/>
        </w:rPr>
      </w:pPr>
      <w:r w:rsidRPr="00402E84">
        <w:rPr>
          <w:rFonts w:ascii="Arial" w:hAnsi="Arial" w:cs="Arial"/>
          <w:sz w:val="20"/>
          <w:szCs w:val="20"/>
        </w:rPr>
        <w:t xml:space="preserve">Zvláštní podmínky účasti zaměstnanců na nemocenském pojištění jsou stanoveny při výkonu </w:t>
      </w:r>
      <w:r w:rsidRPr="00402E84">
        <w:rPr>
          <w:rFonts w:ascii="Arial" w:hAnsi="Arial" w:cs="Arial"/>
          <w:b/>
          <w:bCs/>
          <w:sz w:val="20"/>
          <w:szCs w:val="20"/>
        </w:rPr>
        <w:t>zaměstnání malého rozsahu</w:t>
      </w:r>
      <w:r w:rsidRPr="00402E84">
        <w:rPr>
          <w:rFonts w:ascii="Arial" w:hAnsi="Arial" w:cs="Arial"/>
          <w:sz w:val="20"/>
          <w:szCs w:val="20"/>
        </w:rPr>
        <w:t>. Zaměstnáním malého rozsahu se rozumí zaměstnání, v němž jsou splněny podmínky výkonu zaměstnání na území ČR, avšak není splněna podmínka sjednání příjmu ze zaměstnání ve</w:t>
      </w:r>
      <w:r w:rsidR="00F547BE">
        <w:rPr>
          <w:rFonts w:ascii="Arial" w:hAnsi="Arial" w:cs="Arial"/>
          <w:sz w:val="20"/>
          <w:szCs w:val="20"/>
        </w:rPr>
        <w:t> </w:t>
      </w:r>
      <w:r w:rsidRPr="00402E84">
        <w:rPr>
          <w:rFonts w:ascii="Arial" w:hAnsi="Arial" w:cs="Arial"/>
          <w:sz w:val="20"/>
          <w:szCs w:val="20"/>
        </w:rPr>
        <w:t>stanovené výši. Jde o situace, kdy sjednaná měsíční částka započitatelného příjmu je nižší než rozhodný příjem, anebo měsíční příjem nebyl sjednán vůbec. Při výkonu zaměstnání malého rozsahu je zaměstnanec pojištěn jen v těch kalendářních měsících, v nichž dosáhl aspoň příjmu v příslušné rozhodné výši.</w:t>
      </w:r>
    </w:p>
    <w:p w14:paraId="296D35D4" w14:textId="77777777" w:rsidR="00A86205" w:rsidRDefault="00A86205" w:rsidP="00A86205">
      <w:pPr>
        <w:pStyle w:val="Seznam"/>
        <w:jc w:val="both"/>
      </w:pPr>
      <w:r>
        <w:t xml:space="preserve">U zaměstnance činného na základě </w:t>
      </w:r>
      <w:r>
        <w:rPr>
          <w:b/>
          <w:bCs/>
        </w:rPr>
        <w:t>dohody o provedení práce</w:t>
      </w:r>
      <w:r>
        <w:t xml:space="preserve"> vzniká povinná účast na nemocenském pojištění, pokud splňuje dvě podmínky, a to:</w:t>
      </w:r>
    </w:p>
    <w:p w14:paraId="5DB6BE0F" w14:textId="77777777" w:rsidR="00A86205" w:rsidRDefault="00A86205" w:rsidP="00A86205">
      <w:pPr>
        <w:pStyle w:val="Seznam"/>
        <w:numPr>
          <w:ilvl w:val="0"/>
          <w:numId w:val="16"/>
        </w:numPr>
        <w:jc w:val="both"/>
      </w:pPr>
      <w:r>
        <w:t>výkon práce na území ČR a</w:t>
      </w:r>
    </w:p>
    <w:p w14:paraId="46A6408E" w14:textId="77777777" w:rsidR="00A86205" w:rsidRDefault="00A86205" w:rsidP="00A86205">
      <w:pPr>
        <w:pStyle w:val="Seznam"/>
        <w:numPr>
          <w:ilvl w:val="0"/>
          <w:numId w:val="16"/>
        </w:numPr>
        <w:jc w:val="both"/>
      </w:pPr>
      <w:r>
        <w:t>v kalendářním měsíci, v němž dohoda o provedení práce trvá, dosáhl započitatelného příjmu v částce vyšší než 10 000 Kč.</w:t>
      </w:r>
    </w:p>
    <w:p w14:paraId="73077222" w14:textId="77777777" w:rsidR="00A86205" w:rsidRDefault="00A86205" w:rsidP="00A86205">
      <w:pPr>
        <w:jc w:val="both"/>
      </w:pPr>
      <w:r>
        <w:t>Účast OSVČ na nemocenském pojištění vzniká na základě přihlášky k nemocenskému pojištění a zaplacením pojistného na nemocenské pojištění.</w:t>
      </w:r>
    </w:p>
    <w:p w14:paraId="7FB2676D" w14:textId="77777777" w:rsidR="00A86205" w:rsidRDefault="00A86205" w:rsidP="00A86205">
      <w:pPr>
        <w:pStyle w:val="Normlnweb"/>
        <w:spacing w:line="288" w:lineRule="auto"/>
        <w:jc w:val="both"/>
        <w:rPr>
          <w:rFonts w:ascii="Arial" w:hAnsi="Arial"/>
          <w:sz w:val="20"/>
        </w:rPr>
      </w:pPr>
      <w:r w:rsidRPr="00540B61">
        <w:rPr>
          <w:rFonts w:ascii="Arial" w:hAnsi="Arial"/>
          <w:sz w:val="20"/>
        </w:rPr>
        <w:t xml:space="preserve">Od 1. 1. 2014 OSVČ, která je účastna nemocenského pojištění OSVČ, již není z tohoto důvodu považována vždy za OSVČ vykonávající hlavní samostatnou výdělečnou činnost. I OSVČ </w:t>
      </w:r>
      <w:r>
        <w:rPr>
          <w:rFonts w:ascii="Arial" w:hAnsi="Arial"/>
          <w:sz w:val="20"/>
        </w:rPr>
        <w:t xml:space="preserve">s </w:t>
      </w:r>
      <w:r w:rsidRPr="00540B61">
        <w:rPr>
          <w:rFonts w:ascii="Arial" w:hAnsi="Arial"/>
          <w:sz w:val="20"/>
        </w:rPr>
        <w:t xml:space="preserve">vedlejší </w:t>
      </w:r>
      <w:r>
        <w:rPr>
          <w:rFonts w:ascii="Arial" w:hAnsi="Arial"/>
          <w:sz w:val="20"/>
        </w:rPr>
        <w:t xml:space="preserve">výdělečnou činností </w:t>
      </w:r>
      <w:r w:rsidRPr="00540B61">
        <w:rPr>
          <w:rFonts w:ascii="Arial" w:hAnsi="Arial"/>
          <w:sz w:val="20"/>
        </w:rPr>
        <w:t>může být účastna nemocenského pojištění jako OSVČ, i když není povinna platit zálohy na důchodové pojištění. Minimální měsíční základ, který si může OSVČ určit pro placení pojistného na nemocenské pojištění, činí 5 000 Kč od 1. 1. 2012</w:t>
      </w:r>
      <w:r w:rsidR="009D65DD">
        <w:rPr>
          <w:rFonts w:ascii="Arial" w:hAnsi="Arial"/>
          <w:sz w:val="20"/>
        </w:rPr>
        <w:t xml:space="preserve">. </w:t>
      </w:r>
      <w:r w:rsidRPr="00540B61">
        <w:rPr>
          <w:rFonts w:ascii="Arial" w:hAnsi="Arial"/>
          <w:sz w:val="20"/>
        </w:rPr>
        <w:t>Při sazbě 2,3 % činí minimální pojistné na nemocenské pojištění 115 Kč za kalendářní měsíc.</w:t>
      </w:r>
    </w:p>
    <w:p w14:paraId="7A36C225" w14:textId="77777777" w:rsidR="00A86205" w:rsidRDefault="00A86205" w:rsidP="00A86205">
      <w:pPr>
        <w:jc w:val="both"/>
      </w:pPr>
      <w:r>
        <w:t xml:space="preserve">Další informace k účasti na nemocenském pojištění získáte na adrese: </w:t>
      </w:r>
      <w:hyperlink r:id="rId10" w:anchor="_blank" w:history="1">
        <w:r>
          <w:rPr>
            <w:rStyle w:val="Hypertextovodkaz"/>
            <w:rFonts w:eastAsia="MS Gothic" w:cs="Arial"/>
            <w:szCs w:val="20"/>
          </w:rPr>
          <w:t>http://www.cssz.cz/cz/nemocenske-pojisteni/ucast-na-pojisteni/</w:t>
        </w:r>
      </w:hyperlink>
      <w:r>
        <w:t xml:space="preserve"> a na adrese </w:t>
      </w:r>
      <w:hyperlink r:id="rId11" w:anchor="_blank" w:history="1">
        <w:r>
          <w:rPr>
            <w:rStyle w:val="Hypertextovodkaz"/>
            <w:rFonts w:eastAsia="MS Gothic" w:cs="Arial"/>
            <w:szCs w:val="20"/>
          </w:rPr>
          <w:t>http://www.cssz.cz/cz/pojisteni-osvc/ucast-na-pojisteni/nemocenske-pojisteni-osvc.htm</w:t>
        </w:r>
      </w:hyperlink>
      <w:r>
        <w:t>.</w:t>
      </w:r>
    </w:p>
    <w:p w14:paraId="21C307E5" w14:textId="77777777" w:rsidR="00A86205" w:rsidRPr="007D09E0" w:rsidRDefault="00A86205" w:rsidP="00A86205">
      <w:pPr>
        <w:jc w:val="both"/>
        <w:rPr>
          <w:b/>
          <w:sz w:val="24"/>
        </w:rPr>
      </w:pPr>
      <w:r w:rsidRPr="007D09E0">
        <w:rPr>
          <w:b/>
          <w:sz w:val="24"/>
        </w:rPr>
        <w:t>Nemocenské</w:t>
      </w:r>
    </w:p>
    <w:p w14:paraId="521298CF" w14:textId="0770BC9E" w:rsidR="00A86205" w:rsidRDefault="00A86205" w:rsidP="00A86205">
      <w:pPr>
        <w:jc w:val="both"/>
        <w:rPr>
          <w:bCs/>
        </w:rPr>
      </w:pPr>
      <w:r w:rsidRPr="00A70CE0">
        <w:rPr>
          <w:bCs/>
        </w:rPr>
        <w:t>Zaměstnanec nebo OSVČ, který je uznán ošetřujícím lékařem dočasně práce neschopným, má nárok na</w:t>
      </w:r>
      <w:r w:rsidR="00F547BE">
        <w:rPr>
          <w:bCs/>
        </w:rPr>
        <w:t> </w:t>
      </w:r>
      <w:r w:rsidRPr="00A70CE0">
        <w:rPr>
          <w:b/>
          <w:bCs/>
        </w:rPr>
        <w:t>nemocenské od 15. kalendářního dne</w:t>
      </w:r>
      <w:r w:rsidRPr="00A70CE0">
        <w:rPr>
          <w:bCs/>
        </w:rPr>
        <w:t xml:space="preserve"> trvání jeho dočasné pracovní neschopnosti do konce dočasné pracovní neschopnosti, </w:t>
      </w:r>
      <w:r w:rsidRPr="008F26A0">
        <w:rPr>
          <w:b/>
          <w:bCs/>
        </w:rPr>
        <w:t>maximálně však 380 kalendářních dnů</w:t>
      </w:r>
      <w:r w:rsidRPr="00A70CE0">
        <w:rPr>
          <w:bCs/>
        </w:rPr>
        <w:t xml:space="preserve"> počítaných od vzniku dočasné pracovní neschopnosti (včetně zápočtů předchozí doby trvání dočasné pracovní neschopnosti). OSVČ však pro získání nároku na nemocenské musí být účastna dobrovolného nemocenského pojištění OSVČ alespoň po</w:t>
      </w:r>
      <w:r w:rsidR="00F547BE">
        <w:rPr>
          <w:bCs/>
        </w:rPr>
        <w:t> </w:t>
      </w:r>
      <w:r w:rsidRPr="00A70CE0">
        <w:rPr>
          <w:bCs/>
        </w:rPr>
        <w:t>dobu 3 měsíců bezprostředně předcházejících dni vzniku dočasné pracovní neschopnosti.</w:t>
      </w:r>
    </w:p>
    <w:p w14:paraId="2E7D1504" w14:textId="77777777" w:rsidR="00A86205" w:rsidRDefault="00A86205" w:rsidP="00A86205">
      <w:pPr>
        <w:jc w:val="both"/>
        <w:rPr>
          <w:b/>
          <w:bCs/>
        </w:rPr>
      </w:pPr>
      <w:r w:rsidRPr="00E476DF">
        <w:t xml:space="preserve">Po dobu </w:t>
      </w:r>
      <w:r>
        <w:rPr>
          <w:b/>
        </w:rPr>
        <w:t xml:space="preserve">prvních 14 kalendářních dnů </w:t>
      </w:r>
      <w:r w:rsidRPr="00E476DF">
        <w:t>je zaměstnanec</w:t>
      </w:r>
      <w:r>
        <w:t xml:space="preserve"> (nikoli OSVČ), kterému trvá pracovní vztah zakládající účast na nemocenském pojištění, </w:t>
      </w:r>
      <w:r w:rsidRPr="00E476DF">
        <w:t xml:space="preserve">zabezpečen </w:t>
      </w:r>
      <w:r>
        <w:rPr>
          <w:b/>
        </w:rPr>
        <w:t xml:space="preserve">náhradou mzdy </w:t>
      </w:r>
      <w:r w:rsidRPr="007936D2">
        <w:rPr>
          <w:b/>
        </w:rPr>
        <w:t>nebo platu</w:t>
      </w:r>
      <w:r w:rsidRPr="00E476DF">
        <w:t>, kterou poskytuje zaměstnavatel podle zákoníku práce.</w:t>
      </w:r>
      <w:r>
        <w:t xml:space="preserve"> </w:t>
      </w:r>
      <w:r w:rsidRPr="0066149B">
        <w:t>Tato</w:t>
      </w:r>
      <w:r>
        <w:rPr>
          <w:b/>
        </w:rPr>
        <w:t xml:space="preserve"> </w:t>
      </w:r>
      <w:r w:rsidRPr="0066149B">
        <w:t>náhrada</w:t>
      </w:r>
      <w:r>
        <w:t xml:space="preserve"> náleží za pracovní dny a to při dočasné pracovní neschopnosti </w:t>
      </w:r>
      <w:r>
        <w:rPr>
          <w:b/>
        </w:rPr>
        <w:t>od 4. pracovního dne</w:t>
      </w:r>
      <w:r>
        <w:t xml:space="preserve"> (při karanténě od prvního pracovního dne). Náhrada nepřísluší za prvé 3 pracovní dny od vzniku dočasné pracovní neschopnosti (tzv. karenční doba).</w:t>
      </w:r>
    </w:p>
    <w:p w14:paraId="0F9C0FCD" w14:textId="39D69724" w:rsidR="00A86205" w:rsidRPr="004261ED" w:rsidRDefault="00A86205" w:rsidP="00A86205">
      <w:pPr>
        <w:pStyle w:val="Normlnweb"/>
        <w:spacing w:before="0" w:beforeAutospacing="0" w:after="0" w:afterAutospacing="0" w:line="288" w:lineRule="auto"/>
        <w:jc w:val="both"/>
        <w:rPr>
          <w:rFonts w:ascii="Arial" w:hAnsi="Arial" w:cs="Arial"/>
          <w:sz w:val="20"/>
          <w:szCs w:val="20"/>
        </w:rPr>
      </w:pPr>
      <w:r w:rsidRPr="004261ED">
        <w:rPr>
          <w:rFonts w:ascii="Arial" w:hAnsi="Arial" w:cs="Arial"/>
          <w:b/>
          <w:bCs/>
          <w:sz w:val="20"/>
          <w:szCs w:val="20"/>
        </w:rPr>
        <w:lastRenderedPageBreak/>
        <w:t>Poživateli starobního důchodu nebo invalidního důchodu pro invaliditu 3. stupně</w:t>
      </w:r>
      <w:r w:rsidRPr="004261ED">
        <w:rPr>
          <w:rFonts w:ascii="Arial" w:hAnsi="Arial" w:cs="Arial"/>
          <w:sz w:val="20"/>
          <w:szCs w:val="20"/>
        </w:rPr>
        <w:t xml:space="preserve"> se nemocenské vyplácí od 15. kalendářního dne trvání dočasné pracovní neschopnosti (karantény) po dobu nejvýše 70</w:t>
      </w:r>
      <w:r w:rsidR="00F547BE">
        <w:rPr>
          <w:rFonts w:ascii="Arial" w:hAnsi="Arial" w:cs="Arial"/>
          <w:sz w:val="20"/>
          <w:szCs w:val="20"/>
        </w:rPr>
        <w:t> </w:t>
      </w:r>
      <w:r w:rsidRPr="004261ED">
        <w:rPr>
          <w:rFonts w:ascii="Arial" w:hAnsi="Arial" w:cs="Arial"/>
          <w:sz w:val="20"/>
          <w:szCs w:val="20"/>
        </w:rPr>
        <w:t>kalendářních dnů, nejdéle však do dne, jímž končí pojištěná činnost.</w:t>
      </w:r>
    </w:p>
    <w:p w14:paraId="7116DAAD" w14:textId="77777777" w:rsidR="00A86205" w:rsidRPr="004261ED" w:rsidRDefault="00A86205" w:rsidP="00A86205">
      <w:pPr>
        <w:pStyle w:val="Normlnweb"/>
        <w:spacing w:before="0" w:beforeAutospacing="0" w:after="0" w:afterAutospacing="0" w:line="288" w:lineRule="auto"/>
        <w:jc w:val="both"/>
        <w:rPr>
          <w:rFonts w:ascii="Arial" w:hAnsi="Arial" w:cs="Arial"/>
          <w:sz w:val="20"/>
          <w:szCs w:val="20"/>
        </w:rPr>
      </w:pPr>
    </w:p>
    <w:p w14:paraId="14D00953" w14:textId="3E9B22EE" w:rsidR="00A86205" w:rsidRPr="004261ED" w:rsidRDefault="00A86205" w:rsidP="00A86205">
      <w:pPr>
        <w:pStyle w:val="Normlnweb"/>
        <w:spacing w:before="0" w:beforeAutospacing="0" w:after="0" w:afterAutospacing="0" w:line="288" w:lineRule="auto"/>
        <w:jc w:val="both"/>
        <w:rPr>
          <w:rFonts w:ascii="Arial" w:hAnsi="Arial" w:cs="Arial"/>
          <w:sz w:val="20"/>
          <w:szCs w:val="20"/>
        </w:rPr>
      </w:pPr>
      <w:r w:rsidRPr="004261ED">
        <w:rPr>
          <w:rFonts w:ascii="Arial" w:hAnsi="Arial" w:cs="Arial"/>
          <w:b/>
          <w:sz w:val="20"/>
          <w:szCs w:val="20"/>
        </w:rPr>
        <w:t>Nemocenské</w:t>
      </w:r>
      <w:r w:rsidRPr="004261ED">
        <w:rPr>
          <w:rFonts w:ascii="Arial" w:hAnsi="Arial" w:cs="Arial"/>
          <w:sz w:val="20"/>
          <w:szCs w:val="20"/>
        </w:rPr>
        <w:t xml:space="preserve"> náleží rovněž ve stanovených případech, jestliže ke vzniku dočasné pracovní neschopnosti (karantény) došlo po skončení pojištěného zaměstnání </w:t>
      </w:r>
      <w:r w:rsidRPr="001436FE">
        <w:rPr>
          <w:rFonts w:ascii="Arial" w:hAnsi="Arial" w:cs="Arial"/>
          <w:sz w:val="20"/>
          <w:szCs w:val="20"/>
        </w:rPr>
        <w:t>v</w:t>
      </w:r>
      <w:r w:rsidRPr="004261ED">
        <w:rPr>
          <w:rFonts w:ascii="Arial" w:hAnsi="Arial" w:cs="Arial"/>
          <w:sz w:val="20"/>
          <w:szCs w:val="20"/>
        </w:rPr>
        <w:t xml:space="preserve"> tzv. </w:t>
      </w:r>
      <w:r w:rsidRPr="004261ED">
        <w:rPr>
          <w:rFonts w:ascii="Arial" w:hAnsi="Arial" w:cs="Arial"/>
          <w:b/>
          <w:sz w:val="20"/>
          <w:szCs w:val="20"/>
        </w:rPr>
        <w:t>ochranné lhůtě</w:t>
      </w:r>
      <w:r w:rsidRPr="004261ED">
        <w:rPr>
          <w:rFonts w:ascii="Arial" w:hAnsi="Arial" w:cs="Arial"/>
          <w:sz w:val="20"/>
          <w:szCs w:val="20"/>
        </w:rPr>
        <w:t xml:space="preserve">. Účelem ochranné lhůty je zajistit bývalého zaměstnance po stanovenou dobu po skončení pojištění pro případ vzniku sociální události (dočasné pracovní neschopnosti) dříve, než opět nastoupí </w:t>
      </w:r>
      <w:r w:rsidR="0082313C">
        <w:rPr>
          <w:rFonts w:ascii="Arial" w:hAnsi="Arial" w:cs="Arial"/>
          <w:sz w:val="20"/>
          <w:szCs w:val="20"/>
        </w:rPr>
        <w:t xml:space="preserve">do </w:t>
      </w:r>
      <w:r w:rsidRPr="004261ED">
        <w:rPr>
          <w:rFonts w:ascii="Arial" w:hAnsi="Arial" w:cs="Arial"/>
          <w:sz w:val="20"/>
          <w:szCs w:val="20"/>
        </w:rPr>
        <w:t>další</w:t>
      </w:r>
      <w:r w:rsidR="0082313C">
        <w:rPr>
          <w:rFonts w:ascii="Arial" w:hAnsi="Arial" w:cs="Arial"/>
          <w:sz w:val="20"/>
          <w:szCs w:val="20"/>
        </w:rPr>
        <w:t>ho</w:t>
      </w:r>
      <w:r w:rsidRPr="004261ED">
        <w:rPr>
          <w:rFonts w:ascii="Arial" w:hAnsi="Arial" w:cs="Arial"/>
          <w:sz w:val="20"/>
          <w:szCs w:val="20"/>
        </w:rPr>
        <w:t xml:space="preserve"> zaměstnání. Ochranná lhůta v případě uplatňování nároku na nemocenské činí 7 kalendářních dnů ode dne skončení zaměstnání, které zakládalo účast na nemocenském pojištění. U </w:t>
      </w:r>
      <w:r w:rsidRPr="0082313C">
        <w:rPr>
          <w:rFonts w:ascii="Arial" w:hAnsi="Arial" w:cs="Arial"/>
          <w:b/>
          <w:sz w:val="20"/>
          <w:szCs w:val="20"/>
        </w:rPr>
        <w:t>zaměstnání kratších</w:t>
      </w:r>
      <w:r w:rsidRPr="004261ED">
        <w:rPr>
          <w:rFonts w:ascii="Arial" w:hAnsi="Arial" w:cs="Arial"/>
          <w:sz w:val="20"/>
          <w:szCs w:val="20"/>
        </w:rPr>
        <w:t xml:space="preserve"> </w:t>
      </w:r>
      <w:r w:rsidRPr="004261ED">
        <w:rPr>
          <w:rFonts w:ascii="Arial" w:hAnsi="Arial" w:cs="Arial"/>
          <w:b/>
          <w:sz w:val="20"/>
          <w:szCs w:val="20"/>
        </w:rPr>
        <w:t>než 7 kalendářních dnů</w:t>
      </w:r>
      <w:r w:rsidRPr="004261ED">
        <w:rPr>
          <w:rFonts w:ascii="Arial" w:hAnsi="Arial" w:cs="Arial"/>
          <w:sz w:val="20"/>
          <w:szCs w:val="20"/>
        </w:rPr>
        <w:t xml:space="preserve"> činí</w:t>
      </w:r>
      <w:r w:rsidRPr="004261ED">
        <w:rPr>
          <w:rFonts w:ascii="Arial" w:hAnsi="Arial" w:cs="Arial"/>
          <w:b/>
          <w:sz w:val="20"/>
          <w:szCs w:val="20"/>
        </w:rPr>
        <w:t xml:space="preserve"> </w:t>
      </w:r>
      <w:r w:rsidRPr="0082313C">
        <w:rPr>
          <w:rFonts w:ascii="Arial" w:hAnsi="Arial" w:cs="Arial"/>
          <w:sz w:val="20"/>
          <w:szCs w:val="20"/>
        </w:rPr>
        <w:t>ochranná lhůta</w:t>
      </w:r>
      <w:r w:rsidRPr="004261ED">
        <w:rPr>
          <w:rFonts w:ascii="Arial" w:hAnsi="Arial" w:cs="Arial"/>
          <w:sz w:val="20"/>
          <w:szCs w:val="20"/>
        </w:rPr>
        <w:t xml:space="preserve"> pouze tolik dnů, kolik činilo toto poslední zaměstnání.</w:t>
      </w:r>
    </w:p>
    <w:p w14:paraId="0C026CFA" w14:textId="77777777" w:rsidR="00A86205" w:rsidRPr="00047203" w:rsidRDefault="00A86205" w:rsidP="00A86205">
      <w:pPr>
        <w:pStyle w:val="Normlnweb"/>
        <w:rPr>
          <w:rFonts w:ascii="Arial" w:hAnsi="Arial" w:cs="Arial"/>
          <w:sz w:val="20"/>
          <w:szCs w:val="20"/>
        </w:rPr>
      </w:pPr>
      <w:r w:rsidRPr="00047203">
        <w:rPr>
          <w:rFonts w:ascii="Arial" w:hAnsi="Arial" w:cs="Arial"/>
          <w:b/>
          <w:bCs/>
          <w:sz w:val="20"/>
          <w:szCs w:val="20"/>
        </w:rPr>
        <w:t>Ochranná lhůta neplyne</w:t>
      </w:r>
    </w:p>
    <w:p w14:paraId="541B72A9" w14:textId="77777777" w:rsidR="00A86205" w:rsidRDefault="00A86205" w:rsidP="00A86205">
      <w:pPr>
        <w:numPr>
          <w:ilvl w:val="0"/>
          <w:numId w:val="19"/>
        </w:numPr>
        <w:spacing w:before="100" w:beforeAutospacing="1" w:after="100" w:afterAutospacing="1"/>
        <w:ind w:left="714" w:hanging="357"/>
      </w:pPr>
      <w:r>
        <w:t>z pojištěné činnosti poživatele starobního důchodu nebo invalidního důchodu pro invaliditu 3. stupně,</w:t>
      </w:r>
    </w:p>
    <w:p w14:paraId="3C0A8DF1" w14:textId="77777777" w:rsidR="00A86205" w:rsidRDefault="00A86205" w:rsidP="00A86205">
      <w:pPr>
        <w:numPr>
          <w:ilvl w:val="0"/>
          <w:numId w:val="19"/>
        </w:numPr>
        <w:spacing w:before="100" w:beforeAutospacing="1" w:after="100" w:afterAutospacing="1"/>
        <w:ind w:left="714" w:hanging="357"/>
      </w:pPr>
      <w:r>
        <w:t>z dalšího zaměstnání sjednaného jen na dobu dovolené v jiném zaměstnání,</w:t>
      </w:r>
    </w:p>
    <w:p w14:paraId="7BF43A80" w14:textId="77777777" w:rsidR="00A86205" w:rsidRDefault="00A86205" w:rsidP="00A86205">
      <w:pPr>
        <w:numPr>
          <w:ilvl w:val="0"/>
          <w:numId w:val="19"/>
        </w:numPr>
        <w:spacing w:before="100" w:beforeAutospacing="1" w:after="100" w:afterAutospacing="1"/>
        <w:ind w:left="714" w:hanging="357"/>
      </w:pPr>
      <w:r>
        <w:t>ze zaměstnání zaměstnance činného na základě dohody o provedení práce,</w:t>
      </w:r>
    </w:p>
    <w:p w14:paraId="63754C8A" w14:textId="77777777" w:rsidR="00A86205" w:rsidRDefault="00A86205" w:rsidP="00A86205">
      <w:pPr>
        <w:numPr>
          <w:ilvl w:val="0"/>
          <w:numId w:val="19"/>
        </w:numPr>
        <w:spacing w:before="100" w:beforeAutospacing="1" w:after="100" w:afterAutospacing="1"/>
        <w:ind w:left="714" w:hanging="357"/>
      </w:pPr>
      <w:r>
        <w:t>ze zaměstnání malého rozsahu,</w:t>
      </w:r>
    </w:p>
    <w:p w14:paraId="260636B5" w14:textId="77777777" w:rsidR="00A86205" w:rsidRDefault="00A86205" w:rsidP="00A86205">
      <w:pPr>
        <w:numPr>
          <w:ilvl w:val="0"/>
          <w:numId w:val="19"/>
        </w:numPr>
        <w:spacing w:before="100" w:beforeAutospacing="1" w:after="100" w:afterAutospacing="1"/>
        <w:ind w:left="714" w:hanging="357"/>
      </w:pPr>
      <w:r>
        <w:t>ze zaměstnání, které si žák nebo student sjednali výlučně na dobu školních prázdnin nebo jejich část,</w:t>
      </w:r>
    </w:p>
    <w:p w14:paraId="576D78CC" w14:textId="77777777" w:rsidR="00A86205" w:rsidRDefault="00A86205" w:rsidP="00A86205">
      <w:pPr>
        <w:numPr>
          <w:ilvl w:val="0"/>
          <w:numId w:val="19"/>
        </w:numPr>
        <w:spacing w:before="100" w:beforeAutospacing="1" w:after="100" w:afterAutospacing="1"/>
        <w:ind w:left="714" w:hanging="357"/>
      </w:pPr>
      <w:r>
        <w:t>v případě, že pojištění odsouzeného skončí v době jeho útěku z místa výkonu trestu odnětí svobody.</w:t>
      </w:r>
    </w:p>
    <w:p w14:paraId="1DC0090C" w14:textId="6B785EFD" w:rsidR="00A86205" w:rsidRDefault="00A86205" w:rsidP="00A86205">
      <w:pPr>
        <w:pStyle w:val="Normlnweb"/>
        <w:spacing w:line="288" w:lineRule="auto"/>
        <w:jc w:val="both"/>
        <w:rPr>
          <w:rFonts w:ascii="Arial" w:hAnsi="Arial" w:cs="Arial"/>
          <w:sz w:val="20"/>
          <w:szCs w:val="20"/>
        </w:rPr>
      </w:pPr>
      <w:r w:rsidRPr="00D06F01">
        <w:rPr>
          <w:rFonts w:ascii="Arial" w:hAnsi="Arial" w:cs="Arial"/>
          <w:b/>
          <w:sz w:val="20"/>
          <w:szCs w:val="20"/>
        </w:rPr>
        <w:t>Jestliže si pojištěnec přivodil dočasnou pracovní neschopnost</w:t>
      </w:r>
      <w:r w:rsidRPr="002345D2">
        <w:rPr>
          <w:rFonts w:ascii="Arial" w:hAnsi="Arial" w:cs="Arial"/>
          <w:sz w:val="20"/>
          <w:szCs w:val="20"/>
        </w:rPr>
        <w:t xml:space="preserve"> zaviněnou účastí ve rvačce nebo jako bezprostřední následek své opilosti nebo zneužití omamných prostředků nebo psychotropních látek nebo při spáchání úmyslného trestného činu nebo úmyslně zaviněného přestupku, </w:t>
      </w:r>
      <w:r w:rsidRPr="00D06F01">
        <w:rPr>
          <w:rFonts w:ascii="Arial" w:hAnsi="Arial" w:cs="Arial"/>
          <w:b/>
          <w:sz w:val="20"/>
          <w:szCs w:val="20"/>
        </w:rPr>
        <w:t>náleží mu nemocenské za</w:t>
      </w:r>
      <w:r w:rsidR="00F547BE">
        <w:rPr>
          <w:rFonts w:ascii="Arial" w:hAnsi="Arial" w:cs="Arial"/>
          <w:b/>
          <w:sz w:val="20"/>
          <w:szCs w:val="20"/>
        </w:rPr>
        <w:t> </w:t>
      </w:r>
      <w:r w:rsidRPr="00D06F01">
        <w:rPr>
          <w:rFonts w:ascii="Arial" w:hAnsi="Arial" w:cs="Arial"/>
          <w:b/>
          <w:sz w:val="20"/>
          <w:szCs w:val="20"/>
        </w:rPr>
        <w:t>kalendářní den v poloviční výš</w:t>
      </w:r>
      <w:r w:rsidRPr="001436FE">
        <w:rPr>
          <w:rFonts w:ascii="Arial" w:hAnsi="Arial" w:cs="Arial"/>
          <w:b/>
          <w:sz w:val="20"/>
          <w:szCs w:val="20"/>
        </w:rPr>
        <w:t>i</w:t>
      </w:r>
      <w:r w:rsidRPr="002345D2">
        <w:rPr>
          <w:rFonts w:ascii="Arial" w:hAnsi="Arial" w:cs="Arial"/>
          <w:sz w:val="20"/>
          <w:szCs w:val="20"/>
        </w:rPr>
        <w:t xml:space="preserve">, bez ohledu na to, zda má rodinné příslušníky. </w:t>
      </w:r>
      <w:r w:rsidRPr="00D06F01">
        <w:rPr>
          <w:rFonts w:ascii="Arial" w:hAnsi="Arial" w:cs="Arial"/>
          <w:b/>
          <w:sz w:val="20"/>
          <w:szCs w:val="20"/>
        </w:rPr>
        <w:t>Nárok na nemocenské nemá pojištěnec</w:t>
      </w:r>
      <w:r w:rsidRPr="002345D2">
        <w:rPr>
          <w:rFonts w:ascii="Arial" w:hAnsi="Arial" w:cs="Arial"/>
          <w:sz w:val="20"/>
          <w:szCs w:val="20"/>
        </w:rPr>
        <w:t xml:space="preserve">, </w:t>
      </w:r>
      <w:r w:rsidRPr="00E460E2">
        <w:rPr>
          <w:rFonts w:ascii="Arial" w:hAnsi="Arial" w:cs="Arial"/>
          <w:sz w:val="20"/>
          <w:szCs w:val="20"/>
        </w:rPr>
        <w:t>který si</w:t>
      </w:r>
      <w:r w:rsidRPr="002345D2">
        <w:rPr>
          <w:rFonts w:ascii="Arial" w:hAnsi="Arial" w:cs="Arial"/>
          <w:sz w:val="20"/>
          <w:szCs w:val="20"/>
        </w:rPr>
        <w:t xml:space="preserve"> dočasnou pracovní neschopnost </w:t>
      </w:r>
      <w:r w:rsidRPr="0082313C">
        <w:rPr>
          <w:rFonts w:ascii="Arial" w:hAnsi="Arial" w:cs="Arial"/>
          <w:b/>
          <w:sz w:val="20"/>
          <w:szCs w:val="20"/>
        </w:rPr>
        <w:t>přivodil úmyslně</w:t>
      </w:r>
      <w:r w:rsidRPr="002345D2">
        <w:rPr>
          <w:rFonts w:ascii="Arial" w:hAnsi="Arial" w:cs="Arial"/>
          <w:sz w:val="20"/>
          <w:szCs w:val="20"/>
        </w:rPr>
        <w:t>. Pojištěnec nemá nárok na</w:t>
      </w:r>
      <w:r w:rsidR="00F547BE">
        <w:rPr>
          <w:rFonts w:ascii="Arial" w:hAnsi="Arial" w:cs="Arial"/>
          <w:sz w:val="20"/>
          <w:szCs w:val="20"/>
        </w:rPr>
        <w:t> </w:t>
      </w:r>
      <w:r w:rsidRPr="002345D2">
        <w:rPr>
          <w:rFonts w:ascii="Arial" w:hAnsi="Arial" w:cs="Arial"/>
          <w:sz w:val="20"/>
          <w:szCs w:val="20"/>
        </w:rPr>
        <w:t>nemocenské ani v případě, kdy vznikla dočasná pracovní neschopnost nebo byla nařízena karanténa v</w:t>
      </w:r>
      <w:r w:rsidR="00F547BE">
        <w:rPr>
          <w:rFonts w:ascii="Arial" w:hAnsi="Arial" w:cs="Arial"/>
          <w:sz w:val="20"/>
          <w:szCs w:val="20"/>
        </w:rPr>
        <w:t> </w:t>
      </w:r>
      <w:r w:rsidRPr="002345D2">
        <w:rPr>
          <w:rFonts w:ascii="Arial" w:hAnsi="Arial" w:cs="Arial"/>
          <w:sz w:val="20"/>
          <w:szCs w:val="20"/>
        </w:rPr>
        <w:t xml:space="preserve">době útěku z místa vazby nebo z místa výkonu trestu odnětí svobody. </w:t>
      </w:r>
    </w:p>
    <w:p w14:paraId="6B27CA27" w14:textId="77777777" w:rsidR="00A86205" w:rsidRPr="00277F1A" w:rsidRDefault="00A86205" w:rsidP="00A86205">
      <w:pPr>
        <w:jc w:val="both"/>
        <w:rPr>
          <w:b/>
          <w:sz w:val="24"/>
        </w:rPr>
      </w:pPr>
      <w:r w:rsidRPr="00277F1A">
        <w:rPr>
          <w:b/>
          <w:sz w:val="24"/>
        </w:rPr>
        <w:t>Uplatnění nároku na dávku nemocenského pojištění</w:t>
      </w:r>
    </w:p>
    <w:p w14:paraId="70832E3B" w14:textId="50C47BAD" w:rsidR="00A86205" w:rsidRDefault="00A86205" w:rsidP="00A86205">
      <w:pPr>
        <w:pStyle w:val="Normlnweb"/>
        <w:spacing w:line="288" w:lineRule="auto"/>
        <w:jc w:val="both"/>
        <w:rPr>
          <w:rFonts w:ascii="Arial" w:hAnsi="Arial" w:cs="Arial"/>
          <w:sz w:val="20"/>
          <w:szCs w:val="20"/>
        </w:rPr>
      </w:pPr>
      <w:r w:rsidRPr="002329E4">
        <w:rPr>
          <w:rFonts w:ascii="Arial" w:hAnsi="Arial" w:cs="Arial"/>
          <w:b/>
          <w:bCs/>
          <w:sz w:val="20"/>
          <w:szCs w:val="20"/>
        </w:rPr>
        <w:t xml:space="preserve">Zaměstnanec předá žádost o dávku, </w:t>
      </w:r>
      <w:r w:rsidR="0082313C">
        <w:rPr>
          <w:rFonts w:ascii="Arial" w:hAnsi="Arial" w:cs="Arial"/>
          <w:b/>
          <w:bCs/>
          <w:sz w:val="20"/>
          <w:szCs w:val="20"/>
        </w:rPr>
        <w:t>vystavenou zpravidla od lékaře</w:t>
      </w:r>
      <w:r w:rsidRPr="002329E4">
        <w:rPr>
          <w:rFonts w:ascii="Arial" w:hAnsi="Arial" w:cs="Arial"/>
          <w:b/>
          <w:bCs/>
          <w:sz w:val="20"/>
          <w:szCs w:val="20"/>
        </w:rPr>
        <w:t>, svému zaměstnavateli</w:t>
      </w:r>
      <w:r w:rsidRPr="002329E4">
        <w:rPr>
          <w:rFonts w:ascii="Arial" w:hAnsi="Arial" w:cs="Arial"/>
          <w:sz w:val="20"/>
          <w:szCs w:val="20"/>
        </w:rPr>
        <w:t>, který ji spolu s podklady pro stanovení nároku na dávku a její výplatu zašle příslušné okresní správě sociálního zabezpečení, která provádí nemocenské pojištění zaměstnanců</w:t>
      </w:r>
      <w:r w:rsidR="007C2E22">
        <w:rPr>
          <w:rStyle w:val="Znakapoznpodarou"/>
          <w:rFonts w:ascii="Arial" w:hAnsi="Arial" w:cs="Arial"/>
          <w:sz w:val="20"/>
          <w:szCs w:val="20"/>
        </w:rPr>
        <w:footnoteReference w:id="2"/>
      </w:r>
      <w:r w:rsidRPr="002329E4">
        <w:rPr>
          <w:rFonts w:ascii="Arial" w:hAnsi="Arial" w:cs="Arial"/>
          <w:sz w:val="20"/>
          <w:szCs w:val="20"/>
        </w:rPr>
        <w:t>. K žádosti zaměstnance o dávku nemocenského pojištění je zaměstnavatel povinen vyplnit zákonem předepsaný tiskopis, jehož vydávání zajišťuje Česká správa sociálního zabezpečení. Jedná se o přílohu k žádosti o dávku nemocenského pojištění. Tato příloha je uveřejněna na webových stránkách České správy sociálního zabezpečení (viz</w:t>
      </w:r>
      <w:r w:rsidR="00F547BE">
        <w:rPr>
          <w:rFonts w:ascii="Arial" w:hAnsi="Arial" w:cs="Arial"/>
          <w:sz w:val="20"/>
          <w:szCs w:val="20"/>
        </w:rPr>
        <w:t> </w:t>
      </w:r>
      <w:r w:rsidRPr="002329E4">
        <w:rPr>
          <w:rFonts w:ascii="Arial" w:hAnsi="Arial" w:cs="Arial"/>
          <w:sz w:val="20"/>
          <w:szCs w:val="20"/>
        </w:rPr>
        <w:t>níže). Na tiskopisu zaměstnavatel uvede především započitatelné příjmy zaměstnance v rozhodném období a počet tzv. „nezapočitatelných dnů“ v tomto rozhodném období, aby okresní správa sociálního zabezpečení mohla vypočítat denní výši dávky</w:t>
      </w:r>
      <w:r w:rsidR="007C2E22">
        <w:rPr>
          <w:rStyle w:val="Znakapoznpodarou"/>
          <w:rFonts w:ascii="Arial" w:hAnsi="Arial" w:cs="Arial"/>
          <w:sz w:val="20"/>
          <w:szCs w:val="20"/>
        </w:rPr>
        <w:footnoteReference w:id="3"/>
      </w:r>
      <w:r w:rsidRPr="002329E4">
        <w:rPr>
          <w:rFonts w:ascii="Arial" w:hAnsi="Arial" w:cs="Arial"/>
          <w:sz w:val="20"/>
          <w:szCs w:val="20"/>
        </w:rPr>
        <w:t>. Zaměstnavatelé přijímají žádosti o dávku i od svých bývalých zaměstnanců.</w:t>
      </w:r>
      <w:r>
        <w:rPr>
          <w:rFonts w:ascii="Arial" w:hAnsi="Arial" w:cs="Arial"/>
          <w:sz w:val="20"/>
          <w:szCs w:val="20"/>
        </w:rPr>
        <w:t xml:space="preserve"> </w:t>
      </w:r>
      <w:r w:rsidRPr="002329E4">
        <w:rPr>
          <w:rFonts w:ascii="Arial" w:hAnsi="Arial" w:cs="Arial"/>
          <w:b/>
          <w:sz w:val="20"/>
          <w:szCs w:val="20"/>
        </w:rPr>
        <w:t>Služební útvary</w:t>
      </w:r>
      <w:r w:rsidRPr="002329E4">
        <w:rPr>
          <w:rFonts w:ascii="Arial" w:hAnsi="Arial" w:cs="Arial"/>
          <w:sz w:val="20"/>
          <w:szCs w:val="20"/>
        </w:rPr>
        <w:t xml:space="preserve"> provádějí nemocenské pojištění příslušníků Policie České republiky, Hasičského záchranného sboru České republiky, Celní správy České republiky, Vězeňské služby České republiky, </w:t>
      </w:r>
      <w:r w:rsidRPr="002329E4">
        <w:rPr>
          <w:rFonts w:ascii="Arial" w:hAnsi="Arial" w:cs="Arial"/>
          <w:sz w:val="20"/>
          <w:szCs w:val="20"/>
        </w:rPr>
        <w:lastRenderedPageBreak/>
        <w:t>Bezpečnostní informační služby a Úřadu pro zahraniční styky a informace, vojáků z povolání, odsouzených ve výkonu trestu, kteří vykonávají práci ve výkonu trestu, a osob obviněných vykonávajících práci ve vazbě.</w:t>
      </w:r>
    </w:p>
    <w:p w14:paraId="76A32071" w14:textId="77777777" w:rsidR="00A86205" w:rsidRPr="007D09E0" w:rsidRDefault="00A86205" w:rsidP="00A86205">
      <w:pPr>
        <w:jc w:val="both"/>
        <w:rPr>
          <w:b/>
          <w:sz w:val="24"/>
        </w:rPr>
      </w:pPr>
      <w:r w:rsidRPr="007D09E0">
        <w:rPr>
          <w:b/>
          <w:sz w:val="24"/>
        </w:rPr>
        <w:t xml:space="preserve">Výpočet </w:t>
      </w:r>
      <w:r w:rsidR="00BB40CA" w:rsidRPr="0082313C">
        <w:rPr>
          <w:b/>
          <w:sz w:val="24"/>
        </w:rPr>
        <w:t>dávek</w:t>
      </w:r>
      <w:r w:rsidR="00BB40CA">
        <w:rPr>
          <w:b/>
          <w:sz w:val="24"/>
        </w:rPr>
        <w:t xml:space="preserve"> </w:t>
      </w:r>
      <w:r>
        <w:rPr>
          <w:b/>
          <w:sz w:val="24"/>
        </w:rPr>
        <w:t>nemocenského</w:t>
      </w:r>
      <w:r w:rsidR="00BB40CA">
        <w:rPr>
          <w:b/>
          <w:sz w:val="24"/>
        </w:rPr>
        <w:t xml:space="preserve"> </w:t>
      </w:r>
      <w:r w:rsidR="00BB40CA" w:rsidRPr="0082313C">
        <w:rPr>
          <w:b/>
          <w:sz w:val="24"/>
        </w:rPr>
        <w:t>pojištění</w:t>
      </w:r>
    </w:p>
    <w:p w14:paraId="6B207F71" w14:textId="2AC7366E" w:rsidR="00A86205" w:rsidRPr="008B67E3" w:rsidRDefault="00BB40CA" w:rsidP="00A86205">
      <w:pPr>
        <w:jc w:val="both"/>
      </w:pPr>
      <w:r>
        <w:t>Dávky</w:t>
      </w:r>
      <w:r w:rsidR="0082313C">
        <w:t xml:space="preserve"> nemocenského pojištění</w:t>
      </w:r>
      <w:r w:rsidRPr="008B67E3">
        <w:t xml:space="preserve"> </w:t>
      </w:r>
      <w:r w:rsidR="00A86205" w:rsidRPr="008B67E3">
        <w:t xml:space="preserve">se </w:t>
      </w:r>
      <w:r>
        <w:t>počítají</w:t>
      </w:r>
      <w:r w:rsidRPr="008B67E3">
        <w:t xml:space="preserve"> </w:t>
      </w:r>
      <w:r w:rsidR="00A86205" w:rsidRPr="008B67E3">
        <w:t xml:space="preserve">z denního vyměřovacího základu, který se zjistí tak, že započitatelný příjem zúčtovaný zaměstnanci v rozhodném období (zpravidla období 12 kalendářních měsíců před kalendářním měsícem, ve kterém vznikla </w:t>
      </w:r>
      <w:r>
        <w:t xml:space="preserve">sociální událost – v případě výplaty nemocenské </w:t>
      </w:r>
      <w:r w:rsidR="00A86205">
        <w:t>dočasná pracovní neschopnost</w:t>
      </w:r>
      <w:r w:rsidR="00A86205" w:rsidRPr="008B67E3">
        <w:t>) se dělí počtem „započitatelných“ kalendářních dnů připadajících na toto rozhodné období. Takto stanovený průměrný denní příjem se upravuje (redukuje) pomocí tří redukčních hranic na</w:t>
      </w:r>
      <w:r w:rsidR="00F547BE">
        <w:t> </w:t>
      </w:r>
      <w:r w:rsidR="00A86205" w:rsidRPr="008B67E3">
        <w:t>denní vyměřovací základ.</w:t>
      </w:r>
    </w:p>
    <w:p w14:paraId="58C5FD92" w14:textId="77777777" w:rsidR="00A86205" w:rsidRPr="000926D8" w:rsidRDefault="00A86205" w:rsidP="00A86205">
      <w:pPr>
        <w:jc w:val="both"/>
        <w:rPr>
          <w:lang w:eastAsia="ar-SA"/>
        </w:rPr>
      </w:pPr>
      <w:r w:rsidRPr="000926D8">
        <w:rPr>
          <w:lang w:eastAsia="ar-SA"/>
        </w:rPr>
        <w:t xml:space="preserve">Výši tří </w:t>
      </w:r>
      <w:r w:rsidRPr="009B13DF">
        <w:rPr>
          <w:b/>
          <w:lang w:eastAsia="ar-SA"/>
        </w:rPr>
        <w:t>redukčních hranic</w:t>
      </w:r>
      <w:r w:rsidRPr="000926D8">
        <w:rPr>
          <w:lang w:eastAsia="ar-SA"/>
        </w:rPr>
        <w:t xml:space="preserve"> platných od 1. ledna kalendářního roku vyhlašuje Ministerstvo práce a sociálních věcí formou Sdělení ve Sbírce zákonů.</w:t>
      </w:r>
    </w:p>
    <w:p w14:paraId="3E9DBD0E" w14:textId="77777777" w:rsidR="00A86205" w:rsidRDefault="00A86205" w:rsidP="00A86205">
      <w:pPr>
        <w:jc w:val="both"/>
        <w:rPr>
          <w:b/>
          <w:bCs/>
        </w:rPr>
      </w:pPr>
      <w:r>
        <w:rPr>
          <w:b/>
          <w:bCs/>
        </w:rPr>
        <w:t>V roce 2017 činila</w:t>
      </w:r>
      <w:r w:rsidRPr="000926D8">
        <w:rPr>
          <w:b/>
          <w:bCs/>
        </w:rPr>
        <w:t xml:space="preserve"> 1. redukční hranice 942 Kč, 2. redukční hranice 1 412 Kč, 3. redukční hranice 2 824 Kč.</w:t>
      </w:r>
    </w:p>
    <w:p w14:paraId="446A94F5" w14:textId="77777777" w:rsidR="00A86205" w:rsidRPr="000926D8" w:rsidRDefault="00931300" w:rsidP="00A86205">
      <w:pPr>
        <w:jc w:val="both"/>
      </w:pPr>
      <w:r>
        <w:rPr>
          <w:b/>
          <w:bCs/>
        </w:rPr>
        <w:t xml:space="preserve">V roce 2018 </w:t>
      </w:r>
      <w:r w:rsidRPr="00C06407">
        <w:rPr>
          <w:b/>
          <w:bCs/>
        </w:rPr>
        <w:t>činila</w:t>
      </w:r>
      <w:r w:rsidR="00A86205">
        <w:rPr>
          <w:b/>
          <w:bCs/>
        </w:rPr>
        <w:t xml:space="preserve"> 1. redukční hranice 1 000 Kč, 2. redukční hranice 1 499 Kč, 3. redukční hranice 2 998 Kč.</w:t>
      </w:r>
    </w:p>
    <w:p w14:paraId="47E150CC" w14:textId="77777777" w:rsidR="00A86205" w:rsidRPr="00701B58" w:rsidRDefault="00A86205" w:rsidP="00A86205">
      <w:pPr>
        <w:spacing w:before="100" w:beforeAutospacing="1" w:after="100" w:afterAutospacing="1" w:line="240" w:lineRule="auto"/>
        <w:rPr>
          <w:rFonts w:cs="Arial"/>
          <w:szCs w:val="20"/>
        </w:rPr>
      </w:pPr>
      <w:r w:rsidRPr="00701B58">
        <w:rPr>
          <w:rFonts w:cs="Arial"/>
          <w:b/>
          <w:bCs/>
          <w:szCs w:val="20"/>
        </w:rPr>
        <w:t>Redukce se provede tak, že se započte</w:t>
      </w:r>
      <w:r>
        <w:rPr>
          <w:rFonts w:cs="Arial"/>
          <w:b/>
          <w:bCs/>
          <w:szCs w:val="20"/>
        </w:rPr>
        <w:t>:</w:t>
      </w:r>
    </w:p>
    <w:p w14:paraId="29E57B20" w14:textId="77777777" w:rsidR="00A86205" w:rsidRDefault="00A86205" w:rsidP="00A86205">
      <w:pPr>
        <w:numPr>
          <w:ilvl w:val="0"/>
          <w:numId w:val="17"/>
        </w:numPr>
        <w:spacing w:before="100" w:beforeAutospacing="1" w:after="0"/>
        <w:ind w:hanging="357"/>
        <w:rPr>
          <w:rFonts w:cs="Arial"/>
          <w:szCs w:val="20"/>
        </w:rPr>
      </w:pPr>
      <w:r w:rsidRPr="00701B58">
        <w:rPr>
          <w:rFonts w:cs="Arial"/>
          <w:szCs w:val="20"/>
        </w:rPr>
        <w:t>do první redukční hranice</w:t>
      </w:r>
    </w:p>
    <w:p w14:paraId="63B14C5F" w14:textId="77777777" w:rsidR="00A86205" w:rsidRDefault="00A86205" w:rsidP="00A86205">
      <w:pPr>
        <w:numPr>
          <w:ilvl w:val="1"/>
          <w:numId w:val="17"/>
        </w:numPr>
        <w:spacing w:before="100" w:beforeAutospacing="1" w:after="100" w:afterAutospacing="1"/>
        <w:ind w:hanging="357"/>
        <w:rPr>
          <w:rFonts w:cs="Arial"/>
          <w:szCs w:val="20"/>
        </w:rPr>
      </w:pPr>
      <w:r w:rsidRPr="00701B58">
        <w:rPr>
          <w:rFonts w:cs="Arial"/>
          <w:b/>
          <w:bCs/>
          <w:szCs w:val="20"/>
        </w:rPr>
        <w:t>u nemocenského, ošetřovného a dlouhodobého ošetřovného 90 %</w:t>
      </w:r>
      <w:r w:rsidRPr="00701B58">
        <w:rPr>
          <w:rFonts w:cs="Arial"/>
          <w:szCs w:val="20"/>
        </w:rPr>
        <w:t xml:space="preserve"> denního vyměřovacího základu,</w:t>
      </w:r>
    </w:p>
    <w:p w14:paraId="23CBB8DF" w14:textId="2D0B819A" w:rsidR="00A86205" w:rsidRDefault="00A86205" w:rsidP="00A86205">
      <w:pPr>
        <w:numPr>
          <w:ilvl w:val="1"/>
          <w:numId w:val="17"/>
        </w:numPr>
        <w:spacing w:before="100" w:beforeAutospacing="1" w:after="100" w:afterAutospacing="1"/>
        <w:ind w:hanging="357"/>
        <w:rPr>
          <w:rFonts w:cs="Arial"/>
          <w:szCs w:val="20"/>
        </w:rPr>
      </w:pPr>
      <w:r w:rsidRPr="00701B58">
        <w:rPr>
          <w:rFonts w:cs="Arial"/>
          <w:b/>
          <w:bCs/>
          <w:szCs w:val="20"/>
        </w:rPr>
        <w:t>u peněžité pomoci v mateřství, otcovské a vyrovnávacího příspěvku v těhotenství a</w:t>
      </w:r>
      <w:r w:rsidR="00F547BE">
        <w:rPr>
          <w:rFonts w:cs="Arial"/>
          <w:b/>
          <w:bCs/>
          <w:szCs w:val="20"/>
        </w:rPr>
        <w:t> </w:t>
      </w:r>
      <w:r w:rsidRPr="00701B58">
        <w:rPr>
          <w:rFonts w:cs="Arial"/>
          <w:b/>
          <w:bCs/>
          <w:szCs w:val="20"/>
        </w:rPr>
        <w:t>mateřství 100 % denního vyměřovacího základu,</w:t>
      </w:r>
    </w:p>
    <w:p w14:paraId="59800D1D" w14:textId="77777777" w:rsidR="00A86205" w:rsidRDefault="00A86205" w:rsidP="00A86205">
      <w:pPr>
        <w:numPr>
          <w:ilvl w:val="0"/>
          <w:numId w:val="17"/>
        </w:numPr>
        <w:spacing w:before="100" w:beforeAutospacing="1" w:after="100" w:afterAutospacing="1"/>
        <w:ind w:hanging="357"/>
        <w:rPr>
          <w:rFonts w:cs="Arial"/>
          <w:szCs w:val="20"/>
        </w:rPr>
      </w:pPr>
      <w:r w:rsidRPr="00701B58">
        <w:rPr>
          <w:rFonts w:cs="Arial"/>
          <w:szCs w:val="20"/>
        </w:rPr>
        <w:t xml:space="preserve">z části denního vyměřovacího základu </w:t>
      </w:r>
      <w:r w:rsidRPr="00701B58">
        <w:rPr>
          <w:rFonts w:cs="Arial"/>
          <w:b/>
          <w:bCs/>
          <w:szCs w:val="20"/>
        </w:rPr>
        <w:t>mezi první a druhou redukční hranicí</w:t>
      </w:r>
      <w:r w:rsidRPr="00701B58">
        <w:rPr>
          <w:rFonts w:cs="Arial"/>
          <w:szCs w:val="20"/>
        </w:rPr>
        <w:t xml:space="preserve"> se započte </w:t>
      </w:r>
      <w:r w:rsidRPr="00701B58">
        <w:rPr>
          <w:rFonts w:cs="Arial"/>
          <w:b/>
          <w:bCs/>
          <w:szCs w:val="20"/>
        </w:rPr>
        <w:t>60 %</w:t>
      </w:r>
      <w:r w:rsidRPr="00701B58">
        <w:rPr>
          <w:rFonts w:cs="Arial"/>
          <w:szCs w:val="20"/>
        </w:rPr>
        <w:t>,</w:t>
      </w:r>
    </w:p>
    <w:p w14:paraId="20840407" w14:textId="77777777" w:rsidR="00A86205" w:rsidRDefault="00A86205" w:rsidP="00A86205">
      <w:pPr>
        <w:numPr>
          <w:ilvl w:val="0"/>
          <w:numId w:val="17"/>
        </w:numPr>
        <w:spacing w:before="100" w:beforeAutospacing="1" w:after="100" w:afterAutospacing="1"/>
        <w:ind w:hanging="357"/>
        <w:rPr>
          <w:rFonts w:cs="Arial"/>
          <w:szCs w:val="20"/>
        </w:rPr>
      </w:pPr>
      <w:r w:rsidRPr="00701B58">
        <w:rPr>
          <w:rFonts w:cs="Arial"/>
          <w:szCs w:val="20"/>
        </w:rPr>
        <w:t xml:space="preserve">z části </w:t>
      </w:r>
      <w:r w:rsidRPr="00701B58">
        <w:rPr>
          <w:rFonts w:cs="Arial"/>
          <w:b/>
          <w:bCs/>
          <w:szCs w:val="20"/>
        </w:rPr>
        <w:t>mezi druhou a třetí</w:t>
      </w:r>
      <w:r w:rsidRPr="00701B58">
        <w:rPr>
          <w:rFonts w:cs="Arial"/>
          <w:szCs w:val="20"/>
        </w:rPr>
        <w:t xml:space="preserve"> redukční hranicí se započte </w:t>
      </w:r>
      <w:r w:rsidRPr="00701B58">
        <w:rPr>
          <w:rFonts w:cs="Arial"/>
          <w:b/>
          <w:bCs/>
          <w:szCs w:val="20"/>
        </w:rPr>
        <w:t>30 %</w:t>
      </w:r>
      <w:r w:rsidRPr="00701B58">
        <w:rPr>
          <w:rFonts w:cs="Arial"/>
          <w:szCs w:val="20"/>
        </w:rPr>
        <w:t>,</w:t>
      </w:r>
    </w:p>
    <w:p w14:paraId="039B4901" w14:textId="77777777" w:rsidR="00A86205" w:rsidRDefault="00A86205" w:rsidP="00A86205">
      <w:pPr>
        <w:numPr>
          <w:ilvl w:val="0"/>
          <w:numId w:val="17"/>
        </w:numPr>
        <w:spacing w:before="100" w:beforeAutospacing="1" w:after="100" w:afterAutospacing="1"/>
        <w:ind w:hanging="357"/>
        <w:rPr>
          <w:rFonts w:cs="Arial"/>
          <w:szCs w:val="20"/>
        </w:rPr>
      </w:pPr>
      <w:r w:rsidRPr="00701B58">
        <w:rPr>
          <w:rFonts w:cs="Arial"/>
          <w:szCs w:val="20"/>
        </w:rPr>
        <w:t>k části nad třetí redukční hranici se nepřihlédne.</w:t>
      </w:r>
    </w:p>
    <w:p w14:paraId="774C5146" w14:textId="53F7B00F" w:rsidR="00A86205" w:rsidRPr="00627DC4" w:rsidRDefault="00A86205" w:rsidP="00A86205">
      <w:pPr>
        <w:spacing w:after="0"/>
        <w:jc w:val="both"/>
        <w:rPr>
          <w:rFonts w:cs="Arial"/>
          <w:szCs w:val="20"/>
        </w:rPr>
      </w:pPr>
      <w:r w:rsidRPr="00627DC4">
        <w:rPr>
          <w:rFonts w:cs="Arial"/>
          <w:szCs w:val="20"/>
        </w:rPr>
        <w:t xml:space="preserve">Výše </w:t>
      </w:r>
      <w:r w:rsidRPr="00627DC4">
        <w:rPr>
          <w:rFonts w:cs="Arial"/>
          <w:b/>
          <w:bCs/>
          <w:szCs w:val="20"/>
        </w:rPr>
        <w:t>nemocenského</w:t>
      </w:r>
      <w:r w:rsidRPr="00627DC4">
        <w:rPr>
          <w:rFonts w:cs="Arial"/>
          <w:szCs w:val="20"/>
        </w:rPr>
        <w:t xml:space="preserve"> činí </w:t>
      </w:r>
      <w:r w:rsidRPr="00627DC4">
        <w:rPr>
          <w:rFonts w:cs="Arial"/>
          <w:b/>
          <w:bCs/>
          <w:szCs w:val="20"/>
        </w:rPr>
        <w:t>60 %</w:t>
      </w:r>
      <w:r w:rsidRPr="00627DC4">
        <w:rPr>
          <w:rFonts w:cs="Arial"/>
          <w:szCs w:val="20"/>
        </w:rPr>
        <w:t xml:space="preserve"> denního vyměřovacího základu </w:t>
      </w:r>
      <w:r w:rsidRPr="0082313C">
        <w:rPr>
          <w:rFonts w:cs="Arial"/>
          <w:b/>
          <w:szCs w:val="20"/>
        </w:rPr>
        <w:t>od 15. kalendářního dne</w:t>
      </w:r>
      <w:r w:rsidRPr="00627DC4">
        <w:rPr>
          <w:rFonts w:cs="Arial"/>
          <w:szCs w:val="20"/>
        </w:rPr>
        <w:t xml:space="preserve"> trvání dočasné pracovní neschopnosti </w:t>
      </w:r>
      <w:r w:rsidRPr="0082313C">
        <w:rPr>
          <w:rFonts w:cs="Arial"/>
          <w:b/>
          <w:szCs w:val="20"/>
        </w:rPr>
        <w:t>do 30. kalendářního dne</w:t>
      </w:r>
      <w:r w:rsidRPr="00627DC4">
        <w:rPr>
          <w:rFonts w:cs="Arial"/>
          <w:szCs w:val="20"/>
        </w:rPr>
        <w:t xml:space="preserve"> dočasné pracovní neschopnosti, </w:t>
      </w:r>
      <w:r w:rsidRPr="0082313C">
        <w:rPr>
          <w:rFonts w:cs="Arial"/>
          <w:b/>
          <w:szCs w:val="20"/>
        </w:rPr>
        <w:t>od 31. kalendářního dne</w:t>
      </w:r>
      <w:r w:rsidRPr="00627DC4">
        <w:rPr>
          <w:rFonts w:cs="Arial"/>
          <w:szCs w:val="20"/>
        </w:rPr>
        <w:t xml:space="preserve"> dočasné pracovní neschopnosti nebo karantény sazba činí </w:t>
      </w:r>
      <w:r w:rsidRPr="00627DC4">
        <w:rPr>
          <w:rFonts w:cs="Arial"/>
          <w:b/>
          <w:bCs/>
          <w:szCs w:val="20"/>
        </w:rPr>
        <w:t>66 %</w:t>
      </w:r>
      <w:r w:rsidRPr="00627DC4">
        <w:rPr>
          <w:rFonts w:cs="Arial"/>
          <w:szCs w:val="20"/>
        </w:rPr>
        <w:t xml:space="preserve"> denního vyměřovacího základu a dále </w:t>
      </w:r>
      <w:r w:rsidRPr="0082313C">
        <w:rPr>
          <w:rFonts w:cs="Arial"/>
          <w:b/>
          <w:szCs w:val="20"/>
        </w:rPr>
        <w:t>od</w:t>
      </w:r>
      <w:r w:rsidR="00F547BE">
        <w:rPr>
          <w:rFonts w:cs="Arial"/>
          <w:b/>
          <w:szCs w:val="20"/>
        </w:rPr>
        <w:t> </w:t>
      </w:r>
      <w:r w:rsidRPr="0082313C">
        <w:rPr>
          <w:rFonts w:cs="Arial"/>
          <w:b/>
          <w:szCs w:val="20"/>
        </w:rPr>
        <w:t>61. kalendářního dne</w:t>
      </w:r>
      <w:r w:rsidRPr="00627DC4">
        <w:rPr>
          <w:rFonts w:cs="Arial"/>
          <w:szCs w:val="20"/>
        </w:rPr>
        <w:t xml:space="preserve"> dočasné pracovní neschopnosti nebo karantény činí sazba nemocenského </w:t>
      </w:r>
      <w:r w:rsidRPr="00627DC4">
        <w:rPr>
          <w:rFonts w:cs="Arial"/>
          <w:b/>
          <w:bCs/>
          <w:szCs w:val="20"/>
        </w:rPr>
        <w:t>72 %</w:t>
      </w:r>
      <w:r w:rsidRPr="00627DC4">
        <w:rPr>
          <w:rFonts w:cs="Arial"/>
          <w:szCs w:val="20"/>
        </w:rPr>
        <w:t xml:space="preserve"> denního vyměřovacího základu. </w:t>
      </w:r>
    </w:p>
    <w:p w14:paraId="45D6E72F" w14:textId="77777777" w:rsidR="00A86205" w:rsidRPr="00627DC4" w:rsidRDefault="00A86205" w:rsidP="00A86205">
      <w:pPr>
        <w:spacing w:after="0"/>
        <w:jc w:val="both"/>
        <w:rPr>
          <w:rFonts w:cs="Arial"/>
          <w:szCs w:val="20"/>
        </w:rPr>
      </w:pPr>
    </w:p>
    <w:p w14:paraId="606FE08C" w14:textId="77777777" w:rsidR="00A86205" w:rsidRDefault="00A86205" w:rsidP="00A86205">
      <w:pPr>
        <w:spacing w:after="0"/>
        <w:jc w:val="both"/>
        <w:rPr>
          <w:rFonts w:cs="Arial"/>
          <w:szCs w:val="20"/>
        </w:rPr>
      </w:pPr>
      <w:r w:rsidRPr="00627DC4">
        <w:rPr>
          <w:rFonts w:cs="Arial"/>
          <w:szCs w:val="20"/>
        </w:rPr>
        <w:t>Výše nemocenského u </w:t>
      </w:r>
      <w:r w:rsidRPr="00627DC4">
        <w:rPr>
          <w:rFonts w:cs="Arial"/>
          <w:b/>
          <w:bCs/>
          <w:szCs w:val="20"/>
        </w:rPr>
        <w:t>dobrovolných členů integrovaného záchranného systému</w:t>
      </w:r>
      <w:r w:rsidRPr="00627DC4">
        <w:rPr>
          <w:rFonts w:cs="Arial"/>
          <w:szCs w:val="20"/>
        </w:rPr>
        <w:t xml:space="preserve"> (např. u dobrovolných hasičů) </w:t>
      </w:r>
      <w:r>
        <w:rPr>
          <w:rFonts w:cs="Arial"/>
          <w:szCs w:val="20"/>
        </w:rPr>
        <w:t>činí</w:t>
      </w:r>
      <w:r w:rsidRPr="00627DC4">
        <w:rPr>
          <w:rFonts w:cs="Arial"/>
          <w:szCs w:val="20"/>
        </w:rPr>
        <w:t xml:space="preserve"> </w:t>
      </w:r>
      <w:r w:rsidRPr="00627DC4">
        <w:rPr>
          <w:rFonts w:cs="Arial"/>
          <w:b/>
          <w:bCs/>
          <w:szCs w:val="20"/>
        </w:rPr>
        <w:t>100 %</w:t>
      </w:r>
      <w:r w:rsidRPr="00627DC4">
        <w:rPr>
          <w:rFonts w:cs="Arial"/>
          <w:szCs w:val="20"/>
        </w:rPr>
        <w:t xml:space="preserve"> denního vyměřovacího základu, pokud tato dočasná pracovní neschopnost nebo karanténa vznikla v důsledku zásahu (tj. v důsledku provádění záchranných a likvidačních prací), k němuž byla jednotka nebo složka integrovaného záchranného systému povolána. Tuto skutečnost pojištěnci potvrdí operační středisko integrovaného záchranného systému.</w:t>
      </w:r>
    </w:p>
    <w:p w14:paraId="3F0638F8" w14:textId="77777777" w:rsidR="00A86205" w:rsidRPr="00627DC4" w:rsidRDefault="00A86205" w:rsidP="00A86205">
      <w:pPr>
        <w:spacing w:after="0"/>
        <w:jc w:val="both"/>
        <w:rPr>
          <w:rFonts w:cs="Arial"/>
          <w:szCs w:val="20"/>
        </w:rPr>
      </w:pPr>
    </w:p>
    <w:p w14:paraId="05A31EBF" w14:textId="30AED0CC" w:rsidR="00C06407" w:rsidRDefault="00A86205" w:rsidP="00C06407">
      <w:pPr>
        <w:jc w:val="both"/>
        <w:rPr>
          <w:rStyle w:val="Hypertextovodkaz"/>
        </w:rPr>
      </w:pPr>
      <w:r w:rsidRPr="007D09E0">
        <w:t xml:space="preserve">Další informace k nemocenskému pojištění </w:t>
      </w:r>
      <w:r>
        <w:t xml:space="preserve">naleznete </w:t>
      </w:r>
      <w:r w:rsidRPr="007D09E0">
        <w:t xml:space="preserve">na adrese </w:t>
      </w:r>
      <w:hyperlink r:id="rId12" w:history="1">
        <w:r w:rsidRPr="008221B4">
          <w:rPr>
            <w:rStyle w:val="Hypertextovodkaz"/>
          </w:rPr>
          <w:t>https://www.mpsv.cz/cs/7</w:t>
        </w:r>
      </w:hyperlink>
      <w:r>
        <w:t xml:space="preserve"> a na adrese </w:t>
      </w:r>
      <w:hyperlink r:id="rId13" w:history="1">
        <w:r w:rsidRPr="0078673D">
          <w:rPr>
            <w:rStyle w:val="Hypertextovodkaz"/>
          </w:rPr>
          <w:t>https://www.cssz.cz/cz/nemocenske-pojisteni/davky/nemocenske.htm</w:t>
        </w:r>
      </w:hyperlink>
    </w:p>
    <w:p w14:paraId="44D6A82F" w14:textId="77777777" w:rsidR="00A86205" w:rsidRPr="00C91277" w:rsidRDefault="00A86205" w:rsidP="00A86205">
      <w:pPr>
        <w:jc w:val="both"/>
        <w:rPr>
          <w:b/>
          <w:sz w:val="24"/>
        </w:rPr>
      </w:pPr>
      <w:r>
        <w:rPr>
          <w:b/>
          <w:sz w:val="24"/>
        </w:rPr>
        <w:t>Nejvýznamnější legislativní změny v oblasti nemocenského pojištění</w:t>
      </w:r>
    </w:p>
    <w:p w14:paraId="79FEF6CD" w14:textId="3CCAF7F0" w:rsidR="00A86205" w:rsidRDefault="00A86205" w:rsidP="00A86205">
      <w:pPr>
        <w:pStyle w:val="Seznam"/>
        <w:jc w:val="both"/>
        <w:rPr>
          <w:bCs/>
          <w:szCs w:val="20"/>
        </w:rPr>
      </w:pPr>
      <w:r w:rsidRPr="00FF1661">
        <w:t>Dlouhodobý vývoj dočasné pracovní neschopnosti je významně ovlivňován legislativními změnami, týkajícími se výší dávek nemocenského pojištění a počátku jejich poskytování</w:t>
      </w:r>
      <w:r w:rsidRPr="00FF1661">
        <w:rPr>
          <w:bCs/>
          <w:szCs w:val="20"/>
        </w:rPr>
        <w:t xml:space="preserve">. </w:t>
      </w:r>
      <w:r>
        <w:rPr>
          <w:bCs/>
          <w:szCs w:val="20"/>
        </w:rPr>
        <w:t>Nejdůležitější l</w:t>
      </w:r>
      <w:r w:rsidRPr="00FF1661">
        <w:rPr>
          <w:bCs/>
          <w:szCs w:val="20"/>
        </w:rPr>
        <w:t xml:space="preserve">egislativní změny, které </w:t>
      </w:r>
      <w:r w:rsidRPr="00FF1661">
        <w:rPr>
          <w:bCs/>
          <w:szCs w:val="20"/>
        </w:rPr>
        <w:lastRenderedPageBreak/>
        <w:t>byly přijat</w:t>
      </w:r>
      <w:r w:rsidR="00C20BCD">
        <w:rPr>
          <w:bCs/>
          <w:szCs w:val="20"/>
        </w:rPr>
        <w:t>y</w:t>
      </w:r>
      <w:r w:rsidRPr="00FF1661">
        <w:rPr>
          <w:bCs/>
          <w:szCs w:val="20"/>
        </w:rPr>
        <w:t xml:space="preserve"> v systému nemocenského pojištění v období </w:t>
      </w:r>
      <w:r>
        <w:rPr>
          <w:bCs/>
          <w:szCs w:val="20"/>
        </w:rPr>
        <w:t>posledních dvou desetiletí a které významným způsobem ovlivňují i srovnatelnost dat zdravotnické statistiky,</w:t>
      </w:r>
      <w:r w:rsidRPr="00FF1661">
        <w:rPr>
          <w:bCs/>
          <w:szCs w:val="20"/>
        </w:rPr>
        <w:t xml:space="preserve"> jsou </w:t>
      </w:r>
      <w:r>
        <w:rPr>
          <w:bCs/>
          <w:szCs w:val="20"/>
        </w:rPr>
        <w:t xml:space="preserve">následující: </w:t>
      </w:r>
    </w:p>
    <w:p w14:paraId="454F0D9C" w14:textId="77777777" w:rsidR="00A86205" w:rsidRDefault="00A86205" w:rsidP="00A86205">
      <w:pPr>
        <w:pStyle w:val="Seznam"/>
        <w:numPr>
          <w:ilvl w:val="0"/>
          <w:numId w:val="18"/>
        </w:numPr>
        <w:jc w:val="both"/>
        <w:rPr>
          <w:bCs/>
          <w:szCs w:val="20"/>
        </w:rPr>
      </w:pPr>
      <w:r>
        <w:rPr>
          <w:bCs/>
          <w:szCs w:val="20"/>
        </w:rPr>
        <w:t>V roce 1999 byl zaveden systém redukčních hranic pro stanovení výše nemocenského a jejich pravidelná valorizace.</w:t>
      </w:r>
    </w:p>
    <w:p w14:paraId="04C9EC52" w14:textId="77777777" w:rsidR="00A86205" w:rsidRDefault="00A86205" w:rsidP="00A86205">
      <w:pPr>
        <w:pStyle w:val="Seznam"/>
        <w:numPr>
          <w:ilvl w:val="0"/>
          <w:numId w:val="18"/>
        </w:numPr>
        <w:jc w:val="both"/>
        <w:rPr>
          <w:bCs/>
          <w:szCs w:val="20"/>
        </w:rPr>
      </w:pPr>
      <w:r w:rsidRPr="00292EA8">
        <w:rPr>
          <w:bCs/>
          <w:szCs w:val="20"/>
        </w:rPr>
        <w:t>S účinností od 1. 1. 20</w:t>
      </w:r>
      <w:r>
        <w:rPr>
          <w:bCs/>
          <w:szCs w:val="20"/>
        </w:rPr>
        <w:t>04</w:t>
      </w:r>
      <w:r w:rsidRPr="00292EA8">
        <w:rPr>
          <w:bCs/>
          <w:szCs w:val="20"/>
        </w:rPr>
        <w:t xml:space="preserve"> bylo prodlouženo rozhodné období pro zjištění denního vyměřovacího základu z kalendářního čtvrtletí na 12 kalendářních měsíců</w:t>
      </w:r>
      <w:r>
        <w:rPr>
          <w:bCs/>
          <w:szCs w:val="20"/>
        </w:rPr>
        <w:t>.</w:t>
      </w:r>
    </w:p>
    <w:p w14:paraId="517BC6AD" w14:textId="4F076E2C" w:rsidR="00A86205" w:rsidRPr="00292EA8" w:rsidRDefault="00A86205" w:rsidP="00A86205">
      <w:pPr>
        <w:pStyle w:val="Seznam"/>
        <w:numPr>
          <w:ilvl w:val="0"/>
          <w:numId w:val="18"/>
        </w:numPr>
        <w:jc w:val="both"/>
        <w:rPr>
          <w:bCs/>
          <w:szCs w:val="20"/>
        </w:rPr>
      </w:pPr>
      <w:r w:rsidRPr="00292EA8">
        <w:rPr>
          <w:bCs/>
          <w:szCs w:val="20"/>
        </w:rPr>
        <w:t xml:space="preserve">V rámci stabilizace veřejných rozpočtů byla s účinností od 1. 1. 2008 </w:t>
      </w:r>
      <w:r w:rsidRPr="00C20BCD">
        <w:rPr>
          <w:b/>
          <w:bCs/>
          <w:szCs w:val="20"/>
        </w:rPr>
        <w:t>zavedena karenční doba</w:t>
      </w:r>
      <w:r w:rsidRPr="00292EA8">
        <w:rPr>
          <w:bCs/>
          <w:szCs w:val="20"/>
        </w:rPr>
        <w:t xml:space="preserve"> pro</w:t>
      </w:r>
      <w:r w:rsidR="00F547BE">
        <w:rPr>
          <w:bCs/>
          <w:szCs w:val="20"/>
        </w:rPr>
        <w:t> </w:t>
      </w:r>
      <w:r w:rsidRPr="00292EA8">
        <w:rPr>
          <w:bCs/>
          <w:szCs w:val="20"/>
        </w:rPr>
        <w:t>poskytování nemocenského, tzn. neposkytování nemocenských dávek za období prvních tří</w:t>
      </w:r>
      <w:r w:rsidR="00F547BE">
        <w:rPr>
          <w:bCs/>
          <w:szCs w:val="20"/>
        </w:rPr>
        <w:t> </w:t>
      </w:r>
      <w:r w:rsidRPr="00292EA8">
        <w:rPr>
          <w:bCs/>
          <w:szCs w:val="20"/>
        </w:rPr>
        <w:t xml:space="preserve">kalendářních dnů trvání dočasné pracovní neschopnosti (toto </w:t>
      </w:r>
      <w:r w:rsidRPr="00C20BCD">
        <w:rPr>
          <w:b/>
          <w:bCs/>
          <w:szCs w:val="20"/>
        </w:rPr>
        <w:t>opatření</w:t>
      </w:r>
      <w:r w:rsidRPr="00292EA8">
        <w:rPr>
          <w:bCs/>
          <w:szCs w:val="20"/>
        </w:rPr>
        <w:t xml:space="preserve"> bylo nálezem Ústavního soudu </w:t>
      </w:r>
      <w:r w:rsidRPr="00C20BCD">
        <w:rPr>
          <w:b/>
          <w:bCs/>
          <w:szCs w:val="20"/>
        </w:rPr>
        <w:t>zrušeno</w:t>
      </w:r>
      <w:r w:rsidRPr="00292EA8">
        <w:rPr>
          <w:bCs/>
          <w:szCs w:val="20"/>
        </w:rPr>
        <w:t xml:space="preserve"> s účinností od 30. 6. 2008); dále byla zkrácena ochranná lhůta ze 42 kalendářních dnů na 7 kalendářních dnů.</w:t>
      </w:r>
    </w:p>
    <w:p w14:paraId="1481C03B" w14:textId="77777777" w:rsidR="00A86205" w:rsidRDefault="00A86205" w:rsidP="00A86205">
      <w:pPr>
        <w:pStyle w:val="Seznam"/>
        <w:numPr>
          <w:ilvl w:val="0"/>
          <w:numId w:val="18"/>
        </w:numPr>
        <w:jc w:val="both"/>
        <w:rPr>
          <w:bCs/>
          <w:szCs w:val="20"/>
        </w:rPr>
      </w:pPr>
      <w:r>
        <w:rPr>
          <w:bCs/>
          <w:szCs w:val="20"/>
        </w:rPr>
        <w:t>S účinností od 1. 9. 2008 byla snížena sazba pro výpočet nemocenského za první 3 kalendářní dny dočasné pracovní neschopnosti z 60 % na 25 %.</w:t>
      </w:r>
    </w:p>
    <w:p w14:paraId="50B841B1" w14:textId="5FC03A16" w:rsidR="00A86205" w:rsidRDefault="00A86205" w:rsidP="00A86205">
      <w:pPr>
        <w:pStyle w:val="Seznam"/>
        <w:numPr>
          <w:ilvl w:val="0"/>
          <w:numId w:val="18"/>
        </w:numPr>
        <w:jc w:val="both"/>
        <w:rPr>
          <w:bCs/>
          <w:szCs w:val="20"/>
        </w:rPr>
      </w:pPr>
      <w:r>
        <w:rPr>
          <w:bCs/>
          <w:szCs w:val="20"/>
        </w:rPr>
        <w:t>Dnem</w:t>
      </w:r>
      <w:r w:rsidRPr="00292EA8">
        <w:rPr>
          <w:b/>
          <w:bCs/>
          <w:szCs w:val="20"/>
        </w:rPr>
        <w:t xml:space="preserve"> 1. 1. 2009</w:t>
      </w:r>
      <w:r>
        <w:rPr>
          <w:bCs/>
          <w:szCs w:val="20"/>
        </w:rPr>
        <w:t xml:space="preserve"> nabyl účinnosti nový zákon o nemocenském pojištění č. 187/2006 Sb., který zejména přenesl provádění nemocenského pojištění z tzv. velkých organizací (s více než 25</w:t>
      </w:r>
      <w:r w:rsidR="00F547BE">
        <w:rPr>
          <w:bCs/>
          <w:szCs w:val="20"/>
        </w:rPr>
        <w:t> </w:t>
      </w:r>
      <w:r>
        <w:rPr>
          <w:bCs/>
          <w:szCs w:val="20"/>
        </w:rPr>
        <w:t>zaměstnanci) na orgány nemocenského pojištění (ČSSZ a OSSZ), posílil ochranné prvky proti zneužívání systému (</w:t>
      </w:r>
      <w:r w:rsidRPr="00C20BCD">
        <w:rPr>
          <w:b/>
          <w:bCs/>
          <w:szCs w:val="20"/>
        </w:rPr>
        <w:t>karenční doba, náhrada mzdy</w:t>
      </w:r>
      <w:r>
        <w:rPr>
          <w:bCs/>
          <w:szCs w:val="20"/>
        </w:rPr>
        <w:t xml:space="preserve">), zvýšil počet redukčních hranic pro výpočet denního vyměřovacího základu ze dvou na tři, </w:t>
      </w:r>
      <w:r w:rsidRPr="00C20BCD">
        <w:rPr>
          <w:b/>
          <w:bCs/>
          <w:szCs w:val="20"/>
        </w:rPr>
        <w:t>zainteresoval zaměstnavatele</w:t>
      </w:r>
      <w:r>
        <w:rPr>
          <w:bCs/>
          <w:szCs w:val="20"/>
        </w:rPr>
        <w:t xml:space="preserve"> na vývoji pracovní neschopnosti zaměstnanců (náhrada mzdy za prvních 14 dnů dočasné pracovní neschopnosti).</w:t>
      </w:r>
    </w:p>
    <w:p w14:paraId="47BD0E39" w14:textId="77777777" w:rsidR="00A86205" w:rsidRDefault="00A86205" w:rsidP="00A86205">
      <w:pPr>
        <w:pStyle w:val="Seznam"/>
        <w:numPr>
          <w:ilvl w:val="0"/>
          <w:numId w:val="18"/>
        </w:numPr>
        <w:ind w:left="714" w:hanging="357"/>
        <w:jc w:val="both"/>
        <w:rPr>
          <w:bCs/>
          <w:szCs w:val="20"/>
        </w:rPr>
      </w:pPr>
      <w:r w:rsidRPr="001555A9">
        <w:rPr>
          <w:bCs/>
          <w:szCs w:val="20"/>
        </w:rPr>
        <w:t>Od 1. 1. 2011 do 31. 12. 2013 začíná podpůrčí doba u nemocenského až 22. kalendářním dnem trvání dočasné pracovní neschopnosti, v období prvních 21 kalendářních dnů poskytuje zaměstnavatel zaměstnanci náhradu mzdy nebo platu podle zákoníku práce.</w:t>
      </w:r>
    </w:p>
    <w:p w14:paraId="3AD78244" w14:textId="77777777" w:rsidR="00A86205" w:rsidRDefault="00A86205" w:rsidP="00A86205">
      <w:pPr>
        <w:pStyle w:val="Seznam"/>
        <w:numPr>
          <w:ilvl w:val="0"/>
          <w:numId w:val="18"/>
        </w:numPr>
        <w:ind w:left="714" w:hanging="357"/>
        <w:jc w:val="both"/>
        <w:rPr>
          <w:bCs/>
          <w:szCs w:val="20"/>
        </w:rPr>
      </w:pPr>
      <w:r w:rsidRPr="001555A9">
        <w:rPr>
          <w:bCs/>
          <w:szCs w:val="20"/>
        </w:rPr>
        <w:t>Od 1. 1. 2012 byl novelou zákoníku práce a zákona o nemocenském pojištění rozšířen okruh nemocensky pojištěných osob o zaměstnance činné na základě dohody o provedení práce při započitatelném příjmu vyšším než 10 tis. Kč v kalendářním měsíci.</w:t>
      </w:r>
    </w:p>
    <w:p w14:paraId="78AD3135" w14:textId="77777777" w:rsidR="00A86205" w:rsidRDefault="00A86205" w:rsidP="00A86205">
      <w:pPr>
        <w:pStyle w:val="Seznam"/>
        <w:numPr>
          <w:ilvl w:val="0"/>
          <w:numId w:val="18"/>
        </w:numPr>
        <w:spacing w:after="0"/>
        <w:ind w:left="714" w:hanging="357"/>
        <w:jc w:val="both"/>
        <w:rPr>
          <w:rFonts w:cs="Arial"/>
          <w:szCs w:val="20"/>
        </w:rPr>
      </w:pPr>
      <w:r w:rsidRPr="001555A9">
        <w:rPr>
          <w:bCs/>
          <w:szCs w:val="20"/>
        </w:rPr>
        <w:t>Od 1. 1. 2014 byla ukončena platnost přechodného ustanovení o délce poskytování náhrady mzdy nebo platu; nárok na nemocenské tedy vzniká od 15. kalendářního dne trvání dočasné pracovní neschopnosti.</w:t>
      </w:r>
    </w:p>
    <w:p w14:paraId="2745BB89" w14:textId="6D4982FD" w:rsidR="00A86205" w:rsidRPr="001555A9" w:rsidRDefault="00A86205" w:rsidP="00A86205">
      <w:pPr>
        <w:pStyle w:val="Seznam"/>
        <w:numPr>
          <w:ilvl w:val="0"/>
          <w:numId w:val="18"/>
        </w:numPr>
        <w:spacing w:after="0"/>
        <w:jc w:val="both"/>
        <w:rPr>
          <w:rFonts w:cs="Arial"/>
          <w:szCs w:val="20"/>
        </w:rPr>
      </w:pPr>
      <w:r w:rsidRPr="001555A9">
        <w:rPr>
          <w:bCs/>
          <w:szCs w:val="20"/>
        </w:rPr>
        <w:t>V roce 2016 do</w:t>
      </w:r>
      <w:r w:rsidR="00C745EE">
        <w:rPr>
          <w:bCs/>
          <w:szCs w:val="20"/>
        </w:rPr>
        <w:t>šlo</w:t>
      </w:r>
      <w:r w:rsidRPr="001555A9">
        <w:rPr>
          <w:bCs/>
          <w:szCs w:val="20"/>
        </w:rPr>
        <w:t xml:space="preserve"> k významné změně ve stanovení místní příslušnosti zaměstnavatelů k OSSZ, která se již nemusí řídit pouze sídlem zaměstnavatele.</w:t>
      </w:r>
    </w:p>
    <w:p w14:paraId="2F0E3901" w14:textId="1C1B77E2" w:rsidR="003F3CA8" w:rsidRDefault="00A86205" w:rsidP="003F3CA8">
      <w:pPr>
        <w:pStyle w:val="Seznam"/>
        <w:numPr>
          <w:ilvl w:val="0"/>
          <w:numId w:val="21"/>
        </w:numPr>
        <w:spacing w:after="0"/>
        <w:ind w:left="714" w:hanging="357"/>
        <w:jc w:val="both"/>
        <w:rPr>
          <w:rFonts w:cs="Arial"/>
          <w:szCs w:val="20"/>
        </w:rPr>
      </w:pPr>
      <w:r>
        <w:rPr>
          <w:rFonts w:cs="Arial"/>
          <w:szCs w:val="20"/>
        </w:rPr>
        <w:t xml:space="preserve">S účinností od </w:t>
      </w:r>
      <w:r w:rsidRPr="001436FE">
        <w:rPr>
          <w:rFonts w:cs="Arial"/>
          <w:b/>
          <w:szCs w:val="20"/>
        </w:rPr>
        <w:t>1. února 2018</w:t>
      </w:r>
      <w:r>
        <w:rPr>
          <w:rFonts w:cs="Arial"/>
          <w:szCs w:val="20"/>
        </w:rPr>
        <w:t xml:space="preserve"> byla zavedena dávka </w:t>
      </w:r>
      <w:r w:rsidRPr="001436FE">
        <w:rPr>
          <w:rFonts w:cs="Arial"/>
          <w:b/>
          <w:szCs w:val="20"/>
        </w:rPr>
        <w:t>otcovské poporodní péče</w:t>
      </w:r>
      <w:r>
        <w:rPr>
          <w:rFonts w:cs="Arial"/>
          <w:szCs w:val="20"/>
        </w:rPr>
        <w:t xml:space="preserve">, tzv. „otcovská“. </w:t>
      </w:r>
      <w:r w:rsidRPr="00835FE1">
        <w:rPr>
          <w:rFonts w:cs="Arial"/>
          <w:szCs w:val="20"/>
        </w:rPr>
        <w:t>Nárok na dávku má otec dítěte, který o dítě pečuje a osoba (muž nebo žena), která převzala dítě do</w:t>
      </w:r>
      <w:r w:rsidR="00F547BE">
        <w:rPr>
          <w:rFonts w:cs="Arial"/>
          <w:szCs w:val="20"/>
        </w:rPr>
        <w:t> </w:t>
      </w:r>
      <w:r w:rsidRPr="00835FE1">
        <w:rPr>
          <w:rFonts w:cs="Arial"/>
          <w:szCs w:val="20"/>
        </w:rPr>
        <w:t>péče nahrazující péči rodičů, na základě rozhodnutí příslušného orgánu</w:t>
      </w:r>
      <w:r>
        <w:rPr>
          <w:rFonts w:cs="Arial"/>
          <w:szCs w:val="20"/>
        </w:rPr>
        <w:t>.</w:t>
      </w:r>
    </w:p>
    <w:p w14:paraId="208B9001" w14:textId="1BE4AEAF" w:rsidR="003F3CA8" w:rsidRPr="003F3CA8" w:rsidRDefault="00A86205" w:rsidP="003F3CA8">
      <w:pPr>
        <w:pStyle w:val="Seznam"/>
        <w:numPr>
          <w:ilvl w:val="0"/>
          <w:numId w:val="21"/>
        </w:numPr>
        <w:spacing w:after="0"/>
        <w:ind w:left="714" w:hanging="357"/>
        <w:jc w:val="both"/>
        <w:rPr>
          <w:rFonts w:cs="Arial"/>
          <w:szCs w:val="20"/>
        </w:rPr>
      </w:pPr>
      <w:r w:rsidRPr="003F3CA8">
        <w:rPr>
          <w:rFonts w:cs="Arial"/>
          <w:szCs w:val="20"/>
        </w:rPr>
        <w:t xml:space="preserve">Dále byla zavedena dávka </w:t>
      </w:r>
      <w:r w:rsidRPr="003F3CA8">
        <w:rPr>
          <w:rFonts w:cs="Arial"/>
          <w:b/>
          <w:szCs w:val="20"/>
        </w:rPr>
        <w:t>dlouhodobé ošetřovné</w:t>
      </w:r>
      <w:r w:rsidRPr="003F3CA8">
        <w:rPr>
          <w:rFonts w:cs="Arial"/>
          <w:szCs w:val="20"/>
        </w:rPr>
        <w:t>. U ošetřované osoby muselo dojít k závažnému zhoršení zdravotního stavu, který vyžadoval alespoň 7denní hospitalizaci v nemocnici a v den propuštění bude potvrzeno, že potřeba celodenní péče bude trvat nejméně dalších 30 dnů. Ošetřovaná osoba musí dát písemný souhlas k ošetřování konkrét</w:t>
      </w:r>
      <w:r w:rsidR="003F3CA8" w:rsidRPr="003F3CA8">
        <w:rPr>
          <w:rFonts w:cs="Arial"/>
          <w:szCs w:val="20"/>
        </w:rPr>
        <w:t>ní osobě.</w:t>
      </w:r>
    </w:p>
    <w:p w14:paraId="22FD3EBD" w14:textId="77777777" w:rsidR="003F3CA8" w:rsidRDefault="003F3CA8">
      <w:pPr>
        <w:spacing w:after="0" w:line="240" w:lineRule="auto"/>
        <w:rPr>
          <w:rFonts w:cs="Arial"/>
          <w:szCs w:val="20"/>
        </w:rPr>
      </w:pPr>
      <w:r>
        <w:rPr>
          <w:rFonts w:cs="Arial"/>
          <w:szCs w:val="20"/>
        </w:rPr>
        <w:br w:type="page"/>
      </w:r>
    </w:p>
    <w:p w14:paraId="252041E5" w14:textId="77777777" w:rsidR="00796E73" w:rsidRDefault="00796E73" w:rsidP="00796E73">
      <w:pPr>
        <w:pStyle w:val="Nadpis1"/>
      </w:pPr>
      <w:bookmarkStart w:id="2" w:name="_Toc10117309"/>
      <w:r>
        <w:lastRenderedPageBreak/>
        <w:t>3. Metodická část, zdroje dat</w:t>
      </w:r>
      <w:bookmarkEnd w:id="2"/>
    </w:p>
    <w:p w14:paraId="618CA543" w14:textId="77777777" w:rsidR="000B2975" w:rsidRDefault="000B2975" w:rsidP="000B2975">
      <w:pPr>
        <w:autoSpaceDE w:val="0"/>
        <w:autoSpaceDN w:val="0"/>
        <w:adjustRightInd w:val="0"/>
        <w:jc w:val="both"/>
        <w:rPr>
          <w:rFonts w:cs="Arial"/>
        </w:rPr>
      </w:pPr>
      <w:r>
        <w:rPr>
          <w:rFonts w:cs="Arial"/>
        </w:rPr>
        <w:t xml:space="preserve">Základní časové řady statistik dočasné pracovní neschopnosti pro nemoc a úraz v ČR jsou sledovány Českým statistickým úřadem již od roku 1963. Do roku 2011 byly statistické údaje o dočasné pracovní neschopnosti pro nemoc a úraz zjišťovány prostřednictvím státního statistického výkazu Nem Úr 1-02. V důsledku snižování administrativní náročnosti a zátěže zpravodajských jednotek byl Výkaz o pracovní neschopnosti pro nemoc a úraz Nem Úr 1-02 nahrazen údaji dostupnými z administrativních zdrojů. </w:t>
      </w:r>
    </w:p>
    <w:p w14:paraId="6BACE895" w14:textId="77777777" w:rsidR="000B2975" w:rsidRDefault="000B2975" w:rsidP="000B2975">
      <w:pPr>
        <w:autoSpaceDE w:val="0"/>
        <w:autoSpaceDN w:val="0"/>
        <w:adjustRightInd w:val="0"/>
        <w:jc w:val="both"/>
        <w:rPr>
          <w:rFonts w:cs="Arial"/>
        </w:rPr>
      </w:pPr>
      <w:r>
        <w:rPr>
          <w:rFonts w:cs="Arial"/>
        </w:rPr>
        <w:t xml:space="preserve">Počínaje rokem 2012, zajišťuje Český statistický úřad na základě smluvního ujednání s Ministerstvem práce a sociálních věcí a Českou správou sociálního zabezpečení údaje pro statistiku dočasné pracovní neschopnosti pro nemoc a úraz zpracováním dat z administrativního zdroje Informačního systému ČSSZ. </w:t>
      </w:r>
      <w:r>
        <w:rPr>
          <w:rFonts w:cs="Arial"/>
          <w:szCs w:val="20"/>
        </w:rPr>
        <w:t>Z důvodu změny metodiky a odlišného sběru a zpracování dat nejsou data od roku 2012 plně srovnatelná s údaji za předchozí období.</w:t>
      </w:r>
    </w:p>
    <w:p w14:paraId="636395E3" w14:textId="3B6D740A" w:rsidR="000B2975" w:rsidRDefault="000B2975" w:rsidP="000B2975">
      <w:pPr>
        <w:autoSpaceDE w:val="0"/>
        <w:autoSpaceDN w:val="0"/>
        <w:adjustRightInd w:val="0"/>
        <w:jc w:val="both"/>
        <w:rPr>
          <w:rFonts w:cs="Arial"/>
        </w:rPr>
      </w:pPr>
      <w:r>
        <w:rPr>
          <w:rFonts w:cs="Arial"/>
        </w:rPr>
        <w:t xml:space="preserve">Vstupním zdrojem a podkladem pro zpracování dat této publikace jsou </w:t>
      </w:r>
      <w:r w:rsidRPr="00C20BCD">
        <w:rPr>
          <w:rFonts w:cs="Arial"/>
          <w:b/>
        </w:rPr>
        <w:t>údaje o dočasné pracovní neschopnosti pro nemoc a úraz</w:t>
      </w:r>
      <w:r>
        <w:rPr>
          <w:rFonts w:cs="Arial"/>
        </w:rPr>
        <w:t xml:space="preserve"> nahlášené České správě sociálního zabezpečení prostřednictvím formuláře </w:t>
      </w:r>
      <w:r w:rsidRPr="00C20BCD">
        <w:rPr>
          <w:rFonts w:cs="Arial"/>
          <w:b/>
        </w:rPr>
        <w:t>„</w:t>
      </w:r>
      <w:r w:rsidRPr="00C20BCD">
        <w:rPr>
          <w:rFonts w:cs="Arial"/>
          <w:b/>
          <w:i/>
        </w:rPr>
        <w:t>Rozhodnutí o dočasné pracovní neschopnosti</w:t>
      </w:r>
      <w:r w:rsidRPr="00C20BCD">
        <w:rPr>
          <w:rFonts w:cs="Arial"/>
          <w:b/>
        </w:rPr>
        <w:t>“ (tzv. „neschopenka“)</w:t>
      </w:r>
      <w:r>
        <w:rPr>
          <w:rFonts w:cs="Arial"/>
        </w:rPr>
        <w:t>, který vyplňuje ošetřující lékař</w:t>
      </w:r>
      <w:r w:rsidR="006D3235">
        <w:rPr>
          <w:rStyle w:val="Znakapoznpodarou"/>
          <w:rFonts w:cs="Arial"/>
        </w:rPr>
        <w:footnoteReference w:id="4"/>
      </w:r>
      <w:r>
        <w:rPr>
          <w:rFonts w:cs="Arial"/>
        </w:rPr>
        <w:t xml:space="preserve">. Jsou tak evidována veškerá onemocnění a úrazy, které zapříčinily alespoň jednodenní pracovní neschopnost u nemocensky pojištěných osob. </w:t>
      </w:r>
      <w:r w:rsidRPr="00C20BCD">
        <w:rPr>
          <w:rFonts w:cs="Arial"/>
          <w:b/>
        </w:rPr>
        <w:t>Administrativní data Informačního systému ČSSZ</w:t>
      </w:r>
      <w:r>
        <w:rPr>
          <w:rFonts w:cs="Arial"/>
        </w:rPr>
        <w:t xml:space="preserve"> obsahují údaje za všechny zaměstnance, ať již zaměstnané právnickou či fyzickou osobou</w:t>
      </w:r>
      <w:r w:rsidRPr="00694B42">
        <w:rPr>
          <w:rFonts w:cs="Arial"/>
          <w:vertAlign w:val="superscript"/>
        </w:rPr>
        <w:footnoteReference w:id="5"/>
      </w:r>
      <w:r>
        <w:rPr>
          <w:rFonts w:cs="Arial"/>
        </w:rPr>
        <w:t xml:space="preserve"> i data za</w:t>
      </w:r>
      <w:r w:rsidR="00F547BE">
        <w:rPr>
          <w:rFonts w:cs="Arial"/>
        </w:rPr>
        <w:t> </w:t>
      </w:r>
      <w:r>
        <w:rPr>
          <w:rFonts w:cs="Arial"/>
        </w:rPr>
        <w:t>osoby samostatně výdělečně činné (OSVČ). Zaměstnanci jsou povinně účastni nemocenského pojištění, na rozdíl od OSVČ, jejichž nemocenské pojištění zůstává dobrovolné.</w:t>
      </w:r>
    </w:p>
    <w:p w14:paraId="7E7A05BF" w14:textId="77777777" w:rsidR="000B2975" w:rsidRDefault="000B2975" w:rsidP="000B2975">
      <w:pPr>
        <w:autoSpaceDE w:val="0"/>
        <w:autoSpaceDN w:val="0"/>
        <w:adjustRightInd w:val="0"/>
        <w:jc w:val="both"/>
        <w:rPr>
          <w:rFonts w:cs="Arial"/>
        </w:rPr>
      </w:pPr>
      <w:r w:rsidRPr="00C30020">
        <w:rPr>
          <w:rFonts w:cs="Arial"/>
          <w:b/>
        </w:rPr>
        <w:t>Česká správa sociálního zabezpečení</w:t>
      </w:r>
      <w:r>
        <w:rPr>
          <w:rFonts w:cs="Arial"/>
        </w:rPr>
        <w:t xml:space="preserve"> za účelem zajištění statistiky dočasné pracovní neschopnosti pro nemoc a úraz </w:t>
      </w:r>
      <w:r w:rsidRPr="00C30020">
        <w:rPr>
          <w:rFonts w:cs="Arial"/>
          <w:b/>
        </w:rPr>
        <w:t>poskytuje</w:t>
      </w:r>
      <w:r>
        <w:rPr>
          <w:rFonts w:cs="Arial"/>
        </w:rPr>
        <w:t xml:space="preserve"> Českému statistickému úřadu </w:t>
      </w:r>
      <w:r w:rsidRPr="00C30020">
        <w:rPr>
          <w:rFonts w:cs="Arial"/>
          <w:b/>
        </w:rPr>
        <w:t>datové soubory administrativních agregovaných dat</w:t>
      </w:r>
      <w:r>
        <w:rPr>
          <w:rFonts w:cs="Arial"/>
        </w:rPr>
        <w:t xml:space="preserve"> o </w:t>
      </w:r>
      <w:r w:rsidRPr="005C2F72">
        <w:rPr>
          <w:rFonts w:cs="Arial"/>
          <w:b/>
        </w:rPr>
        <w:t>nově hlášených případech</w:t>
      </w:r>
      <w:r>
        <w:rPr>
          <w:rFonts w:cs="Arial"/>
        </w:rPr>
        <w:t xml:space="preserve"> dočasné pracovní neschopnosti zaměstnanců a OSVČ, které jsou na ČSÚ dále zpracovány a doplněny s využitím informací z Registru ekonomických subjektů. </w:t>
      </w:r>
    </w:p>
    <w:p w14:paraId="2A3B59E3" w14:textId="77777777" w:rsidR="000B2975" w:rsidRDefault="000B2975" w:rsidP="000B2975">
      <w:pPr>
        <w:pStyle w:val="Seznam"/>
        <w:jc w:val="both"/>
      </w:pPr>
      <w:r w:rsidRPr="00692196">
        <w:rPr>
          <w:b/>
        </w:rPr>
        <w:t>Dočasná pracovní neschopnost</w:t>
      </w:r>
      <w:r>
        <w:t xml:space="preserve"> je stav člověka, který je </w:t>
      </w:r>
      <w:r w:rsidRPr="00C30020">
        <w:rPr>
          <w:b/>
        </w:rPr>
        <w:t>lékařem ze zdravotních důvodů dočasně uznán neschopným k výkonu</w:t>
      </w:r>
      <w:r>
        <w:t xml:space="preserve"> svého dosavadního </w:t>
      </w:r>
      <w:r w:rsidRPr="00C30020">
        <w:rPr>
          <w:b/>
        </w:rPr>
        <w:t>zaměstnání</w:t>
      </w:r>
      <w:r>
        <w:t>. Ošetřující lékař zdůvodní dočasnou pracovní neschopnost uvedením jedné z následujících kategorií na formuláři „Rozhodnutí o dočasné pracovní neschopnosti“: </w:t>
      </w:r>
    </w:p>
    <w:p w14:paraId="41F429B7" w14:textId="13BCDD59" w:rsidR="000B2975" w:rsidRDefault="000B2975" w:rsidP="000B2975">
      <w:pPr>
        <w:pStyle w:val="Seznam"/>
        <w:numPr>
          <w:ilvl w:val="0"/>
          <w:numId w:val="23"/>
        </w:numPr>
        <w:jc w:val="both"/>
      </w:pPr>
      <w:r>
        <w:rPr>
          <w:b/>
          <w:bCs/>
        </w:rPr>
        <w:t xml:space="preserve">nemoc </w:t>
      </w:r>
      <w:r w:rsidRPr="00692196">
        <w:rPr>
          <w:bCs/>
        </w:rPr>
        <w:t xml:space="preserve">– </w:t>
      </w:r>
      <w:r>
        <w:t xml:space="preserve">za případy dočasné pracovní neschopnosti pro nemoc jsou považovány všechny případy nemoci a úrazy podle </w:t>
      </w:r>
      <w:r w:rsidRPr="00C30020">
        <w:rPr>
          <w:b/>
        </w:rPr>
        <w:t>Mezinárodní statistické klasifikace nemocí a přidružených zdravotních problémů</w:t>
      </w:r>
      <w:r>
        <w:t xml:space="preserve"> (MKN-10). </w:t>
      </w:r>
    </w:p>
    <w:p w14:paraId="4EF11990" w14:textId="77777777" w:rsidR="000B2975" w:rsidRPr="00692196" w:rsidRDefault="000B2975" w:rsidP="000B2975">
      <w:pPr>
        <w:pStyle w:val="Seznam"/>
        <w:numPr>
          <w:ilvl w:val="0"/>
          <w:numId w:val="23"/>
        </w:numPr>
        <w:jc w:val="both"/>
        <w:rPr>
          <w:b/>
          <w:bCs/>
        </w:rPr>
      </w:pPr>
      <w:r>
        <w:rPr>
          <w:b/>
          <w:bCs/>
        </w:rPr>
        <w:t xml:space="preserve">pracovní úrazy </w:t>
      </w:r>
      <w:r w:rsidRPr="00692196">
        <w:rPr>
          <w:bCs/>
        </w:rPr>
        <w:t>–</w:t>
      </w:r>
      <w:r w:rsidRPr="00692196">
        <w:rPr>
          <w:b/>
          <w:bCs/>
        </w:rPr>
        <w:t xml:space="preserve"> </w:t>
      </w:r>
      <w:r w:rsidRPr="00692196">
        <w:t xml:space="preserve">pracovním úrazem se rozumí </w:t>
      </w:r>
      <w:r w:rsidRPr="00C30020">
        <w:rPr>
          <w:b/>
        </w:rPr>
        <w:t>poškození zdraví nebo smrt zaměstnance</w:t>
      </w:r>
      <w:r w:rsidRPr="00692196">
        <w:t xml:space="preserve">, došlo-li k nim nezávisle na jeho vůli krátkodobým, náhlým a násilným </w:t>
      </w:r>
      <w:r w:rsidRPr="00C30020">
        <w:rPr>
          <w:b/>
        </w:rPr>
        <w:t>působením zevních vlivů</w:t>
      </w:r>
      <w:r w:rsidRPr="00692196">
        <w:t xml:space="preserve"> při plnění pracovních úkolů nebo v přímé souvislosti s ním (viz § 271k odst. 1 až 3 zákona č. 262/2006 Sb., zákoník práce, ve znění pozdějších předpisů).</w:t>
      </w:r>
    </w:p>
    <w:p w14:paraId="126E791D" w14:textId="77777777" w:rsidR="000B2975" w:rsidRDefault="000B2975" w:rsidP="000B2975">
      <w:pPr>
        <w:pStyle w:val="Seznam"/>
        <w:numPr>
          <w:ilvl w:val="0"/>
          <w:numId w:val="23"/>
        </w:numPr>
        <w:jc w:val="both"/>
      </w:pPr>
      <w:r>
        <w:rPr>
          <w:b/>
          <w:bCs/>
        </w:rPr>
        <w:t xml:space="preserve">ostatní úrazy </w:t>
      </w:r>
      <w:r w:rsidRPr="00692196">
        <w:rPr>
          <w:bCs/>
        </w:rPr>
        <w:t>–</w:t>
      </w:r>
      <w:r>
        <w:rPr>
          <w:b/>
          <w:bCs/>
        </w:rPr>
        <w:t xml:space="preserve"> </w:t>
      </w:r>
      <w:r>
        <w:rPr>
          <w:bCs/>
        </w:rPr>
        <w:t xml:space="preserve">za ostatní úrazy jsou považovány případy </w:t>
      </w:r>
      <w:r w:rsidRPr="00C30020">
        <w:rPr>
          <w:b/>
        </w:rPr>
        <w:t>poškození zdraví</w:t>
      </w:r>
      <w:r>
        <w:t xml:space="preserve">, na jehož následky je postižený v dočasné pracovní neschopnosti, které však lékařem </w:t>
      </w:r>
      <w:r w:rsidRPr="00C30020">
        <w:rPr>
          <w:b/>
        </w:rPr>
        <w:t>nebyly vyhodnoceny jako pracovní úraz</w:t>
      </w:r>
      <w:r>
        <w:t>.</w:t>
      </w:r>
    </w:p>
    <w:p w14:paraId="3329122C" w14:textId="77777777" w:rsidR="000B2975" w:rsidRDefault="000B2975" w:rsidP="000B2975">
      <w:pPr>
        <w:pStyle w:val="Seznam"/>
        <w:jc w:val="both"/>
      </w:pPr>
    </w:p>
    <w:p w14:paraId="49AAE425" w14:textId="77777777" w:rsidR="000B2975" w:rsidRDefault="000B2975" w:rsidP="000B2975">
      <w:pPr>
        <w:pStyle w:val="Seznam"/>
        <w:jc w:val="both"/>
      </w:pPr>
      <w:r>
        <w:t xml:space="preserve">Výstupem zpracování dat Českým statistickým úřadem jsou následující statistické </w:t>
      </w:r>
      <w:r w:rsidRPr="00735A37">
        <w:rPr>
          <w:b/>
        </w:rPr>
        <w:t>ukazatele</w:t>
      </w:r>
      <w:r>
        <w:t>:</w:t>
      </w:r>
    </w:p>
    <w:p w14:paraId="3BFF4831" w14:textId="5C29128C" w:rsidR="000B2975" w:rsidRPr="0050262D" w:rsidRDefault="000B2975" w:rsidP="000B2975">
      <w:pPr>
        <w:pStyle w:val="Seznam"/>
        <w:numPr>
          <w:ilvl w:val="0"/>
          <w:numId w:val="24"/>
        </w:numPr>
        <w:jc w:val="both"/>
      </w:pPr>
      <w:r w:rsidRPr="00735A37">
        <w:rPr>
          <w:b/>
        </w:rPr>
        <w:t>průměrný počet nemocensky pojištěných osob</w:t>
      </w:r>
      <w:r>
        <w:t xml:space="preserve"> – </w:t>
      </w:r>
      <w:r w:rsidRPr="00735A37">
        <w:t>ukazatel udává průměrný počet osob, které jsou povinně či dobrovolně nemocensky pojištěné podle zákona o nemocenském pojištění. Zahrnuje všechny osoby, které byly alespoň po jeden den vykazovaného období nemocensky pojištěné. Do</w:t>
      </w:r>
      <w:r w:rsidR="00F547BE">
        <w:t> </w:t>
      </w:r>
      <w:r w:rsidRPr="00735A37">
        <w:t>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w:t>
      </w:r>
      <w:r w:rsidR="00F547BE">
        <w:t> </w:t>
      </w:r>
      <w:r w:rsidRPr="00735A37">
        <w:t>informace</w:t>
      </w:r>
      <w:r>
        <w:t xml:space="preserve"> (dále též „příslušníci a vojáci“)</w:t>
      </w:r>
      <w:r w:rsidRPr="00735A37">
        <w:t>.</w:t>
      </w:r>
      <w:r>
        <w:t xml:space="preserve"> </w:t>
      </w:r>
      <w:r w:rsidRPr="0050262D">
        <w:t>V případě více překrývajících se pojistných vztahů pojištěnce v rámci jednoho zaměstnavatele a jedné mzdové účtárny se započítává pojištěnec pouze jedenkrát. V ostatních případech je pojištěnec započítáván tolikrát, kolik má prac</w:t>
      </w:r>
      <w:r>
        <w:t>ovně právních pojistných vztahů;</w:t>
      </w:r>
    </w:p>
    <w:p w14:paraId="4B815718" w14:textId="63C66CFC" w:rsidR="000B2975" w:rsidRDefault="000B2975" w:rsidP="000B2975">
      <w:pPr>
        <w:pStyle w:val="Seznam"/>
        <w:numPr>
          <w:ilvl w:val="0"/>
          <w:numId w:val="24"/>
        </w:numPr>
        <w:jc w:val="both"/>
      </w:pPr>
      <w:r w:rsidRPr="00735A37">
        <w:rPr>
          <w:b/>
        </w:rPr>
        <w:t>průměrný počet nemocensky pojištěných mladistvých</w:t>
      </w:r>
      <w:r>
        <w:t xml:space="preserve"> – </w:t>
      </w:r>
      <w:r w:rsidRPr="00735A37">
        <w:t>ukazatel udává průměrný počet nemocensky pojištěných osob mladších 18 let (viz § 350 odst. 2 zákona č. 262/2006 Sb., zákoník práce, ve znění pozdějších předpis</w:t>
      </w:r>
      <w:r>
        <w:t>ů);</w:t>
      </w:r>
    </w:p>
    <w:p w14:paraId="3BF6FEA6" w14:textId="77777777" w:rsidR="000B2975" w:rsidRPr="007A7C65" w:rsidRDefault="000B2975" w:rsidP="000B2975">
      <w:pPr>
        <w:pStyle w:val="Seznam"/>
        <w:numPr>
          <w:ilvl w:val="0"/>
          <w:numId w:val="24"/>
        </w:numPr>
        <w:jc w:val="both"/>
      </w:pPr>
      <w:r>
        <w:rPr>
          <w:b/>
        </w:rPr>
        <w:t>počet pracovně právních pojistných vztahů</w:t>
      </w:r>
      <w:r>
        <w:t xml:space="preserve"> – </w:t>
      </w:r>
      <w:r>
        <w:rPr>
          <w:rFonts w:cs="Arial"/>
          <w:szCs w:val="20"/>
        </w:rPr>
        <w:t>ukazatel udává celkový počet pojistných vztahů nemocensky pojištěných osob, které byly alespoň 1 den vykazovaného období nemocensky pojištěné u daného zaměstnavatele. U zaměstnanců právnických osob a zaměstnanců fyzických osob se započítávají pojistné vztahy všech zaměstnanců nemocensky pojištěných dle § 5 zákona o nemocenském pojištění a účastných pojištění dle § 6 až 10 tohoto zákona (zahrnuje i osoby pobírající dávku ošetřovné, peněžitá pomoc v mateřství, rodičovský příspěvek a vyrovnávací příspěvek v těhotenství a mateřství a osoby vykonávající zaměstnání malého rozsahu). Nejsou započteni příslušníci a vojáci. V případě více pojistných vztahů jedné osoby na dané mzdové účtárně se započtou všechny takové pojistné vztahy. Pokud se však pojistné vztahy shodného druhu jedné osoby u jednoho zaměstnavatele překrývají nebo navazují bez mezery je jejich sjednocení považováno za jeden pojistný vztah;</w:t>
      </w:r>
    </w:p>
    <w:p w14:paraId="0D93F25C" w14:textId="77777777" w:rsidR="000B2975" w:rsidRDefault="000B2975" w:rsidP="000B2975">
      <w:pPr>
        <w:pStyle w:val="Seznam"/>
        <w:numPr>
          <w:ilvl w:val="0"/>
          <w:numId w:val="24"/>
        </w:numPr>
        <w:jc w:val="both"/>
      </w:pPr>
      <w:r>
        <w:rPr>
          <w:b/>
        </w:rPr>
        <w:t>počet nově hlášených případů dočasné pracovní neschopnosti</w:t>
      </w:r>
      <w:r>
        <w:t xml:space="preserve"> – </w:t>
      </w:r>
      <w:r w:rsidRPr="007A7C65">
        <w:t>ukazatel zahrnuje nově hlášené případy pracovní neschopnosti ve sledovaném období na základě hlášení o vzniku pracovní neschopno</w:t>
      </w:r>
      <w:r>
        <w:t>sti nemocensky pojištěných osob;</w:t>
      </w:r>
    </w:p>
    <w:p w14:paraId="7FC574E8" w14:textId="77777777" w:rsidR="000B2975" w:rsidRDefault="000B2975" w:rsidP="000B2975">
      <w:pPr>
        <w:pStyle w:val="Seznam"/>
        <w:numPr>
          <w:ilvl w:val="0"/>
          <w:numId w:val="24"/>
        </w:numPr>
        <w:jc w:val="both"/>
      </w:pPr>
      <w:r>
        <w:rPr>
          <w:b/>
        </w:rPr>
        <w:t>p</w:t>
      </w:r>
      <w:r w:rsidRPr="00F40DD1">
        <w:rPr>
          <w:b/>
        </w:rPr>
        <w:t xml:space="preserve">očet případů pracovní neschopnosti na 100 pojištěnců </w:t>
      </w:r>
      <w:r w:rsidRPr="00F40DD1">
        <w:t>– ukazatel vyjadřuje počet nově hlášených případů pracovní neschopnosti, které připadají v průměru na 100 nemocensky pojištěných osob</w:t>
      </w:r>
      <w:r>
        <w:t>;</w:t>
      </w:r>
    </w:p>
    <w:p w14:paraId="5522DF0B" w14:textId="31C738D9" w:rsidR="000B2975" w:rsidRDefault="000B2975" w:rsidP="000B2975">
      <w:pPr>
        <w:pStyle w:val="Seznam"/>
        <w:numPr>
          <w:ilvl w:val="0"/>
          <w:numId w:val="24"/>
        </w:numPr>
        <w:jc w:val="both"/>
      </w:pPr>
      <w:r>
        <w:rPr>
          <w:b/>
        </w:rPr>
        <w:t>p</w:t>
      </w:r>
      <w:r w:rsidRPr="00F40DD1">
        <w:rPr>
          <w:b/>
        </w:rPr>
        <w:t>očet kalendářních dnů dočasné pracovní neschopnosti</w:t>
      </w:r>
      <w:r w:rsidRPr="00F40DD1">
        <w:t xml:space="preserve"> – ukazatel udává celkový počet kalendářních dnů, po které byli v daném období (roce) nemocensky pojištění zaměstnanci práce neschopni z příčin uvedených ve formuláři „Rozhodnutí o dočasné pracovní neschopnosti“. Počet kalendářních dnů strávených v pracovní neschopnosti je zjišťován na základě hlášení o vzniku a</w:t>
      </w:r>
      <w:r w:rsidR="00F547BE">
        <w:t> </w:t>
      </w:r>
      <w:r w:rsidRPr="00F40DD1">
        <w:t>ukončení pracovní neschopnosti. Do počtu případů a počtu kalendářních dnů pracovní neschopnosti patří i pracovní neschopnost vzniklá po zániku pojištění v tzv. ochranné lhůtě sedmi kalendářních dnů</w:t>
      </w:r>
      <w:r>
        <w:t>;</w:t>
      </w:r>
    </w:p>
    <w:p w14:paraId="35D37F17" w14:textId="77777777" w:rsidR="000B2975" w:rsidRDefault="000B2975" w:rsidP="000B2975">
      <w:pPr>
        <w:pStyle w:val="Seznam"/>
        <w:numPr>
          <w:ilvl w:val="0"/>
          <w:numId w:val="24"/>
        </w:numPr>
        <w:jc w:val="both"/>
      </w:pPr>
      <w:r>
        <w:rPr>
          <w:b/>
        </w:rPr>
        <w:t>p</w:t>
      </w:r>
      <w:r w:rsidRPr="00F40DD1">
        <w:rPr>
          <w:b/>
        </w:rPr>
        <w:t>růměrná délka trvání pracovní neschopnosti ve dnech</w:t>
      </w:r>
      <w:r w:rsidRPr="00F40DD1">
        <w:t xml:space="preserve"> – ukazatel vyjadřuje, kolik kalendářních dnů pracovní neschopnosti v průměru připadá na jeden nově hlášený případ pracovní neschopnosti</w:t>
      </w:r>
      <w:r>
        <w:t>;</w:t>
      </w:r>
    </w:p>
    <w:p w14:paraId="0DBF63E2" w14:textId="77777777" w:rsidR="000B2975" w:rsidRDefault="000B2975" w:rsidP="000B2975">
      <w:pPr>
        <w:pStyle w:val="Seznam"/>
        <w:numPr>
          <w:ilvl w:val="0"/>
          <w:numId w:val="24"/>
        </w:numPr>
        <w:jc w:val="both"/>
      </w:pPr>
      <w:r>
        <w:rPr>
          <w:b/>
        </w:rPr>
        <w:t>p</w:t>
      </w:r>
      <w:r w:rsidRPr="00F40DD1">
        <w:rPr>
          <w:b/>
        </w:rPr>
        <w:t xml:space="preserve">růměrné procento dočasné pracovní neschopnosti </w:t>
      </w:r>
      <w:r w:rsidRPr="00F40DD1">
        <w:t>– ukazatel udává, kolik ze 100 pojištěnců je průměrně každý den v pracovní neschopnosti pro nemoc či úraz. Zohledňuje jak celkový počet případů pracovní neschopnosti (jak často lidé do pracovní neschopnosti nastupují), tak i průměrné trvání jednoho případu pracovní neschopnosti (jak dlouho v pracovní neschopnosti zůstávají). Vyjadřuje podíl kalendářních dnů pracovní neschopnosti na celkovém kalendářním fondu pojištěnců ve sledovaném období (roce) vyjádřený v</w:t>
      </w:r>
      <w:r>
        <w:t> </w:t>
      </w:r>
      <w:r w:rsidRPr="00F40DD1">
        <w:t>procentech</w:t>
      </w:r>
      <w:r>
        <w:t>;</w:t>
      </w:r>
    </w:p>
    <w:p w14:paraId="0267965E" w14:textId="77777777" w:rsidR="000B2975" w:rsidRDefault="000B2975" w:rsidP="000B2975">
      <w:pPr>
        <w:pStyle w:val="Seznam"/>
        <w:numPr>
          <w:ilvl w:val="0"/>
          <w:numId w:val="24"/>
        </w:numPr>
        <w:jc w:val="both"/>
      </w:pPr>
      <w:r w:rsidRPr="00F40DD1">
        <w:rPr>
          <w:b/>
        </w:rPr>
        <w:t xml:space="preserve">průměrný denní stav práce neschopných </w:t>
      </w:r>
      <w:r w:rsidRPr="00F40DD1">
        <w:t>– ukazatel vyjadřuje počet nemocensky pojištěných, kteří byli ve sledovaném období (roce) průměrně denně nepřítomni v práci z důvodů pracovní neschopnosti</w:t>
      </w:r>
      <w:r>
        <w:t>;</w:t>
      </w:r>
    </w:p>
    <w:p w14:paraId="5B004FA4" w14:textId="77777777" w:rsidR="000B2975" w:rsidRPr="0010665F" w:rsidRDefault="000B2975" w:rsidP="000B2975">
      <w:pPr>
        <w:pStyle w:val="Seznam"/>
        <w:numPr>
          <w:ilvl w:val="0"/>
          <w:numId w:val="24"/>
        </w:numPr>
        <w:jc w:val="both"/>
      </w:pPr>
      <w:r>
        <w:rPr>
          <w:b/>
        </w:rPr>
        <w:t>p</w:t>
      </w:r>
      <w:r w:rsidRPr="0010665F">
        <w:rPr>
          <w:b/>
        </w:rPr>
        <w:t xml:space="preserve">racovní úrazy s pracovní neschopností delší než 3 dny </w:t>
      </w:r>
      <w:r w:rsidRPr="0010665F">
        <w:t>– ukazatel zahrnuje případy pracovních úrazů, které měly za následek pracovní neschopnost delší než tři kalendářní dny. Do těchto tří dnů se nezapočítává den, ve kterém k úrazu došlo</w:t>
      </w:r>
      <w:r>
        <w:t>.</w:t>
      </w:r>
    </w:p>
    <w:p w14:paraId="3E3A1BE7" w14:textId="244A71AB" w:rsidR="00585490" w:rsidRPr="00017063" w:rsidRDefault="000B2975" w:rsidP="000B2975">
      <w:pPr>
        <w:jc w:val="both"/>
      </w:pPr>
      <w:r>
        <w:rPr>
          <w:rFonts w:cs="Arial"/>
        </w:rPr>
        <w:lastRenderedPageBreak/>
        <w:t xml:space="preserve">Data o </w:t>
      </w:r>
      <w:r w:rsidRPr="00692196">
        <w:rPr>
          <w:rFonts w:cs="Arial"/>
        </w:rPr>
        <w:t>nově hlášených případech</w:t>
      </w:r>
      <w:r>
        <w:rPr>
          <w:rFonts w:cs="Arial"/>
        </w:rPr>
        <w:t xml:space="preserve"> dočasné pracovní neschopnosti a související ukazatele jsou ČSÚ dále zpracovány v členění podle </w:t>
      </w:r>
      <w:r w:rsidRPr="00F40DD1">
        <w:rPr>
          <w:rFonts w:cs="Arial"/>
          <w:b/>
        </w:rPr>
        <w:t>pohlaví</w:t>
      </w:r>
      <w:r w:rsidR="00C30020">
        <w:rPr>
          <w:rFonts w:cs="Arial"/>
          <w:b/>
        </w:rPr>
        <w:t xml:space="preserve"> pojištěnců</w:t>
      </w:r>
      <w:r>
        <w:rPr>
          <w:rFonts w:cs="Arial"/>
        </w:rPr>
        <w:t xml:space="preserve">, </w:t>
      </w:r>
      <w:r w:rsidRPr="00F40DD1">
        <w:rPr>
          <w:rFonts w:cs="Arial"/>
          <w:b/>
        </w:rPr>
        <w:t>sídla</w:t>
      </w:r>
      <w:r>
        <w:rPr>
          <w:rFonts w:cs="Arial"/>
        </w:rPr>
        <w:t xml:space="preserve"> </w:t>
      </w:r>
      <w:r w:rsidR="00C30020">
        <w:rPr>
          <w:rFonts w:cs="Arial"/>
        </w:rPr>
        <w:t xml:space="preserve">zaměstnavatele </w:t>
      </w:r>
      <w:r>
        <w:rPr>
          <w:rFonts w:cs="Arial"/>
        </w:rPr>
        <w:t xml:space="preserve">(do úrovně krajů a okresů dle klasifikace CZ-NUTS), </w:t>
      </w:r>
      <w:r w:rsidRPr="00F40DD1">
        <w:rPr>
          <w:rFonts w:cs="Arial"/>
          <w:b/>
        </w:rPr>
        <w:t>velikosti</w:t>
      </w:r>
      <w:r>
        <w:rPr>
          <w:rFonts w:cs="Arial"/>
        </w:rPr>
        <w:t xml:space="preserve"> (dle počtu zaměstnanců),</w:t>
      </w:r>
      <w:r w:rsidRPr="00F40DD1">
        <w:rPr>
          <w:rFonts w:cs="Arial"/>
          <w:b/>
        </w:rPr>
        <w:t xml:space="preserve"> převažující ekonomické činnosti</w:t>
      </w:r>
      <w:r>
        <w:rPr>
          <w:rFonts w:cs="Arial"/>
        </w:rPr>
        <w:t xml:space="preserve"> (do úrovně sekcí a oddílů odvětvové klasifikace CZ-NACE) </w:t>
      </w:r>
      <w:r w:rsidRPr="00F40DD1">
        <w:rPr>
          <w:rFonts w:cs="Arial"/>
          <w:b/>
        </w:rPr>
        <w:t>zaměstnavatele</w:t>
      </w:r>
      <w:r>
        <w:rPr>
          <w:rFonts w:cs="Arial"/>
        </w:rPr>
        <w:t xml:space="preserve"> osob nemocensky pojištěných a </w:t>
      </w:r>
      <w:r w:rsidRPr="0019771A">
        <w:rPr>
          <w:rFonts w:cs="Arial"/>
        </w:rPr>
        <w:t>dle k</w:t>
      </w:r>
      <w:r w:rsidRPr="0019771A">
        <w:t>lasifikace</w:t>
      </w:r>
      <w:r w:rsidRPr="00A00D45">
        <w:rPr>
          <w:b/>
        </w:rPr>
        <w:t xml:space="preserve"> institucionálních sektorů a subsektorů</w:t>
      </w:r>
      <w:r w:rsidR="00017063">
        <w:rPr>
          <w:rStyle w:val="Znakapoznpodarou"/>
          <w:b/>
        </w:rPr>
        <w:footnoteReference w:id="6"/>
      </w:r>
      <w:r w:rsidRPr="00A00D45">
        <w:rPr>
          <w:b/>
        </w:rPr>
        <w:t>.</w:t>
      </w:r>
      <w:r>
        <w:rPr>
          <w:rFonts w:cs="Arial"/>
        </w:rPr>
        <w:t xml:space="preserve"> </w:t>
      </w:r>
    </w:p>
    <w:p w14:paraId="25BC42CE" w14:textId="2828BF28" w:rsidR="000B2975" w:rsidRDefault="000B2975" w:rsidP="000B2975">
      <w:pPr>
        <w:jc w:val="both"/>
        <w:rPr>
          <w:rFonts w:cs="Arial"/>
          <w:szCs w:val="20"/>
        </w:rPr>
      </w:pPr>
      <w:r>
        <w:rPr>
          <w:rFonts w:cs="Arial"/>
        </w:rPr>
        <w:t>Rozlišení dle krajů a okresů vychází z údaje o sídle útvaru, který vede evidenci mezd u zaměstnavatele osoby, která je v pracovní neschopnosti.</w:t>
      </w:r>
    </w:p>
    <w:p w14:paraId="425B9FB8" w14:textId="77777777" w:rsidR="000B2975" w:rsidRDefault="000B2975" w:rsidP="000B2975">
      <w:pPr>
        <w:jc w:val="both"/>
      </w:pPr>
      <w:r>
        <w:rPr>
          <w:rFonts w:cs="Arial"/>
          <w:szCs w:val="20"/>
        </w:rPr>
        <w:t xml:space="preserve">Kromě statistiky nově hlášených případů dočasné pracovní neschopnosti zpracovávané ČSÚ jsou z evidence ČSSZ zpracovávány a publikovány také </w:t>
      </w:r>
      <w:r w:rsidRPr="00C30020">
        <w:rPr>
          <w:rFonts w:cs="Arial"/>
          <w:b/>
          <w:szCs w:val="20"/>
        </w:rPr>
        <w:t>údaje o ukončených případech pracovní neschopnosti</w:t>
      </w:r>
      <w:r>
        <w:rPr>
          <w:rFonts w:cs="Arial"/>
          <w:szCs w:val="20"/>
        </w:rPr>
        <w:t>, které zpracovává Ústav zdravotnických informací a statistiky České republiky (</w:t>
      </w:r>
      <w:r w:rsidRPr="00C30020">
        <w:rPr>
          <w:rFonts w:cs="Arial"/>
          <w:b/>
          <w:szCs w:val="20"/>
        </w:rPr>
        <w:t>ÚZIS ČR</w:t>
      </w:r>
      <w:r>
        <w:rPr>
          <w:rFonts w:cs="Arial"/>
          <w:szCs w:val="20"/>
        </w:rPr>
        <w:t>), viz </w:t>
      </w:r>
      <w:hyperlink r:id="rId14" w:history="1">
        <w:r>
          <w:rPr>
            <w:rStyle w:val="Hypertextovodkaz"/>
            <w:rFonts w:eastAsia="MS Gothic" w:cs="Arial"/>
            <w:szCs w:val="20"/>
          </w:rPr>
          <w:t>http://www.uzis.cz/category/tematicke-rady/zdravotnicka-statistika/pracovni-neschopnost</w:t>
        </w:r>
      </w:hyperlink>
      <w:r>
        <w:t xml:space="preserve">. </w:t>
      </w:r>
    </w:p>
    <w:p w14:paraId="500B293D" w14:textId="77777777" w:rsidR="000B2975" w:rsidRDefault="000B2975" w:rsidP="000B2975">
      <w:pPr>
        <w:jc w:val="both"/>
      </w:pPr>
      <w:r>
        <w:t xml:space="preserve">Obdobné statistiky ukončených případů pracovní neschopnosti sleduje a zpracovává přímo i Česká správa sociálního zabezpečení, viz </w:t>
      </w:r>
      <w:hyperlink r:id="rId15" w:history="1">
        <w:r>
          <w:rPr>
            <w:rStyle w:val="Hypertextovodkaz"/>
            <w:rFonts w:eastAsia="MS Gothic"/>
          </w:rPr>
          <w:t>http://www.cssz.cz/cz/o-cssz/informace/statistiky/nemocenska-statistika/</w:t>
        </w:r>
      </w:hyperlink>
      <w:r>
        <w:t xml:space="preserve">. </w:t>
      </w:r>
    </w:p>
    <w:p w14:paraId="5739E95E" w14:textId="77777777" w:rsidR="000B2975" w:rsidRDefault="000B2975" w:rsidP="000B2975">
      <w:pPr>
        <w:jc w:val="both"/>
        <w:rPr>
          <w:rFonts w:cs="Arial"/>
        </w:rPr>
      </w:pPr>
      <w:r>
        <w:rPr>
          <w:rFonts w:cs="Arial"/>
          <w:szCs w:val="20"/>
        </w:rPr>
        <w:t>Na rozdíl od statistik nově hlášených případů dočasné neschopnosti, které zajišťuje a zpracovává ČSÚ</w:t>
      </w:r>
      <w:r>
        <w:rPr>
          <w:rFonts w:cs="Arial"/>
        </w:rPr>
        <w:t xml:space="preserve">, zaznamenává a zjišťuje </w:t>
      </w:r>
      <w:r>
        <w:rPr>
          <w:rFonts w:cs="Arial"/>
          <w:szCs w:val="20"/>
        </w:rPr>
        <w:t>ÚZIS ČR</w:t>
      </w:r>
      <w:r>
        <w:rPr>
          <w:rFonts w:cs="Arial"/>
        </w:rPr>
        <w:t xml:space="preserve"> dočasné pracovní neschopnosti z dat ČSSZ pouze pro případy ukončené ve sledovaném roce. Rozdíly v počtech nově hlášených a ukončených případů dočasné pracovní neschopnosti mezi oběma zdroji jsou dány odlišnou metodikou sběru dat. </w:t>
      </w:r>
    </w:p>
    <w:p w14:paraId="63BA9DAD" w14:textId="7AC1F7FC" w:rsidR="000B2975" w:rsidRDefault="000B2975" w:rsidP="000B2975">
      <w:pPr>
        <w:jc w:val="both"/>
        <w:rPr>
          <w:rFonts w:cs="Arial"/>
        </w:rPr>
      </w:pPr>
      <w:r>
        <w:rPr>
          <w:rFonts w:cs="Arial"/>
        </w:rPr>
        <w:t xml:space="preserve">ÚZIS ČR i ČSSZ však nabízí ve svých statistikách jiné třídění publikovaných dat než ČSÚ, a to zejména </w:t>
      </w:r>
      <w:r w:rsidRPr="00C30020">
        <w:rPr>
          <w:rFonts w:cs="Arial"/>
          <w:b/>
        </w:rPr>
        <w:t>podle věku práce neschopných</w:t>
      </w:r>
      <w:r>
        <w:rPr>
          <w:rFonts w:cs="Arial"/>
        </w:rPr>
        <w:t xml:space="preserve"> a podle </w:t>
      </w:r>
      <w:r w:rsidRPr="00C30020">
        <w:rPr>
          <w:rFonts w:cs="Arial"/>
          <w:b/>
        </w:rPr>
        <w:t>příčin pracovní neschopnosti</w:t>
      </w:r>
      <w:r>
        <w:rPr>
          <w:rFonts w:cs="Arial"/>
        </w:rPr>
        <w:t>. Pro zpestření pohledu na</w:t>
      </w:r>
      <w:r w:rsidR="00F547BE">
        <w:rPr>
          <w:rFonts w:cs="Arial"/>
        </w:rPr>
        <w:t> </w:t>
      </w:r>
      <w:r>
        <w:rPr>
          <w:rFonts w:cs="Arial"/>
        </w:rPr>
        <w:t>statistiku nemocnosti byla vybraná data z uvedených zdrojů využita i v této publikaci.</w:t>
      </w:r>
    </w:p>
    <w:p w14:paraId="093FF095" w14:textId="77777777" w:rsidR="000B2975" w:rsidRDefault="000B2975" w:rsidP="000B2975">
      <w:pPr>
        <w:spacing w:after="60"/>
        <w:jc w:val="both"/>
        <w:rPr>
          <w:rFonts w:cs="Arial"/>
        </w:rPr>
      </w:pPr>
      <w:r>
        <w:rPr>
          <w:rFonts w:cs="Arial"/>
        </w:rPr>
        <w:t xml:space="preserve">Vzhledem k výše uvedenému přechodu ze sběru dat prostřednictvím výkazu ČSÚ na administrativní zdroj Informačního systému ČSSZ v roce 2012 však </w:t>
      </w:r>
      <w:r w:rsidRPr="00393E1C">
        <w:rPr>
          <w:rFonts w:cs="Arial"/>
        </w:rPr>
        <w:t xml:space="preserve">nejsou některé dříve sledované ukazatele od roku 2012 </w:t>
      </w:r>
      <w:r>
        <w:rPr>
          <w:rFonts w:cs="Arial"/>
        </w:rPr>
        <w:t xml:space="preserve">ČSÚ </w:t>
      </w:r>
      <w:r w:rsidRPr="00393E1C">
        <w:rPr>
          <w:rFonts w:cs="Arial"/>
        </w:rPr>
        <w:t xml:space="preserve">dále zjišťovány. </w:t>
      </w:r>
      <w:r>
        <w:rPr>
          <w:rFonts w:cs="Arial"/>
        </w:rPr>
        <w:t>Tyto ukazatele však lze nalézt ve výstupech následujících administrativních zdrojů a dat z registrů:</w:t>
      </w:r>
    </w:p>
    <w:p w14:paraId="74FD4BD5" w14:textId="77777777" w:rsidR="000B2975" w:rsidRDefault="000B2975" w:rsidP="000B2975">
      <w:pPr>
        <w:pStyle w:val="Odstavecseseznamem"/>
        <w:numPr>
          <w:ilvl w:val="0"/>
          <w:numId w:val="22"/>
        </w:numPr>
        <w:tabs>
          <w:tab w:val="left" w:pos="1418"/>
        </w:tabs>
        <w:suppressAutoHyphens w:val="0"/>
        <w:spacing w:before="0" w:after="0" w:line="288" w:lineRule="auto"/>
        <w:jc w:val="both"/>
        <w:rPr>
          <w:rFonts w:ascii="Arial" w:hAnsi="Arial" w:cs="Arial"/>
          <w:sz w:val="20"/>
        </w:rPr>
      </w:pPr>
      <w:r w:rsidRPr="004C1671">
        <w:rPr>
          <w:rFonts w:ascii="Arial" w:hAnsi="Arial" w:cs="Arial"/>
          <w:i/>
          <w:sz w:val="20"/>
        </w:rPr>
        <w:t>Náklady na závodní preventivní péči</w:t>
      </w:r>
      <w:r>
        <w:rPr>
          <w:rFonts w:ascii="Arial" w:hAnsi="Arial" w:cs="Arial"/>
          <w:sz w:val="20"/>
        </w:rPr>
        <w:t xml:space="preserve"> </w:t>
      </w:r>
      <w:r w:rsidRPr="00A812BE">
        <w:rPr>
          <w:rFonts w:ascii="Arial" w:hAnsi="Arial" w:cs="Arial"/>
          <w:sz w:val="20"/>
        </w:rPr>
        <w:t>–</w:t>
      </w:r>
      <w:r>
        <w:rPr>
          <w:rFonts w:ascii="Arial" w:hAnsi="Arial" w:cs="Arial"/>
          <w:sz w:val="20"/>
        </w:rPr>
        <w:t xml:space="preserve"> ukazatel je od roku 2012 zařazen do statistického </w:t>
      </w:r>
      <w:r>
        <w:rPr>
          <w:rFonts w:ascii="Arial" w:hAnsi="Arial" w:cs="Arial"/>
          <w:sz w:val="20"/>
        </w:rPr>
        <w:tab/>
        <w:t>zjišťování ČSÚ v rámci výkazu ÚNP 4-01;</w:t>
      </w:r>
    </w:p>
    <w:p w14:paraId="34532410" w14:textId="77777777" w:rsidR="000B2975" w:rsidRDefault="000B2975" w:rsidP="000B2975">
      <w:pPr>
        <w:pStyle w:val="Odstavecseseznamem"/>
        <w:numPr>
          <w:ilvl w:val="0"/>
          <w:numId w:val="22"/>
        </w:numPr>
        <w:tabs>
          <w:tab w:val="left" w:pos="1418"/>
        </w:tabs>
        <w:suppressAutoHyphens w:val="0"/>
        <w:spacing w:before="0" w:after="0" w:line="288" w:lineRule="auto"/>
        <w:jc w:val="both"/>
        <w:rPr>
          <w:rFonts w:ascii="Arial" w:hAnsi="Arial" w:cs="Arial"/>
          <w:sz w:val="20"/>
        </w:rPr>
      </w:pPr>
      <w:r w:rsidRPr="004C1671">
        <w:rPr>
          <w:rFonts w:ascii="Arial" w:hAnsi="Arial" w:cs="Arial"/>
          <w:i/>
          <w:sz w:val="20"/>
        </w:rPr>
        <w:t xml:space="preserve">Náhrady a přirážky hrazené zaměstnavatelem za škodu při pracovním úrazu nebo nemoci </w:t>
      </w:r>
      <w:r>
        <w:rPr>
          <w:rFonts w:ascii="Arial" w:hAnsi="Arial" w:cs="Arial"/>
          <w:i/>
          <w:sz w:val="20"/>
        </w:rPr>
        <w:tab/>
        <w:t>z </w:t>
      </w:r>
      <w:r w:rsidRPr="004C1671">
        <w:rPr>
          <w:rFonts w:ascii="Arial" w:hAnsi="Arial" w:cs="Arial"/>
          <w:i/>
          <w:sz w:val="20"/>
        </w:rPr>
        <w:t>povolání</w:t>
      </w:r>
      <w:r w:rsidRPr="00A812BE">
        <w:rPr>
          <w:rFonts w:ascii="Arial" w:hAnsi="Arial" w:cs="Arial"/>
          <w:sz w:val="20"/>
        </w:rPr>
        <w:t> – údaje j</w:t>
      </w:r>
      <w:r w:rsidRPr="009075FA">
        <w:rPr>
          <w:rFonts w:ascii="Arial" w:hAnsi="Arial" w:cs="Arial"/>
          <w:sz w:val="20"/>
        </w:rPr>
        <w:t>s</w:t>
      </w:r>
      <w:r w:rsidRPr="00A812BE">
        <w:rPr>
          <w:rFonts w:ascii="Arial" w:hAnsi="Arial" w:cs="Arial"/>
          <w:sz w:val="20"/>
        </w:rPr>
        <w:t xml:space="preserve">ou dostupné ze standardních sestav Ministerstva financí </w:t>
      </w:r>
      <w:r>
        <w:rPr>
          <w:rFonts w:ascii="Arial" w:hAnsi="Arial" w:cs="Arial"/>
          <w:sz w:val="20"/>
        </w:rPr>
        <w:t xml:space="preserve">ČR </w:t>
      </w:r>
      <w:r w:rsidRPr="00A812BE">
        <w:rPr>
          <w:rFonts w:ascii="Arial" w:hAnsi="Arial" w:cs="Arial"/>
          <w:sz w:val="20"/>
        </w:rPr>
        <w:t>(MF)</w:t>
      </w:r>
      <w:r>
        <w:rPr>
          <w:rFonts w:ascii="Arial" w:hAnsi="Arial" w:cs="Arial"/>
          <w:sz w:val="20"/>
        </w:rPr>
        <w:t>;</w:t>
      </w:r>
    </w:p>
    <w:p w14:paraId="749B530D" w14:textId="77777777" w:rsidR="000B2975" w:rsidRDefault="000B2975" w:rsidP="000B2975">
      <w:pPr>
        <w:pStyle w:val="Odstavecseseznamem"/>
        <w:numPr>
          <w:ilvl w:val="0"/>
          <w:numId w:val="22"/>
        </w:numPr>
        <w:tabs>
          <w:tab w:val="left" w:pos="1418"/>
        </w:tabs>
        <w:suppressAutoHyphens w:val="0"/>
        <w:spacing w:before="0" w:after="0" w:line="288" w:lineRule="auto"/>
        <w:jc w:val="both"/>
        <w:rPr>
          <w:rFonts w:ascii="Arial" w:hAnsi="Arial" w:cs="Arial"/>
          <w:sz w:val="20"/>
        </w:rPr>
      </w:pPr>
      <w:r w:rsidRPr="004C1671">
        <w:rPr>
          <w:rFonts w:ascii="Arial" w:hAnsi="Arial" w:cs="Arial"/>
          <w:i/>
          <w:sz w:val="20"/>
        </w:rPr>
        <w:t>Kategorizace prací dle míry rizika</w:t>
      </w:r>
      <w:r w:rsidRPr="002469A6">
        <w:rPr>
          <w:rFonts w:ascii="Arial" w:hAnsi="Arial" w:cs="Arial"/>
          <w:sz w:val="20"/>
        </w:rPr>
        <w:t xml:space="preserve"> – statistická evidence prací dle míry rizika je od roku 2012 </w:t>
      </w:r>
      <w:r>
        <w:rPr>
          <w:rFonts w:ascii="Arial" w:hAnsi="Arial" w:cs="Arial"/>
          <w:sz w:val="20"/>
        </w:rPr>
        <w:tab/>
      </w:r>
      <w:r w:rsidRPr="002469A6">
        <w:rPr>
          <w:rFonts w:ascii="Arial" w:hAnsi="Arial" w:cs="Arial"/>
          <w:sz w:val="20"/>
        </w:rPr>
        <w:t>zajišťována Registrem kategorizace prací (IS KaPr)</w:t>
      </w:r>
      <w:r>
        <w:rPr>
          <w:rFonts w:ascii="Arial" w:hAnsi="Arial" w:cs="Arial"/>
          <w:sz w:val="20"/>
        </w:rPr>
        <w:t>;</w:t>
      </w:r>
      <w:r w:rsidRPr="002469A6">
        <w:rPr>
          <w:rFonts w:ascii="Arial" w:hAnsi="Arial" w:cs="Arial"/>
          <w:sz w:val="20"/>
        </w:rPr>
        <w:t xml:space="preserve"> </w:t>
      </w:r>
    </w:p>
    <w:p w14:paraId="05CE0061" w14:textId="77777777" w:rsidR="000B2975" w:rsidRPr="002469A6" w:rsidRDefault="000B2975" w:rsidP="000B2975">
      <w:pPr>
        <w:pStyle w:val="Odstavecseseznamem"/>
        <w:numPr>
          <w:ilvl w:val="0"/>
          <w:numId w:val="22"/>
        </w:numPr>
        <w:tabs>
          <w:tab w:val="left" w:pos="1418"/>
        </w:tabs>
        <w:suppressAutoHyphens w:val="0"/>
        <w:spacing w:before="0" w:after="0" w:line="288" w:lineRule="auto"/>
        <w:ind w:left="714" w:hanging="357"/>
        <w:jc w:val="both"/>
        <w:rPr>
          <w:rFonts w:ascii="Arial" w:hAnsi="Arial" w:cs="Arial"/>
          <w:sz w:val="20"/>
        </w:rPr>
      </w:pPr>
      <w:r w:rsidRPr="004C1671">
        <w:rPr>
          <w:rFonts w:ascii="Arial" w:hAnsi="Arial" w:cs="Arial"/>
          <w:i/>
          <w:sz w:val="20"/>
        </w:rPr>
        <w:t>Smrtelná pracovní úrazovost</w:t>
      </w:r>
      <w:r>
        <w:rPr>
          <w:rFonts w:ascii="Arial" w:hAnsi="Arial" w:cs="Arial"/>
          <w:sz w:val="20"/>
        </w:rPr>
        <w:t xml:space="preserve"> </w:t>
      </w:r>
      <w:r w:rsidRPr="00A812BE">
        <w:rPr>
          <w:rFonts w:ascii="Arial" w:hAnsi="Arial" w:cs="Arial"/>
          <w:sz w:val="20"/>
        </w:rPr>
        <w:t>–</w:t>
      </w:r>
      <w:r>
        <w:rPr>
          <w:rFonts w:ascii="Arial" w:hAnsi="Arial" w:cs="Arial"/>
          <w:sz w:val="20"/>
        </w:rPr>
        <w:t xml:space="preserve"> </w:t>
      </w:r>
      <w:r w:rsidRPr="002469A6">
        <w:rPr>
          <w:rFonts w:ascii="Arial" w:hAnsi="Arial" w:cs="Arial"/>
          <w:sz w:val="20"/>
        </w:rPr>
        <w:t xml:space="preserve">data jsou pravidelně uveřejňována v analýze Výzkumného </w:t>
      </w:r>
      <w:r>
        <w:rPr>
          <w:rFonts w:ascii="Arial" w:hAnsi="Arial" w:cs="Arial"/>
          <w:sz w:val="20"/>
        </w:rPr>
        <w:tab/>
      </w:r>
      <w:r w:rsidRPr="002469A6">
        <w:rPr>
          <w:rFonts w:ascii="Arial" w:hAnsi="Arial" w:cs="Arial"/>
          <w:sz w:val="20"/>
        </w:rPr>
        <w:t>ústavu bezpečnosti práce (VÚBP) a Státního úřadu inspekce práce (SÚIP) s názvem</w:t>
      </w:r>
      <w:r>
        <w:rPr>
          <w:rFonts w:ascii="Arial" w:hAnsi="Arial" w:cs="Arial"/>
          <w:sz w:val="20"/>
        </w:rPr>
        <w:tab/>
      </w:r>
      <w:r w:rsidRPr="002469A6">
        <w:rPr>
          <w:rFonts w:ascii="Arial" w:hAnsi="Arial" w:cs="Arial"/>
          <w:sz w:val="20"/>
        </w:rPr>
        <w:t>„Analýza smrtelné pracovní úrazovosti v České republice“;</w:t>
      </w:r>
    </w:p>
    <w:p w14:paraId="4AF13705" w14:textId="4D1C7B3A" w:rsidR="007B1713" w:rsidRDefault="000B2975" w:rsidP="000B2975">
      <w:pPr>
        <w:pStyle w:val="Odstavecseseznamem"/>
        <w:numPr>
          <w:ilvl w:val="0"/>
          <w:numId w:val="22"/>
        </w:numPr>
        <w:tabs>
          <w:tab w:val="left" w:pos="1418"/>
        </w:tabs>
        <w:suppressAutoHyphens w:val="0"/>
        <w:spacing w:before="0" w:after="0"/>
        <w:jc w:val="both"/>
        <w:rPr>
          <w:rFonts w:ascii="Arial" w:hAnsi="Arial" w:cs="Arial"/>
          <w:sz w:val="20"/>
        </w:rPr>
      </w:pPr>
      <w:r w:rsidRPr="00EE2030">
        <w:rPr>
          <w:rFonts w:ascii="Arial" w:hAnsi="Arial" w:cs="Arial"/>
          <w:i/>
          <w:sz w:val="20"/>
        </w:rPr>
        <w:t>Nemoci z povolání</w:t>
      </w:r>
      <w:r w:rsidRPr="00EE2030">
        <w:rPr>
          <w:rFonts w:ascii="Arial" w:hAnsi="Arial" w:cs="Arial"/>
          <w:sz w:val="20"/>
        </w:rPr>
        <w:t xml:space="preserve"> – data jsou pravidelně uveřejňována v analýze Státního zdravotního </w:t>
      </w:r>
      <w:r w:rsidRPr="00EE2030">
        <w:rPr>
          <w:rFonts w:ascii="Arial" w:hAnsi="Arial" w:cs="Arial"/>
          <w:sz w:val="20"/>
        </w:rPr>
        <w:tab/>
      </w:r>
      <w:r w:rsidRPr="00EE2030">
        <w:rPr>
          <w:rFonts w:ascii="Arial" w:hAnsi="Arial" w:cs="Arial"/>
          <w:sz w:val="20"/>
        </w:rPr>
        <w:tab/>
        <w:t>ústavu (SZÚ) „Nemoci z povolání v České republice“.</w:t>
      </w:r>
    </w:p>
    <w:p w14:paraId="58B03291" w14:textId="77777777" w:rsidR="007B1713" w:rsidRDefault="007B1713">
      <w:pPr>
        <w:spacing w:after="0" w:line="240" w:lineRule="auto"/>
        <w:rPr>
          <w:rFonts w:cs="Arial"/>
          <w:lang w:eastAsia="ar-SA"/>
        </w:rPr>
      </w:pPr>
      <w:r>
        <w:rPr>
          <w:rFonts w:cs="Arial"/>
        </w:rPr>
        <w:br w:type="page"/>
      </w:r>
    </w:p>
    <w:p w14:paraId="687F93C3" w14:textId="77777777" w:rsidR="00796E73" w:rsidRDefault="003C629F" w:rsidP="00796E73">
      <w:pPr>
        <w:pStyle w:val="Nadpis1"/>
      </w:pPr>
      <w:bookmarkStart w:id="3" w:name="_Toc10117310"/>
      <w:r>
        <w:lastRenderedPageBreak/>
        <w:t>4</w:t>
      </w:r>
      <w:r w:rsidR="00796E73">
        <w:t xml:space="preserve">. </w:t>
      </w:r>
      <w:r>
        <w:t>Analytická část</w:t>
      </w:r>
      <w:bookmarkEnd w:id="3"/>
    </w:p>
    <w:p w14:paraId="244DB189" w14:textId="5D82AD1F" w:rsidR="00EE4B1B" w:rsidRDefault="003C629F" w:rsidP="00F60790">
      <w:pPr>
        <w:pStyle w:val="Nadpis2"/>
        <w:spacing w:after="100"/>
      </w:pPr>
      <w:bookmarkStart w:id="4" w:name="_Toc10117311"/>
      <w:r>
        <w:t>4.1 Nemocensky pojištěné osoby</w:t>
      </w:r>
      <w:bookmarkEnd w:id="4"/>
    </w:p>
    <w:p w14:paraId="547536EC" w14:textId="77777777" w:rsidR="00F60790" w:rsidRPr="00B55F4A" w:rsidRDefault="00F60790" w:rsidP="00F60790">
      <w:pPr>
        <w:jc w:val="both"/>
      </w:pPr>
      <w:r w:rsidRPr="00B55F4A">
        <w:t>Základním ukazatelem</w:t>
      </w:r>
      <w:r>
        <w:t>, ke kterému se vztahují údaje o pracovní neschopnosti, je ukazatel průměrného počtu nemocensky pojištěných osob.</w:t>
      </w:r>
    </w:p>
    <w:p w14:paraId="53A09A61" w14:textId="77777777" w:rsidR="00972D12" w:rsidRPr="00972D12" w:rsidRDefault="00972D12" w:rsidP="007508FD">
      <w:pPr>
        <w:pStyle w:val="Box1"/>
        <w:jc w:val="both"/>
        <w:rPr>
          <w:i/>
        </w:rPr>
      </w:pPr>
      <w:r w:rsidRPr="00972D12">
        <w:rPr>
          <w:b/>
          <w:i/>
        </w:rPr>
        <w:t xml:space="preserve">Průměrný počet nemocensky pojištěných </w:t>
      </w:r>
      <w:r w:rsidR="00977F2A" w:rsidRPr="00F46EA8">
        <w:rPr>
          <w:i/>
        </w:rPr>
        <w:t xml:space="preserve">– </w:t>
      </w:r>
      <w:r>
        <w:rPr>
          <w:i/>
        </w:rPr>
        <w:t>u</w:t>
      </w:r>
      <w:r w:rsidRPr="00972D12">
        <w:rPr>
          <w:i/>
        </w:rPr>
        <w:t xml:space="preserve">kazatel </w:t>
      </w:r>
      <w:r>
        <w:rPr>
          <w:i/>
        </w:rPr>
        <w:t>udává</w:t>
      </w:r>
      <w:r w:rsidRPr="00972D12">
        <w:rPr>
          <w:i/>
        </w:rPr>
        <w:t xml:space="preserve"> průměrný počet osob, které jsou </w:t>
      </w:r>
      <w:r w:rsidR="00532E6C">
        <w:rPr>
          <w:i/>
        </w:rPr>
        <w:t xml:space="preserve">povinně či dobrovolně </w:t>
      </w:r>
      <w:r w:rsidRPr="00972D12">
        <w:rPr>
          <w:i/>
        </w:rPr>
        <w:t>nemocensky pojištěn</w:t>
      </w:r>
      <w:r w:rsidR="00532E6C">
        <w:rPr>
          <w:i/>
        </w:rPr>
        <w:t>é</w:t>
      </w:r>
      <w:r w:rsidRPr="00972D12">
        <w:rPr>
          <w:i/>
        </w:rPr>
        <w:t xml:space="preserve"> podle zákona č. </w:t>
      </w:r>
      <w:r w:rsidR="00532E6C">
        <w:rPr>
          <w:i/>
        </w:rPr>
        <w:t>187</w:t>
      </w:r>
      <w:r w:rsidRPr="00972D12">
        <w:rPr>
          <w:i/>
        </w:rPr>
        <w:t>/</w:t>
      </w:r>
      <w:r w:rsidR="00532E6C">
        <w:rPr>
          <w:i/>
        </w:rPr>
        <w:t>2006</w:t>
      </w:r>
      <w:r w:rsidRPr="00972D12">
        <w:rPr>
          <w:i/>
        </w:rPr>
        <w:t xml:space="preserve"> Sb., o nemocenském pojištění, ve znění pozdějších předpisů. Zahrnuje </w:t>
      </w:r>
      <w:r w:rsidR="00532E6C">
        <w:rPr>
          <w:i/>
        </w:rPr>
        <w:t>všechny</w:t>
      </w:r>
      <w:r w:rsidRPr="00972D12">
        <w:rPr>
          <w:i/>
        </w:rPr>
        <w:t xml:space="preserve"> osob</w:t>
      </w:r>
      <w:r w:rsidR="00532E6C">
        <w:rPr>
          <w:i/>
        </w:rPr>
        <w:t>y</w:t>
      </w:r>
      <w:r w:rsidRPr="00972D12">
        <w:rPr>
          <w:i/>
        </w:rPr>
        <w:t xml:space="preserve">, které byly alespoň po </w:t>
      </w:r>
      <w:r w:rsidR="00532E6C">
        <w:rPr>
          <w:i/>
        </w:rPr>
        <w:t>jeden</w:t>
      </w:r>
      <w:r w:rsidRPr="00972D12">
        <w:rPr>
          <w:i/>
        </w:rPr>
        <w:t xml:space="preserve"> den vykazovaného období nemocensky pojištěné. Do průměrného počtu nemocensky pojištěných nejsou započteni </w:t>
      </w:r>
      <w:r w:rsidR="00043077" w:rsidRPr="00972D12">
        <w:rPr>
          <w:i/>
        </w:rPr>
        <w:t xml:space="preserve">vojáci z povolání </w:t>
      </w:r>
      <w:r w:rsidR="00043077">
        <w:rPr>
          <w:i/>
        </w:rPr>
        <w:t xml:space="preserve">a </w:t>
      </w:r>
      <w:r w:rsidRPr="00972D12">
        <w:rPr>
          <w:i/>
        </w:rPr>
        <w:t>příslušníci Policie ČR, Hasičského záchranného sboru</w:t>
      </w:r>
      <w:r w:rsidR="00043077">
        <w:rPr>
          <w:i/>
        </w:rPr>
        <w:t xml:space="preserve"> ČR</w:t>
      </w:r>
      <w:r w:rsidRPr="00972D12">
        <w:rPr>
          <w:i/>
        </w:rPr>
        <w:t>, Celní správy</w:t>
      </w:r>
      <w:r w:rsidR="00043077">
        <w:rPr>
          <w:i/>
        </w:rPr>
        <w:t xml:space="preserve"> ČR</w:t>
      </w:r>
      <w:r w:rsidRPr="00972D12">
        <w:rPr>
          <w:i/>
        </w:rPr>
        <w:t>, Vězeňské služby</w:t>
      </w:r>
      <w:r w:rsidR="00043077">
        <w:rPr>
          <w:i/>
        </w:rPr>
        <w:t xml:space="preserve"> ČR</w:t>
      </w:r>
      <w:r w:rsidRPr="00972D12">
        <w:rPr>
          <w:i/>
        </w:rPr>
        <w:t>, Generální inspekce bezpečnostních sborů, Bezpečnostní informační služby a Úřadu pr</w:t>
      </w:r>
      <w:r w:rsidR="00043077">
        <w:rPr>
          <w:i/>
        </w:rPr>
        <w:t>o zahraniční styky a informace</w:t>
      </w:r>
      <w:r w:rsidRPr="00972D12">
        <w:rPr>
          <w:i/>
        </w:rPr>
        <w:t xml:space="preserve">. </w:t>
      </w:r>
    </w:p>
    <w:p w14:paraId="534F56C3" w14:textId="1EEDE824" w:rsidR="00972D12" w:rsidRPr="005F2E14" w:rsidRDefault="00972D12" w:rsidP="007508FD">
      <w:pPr>
        <w:pStyle w:val="Box1"/>
        <w:jc w:val="both"/>
        <w:rPr>
          <w:i/>
        </w:rPr>
      </w:pPr>
      <w:r w:rsidRPr="00783112">
        <w:rPr>
          <w:i/>
        </w:rPr>
        <w:t xml:space="preserve">V případě více překrývajících se </w:t>
      </w:r>
      <w:r w:rsidR="006574B7" w:rsidRPr="00783112">
        <w:rPr>
          <w:i/>
        </w:rPr>
        <w:t>pojistných vztahů</w:t>
      </w:r>
      <w:r w:rsidRPr="00783112">
        <w:rPr>
          <w:i/>
        </w:rPr>
        <w:t xml:space="preserve"> pojištěnce v rámci jednoho zaměstnavatele a</w:t>
      </w:r>
      <w:r w:rsidR="00F547BE">
        <w:rPr>
          <w:i/>
        </w:rPr>
        <w:t> </w:t>
      </w:r>
      <w:r w:rsidRPr="00783112">
        <w:rPr>
          <w:i/>
        </w:rPr>
        <w:t xml:space="preserve">jedné mzdové účtárny se započítává pojištěnec pouze jedenkrát. V ostatních případech je pojištěnec započítáván tolikrát, kolik má </w:t>
      </w:r>
      <w:r w:rsidR="00783112" w:rsidRPr="00783112">
        <w:rPr>
          <w:i/>
        </w:rPr>
        <w:t>pracovně</w:t>
      </w:r>
      <w:r w:rsidR="00783112">
        <w:rPr>
          <w:i/>
        </w:rPr>
        <w:t xml:space="preserve"> </w:t>
      </w:r>
      <w:r w:rsidR="00783112" w:rsidRPr="00783112">
        <w:rPr>
          <w:i/>
        </w:rPr>
        <w:t>právních pojistných vztahů</w:t>
      </w:r>
      <w:r w:rsidRPr="00783112">
        <w:rPr>
          <w:i/>
        </w:rPr>
        <w:t>.</w:t>
      </w:r>
      <w:r w:rsidRPr="005F2E14">
        <w:rPr>
          <w:i/>
        </w:rPr>
        <w:t xml:space="preserve">  </w:t>
      </w:r>
    </w:p>
    <w:p w14:paraId="25C05EFE" w14:textId="77777777" w:rsidR="00972D12" w:rsidRPr="00972D12" w:rsidRDefault="00972D12" w:rsidP="007508FD">
      <w:pPr>
        <w:pStyle w:val="Box1"/>
        <w:jc w:val="both"/>
        <w:rPr>
          <w:i/>
          <w:u w:val="single"/>
        </w:rPr>
      </w:pPr>
      <w:r w:rsidRPr="00972D12">
        <w:rPr>
          <w:i/>
          <w:u w:val="single"/>
        </w:rPr>
        <w:t>Způsob výpočtu:</w:t>
      </w:r>
    </w:p>
    <w:p w14:paraId="6008FC2E" w14:textId="77777777" w:rsidR="00977F2A" w:rsidRPr="00F46EA8" w:rsidRDefault="00972D12" w:rsidP="007508FD">
      <w:pPr>
        <w:pStyle w:val="Box1"/>
        <w:jc w:val="both"/>
        <w:rPr>
          <w:i/>
        </w:rPr>
      </w:pPr>
      <w:r w:rsidRPr="00972D12">
        <w:rPr>
          <w:i/>
        </w:rPr>
        <w:t>Průměrný počet nemocensky pojištěných osob = počet dní nemocenského pojištění jednotlivých pojištěných osob ve vykazovaném období / počet kalendářních dní ve vykazovaném období.</w:t>
      </w:r>
    </w:p>
    <w:p w14:paraId="53BF5C9B" w14:textId="3652944A" w:rsidR="00977F2A" w:rsidRDefault="00F60790" w:rsidP="00287970">
      <w:pPr>
        <w:jc w:val="both"/>
      </w:pPr>
      <w:r>
        <w:t xml:space="preserve">V roce 2018 </w:t>
      </w:r>
      <w:r w:rsidR="00AC42E0">
        <w:t xml:space="preserve">činil </w:t>
      </w:r>
      <w:r w:rsidR="006F687C" w:rsidRPr="006F687C">
        <w:rPr>
          <w:b/>
        </w:rPr>
        <w:t>celkový</w:t>
      </w:r>
      <w:r w:rsidR="006F687C">
        <w:t xml:space="preserve"> </w:t>
      </w:r>
      <w:r w:rsidR="00AC42E0">
        <w:t>průměrný počet nemocensky pojištěných</w:t>
      </w:r>
      <w:r>
        <w:t xml:space="preserve"> 4</w:t>
      </w:r>
      <w:r w:rsidR="000672E0">
        <w:t> 732,7</w:t>
      </w:r>
      <w:r>
        <w:t xml:space="preserve"> </w:t>
      </w:r>
      <w:r w:rsidR="000672E0">
        <w:t>tisíc</w:t>
      </w:r>
      <w:r>
        <w:t xml:space="preserve"> osob, což je o 1,</w:t>
      </w:r>
      <w:r w:rsidR="001E1D5E">
        <w:t>3</w:t>
      </w:r>
      <w:r>
        <w:t xml:space="preserve"> % více než v předchozím roce</w:t>
      </w:r>
      <w:r w:rsidR="00AC42E0">
        <w:t xml:space="preserve"> (</w:t>
      </w:r>
      <w:r w:rsidR="008E1170">
        <w:t>v absolutním vyjádření došlo k navýšení o 61 tisíc</w:t>
      </w:r>
      <w:r w:rsidR="00AC42E0">
        <w:t>)</w:t>
      </w:r>
      <w:r>
        <w:t xml:space="preserve">. </w:t>
      </w:r>
      <w:r w:rsidR="000672E0">
        <w:t>Bylo mezi nimi 50,5 % mužů a</w:t>
      </w:r>
      <w:r w:rsidR="00F547BE">
        <w:t> </w:t>
      </w:r>
      <w:r w:rsidR="00AC42E0">
        <w:t>ženy tvořily</w:t>
      </w:r>
      <w:r w:rsidR="000672E0">
        <w:t xml:space="preserve"> </w:t>
      </w:r>
      <w:r w:rsidR="00AC42E0">
        <w:t>49,5 %</w:t>
      </w:r>
      <w:r w:rsidR="000672E0">
        <w:t xml:space="preserve">. Počty nemocensky pojištěných podle pohlaví se k sobě již od roku 2016 neustále přibližují. </w:t>
      </w:r>
      <w:r w:rsidR="00311EA9" w:rsidRPr="00D41B00">
        <w:t xml:space="preserve">Meziroční </w:t>
      </w:r>
      <w:r w:rsidR="008E1170" w:rsidRPr="00D41B00">
        <w:t>nárůst</w:t>
      </w:r>
      <w:r w:rsidR="008E1170">
        <w:t xml:space="preserve"> p</w:t>
      </w:r>
      <w:r w:rsidR="00311EA9">
        <w:t>očtu nemocensky pojištěných byl</w:t>
      </w:r>
      <w:r w:rsidR="008E1170">
        <w:t xml:space="preserve"> vyšší u žen, a sice 1,7 %. V roce 2017 bylo nemocensky pojištěných 2 301,8 tisíc žen</w:t>
      </w:r>
      <w:r w:rsidR="00311EA9">
        <w:t>, v roce 2018 o 40 tisíc více. Mužů přibylo 21 tisíc na počet 2 391,4</w:t>
      </w:r>
      <w:r w:rsidR="00F547BE">
        <w:t> </w:t>
      </w:r>
      <w:r w:rsidR="00311EA9">
        <w:t xml:space="preserve">tisíc v roce 2018, v procentním vyjádření </w:t>
      </w:r>
      <w:r w:rsidR="001E1D5E">
        <w:t xml:space="preserve">se jednalo o nárůst </w:t>
      </w:r>
      <w:r w:rsidR="00311EA9">
        <w:t>0,9 %</w:t>
      </w:r>
      <w:r w:rsidR="008E1170">
        <w:t xml:space="preserve">. </w:t>
      </w:r>
    </w:p>
    <w:p w14:paraId="2CAD1253" w14:textId="076C4DF1" w:rsidR="00BE67B3" w:rsidRDefault="001E1D5E" w:rsidP="00BE67B3">
      <w:pPr>
        <w:jc w:val="both"/>
      </w:pPr>
      <w:r>
        <w:t xml:space="preserve">Počet dobrovolně nemocensky pojištěných – tedy </w:t>
      </w:r>
      <w:r w:rsidRPr="006F687C">
        <w:rPr>
          <w:b/>
        </w:rPr>
        <w:t>OSVČ</w:t>
      </w:r>
      <w:r>
        <w:t xml:space="preserve"> – poprvé od roku 2014 </w:t>
      </w:r>
      <w:r w:rsidR="00D071D7">
        <w:t>překonal 90tisícovou hranici.</w:t>
      </w:r>
      <w:r>
        <w:t xml:space="preserve"> </w:t>
      </w:r>
      <w:r w:rsidR="00D071D7">
        <w:t>P</w:t>
      </w:r>
      <w:r>
        <w:t xml:space="preserve">růměrný počet nemocensky pojištěných OSVČ </w:t>
      </w:r>
      <w:r w:rsidR="00D071D7">
        <w:t xml:space="preserve">v roce 2018 </w:t>
      </w:r>
      <w:r>
        <w:t xml:space="preserve">dosáhl 91,3 tisíc. </w:t>
      </w:r>
      <w:r w:rsidR="00BE67B3">
        <w:t xml:space="preserve">Přesto podíl těchto pojištěných OSVČ na celkovém počtu osob samostatně výdělečně činných na hlavní pracovní poměr dosáhl necelých 18 %. </w:t>
      </w:r>
      <w:r w:rsidR="00D071D7">
        <w:t xml:space="preserve">Oproti předchozímu roku došlo k nárůstu </w:t>
      </w:r>
      <w:r w:rsidR="00CA440F">
        <w:t xml:space="preserve">počtu nemocensky pojištěných OSVČ </w:t>
      </w:r>
      <w:r w:rsidR="00D071D7">
        <w:t xml:space="preserve">o 1,8 %. </w:t>
      </w:r>
      <w:r>
        <w:t>Muži se na tomto počtu podíleli z 60 %, žen bylo 40 %.</w:t>
      </w:r>
      <w:r w:rsidR="00BE67B3">
        <w:t xml:space="preserve"> Je však třeba zdůraznit, že i přes výše uvedený nárůst, stále nedosahuje počet nemocensky pojištěných OSVČ hodnot z minulosti, kdy např. před deseti lety jich bylo takto pojištěno o 100 tisíc více než v roce 2018.</w:t>
      </w:r>
    </w:p>
    <w:p w14:paraId="522750EC" w14:textId="52ECE984" w:rsidR="00BE67B3" w:rsidRDefault="00BE67B3" w:rsidP="00BE67B3">
      <w:pPr>
        <w:jc w:val="both"/>
      </w:pPr>
      <w:r>
        <w:t xml:space="preserve">S tím jak v posledních letech roste v České republice počet zaměstnanců, roste od roku 2013 i jejich průměrný počet nemocensky pojištěných. Za posledních pět let vzrostl tento ukazatel o </w:t>
      </w:r>
      <w:r w:rsidR="006D09A9">
        <w:t>6,6</w:t>
      </w:r>
      <w:r>
        <w:t xml:space="preserve"> % (</w:t>
      </w:r>
      <w:r w:rsidR="006D09A9">
        <w:t>290</w:t>
      </w:r>
      <w:r>
        <w:t xml:space="preserve"> tisíc) na</w:t>
      </w:r>
      <w:r w:rsidR="00F547BE">
        <w:t> </w:t>
      </w:r>
      <w:r w:rsidR="006D09A9">
        <w:t>4 733</w:t>
      </w:r>
      <w:r>
        <w:t xml:space="preserve"> tis. v roce 2018, s tím, že tento nárůst je rychlej</w:t>
      </w:r>
      <w:r w:rsidR="006D09A9">
        <w:t>ší u žen.</w:t>
      </w:r>
      <w:r>
        <w:t xml:space="preserve"> </w:t>
      </w:r>
    </w:p>
    <w:p w14:paraId="525A7968" w14:textId="502F3B2F" w:rsidR="00287970" w:rsidRDefault="00D071D7" w:rsidP="00287970">
      <w:pPr>
        <w:jc w:val="both"/>
      </w:pPr>
      <w:r>
        <w:t>Z </w:t>
      </w:r>
      <w:r w:rsidRPr="006D09A9">
        <w:rPr>
          <w:b/>
        </w:rPr>
        <w:t>regionálního pohledu</w:t>
      </w:r>
      <w:r>
        <w:t xml:space="preserve"> je </w:t>
      </w:r>
      <w:r w:rsidR="00A37CD1">
        <w:t xml:space="preserve">dlouhodobě </w:t>
      </w:r>
      <w:r>
        <w:t xml:space="preserve">nejvyšší </w:t>
      </w:r>
      <w:r w:rsidR="00475D16">
        <w:t xml:space="preserve">průměrný </w:t>
      </w:r>
      <w:r>
        <w:t>počet nemocensky pojištěných v hlavním městě</w:t>
      </w:r>
      <w:r w:rsidR="00475D16">
        <w:t xml:space="preserve"> Praze</w:t>
      </w:r>
      <w:r w:rsidR="00A37CD1">
        <w:t xml:space="preserve"> – v roce 2018 jich bylo</w:t>
      </w:r>
      <w:r>
        <w:t xml:space="preserve"> 1 267 tisíc</w:t>
      </w:r>
      <w:r w:rsidR="00475D16">
        <w:t xml:space="preserve"> (26,8 % republikové hodnoty)</w:t>
      </w:r>
      <w:r>
        <w:t xml:space="preserve">. </w:t>
      </w:r>
      <w:r w:rsidR="00475D16">
        <w:t xml:space="preserve">Zásadní roli zde sehrává skutečnost, že data v krajském třídění jsou zpracována podle sídla zaměstnavatele, resp. jeho mzdové účtárny, a není výjimkou, aby firma se sídlem v Praze působila v jiných regionech či dokonce celorepublikově. Druhé a třetí místo obsadily Jihomoravský kraj s 503 tis. pojištěnců (10,6% podíl) a Moravskoslezský kraj s 479 tisíci pojištěnců (10,1% podíl). </w:t>
      </w:r>
      <w:r w:rsidR="009A38E3">
        <w:t>Středočeský kraj, jakožto nejlidnatější kraj ČR, se umístil až na čtvrté příčce s 449 tis. pojištěnců (9,5</w:t>
      </w:r>
      <w:r w:rsidR="00F547BE">
        <w:t> </w:t>
      </w:r>
      <w:r w:rsidR="009A38E3">
        <w:t>%). Jedním z faktorů, který toto ovlivňuje, je bezesporu dojíždění Středočechů za zaměstnáním do</w:t>
      </w:r>
      <w:r w:rsidR="00F547BE">
        <w:t> </w:t>
      </w:r>
      <w:r w:rsidR="009A38E3">
        <w:t>Prahy.</w:t>
      </w:r>
    </w:p>
    <w:p w14:paraId="040F667C" w14:textId="056D8733" w:rsidR="00493A71" w:rsidRDefault="00D23A2A" w:rsidP="00F547BE">
      <w:pPr>
        <w:jc w:val="both"/>
      </w:pPr>
      <w:r>
        <w:t xml:space="preserve">Třetina nemocensky </w:t>
      </w:r>
      <w:r w:rsidR="0030013F">
        <w:t xml:space="preserve">pojištěných osob </w:t>
      </w:r>
      <w:r w:rsidR="00BF1975">
        <w:t xml:space="preserve">(1 578,8 tis.) </w:t>
      </w:r>
      <w:r>
        <w:t xml:space="preserve">pracuje </w:t>
      </w:r>
      <w:r w:rsidRPr="00A37CD1">
        <w:rPr>
          <w:b/>
        </w:rPr>
        <w:t>ve velkých firmách s </w:t>
      </w:r>
      <w:r w:rsidR="00C30020" w:rsidRPr="00A37CD1">
        <w:rPr>
          <w:b/>
        </w:rPr>
        <w:t xml:space="preserve">500 a více </w:t>
      </w:r>
      <w:r w:rsidRPr="00A37CD1">
        <w:rPr>
          <w:b/>
        </w:rPr>
        <w:t>zaměstnanci</w:t>
      </w:r>
      <w:r>
        <w:t>, obdobný podíl</w:t>
      </w:r>
      <w:r w:rsidR="00BF1975">
        <w:t xml:space="preserve"> </w:t>
      </w:r>
      <w:r w:rsidR="00E5331D">
        <w:t xml:space="preserve">(32 %) </w:t>
      </w:r>
      <w:r>
        <w:t xml:space="preserve">je i </w:t>
      </w:r>
      <w:r w:rsidR="00BF1975">
        <w:t xml:space="preserve">pojištěných </w:t>
      </w:r>
      <w:r>
        <w:t>pracujících ve firmách do 50 zaměstnanců</w:t>
      </w:r>
      <w:r w:rsidR="00BF1975">
        <w:t xml:space="preserve"> (1</w:t>
      </w:r>
      <w:r w:rsidR="00CB7336">
        <w:t xml:space="preserve"> </w:t>
      </w:r>
      <w:r w:rsidR="00BF1975">
        <w:t>497,9 tis.)</w:t>
      </w:r>
      <w:r>
        <w:t xml:space="preserve">. </w:t>
      </w:r>
      <w:r w:rsidR="00BF1975">
        <w:t xml:space="preserve">Nejnižší podíl mezi nemocensky pojištěnými osobami představují </w:t>
      </w:r>
      <w:r w:rsidR="00BF1975" w:rsidRPr="00A37CD1">
        <w:rPr>
          <w:b/>
        </w:rPr>
        <w:t>OSVČ</w:t>
      </w:r>
      <w:r w:rsidR="00E5331D">
        <w:t xml:space="preserve"> (2 %; 91,3 tis.)</w:t>
      </w:r>
      <w:r w:rsidR="00BF1975">
        <w:t>, kte</w:t>
      </w:r>
      <w:r w:rsidR="00CB7336">
        <w:t>ří</w:t>
      </w:r>
      <w:r w:rsidR="00BF1975">
        <w:t xml:space="preserve"> jsou pojištěn</w:t>
      </w:r>
      <w:r w:rsidR="00CB7336">
        <w:t>i</w:t>
      </w:r>
      <w:r w:rsidR="00BF1975">
        <w:t xml:space="preserve"> dobrovolně.</w:t>
      </w:r>
      <w:r w:rsidR="00493A71">
        <w:br w:type="page"/>
      </w:r>
    </w:p>
    <w:p w14:paraId="5159BC13" w14:textId="3C0398A2" w:rsidR="00BC3FF5" w:rsidRPr="00BC3FF5" w:rsidRDefault="00BC3FF5" w:rsidP="00BC3FF5">
      <w:pPr>
        <w:pStyle w:val="Titulek"/>
        <w:keepNext/>
        <w:rPr>
          <w:b/>
          <w:i w:val="0"/>
          <w:color w:val="auto"/>
          <w:sz w:val="20"/>
        </w:rPr>
      </w:pPr>
      <w:bookmarkStart w:id="5" w:name="_Toc10112619"/>
      <w:r w:rsidRPr="00BC3FF5">
        <w:rPr>
          <w:b/>
          <w:i w:val="0"/>
          <w:color w:val="auto"/>
          <w:sz w:val="20"/>
        </w:rPr>
        <w:lastRenderedPageBreak/>
        <w:t>Tab</w:t>
      </w:r>
      <w:r w:rsidR="00381067">
        <w:rPr>
          <w:b/>
          <w:i w:val="0"/>
          <w:color w:val="auto"/>
          <w:sz w:val="20"/>
        </w:rPr>
        <w:t>.</w:t>
      </w:r>
      <w:r w:rsidRPr="00BC3FF5">
        <w:rPr>
          <w:b/>
          <w:i w:val="0"/>
          <w:color w:val="auto"/>
          <w:sz w:val="20"/>
        </w:rPr>
        <w:t xml:space="preserve"> </w:t>
      </w:r>
      <w:r w:rsidRPr="00BC3FF5">
        <w:rPr>
          <w:b/>
          <w:i w:val="0"/>
          <w:color w:val="auto"/>
          <w:sz w:val="20"/>
        </w:rPr>
        <w:fldChar w:fldCharType="begin"/>
      </w:r>
      <w:r w:rsidRPr="00BC3FF5">
        <w:rPr>
          <w:b/>
          <w:i w:val="0"/>
          <w:color w:val="auto"/>
          <w:sz w:val="20"/>
        </w:rPr>
        <w:instrText xml:space="preserve"> SEQ Tabulka \* ARABIC </w:instrText>
      </w:r>
      <w:r w:rsidRPr="00BC3FF5">
        <w:rPr>
          <w:b/>
          <w:i w:val="0"/>
          <w:color w:val="auto"/>
          <w:sz w:val="20"/>
        </w:rPr>
        <w:fldChar w:fldCharType="separate"/>
      </w:r>
      <w:r w:rsidR="004426F5">
        <w:rPr>
          <w:b/>
          <w:i w:val="0"/>
          <w:noProof/>
          <w:color w:val="auto"/>
          <w:sz w:val="20"/>
        </w:rPr>
        <w:t>1</w:t>
      </w:r>
      <w:r w:rsidRPr="00BC3FF5">
        <w:rPr>
          <w:b/>
          <w:i w:val="0"/>
          <w:color w:val="auto"/>
          <w:sz w:val="20"/>
        </w:rPr>
        <w:fldChar w:fldCharType="end"/>
      </w:r>
      <w:r w:rsidRPr="00BC3FF5">
        <w:rPr>
          <w:b/>
          <w:i w:val="0"/>
          <w:color w:val="auto"/>
          <w:sz w:val="20"/>
        </w:rPr>
        <w:t>.1: Nemocensky pojištěné osoby v letech 200</w:t>
      </w:r>
      <w:r w:rsidR="00950005">
        <w:rPr>
          <w:b/>
          <w:i w:val="0"/>
          <w:color w:val="auto"/>
          <w:sz w:val="20"/>
        </w:rPr>
        <w:t>8</w:t>
      </w:r>
      <w:r w:rsidRPr="00BC3FF5">
        <w:rPr>
          <w:b/>
          <w:i w:val="0"/>
          <w:color w:val="auto"/>
          <w:sz w:val="20"/>
        </w:rPr>
        <w:t>–2018 (</w:t>
      </w:r>
      <w:r>
        <w:rPr>
          <w:b/>
          <w:i w:val="0"/>
          <w:color w:val="auto"/>
          <w:sz w:val="20"/>
        </w:rPr>
        <w:t xml:space="preserve">v </w:t>
      </w:r>
      <w:r w:rsidRPr="00BC3FF5">
        <w:rPr>
          <w:b/>
          <w:i w:val="0"/>
          <w:color w:val="auto"/>
          <w:sz w:val="20"/>
        </w:rPr>
        <w:t>tis</w:t>
      </w:r>
      <w:r>
        <w:rPr>
          <w:b/>
          <w:i w:val="0"/>
          <w:color w:val="auto"/>
          <w:sz w:val="20"/>
        </w:rPr>
        <w:t>.</w:t>
      </w:r>
      <w:r w:rsidRPr="00BC3FF5">
        <w:rPr>
          <w:b/>
          <w:i w:val="0"/>
          <w:color w:val="auto"/>
          <w:sz w:val="20"/>
        </w:rPr>
        <w:t xml:space="preserve"> osob</w:t>
      </w:r>
      <w:r>
        <w:rPr>
          <w:b/>
          <w:i w:val="0"/>
          <w:color w:val="auto"/>
          <w:sz w:val="20"/>
        </w:rPr>
        <w:t>ách</w:t>
      </w:r>
      <w:r w:rsidRPr="00BC3FF5">
        <w:rPr>
          <w:b/>
          <w:i w:val="0"/>
          <w:color w:val="auto"/>
          <w:sz w:val="20"/>
        </w:rPr>
        <w:t>)</w:t>
      </w:r>
      <w:bookmarkEnd w:id="5"/>
    </w:p>
    <w:tbl>
      <w:tblPr>
        <w:tblW w:w="9473" w:type="dxa"/>
        <w:tblInd w:w="70" w:type="dxa"/>
        <w:tblCellMar>
          <w:left w:w="70" w:type="dxa"/>
          <w:right w:w="70" w:type="dxa"/>
        </w:tblCellMar>
        <w:tblLook w:val="04A0" w:firstRow="1" w:lastRow="0" w:firstColumn="1" w:lastColumn="0" w:noHBand="0" w:noVBand="1"/>
      </w:tblPr>
      <w:tblGrid>
        <w:gridCol w:w="705"/>
        <w:gridCol w:w="966"/>
        <w:gridCol w:w="963"/>
        <w:gridCol w:w="964"/>
        <w:gridCol w:w="1054"/>
        <w:gridCol w:w="963"/>
        <w:gridCol w:w="964"/>
        <w:gridCol w:w="966"/>
        <w:gridCol w:w="963"/>
        <w:gridCol w:w="965"/>
      </w:tblGrid>
      <w:tr w:rsidR="00BC3FF5" w:rsidRPr="00BC3FF5" w14:paraId="0063F25E" w14:textId="77777777" w:rsidTr="00BC3FF5">
        <w:trPr>
          <w:trHeight w:val="315"/>
        </w:trPr>
        <w:tc>
          <w:tcPr>
            <w:tcW w:w="705" w:type="dxa"/>
            <w:vMerge w:val="restart"/>
            <w:tcBorders>
              <w:top w:val="single" w:sz="4" w:space="0" w:color="auto"/>
              <w:left w:val="nil"/>
              <w:bottom w:val="single" w:sz="8" w:space="0" w:color="000000"/>
              <w:right w:val="single" w:sz="4" w:space="0" w:color="auto"/>
            </w:tcBorders>
            <w:shd w:val="clear" w:color="000000" w:fill="F5DADD"/>
            <w:vAlign w:val="center"/>
            <w:hideMark/>
          </w:tcPr>
          <w:p w14:paraId="67A498EE" w14:textId="77777777" w:rsidR="00BC3FF5" w:rsidRPr="00BC3FF5" w:rsidRDefault="00BC3FF5" w:rsidP="00BC3FF5">
            <w:pPr>
              <w:spacing w:after="0" w:line="240" w:lineRule="auto"/>
              <w:jc w:val="center"/>
              <w:rPr>
                <w:rFonts w:cs="Arial"/>
                <w:sz w:val="16"/>
                <w:szCs w:val="16"/>
              </w:rPr>
            </w:pPr>
            <w:r w:rsidRPr="00BC3FF5">
              <w:rPr>
                <w:rFonts w:cs="Arial"/>
                <w:sz w:val="16"/>
                <w:szCs w:val="16"/>
              </w:rPr>
              <w:t>Rok</w:t>
            </w:r>
          </w:p>
        </w:tc>
        <w:tc>
          <w:tcPr>
            <w:tcW w:w="8768" w:type="dxa"/>
            <w:gridSpan w:val="9"/>
            <w:tcBorders>
              <w:top w:val="single" w:sz="4" w:space="0" w:color="auto"/>
              <w:left w:val="nil"/>
              <w:bottom w:val="single" w:sz="4" w:space="0" w:color="auto"/>
            </w:tcBorders>
            <w:shd w:val="clear" w:color="000000" w:fill="F2DBDB"/>
            <w:vAlign w:val="center"/>
            <w:hideMark/>
          </w:tcPr>
          <w:p w14:paraId="308BDB2C" w14:textId="77777777" w:rsidR="00BC3FF5" w:rsidRPr="00BC3FF5" w:rsidRDefault="00BC3FF5" w:rsidP="00BC3FF5">
            <w:pPr>
              <w:spacing w:after="0" w:line="240" w:lineRule="auto"/>
              <w:jc w:val="center"/>
              <w:rPr>
                <w:rFonts w:cs="Arial"/>
                <w:sz w:val="16"/>
                <w:szCs w:val="16"/>
              </w:rPr>
            </w:pPr>
            <w:r w:rsidRPr="00BC3FF5">
              <w:rPr>
                <w:rFonts w:cs="Arial"/>
                <w:sz w:val="16"/>
                <w:szCs w:val="16"/>
              </w:rPr>
              <w:t>Průměrný počet nemocensky pojištěných osob (v tis.)</w:t>
            </w:r>
          </w:p>
        </w:tc>
      </w:tr>
      <w:tr w:rsidR="00BC3FF5" w:rsidRPr="00BC3FF5" w14:paraId="1C1D49EE" w14:textId="77777777" w:rsidTr="00BC3FF5">
        <w:trPr>
          <w:trHeight w:val="315"/>
        </w:trPr>
        <w:tc>
          <w:tcPr>
            <w:tcW w:w="705" w:type="dxa"/>
            <w:vMerge/>
            <w:tcBorders>
              <w:top w:val="single" w:sz="4" w:space="0" w:color="auto"/>
              <w:left w:val="nil"/>
              <w:bottom w:val="single" w:sz="8" w:space="0" w:color="000000"/>
              <w:right w:val="single" w:sz="4" w:space="0" w:color="auto"/>
            </w:tcBorders>
            <w:vAlign w:val="center"/>
            <w:hideMark/>
          </w:tcPr>
          <w:p w14:paraId="1555A949" w14:textId="77777777" w:rsidR="00BC3FF5" w:rsidRPr="00BC3FF5" w:rsidRDefault="00BC3FF5" w:rsidP="00BC3FF5">
            <w:pPr>
              <w:spacing w:after="0" w:line="240" w:lineRule="auto"/>
              <w:rPr>
                <w:rFonts w:cs="Arial"/>
                <w:sz w:val="16"/>
                <w:szCs w:val="16"/>
              </w:rPr>
            </w:pPr>
          </w:p>
        </w:tc>
        <w:tc>
          <w:tcPr>
            <w:tcW w:w="966"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124C24A6" w14:textId="77777777" w:rsidR="00BC3FF5" w:rsidRPr="00BC3FF5" w:rsidRDefault="00BC3FF5" w:rsidP="00BC3FF5">
            <w:pPr>
              <w:spacing w:after="0" w:line="240" w:lineRule="auto"/>
              <w:jc w:val="center"/>
              <w:rPr>
                <w:rFonts w:cs="Arial"/>
                <w:sz w:val="16"/>
                <w:szCs w:val="16"/>
              </w:rPr>
            </w:pPr>
            <w:r w:rsidRPr="00BC3FF5">
              <w:rPr>
                <w:rFonts w:cs="Arial"/>
                <w:sz w:val="16"/>
                <w:szCs w:val="16"/>
              </w:rPr>
              <w:t>Celkem</w:t>
            </w:r>
          </w:p>
        </w:tc>
        <w:tc>
          <w:tcPr>
            <w:tcW w:w="1927" w:type="dxa"/>
            <w:gridSpan w:val="2"/>
            <w:tcBorders>
              <w:top w:val="single" w:sz="4" w:space="0" w:color="auto"/>
              <w:left w:val="nil"/>
              <w:bottom w:val="single" w:sz="4" w:space="0" w:color="auto"/>
              <w:right w:val="single" w:sz="4" w:space="0" w:color="auto"/>
            </w:tcBorders>
            <w:shd w:val="clear" w:color="000000" w:fill="F2DBDB"/>
            <w:vAlign w:val="center"/>
            <w:hideMark/>
          </w:tcPr>
          <w:p w14:paraId="0E26AEF5" w14:textId="79C9AD9A" w:rsidR="00BC3FF5" w:rsidRPr="00BC3FF5" w:rsidRDefault="0014571B" w:rsidP="00BC3FF5">
            <w:pPr>
              <w:spacing w:after="0" w:line="240" w:lineRule="auto"/>
              <w:jc w:val="center"/>
              <w:rPr>
                <w:rFonts w:cs="Arial"/>
                <w:sz w:val="16"/>
                <w:szCs w:val="16"/>
              </w:rPr>
            </w:pPr>
            <w:r>
              <w:rPr>
                <w:rFonts w:cs="Arial"/>
                <w:sz w:val="16"/>
                <w:szCs w:val="16"/>
              </w:rPr>
              <w:t>podle pohlaví</w:t>
            </w:r>
          </w:p>
        </w:tc>
        <w:tc>
          <w:tcPr>
            <w:tcW w:w="1054"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7D12B0F1" w14:textId="77777777" w:rsidR="00BC3FF5" w:rsidRPr="00BC3FF5" w:rsidRDefault="00BC3FF5" w:rsidP="00BC3FF5">
            <w:pPr>
              <w:spacing w:after="0" w:line="240" w:lineRule="auto"/>
              <w:jc w:val="center"/>
              <w:rPr>
                <w:rFonts w:cs="Arial"/>
                <w:sz w:val="16"/>
                <w:szCs w:val="16"/>
              </w:rPr>
            </w:pPr>
            <w:r w:rsidRPr="00BC3FF5">
              <w:rPr>
                <w:rFonts w:cs="Arial"/>
                <w:sz w:val="16"/>
                <w:szCs w:val="16"/>
              </w:rPr>
              <w:t>Celkem zaměstnanci</w:t>
            </w:r>
          </w:p>
        </w:tc>
        <w:tc>
          <w:tcPr>
            <w:tcW w:w="1927" w:type="dxa"/>
            <w:gridSpan w:val="2"/>
            <w:tcBorders>
              <w:top w:val="single" w:sz="4" w:space="0" w:color="auto"/>
              <w:left w:val="nil"/>
              <w:bottom w:val="single" w:sz="4" w:space="0" w:color="auto"/>
              <w:right w:val="single" w:sz="4" w:space="0" w:color="auto"/>
            </w:tcBorders>
            <w:shd w:val="clear" w:color="000000" w:fill="F2DBDB"/>
            <w:vAlign w:val="center"/>
            <w:hideMark/>
          </w:tcPr>
          <w:p w14:paraId="511B0BEF" w14:textId="0E6B6E8F" w:rsidR="00BC3FF5" w:rsidRPr="00BC3FF5" w:rsidRDefault="0014571B" w:rsidP="00BC3FF5">
            <w:pPr>
              <w:spacing w:after="0" w:line="240" w:lineRule="auto"/>
              <w:jc w:val="center"/>
              <w:rPr>
                <w:rFonts w:cs="Arial"/>
                <w:sz w:val="16"/>
                <w:szCs w:val="16"/>
              </w:rPr>
            </w:pPr>
            <w:r>
              <w:rPr>
                <w:rFonts w:cs="Arial"/>
                <w:sz w:val="16"/>
                <w:szCs w:val="16"/>
              </w:rPr>
              <w:t>podle pohlaví</w:t>
            </w:r>
          </w:p>
        </w:tc>
        <w:tc>
          <w:tcPr>
            <w:tcW w:w="966"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15A5C1F1" w14:textId="77777777" w:rsidR="00BC3FF5" w:rsidRPr="00BC3FF5" w:rsidRDefault="00BC3FF5" w:rsidP="00BC3FF5">
            <w:pPr>
              <w:spacing w:after="0" w:line="240" w:lineRule="auto"/>
              <w:jc w:val="center"/>
              <w:rPr>
                <w:rFonts w:cs="Arial"/>
                <w:sz w:val="16"/>
                <w:szCs w:val="16"/>
              </w:rPr>
            </w:pPr>
            <w:r w:rsidRPr="00BC3FF5">
              <w:rPr>
                <w:rFonts w:cs="Arial"/>
                <w:sz w:val="16"/>
                <w:szCs w:val="16"/>
              </w:rPr>
              <w:t>Celkem OSVČ</w:t>
            </w:r>
          </w:p>
        </w:tc>
        <w:tc>
          <w:tcPr>
            <w:tcW w:w="1928" w:type="dxa"/>
            <w:gridSpan w:val="2"/>
            <w:tcBorders>
              <w:top w:val="single" w:sz="4" w:space="0" w:color="auto"/>
              <w:left w:val="nil"/>
              <w:bottom w:val="single" w:sz="4" w:space="0" w:color="auto"/>
            </w:tcBorders>
            <w:shd w:val="clear" w:color="000000" w:fill="F2DBDB"/>
            <w:vAlign w:val="center"/>
            <w:hideMark/>
          </w:tcPr>
          <w:p w14:paraId="130E0688" w14:textId="6F30799B" w:rsidR="00BC3FF5" w:rsidRPr="00BC3FF5" w:rsidRDefault="0014571B" w:rsidP="00BC3FF5">
            <w:pPr>
              <w:spacing w:after="0" w:line="240" w:lineRule="auto"/>
              <w:jc w:val="center"/>
              <w:rPr>
                <w:rFonts w:cs="Arial"/>
                <w:sz w:val="16"/>
                <w:szCs w:val="16"/>
              </w:rPr>
            </w:pPr>
            <w:r>
              <w:rPr>
                <w:rFonts w:cs="Arial"/>
                <w:sz w:val="16"/>
                <w:szCs w:val="16"/>
              </w:rPr>
              <w:t>podle pohlaví</w:t>
            </w:r>
          </w:p>
        </w:tc>
      </w:tr>
      <w:tr w:rsidR="00BC3FF5" w:rsidRPr="00BC3FF5" w14:paraId="0DFD7FD7" w14:textId="77777777" w:rsidTr="007E7B35">
        <w:trPr>
          <w:trHeight w:val="330"/>
        </w:trPr>
        <w:tc>
          <w:tcPr>
            <w:tcW w:w="705" w:type="dxa"/>
            <w:vMerge/>
            <w:tcBorders>
              <w:top w:val="single" w:sz="4" w:space="0" w:color="auto"/>
              <w:left w:val="nil"/>
              <w:bottom w:val="single" w:sz="8" w:space="0" w:color="000000"/>
              <w:right w:val="single" w:sz="4" w:space="0" w:color="auto"/>
            </w:tcBorders>
            <w:vAlign w:val="center"/>
            <w:hideMark/>
          </w:tcPr>
          <w:p w14:paraId="2AA9DD9E" w14:textId="77777777" w:rsidR="00BC3FF5" w:rsidRPr="00BC3FF5" w:rsidRDefault="00BC3FF5" w:rsidP="00BC3FF5">
            <w:pPr>
              <w:spacing w:after="0" w:line="240" w:lineRule="auto"/>
              <w:rPr>
                <w:rFonts w:cs="Arial"/>
                <w:sz w:val="16"/>
                <w:szCs w:val="16"/>
              </w:rPr>
            </w:pPr>
          </w:p>
        </w:tc>
        <w:tc>
          <w:tcPr>
            <w:tcW w:w="966" w:type="dxa"/>
            <w:vMerge/>
            <w:tcBorders>
              <w:top w:val="nil"/>
              <w:left w:val="single" w:sz="4" w:space="0" w:color="auto"/>
              <w:bottom w:val="single" w:sz="8" w:space="0" w:color="000000"/>
              <w:right w:val="single" w:sz="4" w:space="0" w:color="auto"/>
            </w:tcBorders>
            <w:vAlign w:val="center"/>
            <w:hideMark/>
          </w:tcPr>
          <w:p w14:paraId="51A7CC0A" w14:textId="77777777" w:rsidR="00BC3FF5" w:rsidRPr="00BC3FF5" w:rsidRDefault="00BC3FF5" w:rsidP="00BC3FF5">
            <w:pPr>
              <w:spacing w:after="0" w:line="240" w:lineRule="auto"/>
              <w:rPr>
                <w:rFonts w:cs="Arial"/>
                <w:sz w:val="16"/>
                <w:szCs w:val="16"/>
              </w:rPr>
            </w:pPr>
          </w:p>
        </w:tc>
        <w:tc>
          <w:tcPr>
            <w:tcW w:w="963" w:type="dxa"/>
            <w:tcBorders>
              <w:top w:val="nil"/>
              <w:left w:val="nil"/>
              <w:bottom w:val="single" w:sz="8" w:space="0" w:color="auto"/>
              <w:right w:val="single" w:sz="4" w:space="0" w:color="auto"/>
            </w:tcBorders>
            <w:shd w:val="clear" w:color="000000" w:fill="F2DBDB"/>
            <w:vAlign w:val="center"/>
            <w:hideMark/>
          </w:tcPr>
          <w:p w14:paraId="2D4B8D13" w14:textId="77777777" w:rsidR="00BC3FF5" w:rsidRPr="00BC3FF5" w:rsidRDefault="00BC3FF5" w:rsidP="00BC3FF5">
            <w:pPr>
              <w:spacing w:after="0" w:line="240" w:lineRule="auto"/>
              <w:jc w:val="center"/>
              <w:rPr>
                <w:rFonts w:cs="Arial"/>
                <w:sz w:val="16"/>
                <w:szCs w:val="16"/>
              </w:rPr>
            </w:pPr>
            <w:r w:rsidRPr="00BC3FF5">
              <w:rPr>
                <w:rFonts w:cs="Arial"/>
                <w:sz w:val="16"/>
                <w:szCs w:val="16"/>
              </w:rPr>
              <w:t>muži</w:t>
            </w:r>
          </w:p>
        </w:tc>
        <w:tc>
          <w:tcPr>
            <w:tcW w:w="964" w:type="dxa"/>
            <w:tcBorders>
              <w:top w:val="nil"/>
              <w:left w:val="nil"/>
              <w:bottom w:val="single" w:sz="8" w:space="0" w:color="auto"/>
              <w:right w:val="single" w:sz="4" w:space="0" w:color="auto"/>
            </w:tcBorders>
            <w:shd w:val="clear" w:color="000000" w:fill="F2DBDB"/>
            <w:vAlign w:val="center"/>
            <w:hideMark/>
          </w:tcPr>
          <w:p w14:paraId="466FEBE4" w14:textId="77777777" w:rsidR="00BC3FF5" w:rsidRPr="00BC3FF5" w:rsidRDefault="00BC3FF5" w:rsidP="00BC3FF5">
            <w:pPr>
              <w:spacing w:after="0" w:line="240" w:lineRule="auto"/>
              <w:jc w:val="center"/>
              <w:rPr>
                <w:rFonts w:cs="Arial"/>
                <w:sz w:val="16"/>
                <w:szCs w:val="16"/>
              </w:rPr>
            </w:pPr>
            <w:r w:rsidRPr="00BC3FF5">
              <w:rPr>
                <w:rFonts w:cs="Arial"/>
                <w:sz w:val="16"/>
                <w:szCs w:val="16"/>
              </w:rPr>
              <w:t>ženy</w:t>
            </w:r>
          </w:p>
        </w:tc>
        <w:tc>
          <w:tcPr>
            <w:tcW w:w="1054" w:type="dxa"/>
            <w:vMerge/>
            <w:tcBorders>
              <w:top w:val="nil"/>
              <w:left w:val="single" w:sz="4" w:space="0" w:color="auto"/>
              <w:bottom w:val="single" w:sz="8" w:space="0" w:color="000000"/>
              <w:right w:val="single" w:sz="4" w:space="0" w:color="auto"/>
            </w:tcBorders>
            <w:vAlign w:val="center"/>
            <w:hideMark/>
          </w:tcPr>
          <w:p w14:paraId="4EB96970" w14:textId="77777777" w:rsidR="00BC3FF5" w:rsidRPr="00BC3FF5" w:rsidRDefault="00BC3FF5" w:rsidP="00BC3FF5">
            <w:pPr>
              <w:spacing w:after="0" w:line="240" w:lineRule="auto"/>
              <w:rPr>
                <w:rFonts w:cs="Arial"/>
                <w:sz w:val="16"/>
                <w:szCs w:val="16"/>
              </w:rPr>
            </w:pPr>
          </w:p>
        </w:tc>
        <w:tc>
          <w:tcPr>
            <w:tcW w:w="963" w:type="dxa"/>
            <w:tcBorders>
              <w:top w:val="nil"/>
              <w:left w:val="nil"/>
              <w:bottom w:val="single" w:sz="8" w:space="0" w:color="auto"/>
              <w:right w:val="single" w:sz="4" w:space="0" w:color="auto"/>
            </w:tcBorders>
            <w:shd w:val="clear" w:color="000000" w:fill="F2DBDB"/>
            <w:vAlign w:val="center"/>
            <w:hideMark/>
          </w:tcPr>
          <w:p w14:paraId="3A0EBED6" w14:textId="77777777" w:rsidR="00BC3FF5" w:rsidRPr="00BC3FF5" w:rsidRDefault="00BC3FF5" w:rsidP="00BC3FF5">
            <w:pPr>
              <w:spacing w:after="0" w:line="240" w:lineRule="auto"/>
              <w:jc w:val="center"/>
              <w:rPr>
                <w:rFonts w:cs="Arial"/>
                <w:sz w:val="16"/>
                <w:szCs w:val="16"/>
              </w:rPr>
            </w:pPr>
            <w:r w:rsidRPr="00BC3FF5">
              <w:rPr>
                <w:rFonts w:cs="Arial"/>
                <w:sz w:val="16"/>
                <w:szCs w:val="16"/>
              </w:rPr>
              <w:t>muži</w:t>
            </w:r>
          </w:p>
        </w:tc>
        <w:tc>
          <w:tcPr>
            <w:tcW w:w="964" w:type="dxa"/>
            <w:tcBorders>
              <w:top w:val="nil"/>
              <w:left w:val="nil"/>
              <w:bottom w:val="single" w:sz="8" w:space="0" w:color="auto"/>
              <w:right w:val="single" w:sz="4" w:space="0" w:color="auto"/>
            </w:tcBorders>
            <w:shd w:val="clear" w:color="000000" w:fill="F2DBDB"/>
            <w:vAlign w:val="center"/>
            <w:hideMark/>
          </w:tcPr>
          <w:p w14:paraId="62BBE6B7" w14:textId="77777777" w:rsidR="00BC3FF5" w:rsidRPr="00BC3FF5" w:rsidRDefault="00BC3FF5" w:rsidP="00BC3FF5">
            <w:pPr>
              <w:spacing w:after="0" w:line="240" w:lineRule="auto"/>
              <w:jc w:val="center"/>
              <w:rPr>
                <w:rFonts w:cs="Arial"/>
                <w:sz w:val="16"/>
                <w:szCs w:val="16"/>
              </w:rPr>
            </w:pPr>
            <w:r w:rsidRPr="00BC3FF5">
              <w:rPr>
                <w:rFonts w:cs="Arial"/>
                <w:sz w:val="16"/>
                <w:szCs w:val="16"/>
              </w:rPr>
              <w:t>ženy</w:t>
            </w:r>
          </w:p>
        </w:tc>
        <w:tc>
          <w:tcPr>
            <w:tcW w:w="966" w:type="dxa"/>
            <w:vMerge/>
            <w:tcBorders>
              <w:top w:val="nil"/>
              <w:left w:val="single" w:sz="4" w:space="0" w:color="auto"/>
              <w:bottom w:val="single" w:sz="8" w:space="0" w:color="000000"/>
              <w:right w:val="single" w:sz="4" w:space="0" w:color="auto"/>
            </w:tcBorders>
            <w:vAlign w:val="center"/>
            <w:hideMark/>
          </w:tcPr>
          <w:p w14:paraId="5D8EE58D" w14:textId="77777777" w:rsidR="00BC3FF5" w:rsidRPr="00BC3FF5" w:rsidRDefault="00BC3FF5" w:rsidP="00BC3FF5">
            <w:pPr>
              <w:spacing w:after="0" w:line="240" w:lineRule="auto"/>
              <w:rPr>
                <w:rFonts w:cs="Arial"/>
                <w:sz w:val="16"/>
                <w:szCs w:val="16"/>
              </w:rPr>
            </w:pPr>
          </w:p>
        </w:tc>
        <w:tc>
          <w:tcPr>
            <w:tcW w:w="963" w:type="dxa"/>
            <w:tcBorders>
              <w:top w:val="nil"/>
              <w:left w:val="nil"/>
              <w:bottom w:val="single" w:sz="8" w:space="0" w:color="auto"/>
              <w:right w:val="single" w:sz="4" w:space="0" w:color="auto"/>
            </w:tcBorders>
            <w:shd w:val="clear" w:color="000000" w:fill="F2DBDB"/>
            <w:vAlign w:val="center"/>
            <w:hideMark/>
          </w:tcPr>
          <w:p w14:paraId="4E0941B7" w14:textId="77777777" w:rsidR="00BC3FF5" w:rsidRPr="00BC3FF5" w:rsidRDefault="00BC3FF5" w:rsidP="00BC3FF5">
            <w:pPr>
              <w:spacing w:after="0" w:line="240" w:lineRule="auto"/>
              <w:jc w:val="center"/>
              <w:rPr>
                <w:rFonts w:cs="Arial"/>
                <w:sz w:val="16"/>
                <w:szCs w:val="16"/>
              </w:rPr>
            </w:pPr>
            <w:r w:rsidRPr="00BC3FF5">
              <w:rPr>
                <w:rFonts w:cs="Arial"/>
                <w:sz w:val="16"/>
                <w:szCs w:val="16"/>
              </w:rPr>
              <w:t>muži</w:t>
            </w:r>
          </w:p>
        </w:tc>
        <w:tc>
          <w:tcPr>
            <w:tcW w:w="965" w:type="dxa"/>
            <w:tcBorders>
              <w:top w:val="nil"/>
              <w:left w:val="nil"/>
              <w:bottom w:val="single" w:sz="8" w:space="0" w:color="auto"/>
              <w:right w:val="nil"/>
            </w:tcBorders>
            <w:shd w:val="clear" w:color="000000" w:fill="F2DBDB"/>
            <w:vAlign w:val="center"/>
            <w:hideMark/>
          </w:tcPr>
          <w:p w14:paraId="542AEE1C" w14:textId="77777777" w:rsidR="00BC3FF5" w:rsidRPr="00BC3FF5" w:rsidRDefault="00BC3FF5" w:rsidP="00BC3FF5">
            <w:pPr>
              <w:spacing w:after="0" w:line="240" w:lineRule="auto"/>
              <w:jc w:val="center"/>
              <w:rPr>
                <w:rFonts w:cs="Arial"/>
                <w:sz w:val="16"/>
                <w:szCs w:val="16"/>
              </w:rPr>
            </w:pPr>
            <w:r w:rsidRPr="00BC3FF5">
              <w:rPr>
                <w:rFonts w:cs="Arial"/>
                <w:sz w:val="16"/>
                <w:szCs w:val="16"/>
              </w:rPr>
              <w:t>ženy</w:t>
            </w:r>
          </w:p>
        </w:tc>
      </w:tr>
      <w:tr w:rsidR="00950005" w:rsidRPr="00BC3FF5" w14:paraId="373B3F22" w14:textId="77777777" w:rsidTr="007E7B35">
        <w:trPr>
          <w:trHeight w:val="315"/>
        </w:trPr>
        <w:tc>
          <w:tcPr>
            <w:tcW w:w="705" w:type="dxa"/>
            <w:tcBorders>
              <w:top w:val="nil"/>
              <w:left w:val="nil"/>
              <w:bottom w:val="nil"/>
              <w:right w:val="single" w:sz="4" w:space="0" w:color="auto"/>
            </w:tcBorders>
            <w:shd w:val="clear" w:color="auto" w:fill="auto"/>
            <w:vAlign w:val="center"/>
          </w:tcPr>
          <w:p w14:paraId="77A646B0" w14:textId="4237F486" w:rsidR="00950005" w:rsidRPr="00BC3FF5" w:rsidRDefault="00950005" w:rsidP="00950005">
            <w:pPr>
              <w:spacing w:after="0" w:line="240" w:lineRule="auto"/>
              <w:jc w:val="center"/>
              <w:rPr>
                <w:rFonts w:cs="Arial"/>
                <w:sz w:val="16"/>
                <w:szCs w:val="16"/>
              </w:rPr>
            </w:pPr>
            <w:r>
              <w:rPr>
                <w:rFonts w:cs="Arial"/>
                <w:sz w:val="16"/>
                <w:szCs w:val="16"/>
              </w:rPr>
              <w:t>2008</w:t>
            </w:r>
          </w:p>
        </w:tc>
        <w:tc>
          <w:tcPr>
            <w:tcW w:w="966" w:type="dxa"/>
            <w:tcBorders>
              <w:top w:val="nil"/>
              <w:left w:val="nil"/>
              <w:bottom w:val="nil"/>
              <w:right w:val="nil"/>
            </w:tcBorders>
            <w:shd w:val="clear" w:color="auto" w:fill="auto"/>
            <w:vAlign w:val="center"/>
          </w:tcPr>
          <w:p w14:paraId="40F2C839" w14:textId="126D798A" w:rsidR="00950005" w:rsidRPr="00BC3FF5" w:rsidRDefault="00950005" w:rsidP="00BC3FF5">
            <w:pPr>
              <w:spacing w:after="0" w:line="240" w:lineRule="auto"/>
              <w:jc w:val="right"/>
              <w:rPr>
                <w:rFonts w:cs="Arial"/>
                <w:sz w:val="16"/>
                <w:szCs w:val="16"/>
              </w:rPr>
            </w:pPr>
            <w:r w:rsidRPr="00950005">
              <w:rPr>
                <w:rFonts w:cs="Arial"/>
                <w:sz w:val="16"/>
                <w:szCs w:val="16"/>
              </w:rPr>
              <w:t>4</w:t>
            </w:r>
            <w:r w:rsidR="00CB7336">
              <w:rPr>
                <w:rFonts w:cs="Arial"/>
                <w:sz w:val="16"/>
                <w:szCs w:val="16"/>
              </w:rPr>
              <w:t xml:space="preserve"> </w:t>
            </w:r>
            <w:r w:rsidRPr="00950005">
              <w:rPr>
                <w:rFonts w:cs="Arial"/>
                <w:sz w:val="16"/>
                <w:szCs w:val="16"/>
              </w:rPr>
              <w:t>572,4</w:t>
            </w:r>
          </w:p>
        </w:tc>
        <w:tc>
          <w:tcPr>
            <w:tcW w:w="963" w:type="dxa"/>
            <w:tcBorders>
              <w:top w:val="nil"/>
              <w:left w:val="nil"/>
              <w:bottom w:val="nil"/>
              <w:right w:val="nil"/>
            </w:tcBorders>
            <w:shd w:val="clear" w:color="auto" w:fill="auto"/>
            <w:vAlign w:val="center"/>
          </w:tcPr>
          <w:p w14:paraId="3CF7F6F8" w14:textId="0C8E75FE" w:rsidR="00950005" w:rsidRPr="00BC3FF5" w:rsidRDefault="00950005" w:rsidP="00950005">
            <w:pPr>
              <w:spacing w:after="0" w:line="240" w:lineRule="auto"/>
              <w:jc w:val="right"/>
              <w:rPr>
                <w:rFonts w:cs="Arial"/>
                <w:sz w:val="16"/>
                <w:szCs w:val="16"/>
              </w:rPr>
            </w:pPr>
            <w:r>
              <w:rPr>
                <w:rFonts w:cs="Arial"/>
                <w:sz w:val="16"/>
                <w:szCs w:val="16"/>
              </w:rPr>
              <w:t>2 423,8</w:t>
            </w:r>
          </w:p>
        </w:tc>
        <w:tc>
          <w:tcPr>
            <w:tcW w:w="964" w:type="dxa"/>
            <w:tcBorders>
              <w:top w:val="single" w:sz="8" w:space="0" w:color="auto"/>
              <w:left w:val="nil"/>
              <w:bottom w:val="nil"/>
              <w:right w:val="single" w:sz="4" w:space="0" w:color="auto"/>
            </w:tcBorders>
            <w:shd w:val="clear" w:color="auto" w:fill="auto"/>
            <w:vAlign w:val="center"/>
          </w:tcPr>
          <w:p w14:paraId="0FCA4DC8" w14:textId="76470952" w:rsidR="00950005" w:rsidRPr="00BC3FF5" w:rsidRDefault="00950005" w:rsidP="00BC3FF5">
            <w:pPr>
              <w:spacing w:after="0" w:line="240" w:lineRule="auto"/>
              <w:jc w:val="right"/>
              <w:rPr>
                <w:rFonts w:cs="Arial"/>
                <w:sz w:val="16"/>
                <w:szCs w:val="16"/>
              </w:rPr>
            </w:pPr>
            <w:r w:rsidRPr="00950005">
              <w:rPr>
                <w:rFonts w:cs="Arial"/>
                <w:sz w:val="16"/>
                <w:szCs w:val="16"/>
              </w:rPr>
              <w:t>2</w:t>
            </w:r>
            <w:r>
              <w:rPr>
                <w:rFonts w:cs="Arial"/>
                <w:sz w:val="16"/>
                <w:szCs w:val="16"/>
              </w:rPr>
              <w:t xml:space="preserve"> </w:t>
            </w:r>
            <w:r w:rsidRPr="00950005">
              <w:rPr>
                <w:rFonts w:cs="Arial"/>
                <w:sz w:val="16"/>
                <w:szCs w:val="16"/>
              </w:rPr>
              <w:t>148,6</w:t>
            </w:r>
          </w:p>
        </w:tc>
        <w:tc>
          <w:tcPr>
            <w:tcW w:w="1054" w:type="dxa"/>
            <w:tcBorders>
              <w:top w:val="nil"/>
              <w:left w:val="single" w:sz="4" w:space="0" w:color="auto"/>
              <w:bottom w:val="nil"/>
              <w:right w:val="nil"/>
            </w:tcBorders>
            <w:shd w:val="clear" w:color="auto" w:fill="auto"/>
            <w:vAlign w:val="center"/>
          </w:tcPr>
          <w:p w14:paraId="5F16A248" w14:textId="62C906B9" w:rsidR="00950005" w:rsidRPr="00BC3FF5" w:rsidRDefault="00950005" w:rsidP="00950005">
            <w:pPr>
              <w:spacing w:after="0" w:line="240" w:lineRule="auto"/>
              <w:jc w:val="right"/>
              <w:rPr>
                <w:rFonts w:cs="Arial"/>
                <w:sz w:val="16"/>
                <w:szCs w:val="16"/>
              </w:rPr>
            </w:pPr>
            <w:r w:rsidRPr="00950005">
              <w:rPr>
                <w:rFonts w:cs="Arial"/>
                <w:sz w:val="16"/>
                <w:szCs w:val="16"/>
              </w:rPr>
              <w:t>4</w:t>
            </w:r>
            <w:r>
              <w:rPr>
                <w:rFonts w:cs="Arial"/>
                <w:sz w:val="16"/>
                <w:szCs w:val="16"/>
              </w:rPr>
              <w:t> </w:t>
            </w:r>
            <w:r w:rsidRPr="00950005">
              <w:rPr>
                <w:rFonts w:cs="Arial"/>
                <w:sz w:val="16"/>
                <w:szCs w:val="16"/>
              </w:rPr>
              <w:t>381</w:t>
            </w:r>
            <w:r>
              <w:rPr>
                <w:rFonts w:cs="Arial"/>
                <w:sz w:val="16"/>
                <w:szCs w:val="16"/>
              </w:rPr>
              <w:t>,0</w:t>
            </w:r>
          </w:p>
        </w:tc>
        <w:tc>
          <w:tcPr>
            <w:tcW w:w="963" w:type="dxa"/>
            <w:tcBorders>
              <w:top w:val="nil"/>
              <w:left w:val="nil"/>
              <w:bottom w:val="nil"/>
              <w:right w:val="nil"/>
            </w:tcBorders>
            <w:shd w:val="clear" w:color="auto" w:fill="auto"/>
            <w:vAlign w:val="center"/>
          </w:tcPr>
          <w:p w14:paraId="025C9FF1" w14:textId="3B54FA01" w:rsidR="00950005" w:rsidRPr="00BC3FF5" w:rsidRDefault="00950005" w:rsidP="00BC3FF5">
            <w:pPr>
              <w:spacing w:after="0" w:line="240" w:lineRule="auto"/>
              <w:jc w:val="right"/>
              <w:rPr>
                <w:rFonts w:cs="Arial"/>
                <w:sz w:val="16"/>
                <w:szCs w:val="16"/>
              </w:rPr>
            </w:pPr>
            <w:r w:rsidRPr="00950005">
              <w:rPr>
                <w:rFonts w:cs="Arial"/>
                <w:sz w:val="16"/>
                <w:szCs w:val="16"/>
              </w:rPr>
              <w:t>2</w:t>
            </w:r>
            <w:r>
              <w:rPr>
                <w:rFonts w:cs="Arial"/>
                <w:sz w:val="16"/>
                <w:szCs w:val="16"/>
              </w:rPr>
              <w:t xml:space="preserve"> </w:t>
            </w:r>
            <w:r w:rsidRPr="00950005">
              <w:rPr>
                <w:rFonts w:cs="Arial"/>
                <w:sz w:val="16"/>
                <w:szCs w:val="16"/>
              </w:rPr>
              <w:t>293</w:t>
            </w:r>
            <w:r>
              <w:rPr>
                <w:rFonts w:cs="Arial"/>
                <w:sz w:val="16"/>
                <w:szCs w:val="16"/>
              </w:rPr>
              <w:t>,0</w:t>
            </w:r>
          </w:p>
        </w:tc>
        <w:tc>
          <w:tcPr>
            <w:tcW w:w="964" w:type="dxa"/>
            <w:tcBorders>
              <w:top w:val="single" w:sz="8" w:space="0" w:color="auto"/>
              <w:left w:val="nil"/>
              <w:bottom w:val="nil"/>
              <w:right w:val="single" w:sz="4" w:space="0" w:color="auto"/>
            </w:tcBorders>
            <w:shd w:val="clear" w:color="auto" w:fill="auto"/>
            <w:vAlign w:val="center"/>
          </w:tcPr>
          <w:p w14:paraId="367096BA" w14:textId="472CC9E2" w:rsidR="00950005" w:rsidRPr="00BC3FF5" w:rsidRDefault="00950005" w:rsidP="00BC3FF5">
            <w:pPr>
              <w:spacing w:after="0" w:line="240" w:lineRule="auto"/>
              <w:jc w:val="right"/>
              <w:rPr>
                <w:rFonts w:cs="Arial"/>
                <w:sz w:val="16"/>
                <w:szCs w:val="16"/>
              </w:rPr>
            </w:pPr>
            <w:r w:rsidRPr="00950005">
              <w:rPr>
                <w:rFonts w:cs="Arial"/>
                <w:sz w:val="16"/>
                <w:szCs w:val="16"/>
              </w:rPr>
              <w:t>2</w:t>
            </w:r>
            <w:r>
              <w:rPr>
                <w:rFonts w:cs="Arial"/>
                <w:sz w:val="16"/>
                <w:szCs w:val="16"/>
              </w:rPr>
              <w:t xml:space="preserve"> </w:t>
            </w:r>
            <w:r w:rsidRPr="00950005">
              <w:rPr>
                <w:rFonts w:cs="Arial"/>
                <w:sz w:val="16"/>
                <w:szCs w:val="16"/>
              </w:rPr>
              <w:t>088</w:t>
            </w:r>
            <w:r>
              <w:rPr>
                <w:rFonts w:cs="Arial"/>
                <w:sz w:val="16"/>
                <w:szCs w:val="16"/>
              </w:rPr>
              <w:t>,0</w:t>
            </w:r>
          </w:p>
        </w:tc>
        <w:tc>
          <w:tcPr>
            <w:tcW w:w="966" w:type="dxa"/>
            <w:tcBorders>
              <w:top w:val="nil"/>
              <w:left w:val="single" w:sz="4" w:space="0" w:color="auto"/>
              <w:bottom w:val="nil"/>
              <w:right w:val="nil"/>
            </w:tcBorders>
            <w:shd w:val="clear" w:color="auto" w:fill="auto"/>
            <w:vAlign w:val="center"/>
          </w:tcPr>
          <w:p w14:paraId="18531D90" w14:textId="0766CEE4" w:rsidR="00950005" w:rsidRPr="00BC3FF5" w:rsidRDefault="00950005" w:rsidP="00BC3FF5">
            <w:pPr>
              <w:spacing w:after="0" w:line="240" w:lineRule="auto"/>
              <w:jc w:val="right"/>
              <w:rPr>
                <w:rFonts w:cs="Arial"/>
                <w:sz w:val="16"/>
                <w:szCs w:val="16"/>
              </w:rPr>
            </w:pPr>
            <w:r w:rsidRPr="00950005">
              <w:rPr>
                <w:rFonts w:cs="Arial"/>
                <w:sz w:val="16"/>
                <w:szCs w:val="16"/>
              </w:rPr>
              <w:t>191,4</w:t>
            </w:r>
          </w:p>
        </w:tc>
        <w:tc>
          <w:tcPr>
            <w:tcW w:w="963" w:type="dxa"/>
            <w:tcBorders>
              <w:top w:val="nil"/>
              <w:left w:val="nil"/>
              <w:bottom w:val="nil"/>
              <w:right w:val="nil"/>
            </w:tcBorders>
            <w:shd w:val="clear" w:color="auto" w:fill="auto"/>
            <w:vAlign w:val="center"/>
          </w:tcPr>
          <w:p w14:paraId="47A1EC70" w14:textId="2CA7DB79" w:rsidR="00950005" w:rsidRPr="00BC3FF5" w:rsidRDefault="00950005" w:rsidP="00BC3FF5">
            <w:pPr>
              <w:spacing w:after="0" w:line="240" w:lineRule="auto"/>
              <w:jc w:val="right"/>
              <w:rPr>
                <w:rFonts w:cs="Arial"/>
                <w:sz w:val="16"/>
                <w:szCs w:val="16"/>
              </w:rPr>
            </w:pPr>
            <w:r w:rsidRPr="00950005">
              <w:rPr>
                <w:rFonts w:cs="Arial"/>
                <w:sz w:val="16"/>
                <w:szCs w:val="16"/>
              </w:rPr>
              <w:t>130,8</w:t>
            </w:r>
          </w:p>
        </w:tc>
        <w:tc>
          <w:tcPr>
            <w:tcW w:w="965" w:type="dxa"/>
            <w:tcBorders>
              <w:top w:val="nil"/>
              <w:left w:val="nil"/>
              <w:bottom w:val="nil"/>
              <w:right w:val="nil"/>
            </w:tcBorders>
            <w:shd w:val="clear" w:color="auto" w:fill="auto"/>
            <w:vAlign w:val="center"/>
          </w:tcPr>
          <w:p w14:paraId="29F85756" w14:textId="3EBC3BE7" w:rsidR="00950005" w:rsidRPr="00BC3FF5" w:rsidRDefault="00950005" w:rsidP="00BC3FF5">
            <w:pPr>
              <w:spacing w:after="0" w:line="240" w:lineRule="auto"/>
              <w:jc w:val="right"/>
              <w:rPr>
                <w:rFonts w:cs="Arial"/>
                <w:sz w:val="16"/>
                <w:szCs w:val="16"/>
              </w:rPr>
            </w:pPr>
            <w:r w:rsidRPr="00950005">
              <w:rPr>
                <w:rFonts w:cs="Arial"/>
                <w:sz w:val="16"/>
                <w:szCs w:val="16"/>
              </w:rPr>
              <w:t>60,7</w:t>
            </w:r>
          </w:p>
        </w:tc>
      </w:tr>
      <w:tr w:rsidR="00BC3FF5" w:rsidRPr="00BC3FF5" w14:paraId="3CC88042"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67FA6F15" w14:textId="77777777" w:rsidR="00BC3FF5" w:rsidRPr="00BC3FF5" w:rsidRDefault="00BC3FF5" w:rsidP="00BC3FF5">
            <w:pPr>
              <w:spacing w:after="0" w:line="240" w:lineRule="auto"/>
              <w:jc w:val="center"/>
              <w:rPr>
                <w:rFonts w:cs="Arial"/>
                <w:sz w:val="16"/>
                <w:szCs w:val="16"/>
              </w:rPr>
            </w:pPr>
            <w:r w:rsidRPr="00BC3FF5">
              <w:rPr>
                <w:rFonts w:cs="Arial"/>
                <w:sz w:val="16"/>
                <w:szCs w:val="16"/>
              </w:rPr>
              <w:t>2009</w:t>
            </w:r>
          </w:p>
        </w:tc>
        <w:tc>
          <w:tcPr>
            <w:tcW w:w="966" w:type="dxa"/>
            <w:tcBorders>
              <w:top w:val="nil"/>
              <w:left w:val="nil"/>
              <w:bottom w:val="nil"/>
              <w:right w:val="nil"/>
            </w:tcBorders>
            <w:shd w:val="clear" w:color="auto" w:fill="auto"/>
            <w:vAlign w:val="center"/>
            <w:hideMark/>
          </w:tcPr>
          <w:p w14:paraId="0D846401" w14:textId="77777777" w:rsidR="00BC3FF5" w:rsidRPr="00BC3FF5" w:rsidRDefault="00BC3FF5" w:rsidP="00BC3FF5">
            <w:pPr>
              <w:spacing w:after="0" w:line="240" w:lineRule="auto"/>
              <w:jc w:val="right"/>
              <w:rPr>
                <w:rFonts w:cs="Arial"/>
                <w:sz w:val="16"/>
                <w:szCs w:val="16"/>
              </w:rPr>
            </w:pPr>
            <w:r w:rsidRPr="00BC3FF5">
              <w:rPr>
                <w:rFonts w:cs="Arial"/>
                <w:sz w:val="16"/>
                <w:szCs w:val="16"/>
              </w:rPr>
              <w:t>4 253,1</w:t>
            </w:r>
          </w:p>
        </w:tc>
        <w:tc>
          <w:tcPr>
            <w:tcW w:w="963" w:type="dxa"/>
            <w:tcBorders>
              <w:top w:val="nil"/>
              <w:left w:val="nil"/>
              <w:bottom w:val="nil"/>
              <w:right w:val="nil"/>
            </w:tcBorders>
            <w:shd w:val="clear" w:color="auto" w:fill="auto"/>
            <w:vAlign w:val="center"/>
            <w:hideMark/>
          </w:tcPr>
          <w:p w14:paraId="2AFD3901" w14:textId="77777777" w:rsidR="00BC3FF5" w:rsidRPr="00BC3FF5" w:rsidRDefault="00BC3FF5" w:rsidP="00BC3FF5">
            <w:pPr>
              <w:spacing w:after="0" w:line="240" w:lineRule="auto"/>
              <w:jc w:val="right"/>
              <w:rPr>
                <w:rFonts w:cs="Arial"/>
                <w:sz w:val="16"/>
                <w:szCs w:val="16"/>
              </w:rPr>
            </w:pPr>
            <w:r w:rsidRPr="00BC3FF5">
              <w:rPr>
                <w:rFonts w:cs="Arial"/>
                <w:sz w:val="16"/>
                <w:szCs w:val="16"/>
              </w:rPr>
              <w:t>2 234,1</w:t>
            </w:r>
          </w:p>
        </w:tc>
        <w:tc>
          <w:tcPr>
            <w:tcW w:w="964" w:type="dxa"/>
            <w:tcBorders>
              <w:top w:val="nil"/>
              <w:left w:val="nil"/>
              <w:bottom w:val="nil"/>
              <w:right w:val="single" w:sz="4" w:space="0" w:color="auto"/>
            </w:tcBorders>
            <w:shd w:val="clear" w:color="auto" w:fill="auto"/>
            <w:vAlign w:val="center"/>
            <w:hideMark/>
          </w:tcPr>
          <w:p w14:paraId="4F80AF82" w14:textId="77777777" w:rsidR="00BC3FF5" w:rsidRPr="00BC3FF5" w:rsidRDefault="00BC3FF5" w:rsidP="00BC3FF5">
            <w:pPr>
              <w:spacing w:after="0" w:line="240" w:lineRule="auto"/>
              <w:jc w:val="right"/>
              <w:rPr>
                <w:rFonts w:cs="Arial"/>
                <w:sz w:val="16"/>
                <w:szCs w:val="16"/>
              </w:rPr>
            </w:pPr>
            <w:r w:rsidRPr="00BC3FF5">
              <w:rPr>
                <w:rFonts w:cs="Arial"/>
                <w:sz w:val="16"/>
                <w:szCs w:val="16"/>
              </w:rPr>
              <w:t>2 019,0</w:t>
            </w:r>
          </w:p>
        </w:tc>
        <w:tc>
          <w:tcPr>
            <w:tcW w:w="1054" w:type="dxa"/>
            <w:tcBorders>
              <w:top w:val="nil"/>
              <w:left w:val="single" w:sz="4" w:space="0" w:color="auto"/>
              <w:bottom w:val="nil"/>
              <w:right w:val="nil"/>
            </w:tcBorders>
            <w:shd w:val="clear" w:color="auto" w:fill="auto"/>
            <w:vAlign w:val="center"/>
            <w:hideMark/>
          </w:tcPr>
          <w:p w14:paraId="16D9E765" w14:textId="77777777" w:rsidR="00BC3FF5" w:rsidRPr="00BC3FF5" w:rsidRDefault="00BC3FF5" w:rsidP="00BC3FF5">
            <w:pPr>
              <w:spacing w:after="0" w:line="240" w:lineRule="auto"/>
              <w:jc w:val="right"/>
              <w:rPr>
                <w:rFonts w:cs="Arial"/>
                <w:sz w:val="16"/>
                <w:szCs w:val="16"/>
              </w:rPr>
            </w:pPr>
            <w:r w:rsidRPr="00BC3FF5">
              <w:rPr>
                <w:rFonts w:cs="Arial"/>
                <w:sz w:val="16"/>
                <w:szCs w:val="16"/>
              </w:rPr>
              <w:t>4 079,2</w:t>
            </w:r>
          </w:p>
        </w:tc>
        <w:tc>
          <w:tcPr>
            <w:tcW w:w="963" w:type="dxa"/>
            <w:tcBorders>
              <w:top w:val="nil"/>
              <w:left w:val="nil"/>
              <w:bottom w:val="nil"/>
              <w:right w:val="nil"/>
            </w:tcBorders>
            <w:shd w:val="clear" w:color="auto" w:fill="auto"/>
            <w:vAlign w:val="center"/>
            <w:hideMark/>
          </w:tcPr>
          <w:p w14:paraId="408EC703" w14:textId="77777777" w:rsidR="00BC3FF5" w:rsidRPr="00BC3FF5" w:rsidRDefault="00BC3FF5" w:rsidP="00BC3FF5">
            <w:pPr>
              <w:spacing w:after="0" w:line="240" w:lineRule="auto"/>
              <w:jc w:val="right"/>
              <w:rPr>
                <w:rFonts w:cs="Arial"/>
                <w:sz w:val="16"/>
                <w:szCs w:val="16"/>
              </w:rPr>
            </w:pPr>
            <w:r w:rsidRPr="00BC3FF5">
              <w:rPr>
                <w:rFonts w:cs="Arial"/>
                <w:sz w:val="16"/>
                <w:szCs w:val="16"/>
              </w:rPr>
              <w:t>2 121,5</w:t>
            </w:r>
          </w:p>
        </w:tc>
        <w:tc>
          <w:tcPr>
            <w:tcW w:w="964" w:type="dxa"/>
            <w:tcBorders>
              <w:top w:val="nil"/>
              <w:left w:val="nil"/>
              <w:bottom w:val="nil"/>
              <w:right w:val="single" w:sz="4" w:space="0" w:color="auto"/>
            </w:tcBorders>
            <w:shd w:val="clear" w:color="auto" w:fill="auto"/>
            <w:vAlign w:val="center"/>
            <w:hideMark/>
          </w:tcPr>
          <w:p w14:paraId="40759635" w14:textId="77777777" w:rsidR="00BC3FF5" w:rsidRPr="00BC3FF5" w:rsidRDefault="00BC3FF5" w:rsidP="00BC3FF5">
            <w:pPr>
              <w:spacing w:after="0" w:line="240" w:lineRule="auto"/>
              <w:jc w:val="right"/>
              <w:rPr>
                <w:rFonts w:cs="Arial"/>
                <w:sz w:val="16"/>
                <w:szCs w:val="16"/>
              </w:rPr>
            </w:pPr>
            <w:r w:rsidRPr="00BC3FF5">
              <w:rPr>
                <w:rFonts w:cs="Arial"/>
                <w:sz w:val="16"/>
                <w:szCs w:val="16"/>
              </w:rPr>
              <w:t>1 957,7</w:t>
            </w:r>
          </w:p>
        </w:tc>
        <w:tc>
          <w:tcPr>
            <w:tcW w:w="966" w:type="dxa"/>
            <w:tcBorders>
              <w:top w:val="nil"/>
              <w:left w:val="single" w:sz="4" w:space="0" w:color="auto"/>
              <w:bottom w:val="nil"/>
              <w:right w:val="nil"/>
            </w:tcBorders>
            <w:shd w:val="clear" w:color="auto" w:fill="auto"/>
            <w:vAlign w:val="center"/>
            <w:hideMark/>
          </w:tcPr>
          <w:p w14:paraId="7A103A1B" w14:textId="77777777" w:rsidR="00BC3FF5" w:rsidRPr="00BC3FF5" w:rsidRDefault="00BC3FF5" w:rsidP="00BC3FF5">
            <w:pPr>
              <w:spacing w:after="0" w:line="240" w:lineRule="auto"/>
              <w:jc w:val="right"/>
              <w:rPr>
                <w:rFonts w:cs="Arial"/>
                <w:sz w:val="16"/>
                <w:szCs w:val="16"/>
              </w:rPr>
            </w:pPr>
            <w:r w:rsidRPr="00BC3FF5">
              <w:rPr>
                <w:rFonts w:cs="Arial"/>
                <w:sz w:val="16"/>
                <w:szCs w:val="16"/>
              </w:rPr>
              <w:t>173,9</w:t>
            </w:r>
          </w:p>
        </w:tc>
        <w:tc>
          <w:tcPr>
            <w:tcW w:w="963" w:type="dxa"/>
            <w:tcBorders>
              <w:top w:val="nil"/>
              <w:left w:val="nil"/>
              <w:bottom w:val="nil"/>
              <w:right w:val="nil"/>
            </w:tcBorders>
            <w:shd w:val="clear" w:color="auto" w:fill="auto"/>
            <w:vAlign w:val="center"/>
            <w:hideMark/>
          </w:tcPr>
          <w:p w14:paraId="5B920941" w14:textId="77777777" w:rsidR="00BC3FF5" w:rsidRPr="00BC3FF5" w:rsidRDefault="00BC3FF5" w:rsidP="00BC3FF5">
            <w:pPr>
              <w:spacing w:after="0" w:line="240" w:lineRule="auto"/>
              <w:jc w:val="right"/>
              <w:rPr>
                <w:rFonts w:cs="Arial"/>
                <w:sz w:val="16"/>
                <w:szCs w:val="16"/>
              </w:rPr>
            </w:pPr>
            <w:r w:rsidRPr="00BC3FF5">
              <w:rPr>
                <w:rFonts w:cs="Arial"/>
                <w:sz w:val="16"/>
                <w:szCs w:val="16"/>
              </w:rPr>
              <w:t>112,6</w:t>
            </w:r>
          </w:p>
        </w:tc>
        <w:tc>
          <w:tcPr>
            <w:tcW w:w="965" w:type="dxa"/>
            <w:tcBorders>
              <w:top w:val="nil"/>
              <w:left w:val="nil"/>
              <w:bottom w:val="nil"/>
              <w:right w:val="nil"/>
            </w:tcBorders>
            <w:shd w:val="clear" w:color="auto" w:fill="auto"/>
            <w:vAlign w:val="center"/>
            <w:hideMark/>
          </w:tcPr>
          <w:p w14:paraId="0C79EEBD" w14:textId="77777777" w:rsidR="00BC3FF5" w:rsidRPr="00BC3FF5" w:rsidRDefault="00BC3FF5" w:rsidP="00BC3FF5">
            <w:pPr>
              <w:spacing w:after="0" w:line="240" w:lineRule="auto"/>
              <w:jc w:val="right"/>
              <w:rPr>
                <w:rFonts w:cs="Arial"/>
                <w:sz w:val="16"/>
                <w:szCs w:val="16"/>
              </w:rPr>
            </w:pPr>
            <w:r w:rsidRPr="00BC3FF5">
              <w:rPr>
                <w:rFonts w:cs="Arial"/>
                <w:sz w:val="16"/>
                <w:szCs w:val="16"/>
              </w:rPr>
              <w:t>61,3</w:t>
            </w:r>
          </w:p>
        </w:tc>
      </w:tr>
      <w:tr w:rsidR="00BC3FF5" w:rsidRPr="00BC3FF5" w14:paraId="5996F1D0"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72ED3545"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2010</w:t>
            </w:r>
          </w:p>
        </w:tc>
        <w:tc>
          <w:tcPr>
            <w:tcW w:w="966" w:type="dxa"/>
            <w:tcBorders>
              <w:top w:val="nil"/>
              <w:left w:val="nil"/>
              <w:bottom w:val="nil"/>
              <w:right w:val="nil"/>
            </w:tcBorders>
            <w:shd w:val="clear" w:color="auto" w:fill="auto"/>
            <w:vAlign w:val="center"/>
            <w:hideMark/>
          </w:tcPr>
          <w:p w14:paraId="11219B58" w14:textId="77777777" w:rsidR="00BC3FF5" w:rsidRPr="00BC3FF5" w:rsidRDefault="00BC3FF5" w:rsidP="00BC3FF5">
            <w:pPr>
              <w:spacing w:after="0" w:line="240" w:lineRule="auto"/>
              <w:jc w:val="right"/>
              <w:rPr>
                <w:rFonts w:cs="Arial"/>
                <w:sz w:val="16"/>
                <w:szCs w:val="16"/>
              </w:rPr>
            </w:pPr>
            <w:r w:rsidRPr="00BC3FF5">
              <w:rPr>
                <w:rFonts w:cs="Arial"/>
                <w:sz w:val="16"/>
                <w:szCs w:val="16"/>
              </w:rPr>
              <w:t>4 311,0</w:t>
            </w:r>
          </w:p>
        </w:tc>
        <w:tc>
          <w:tcPr>
            <w:tcW w:w="963" w:type="dxa"/>
            <w:tcBorders>
              <w:top w:val="nil"/>
              <w:left w:val="nil"/>
              <w:bottom w:val="nil"/>
              <w:right w:val="nil"/>
            </w:tcBorders>
            <w:shd w:val="clear" w:color="auto" w:fill="auto"/>
            <w:vAlign w:val="center"/>
            <w:hideMark/>
          </w:tcPr>
          <w:p w14:paraId="51513B6F" w14:textId="77777777" w:rsidR="00BC3FF5" w:rsidRPr="00BC3FF5" w:rsidRDefault="00BC3FF5" w:rsidP="00BC3FF5">
            <w:pPr>
              <w:spacing w:after="0" w:line="240" w:lineRule="auto"/>
              <w:jc w:val="right"/>
              <w:rPr>
                <w:rFonts w:cs="Arial"/>
                <w:sz w:val="16"/>
                <w:szCs w:val="16"/>
              </w:rPr>
            </w:pPr>
            <w:r w:rsidRPr="00BC3FF5">
              <w:rPr>
                <w:rFonts w:cs="Arial"/>
                <w:sz w:val="16"/>
                <w:szCs w:val="16"/>
              </w:rPr>
              <w:t>2 234,1</w:t>
            </w:r>
          </w:p>
        </w:tc>
        <w:tc>
          <w:tcPr>
            <w:tcW w:w="964" w:type="dxa"/>
            <w:tcBorders>
              <w:top w:val="nil"/>
              <w:left w:val="nil"/>
              <w:bottom w:val="nil"/>
              <w:right w:val="single" w:sz="4" w:space="0" w:color="auto"/>
            </w:tcBorders>
            <w:shd w:val="clear" w:color="auto" w:fill="auto"/>
            <w:vAlign w:val="center"/>
            <w:hideMark/>
          </w:tcPr>
          <w:p w14:paraId="34620191" w14:textId="77777777" w:rsidR="00BC3FF5" w:rsidRPr="00BC3FF5" w:rsidRDefault="00BC3FF5" w:rsidP="00BC3FF5">
            <w:pPr>
              <w:spacing w:after="0" w:line="240" w:lineRule="auto"/>
              <w:jc w:val="right"/>
              <w:rPr>
                <w:rFonts w:cs="Arial"/>
                <w:sz w:val="16"/>
                <w:szCs w:val="16"/>
              </w:rPr>
            </w:pPr>
            <w:r w:rsidRPr="00BC3FF5">
              <w:rPr>
                <w:rFonts w:cs="Arial"/>
                <w:sz w:val="16"/>
                <w:szCs w:val="16"/>
              </w:rPr>
              <w:t>2 076,8</w:t>
            </w:r>
          </w:p>
        </w:tc>
        <w:tc>
          <w:tcPr>
            <w:tcW w:w="1054" w:type="dxa"/>
            <w:tcBorders>
              <w:top w:val="nil"/>
              <w:left w:val="single" w:sz="4" w:space="0" w:color="auto"/>
              <w:bottom w:val="nil"/>
              <w:right w:val="nil"/>
            </w:tcBorders>
            <w:shd w:val="clear" w:color="auto" w:fill="auto"/>
            <w:vAlign w:val="center"/>
            <w:hideMark/>
          </w:tcPr>
          <w:p w14:paraId="2EE2F543" w14:textId="77777777" w:rsidR="00BC3FF5" w:rsidRPr="00BC3FF5" w:rsidRDefault="00BC3FF5" w:rsidP="00BC3FF5">
            <w:pPr>
              <w:spacing w:after="0" w:line="240" w:lineRule="auto"/>
              <w:jc w:val="right"/>
              <w:rPr>
                <w:rFonts w:cs="Arial"/>
                <w:sz w:val="16"/>
                <w:szCs w:val="16"/>
              </w:rPr>
            </w:pPr>
            <w:r w:rsidRPr="00BC3FF5">
              <w:rPr>
                <w:rFonts w:cs="Arial"/>
                <w:sz w:val="16"/>
                <w:szCs w:val="16"/>
              </w:rPr>
              <w:t>4 132,8</w:t>
            </w:r>
          </w:p>
        </w:tc>
        <w:tc>
          <w:tcPr>
            <w:tcW w:w="963" w:type="dxa"/>
            <w:tcBorders>
              <w:top w:val="nil"/>
              <w:left w:val="nil"/>
              <w:bottom w:val="nil"/>
              <w:right w:val="nil"/>
            </w:tcBorders>
            <w:shd w:val="clear" w:color="auto" w:fill="auto"/>
            <w:vAlign w:val="center"/>
            <w:hideMark/>
          </w:tcPr>
          <w:p w14:paraId="53E7E028" w14:textId="77777777" w:rsidR="00BC3FF5" w:rsidRPr="00BC3FF5" w:rsidRDefault="00BC3FF5" w:rsidP="00BC3FF5">
            <w:pPr>
              <w:spacing w:after="0" w:line="240" w:lineRule="auto"/>
              <w:jc w:val="right"/>
              <w:rPr>
                <w:rFonts w:cs="Arial"/>
                <w:sz w:val="16"/>
                <w:szCs w:val="16"/>
              </w:rPr>
            </w:pPr>
            <w:r w:rsidRPr="00BC3FF5">
              <w:rPr>
                <w:rFonts w:cs="Arial"/>
                <w:sz w:val="16"/>
                <w:szCs w:val="16"/>
              </w:rPr>
              <w:t>2 121,9</w:t>
            </w:r>
          </w:p>
        </w:tc>
        <w:tc>
          <w:tcPr>
            <w:tcW w:w="964" w:type="dxa"/>
            <w:tcBorders>
              <w:top w:val="nil"/>
              <w:left w:val="nil"/>
              <w:bottom w:val="nil"/>
              <w:right w:val="single" w:sz="4" w:space="0" w:color="auto"/>
            </w:tcBorders>
            <w:shd w:val="clear" w:color="auto" w:fill="auto"/>
            <w:vAlign w:val="center"/>
            <w:hideMark/>
          </w:tcPr>
          <w:p w14:paraId="018F500D" w14:textId="77777777" w:rsidR="00BC3FF5" w:rsidRPr="00BC3FF5" w:rsidRDefault="00BC3FF5" w:rsidP="00BC3FF5">
            <w:pPr>
              <w:spacing w:after="0" w:line="240" w:lineRule="auto"/>
              <w:jc w:val="right"/>
              <w:rPr>
                <w:rFonts w:cs="Arial"/>
                <w:sz w:val="16"/>
                <w:szCs w:val="16"/>
              </w:rPr>
            </w:pPr>
            <w:r w:rsidRPr="00BC3FF5">
              <w:rPr>
                <w:rFonts w:cs="Arial"/>
                <w:sz w:val="16"/>
                <w:szCs w:val="16"/>
              </w:rPr>
              <w:t>2 010,9</w:t>
            </w:r>
          </w:p>
        </w:tc>
        <w:tc>
          <w:tcPr>
            <w:tcW w:w="966" w:type="dxa"/>
            <w:tcBorders>
              <w:top w:val="nil"/>
              <w:left w:val="single" w:sz="4" w:space="0" w:color="auto"/>
              <w:bottom w:val="nil"/>
              <w:right w:val="nil"/>
            </w:tcBorders>
            <w:shd w:val="clear" w:color="auto" w:fill="auto"/>
            <w:vAlign w:val="center"/>
            <w:hideMark/>
          </w:tcPr>
          <w:p w14:paraId="71FEBD50" w14:textId="77777777" w:rsidR="00BC3FF5" w:rsidRPr="00BC3FF5" w:rsidRDefault="00BC3FF5" w:rsidP="00BC3FF5">
            <w:pPr>
              <w:spacing w:after="0" w:line="240" w:lineRule="auto"/>
              <w:jc w:val="right"/>
              <w:rPr>
                <w:rFonts w:cs="Arial"/>
                <w:sz w:val="16"/>
                <w:szCs w:val="16"/>
              </w:rPr>
            </w:pPr>
            <w:r w:rsidRPr="00BC3FF5">
              <w:rPr>
                <w:rFonts w:cs="Arial"/>
                <w:sz w:val="16"/>
                <w:szCs w:val="16"/>
              </w:rPr>
              <w:t>178,2</w:t>
            </w:r>
          </w:p>
        </w:tc>
        <w:tc>
          <w:tcPr>
            <w:tcW w:w="963" w:type="dxa"/>
            <w:tcBorders>
              <w:top w:val="nil"/>
              <w:left w:val="nil"/>
              <w:bottom w:val="nil"/>
              <w:right w:val="nil"/>
            </w:tcBorders>
            <w:shd w:val="clear" w:color="auto" w:fill="auto"/>
            <w:vAlign w:val="center"/>
            <w:hideMark/>
          </w:tcPr>
          <w:p w14:paraId="54B1A7EA" w14:textId="77777777" w:rsidR="00BC3FF5" w:rsidRPr="00BC3FF5" w:rsidRDefault="00BC3FF5" w:rsidP="00BC3FF5">
            <w:pPr>
              <w:spacing w:after="0" w:line="240" w:lineRule="auto"/>
              <w:jc w:val="right"/>
              <w:rPr>
                <w:rFonts w:cs="Arial"/>
                <w:sz w:val="16"/>
                <w:szCs w:val="16"/>
              </w:rPr>
            </w:pPr>
            <w:r w:rsidRPr="00BC3FF5">
              <w:rPr>
                <w:rFonts w:cs="Arial"/>
                <w:sz w:val="16"/>
                <w:szCs w:val="16"/>
              </w:rPr>
              <w:t>112,2</w:t>
            </w:r>
          </w:p>
        </w:tc>
        <w:tc>
          <w:tcPr>
            <w:tcW w:w="965" w:type="dxa"/>
            <w:tcBorders>
              <w:top w:val="nil"/>
              <w:left w:val="nil"/>
              <w:bottom w:val="nil"/>
              <w:right w:val="nil"/>
            </w:tcBorders>
            <w:shd w:val="clear" w:color="auto" w:fill="auto"/>
            <w:vAlign w:val="center"/>
            <w:hideMark/>
          </w:tcPr>
          <w:p w14:paraId="3E839925" w14:textId="77777777" w:rsidR="00BC3FF5" w:rsidRPr="00BC3FF5" w:rsidRDefault="00BC3FF5" w:rsidP="00BC3FF5">
            <w:pPr>
              <w:spacing w:after="0" w:line="240" w:lineRule="auto"/>
              <w:jc w:val="right"/>
              <w:rPr>
                <w:rFonts w:cs="Arial"/>
                <w:sz w:val="16"/>
                <w:szCs w:val="16"/>
              </w:rPr>
            </w:pPr>
            <w:r w:rsidRPr="00BC3FF5">
              <w:rPr>
                <w:rFonts w:cs="Arial"/>
                <w:sz w:val="16"/>
                <w:szCs w:val="16"/>
              </w:rPr>
              <w:t>66,0</w:t>
            </w:r>
          </w:p>
        </w:tc>
      </w:tr>
      <w:tr w:rsidR="00BC3FF5" w:rsidRPr="00BC3FF5" w14:paraId="6F7EB2E7"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0EC79C72"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2011</w:t>
            </w:r>
          </w:p>
        </w:tc>
        <w:tc>
          <w:tcPr>
            <w:tcW w:w="966" w:type="dxa"/>
            <w:tcBorders>
              <w:top w:val="nil"/>
              <w:left w:val="nil"/>
              <w:bottom w:val="nil"/>
              <w:right w:val="nil"/>
            </w:tcBorders>
            <w:shd w:val="clear" w:color="auto" w:fill="auto"/>
            <w:vAlign w:val="center"/>
            <w:hideMark/>
          </w:tcPr>
          <w:p w14:paraId="1AC979C3" w14:textId="77777777" w:rsidR="00BC3FF5" w:rsidRPr="00BC3FF5" w:rsidRDefault="00BC3FF5" w:rsidP="00BC3FF5">
            <w:pPr>
              <w:spacing w:after="0" w:line="240" w:lineRule="auto"/>
              <w:jc w:val="right"/>
              <w:rPr>
                <w:rFonts w:cs="Arial"/>
                <w:sz w:val="16"/>
                <w:szCs w:val="16"/>
              </w:rPr>
            </w:pPr>
            <w:r w:rsidRPr="00BC3FF5">
              <w:rPr>
                <w:rFonts w:cs="Arial"/>
                <w:sz w:val="16"/>
                <w:szCs w:val="16"/>
              </w:rPr>
              <w:t>4 211,5</w:t>
            </w:r>
          </w:p>
        </w:tc>
        <w:tc>
          <w:tcPr>
            <w:tcW w:w="963" w:type="dxa"/>
            <w:tcBorders>
              <w:top w:val="nil"/>
              <w:left w:val="nil"/>
              <w:bottom w:val="nil"/>
              <w:right w:val="nil"/>
            </w:tcBorders>
            <w:shd w:val="clear" w:color="auto" w:fill="auto"/>
            <w:vAlign w:val="center"/>
            <w:hideMark/>
          </w:tcPr>
          <w:p w14:paraId="3E50F818" w14:textId="77777777" w:rsidR="00BC3FF5" w:rsidRPr="00BC3FF5" w:rsidRDefault="00BC3FF5" w:rsidP="00BC3FF5">
            <w:pPr>
              <w:spacing w:after="0" w:line="240" w:lineRule="auto"/>
              <w:jc w:val="right"/>
              <w:rPr>
                <w:rFonts w:cs="Arial"/>
                <w:sz w:val="16"/>
                <w:szCs w:val="16"/>
              </w:rPr>
            </w:pPr>
            <w:r w:rsidRPr="00BC3FF5">
              <w:rPr>
                <w:rFonts w:cs="Arial"/>
                <w:sz w:val="16"/>
                <w:szCs w:val="16"/>
              </w:rPr>
              <w:t>2 148,4</w:t>
            </w:r>
          </w:p>
        </w:tc>
        <w:tc>
          <w:tcPr>
            <w:tcW w:w="964" w:type="dxa"/>
            <w:tcBorders>
              <w:top w:val="nil"/>
              <w:left w:val="nil"/>
              <w:bottom w:val="nil"/>
              <w:right w:val="single" w:sz="4" w:space="0" w:color="auto"/>
            </w:tcBorders>
            <w:shd w:val="clear" w:color="auto" w:fill="auto"/>
            <w:vAlign w:val="center"/>
            <w:hideMark/>
          </w:tcPr>
          <w:p w14:paraId="434A8AC8" w14:textId="77777777" w:rsidR="00BC3FF5" w:rsidRPr="00BC3FF5" w:rsidRDefault="00BC3FF5" w:rsidP="00BC3FF5">
            <w:pPr>
              <w:spacing w:after="0" w:line="240" w:lineRule="auto"/>
              <w:jc w:val="right"/>
              <w:rPr>
                <w:rFonts w:cs="Arial"/>
                <w:sz w:val="16"/>
                <w:szCs w:val="16"/>
              </w:rPr>
            </w:pPr>
            <w:r w:rsidRPr="00BC3FF5">
              <w:rPr>
                <w:rFonts w:cs="Arial"/>
                <w:sz w:val="16"/>
                <w:szCs w:val="16"/>
              </w:rPr>
              <w:t>2 063,2</w:t>
            </w:r>
          </w:p>
        </w:tc>
        <w:tc>
          <w:tcPr>
            <w:tcW w:w="1054" w:type="dxa"/>
            <w:tcBorders>
              <w:top w:val="nil"/>
              <w:left w:val="single" w:sz="4" w:space="0" w:color="auto"/>
              <w:bottom w:val="nil"/>
              <w:right w:val="nil"/>
            </w:tcBorders>
            <w:shd w:val="clear" w:color="auto" w:fill="auto"/>
            <w:vAlign w:val="center"/>
            <w:hideMark/>
          </w:tcPr>
          <w:p w14:paraId="1DBB013C" w14:textId="77777777" w:rsidR="00BC3FF5" w:rsidRPr="00BC3FF5" w:rsidRDefault="00BC3FF5" w:rsidP="00BC3FF5">
            <w:pPr>
              <w:spacing w:after="0" w:line="240" w:lineRule="auto"/>
              <w:jc w:val="right"/>
              <w:rPr>
                <w:rFonts w:cs="Arial"/>
                <w:sz w:val="16"/>
                <w:szCs w:val="16"/>
              </w:rPr>
            </w:pPr>
            <w:r w:rsidRPr="00BC3FF5">
              <w:rPr>
                <w:rFonts w:cs="Arial"/>
                <w:sz w:val="16"/>
                <w:szCs w:val="16"/>
              </w:rPr>
              <w:t>4 061,8</w:t>
            </w:r>
          </w:p>
        </w:tc>
        <w:tc>
          <w:tcPr>
            <w:tcW w:w="963" w:type="dxa"/>
            <w:tcBorders>
              <w:top w:val="nil"/>
              <w:left w:val="nil"/>
              <w:bottom w:val="nil"/>
              <w:right w:val="nil"/>
            </w:tcBorders>
            <w:shd w:val="clear" w:color="auto" w:fill="auto"/>
            <w:vAlign w:val="center"/>
            <w:hideMark/>
          </w:tcPr>
          <w:p w14:paraId="2A2B27D3" w14:textId="77777777" w:rsidR="00BC3FF5" w:rsidRPr="00BC3FF5" w:rsidRDefault="00BC3FF5" w:rsidP="00BC3FF5">
            <w:pPr>
              <w:spacing w:after="0" w:line="240" w:lineRule="auto"/>
              <w:jc w:val="right"/>
              <w:rPr>
                <w:rFonts w:cs="Arial"/>
                <w:sz w:val="16"/>
                <w:szCs w:val="16"/>
              </w:rPr>
            </w:pPr>
            <w:r w:rsidRPr="00BC3FF5">
              <w:rPr>
                <w:rFonts w:cs="Arial"/>
                <w:sz w:val="16"/>
                <w:szCs w:val="16"/>
              </w:rPr>
              <w:t>2 053,8</w:t>
            </w:r>
          </w:p>
        </w:tc>
        <w:tc>
          <w:tcPr>
            <w:tcW w:w="964" w:type="dxa"/>
            <w:tcBorders>
              <w:top w:val="nil"/>
              <w:left w:val="nil"/>
              <w:bottom w:val="nil"/>
              <w:right w:val="single" w:sz="4" w:space="0" w:color="auto"/>
            </w:tcBorders>
            <w:shd w:val="clear" w:color="auto" w:fill="auto"/>
            <w:vAlign w:val="center"/>
            <w:hideMark/>
          </w:tcPr>
          <w:p w14:paraId="54A39900" w14:textId="77777777" w:rsidR="00BC3FF5" w:rsidRPr="00BC3FF5" w:rsidRDefault="00BC3FF5" w:rsidP="00BC3FF5">
            <w:pPr>
              <w:spacing w:after="0" w:line="240" w:lineRule="auto"/>
              <w:jc w:val="right"/>
              <w:rPr>
                <w:rFonts w:cs="Arial"/>
                <w:sz w:val="16"/>
                <w:szCs w:val="16"/>
              </w:rPr>
            </w:pPr>
            <w:r w:rsidRPr="00BC3FF5">
              <w:rPr>
                <w:rFonts w:cs="Arial"/>
                <w:sz w:val="16"/>
                <w:szCs w:val="16"/>
              </w:rPr>
              <w:t>2 008,0</w:t>
            </w:r>
          </w:p>
        </w:tc>
        <w:tc>
          <w:tcPr>
            <w:tcW w:w="966" w:type="dxa"/>
            <w:tcBorders>
              <w:top w:val="nil"/>
              <w:left w:val="single" w:sz="4" w:space="0" w:color="auto"/>
              <w:bottom w:val="nil"/>
              <w:right w:val="nil"/>
            </w:tcBorders>
            <w:shd w:val="clear" w:color="auto" w:fill="auto"/>
            <w:vAlign w:val="center"/>
            <w:hideMark/>
          </w:tcPr>
          <w:p w14:paraId="23317C8E" w14:textId="77777777" w:rsidR="00BC3FF5" w:rsidRPr="00BC3FF5" w:rsidRDefault="00BC3FF5" w:rsidP="00BC3FF5">
            <w:pPr>
              <w:spacing w:after="0" w:line="240" w:lineRule="auto"/>
              <w:jc w:val="right"/>
              <w:rPr>
                <w:rFonts w:cs="Arial"/>
                <w:sz w:val="16"/>
                <w:szCs w:val="16"/>
              </w:rPr>
            </w:pPr>
            <w:r w:rsidRPr="00BC3FF5">
              <w:rPr>
                <w:rFonts w:cs="Arial"/>
                <w:sz w:val="16"/>
                <w:szCs w:val="16"/>
              </w:rPr>
              <w:t>149,7</w:t>
            </w:r>
          </w:p>
        </w:tc>
        <w:tc>
          <w:tcPr>
            <w:tcW w:w="963" w:type="dxa"/>
            <w:tcBorders>
              <w:top w:val="nil"/>
              <w:left w:val="nil"/>
              <w:bottom w:val="nil"/>
              <w:right w:val="nil"/>
            </w:tcBorders>
            <w:shd w:val="clear" w:color="auto" w:fill="auto"/>
            <w:vAlign w:val="center"/>
            <w:hideMark/>
          </w:tcPr>
          <w:p w14:paraId="3C84081C" w14:textId="77777777" w:rsidR="00BC3FF5" w:rsidRPr="00BC3FF5" w:rsidRDefault="00BC3FF5" w:rsidP="00BC3FF5">
            <w:pPr>
              <w:spacing w:after="0" w:line="240" w:lineRule="auto"/>
              <w:jc w:val="right"/>
              <w:rPr>
                <w:rFonts w:cs="Arial"/>
                <w:sz w:val="16"/>
                <w:szCs w:val="16"/>
              </w:rPr>
            </w:pPr>
            <w:r w:rsidRPr="00BC3FF5">
              <w:rPr>
                <w:rFonts w:cs="Arial"/>
                <w:sz w:val="16"/>
                <w:szCs w:val="16"/>
              </w:rPr>
              <w:t>94,6</w:t>
            </w:r>
          </w:p>
        </w:tc>
        <w:tc>
          <w:tcPr>
            <w:tcW w:w="965" w:type="dxa"/>
            <w:tcBorders>
              <w:top w:val="nil"/>
              <w:left w:val="nil"/>
              <w:bottom w:val="nil"/>
              <w:right w:val="nil"/>
            </w:tcBorders>
            <w:shd w:val="clear" w:color="auto" w:fill="auto"/>
            <w:vAlign w:val="center"/>
            <w:hideMark/>
          </w:tcPr>
          <w:p w14:paraId="303800AD" w14:textId="77777777" w:rsidR="00BC3FF5" w:rsidRPr="00BC3FF5" w:rsidRDefault="00BC3FF5" w:rsidP="00BC3FF5">
            <w:pPr>
              <w:spacing w:after="0" w:line="240" w:lineRule="auto"/>
              <w:jc w:val="right"/>
              <w:rPr>
                <w:rFonts w:cs="Arial"/>
                <w:sz w:val="16"/>
                <w:szCs w:val="16"/>
              </w:rPr>
            </w:pPr>
            <w:r w:rsidRPr="00BC3FF5">
              <w:rPr>
                <w:rFonts w:cs="Arial"/>
                <w:sz w:val="16"/>
                <w:szCs w:val="16"/>
              </w:rPr>
              <w:t>55,2</w:t>
            </w:r>
          </w:p>
        </w:tc>
      </w:tr>
      <w:tr w:rsidR="00BC3FF5" w:rsidRPr="00BC3FF5" w14:paraId="78DAB1D3"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6AA241C0"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2012</w:t>
            </w:r>
          </w:p>
        </w:tc>
        <w:tc>
          <w:tcPr>
            <w:tcW w:w="966" w:type="dxa"/>
            <w:tcBorders>
              <w:top w:val="nil"/>
              <w:left w:val="nil"/>
              <w:bottom w:val="nil"/>
              <w:right w:val="nil"/>
            </w:tcBorders>
            <w:shd w:val="clear" w:color="auto" w:fill="auto"/>
            <w:vAlign w:val="center"/>
            <w:hideMark/>
          </w:tcPr>
          <w:p w14:paraId="6DC14A13" w14:textId="77777777" w:rsidR="00BC3FF5" w:rsidRPr="00BC3FF5" w:rsidRDefault="00BC3FF5" w:rsidP="00BC3FF5">
            <w:pPr>
              <w:spacing w:after="0" w:line="240" w:lineRule="auto"/>
              <w:jc w:val="right"/>
              <w:rPr>
                <w:rFonts w:cs="Arial"/>
                <w:sz w:val="16"/>
                <w:szCs w:val="16"/>
              </w:rPr>
            </w:pPr>
            <w:r w:rsidRPr="00BC3FF5">
              <w:rPr>
                <w:rFonts w:cs="Arial"/>
                <w:sz w:val="16"/>
                <w:szCs w:val="16"/>
              </w:rPr>
              <w:t>4 471,9</w:t>
            </w:r>
          </w:p>
        </w:tc>
        <w:tc>
          <w:tcPr>
            <w:tcW w:w="963" w:type="dxa"/>
            <w:tcBorders>
              <w:top w:val="nil"/>
              <w:left w:val="nil"/>
              <w:bottom w:val="nil"/>
              <w:right w:val="nil"/>
            </w:tcBorders>
            <w:shd w:val="clear" w:color="auto" w:fill="auto"/>
            <w:vAlign w:val="center"/>
            <w:hideMark/>
          </w:tcPr>
          <w:p w14:paraId="2B43A740" w14:textId="77777777" w:rsidR="00BC3FF5" w:rsidRPr="00BC3FF5" w:rsidRDefault="00BC3FF5" w:rsidP="00BC3FF5">
            <w:pPr>
              <w:spacing w:after="0" w:line="240" w:lineRule="auto"/>
              <w:jc w:val="right"/>
              <w:rPr>
                <w:rFonts w:cs="Arial"/>
                <w:sz w:val="16"/>
                <w:szCs w:val="16"/>
              </w:rPr>
            </w:pPr>
            <w:r w:rsidRPr="00BC3FF5">
              <w:rPr>
                <w:rFonts w:cs="Arial"/>
                <w:sz w:val="16"/>
                <w:szCs w:val="16"/>
              </w:rPr>
              <w:t>2 281,4</w:t>
            </w:r>
          </w:p>
        </w:tc>
        <w:tc>
          <w:tcPr>
            <w:tcW w:w="964" w:type="dxa"/>
            <w:tcBorders>
              <w:top w:val="nil"/>
              <w:left w:val="nil"/>
              <w:bottom w:val="nil"/>
              <w:right w:val="single" w:sz="4" w:space="0" w:color="auto"/>
            </w:tcBorders>
            <w:shd w:val="clear" w:color="auto" w:fill="auto"/>
            <w:vAlign w:val="center"/>
            <w:hideMark/>
          </w:tcPr>
          <w:p w14:paraId="5D740EE6" w14:textId="77777777" w:rsidR="00BC3FF5" w:rsidRPr="00BC3FF5" w:rsidRDefault="00BC3FF5" w:rsidP="00BC3FF5">
            <w:pPr>
              <w:spacing w:after="0" w:line="240" w:lineRule="auto"/>
              <w:jc w:val="right"/>
              <w:rPr>
                <w:rFonts w:cs="Arial"/>
                <w:sz w:val="16"/>
                <w:szCs w:val="16"/>
              </w:rPr>
            </w:pPr>
            <w:r w:rsidRPr="00BC3FF5">
              <w:rPr>
                <w:rFonts w:cs="Arial"/>
                <w:sz w:val="16"/>
                <w:szCs w:val="16"/>
              </w:rPr>
              <w:t>2 190,5</w:t>
            </w:r>
          </w:p>
        </w:tc>
        <w:tc>
          <w:tcPr>
            <w:tcW w:w="1054" w:type="dxa"/>
            <w:tcBorders>
              <w:top w:val="nil"/>
              <w:left w:val="single" w:sz="4" w:space="0" w:color="auto"/>
              <w:bottom w:val="nil"/>
              <w:right w:val="nil"/>
            </w:tcBorders>
            <w:shd w:val="clear" w:color="auto" w:fill="auto"/>
            <w:vAlign w:val="center"/>
            <w:hideMark/>
          </w:tcPr>
          <w:p w14:paraId="486C86CA" w14:textId="77777777" w:rsidR="00BC3FF5" w:rsidRPr="00BC3FF5" w:rsidRDefault="00BC3FF5" w:rsidP="00BC3FF5">
            <w:pPr>
              <w:spacing w:after="0" w:line="240" w:lineRule="auto"/>
              <w:jc w:val="right"/>
              <w:rPr>
                <w:rFonts w:cs="Arial"/>
                <w:sz w:val="16"/>
                <w:szCs w:val="16"/>
              </w:rPr>
            </w:pPr>
            <w:r w:rsidRPr="00BC3FF5">
              <w:rPr>
                <w:rFonts w:cs="Arial"/>
                <w:sz w:val="16"/>
                <w:szCs w:val="16"/>
              </w:rPr>
              <w:t>4 366,2</w:t>
            </w:r>
          </w:p>
        </w:tc>
        <w:tc>
          <w:tcPr>
            <w:tcW w:w="963" w:type="dxa"/>
            <w:tcBorders>
              <w:top w:val="nil"/>
              <w:left w:val="nil"/>
              <w:bottom w:val="nil"/>
              <w:right w:val="nil"/>
            </w:tcBorders>
            <w:shd w:val="clear" w:color="auto" w:fill="auto"/>
            <w:vAlign w:val="center"/>
            <w:hideMark/>
          </w:tcPr>
          <w:p w14:paraId="067BC92E" w14:textId="77777777" w:rsidR="00BC3FF5" w:rsidRPr="00BC3FF5" w:rsidRDefault="00BC3FF5" w:rsidP="00BC3FF5">
            <w:pPr>
              <w:spacing w:after="0" w:line="240" w:lineRule="auto"/>
              <w:jc w:val="right"/>
              <w:rPr>
                <w:rFonts w:cs="Arial"/>
                <w:sz w:val="16"/>
                <w:szCs w:val="16"/>
              </w:rPr>
            </w:pPr>
            <w:r w:rsidRPr="00BC3FF5">
              <w:rPr>
                <w:rFonts w:cs="Arial"/>
                <w:sz w:val="16"/>
                <w:szCs w:val="16"/>
              </w:rPr>
              <w:t>2 216,3</w:t>
            </w:r>
          </w:p>
        </w:tc>
        <w:tc>
          <w:tcPr>
            <w:tcW w:w="964" w:type="dxa"/>
            <w:tcBorders>
              <w:top w:val="nil"/>
              <w:left w:val="nil"/>
              <w:bottom w:val="nil"/>
              <w:right w:val="single" w:sz="4" w:space="0" w:color="auto"/>
            </w:tcBorders>
            <w:shd w:val="clear" w:color="auto" w:fill="auto"/>
            <w:vAlign w:val="center"/>
            <w:hideMark/>
          </w:tcPr>
          <w:p w14:paraId="55E19C5D" w14:textId="77777777" w:rsidR="00BC3FF5" w:rsidRPr="00BC3FF5" w:rsidRDefault="00BC3FF5" w:rsidP="00BC3FF5">
            <w:pPr>
              <w:spacing w:after="0" w:line="240" w:lineRule="auto"/>
              <w:jc w:val="right"/>
              <w:rPr>
                <w:rFonts w:cs="Arial"/>
                <w:sz w:val="16"/>
                <w:szCs w:val="16"/>
              </w:rPr>
            </w:pPr>
            <w:r w:rsidRPr="00BC3FF5">
              <w:rPr>
                <w:rFonts w:cs="Arial"/>
                <w:sz w:val="16"/>
                <w:szCs w:val="16"/>
              </w:rPr>
              <w:t>2 149,9</w:t>
            </w:r>
          </w:p>
        </w:tc>
        <w:tc>
          <w:tcPr>
            <w:tcW w:w="966" w:type="dxa"/>
            <w:tcBorders>
              <w:top w:val="nil"/>
              <w:left w:val="single" w:sz="4" w:space="0" w:color="auto"/>
              <w:bottom w:val="nil"/>
              <w:right w:val="nil"/>
            </w:tcBorders>
            <w:shd w:val="clear" w:color="auto" w:fill="auto"/>
            <w:vAlign w:val="center"/>
            <w:hideMark/>
          </w:tcPr>
          <w:p w14:paraId="4B386D88" w14:textId="77777777" w:rsidR="00BC3FF5" w:rsidRPr="00BC3FF5" w:rsidRDefault="00BC3FF5" w:rsidP="00BC3FF5">
            <w:pPr>
              <w:spacing w:after="0" w:line="240" w:lineRule="auto"/>
              <w:jc w:val="right"/>
              <w:rPr>
                <w:rFonts w:cs="Arial"/>
                <w:sz w:val="16"/>
                <w:szCs w:val="16"/>
              </w:rPr>
            </w:pPr>
            <w:r w:rsidRPr="00BC3FF5">
              <w:rPr>
                <w:rFonts w:cs="Arial"/>
                <w:sz w:val="16"/>
                <w:szCs w:val="16"/>
              </w:rPr>
              <w:t>105,7</w:t>
            </w:r>
          </w:p>
        </w:tc>
        <w:tc>
          <w:tcPr>
            <w:tcW w:w="963" w:type="dxa"/>
            <w:tcBorders>
              <w:top w:val="nil"/>
              <w:left w:val="nil"/>
              <w:bottom w:val="nil"/>
              <w:right w:val="nil"/>
            </w:tcBorders>
            <w:shd w:val="clear" w:color="auto" w:fill="auto"/>
            <w:vAlign w:val="center"/>
            <w:hideMark/>
          </w:tcPr>
          <w:p w14:paraId="4ECEDAC3" w14:textId="77777777" w:rsidR="00BC3FF5" w:rsidRPr="00BC3FF5" w:rsidRDefault="00BC3FF5" w:rsidP="00BC3FF5">
            <w:pPr>
              <w:spacing w:after="0" w:line="240" w:lineRule="auto"/>
              <w:jc w:val="right"/>
              <w:rPr>
                <w:rFonts w:cs="Arial"/>
                <w:sz w:val="16"/>
                <w:szCs w:val="16"/>
              </w:rPr>
            </w:pPr>
            <w:r w:rsidRPr="00BC3FF5">
              <w:rPr>
                <w:rFonts w:cs="Arial"/>
                <w:sz w:val="16"/>
                <w:szCs w:val="16"/>
              </w:rPr>
              <w:t>65,1</w:t>
            </w:r>
          </w:p>
        </w:tc>
        <w:tc>
          <w:tcPr>
            <w:tcW w:w="965" w:type="dxa"/>
            <w:tcBorders>
              <w:top w:val="nil"/>
              <w:left w:val="nil"/>
              <w:bottom w:val="nil"/>
              <w:right w:val="nil"/>
            </w:tcBorders>
            <w:shd w:val="clear" w:color="auto" w:fill="auto"/>
            <w:vAlign w:val="center"/>
            <w:hideMark/>
          </w:tcPr>
          <w:p w14:paraId="70AB5B4E" w14:textId="77777777" w:rsidR="00BC3FF5" w:rsidRPr="00BC3FF5" w:rsidRDefault="00BC3FF5" w:rsidP="00BC3FF5">
            <w:pPr>
              <w:spacing w:after="0" w:line="240" w:lineRule="auto"/>
              <w:jc w:val="right"/>
              <w:rPr>
                <w:rFonts w:cs="Arial"/>
                <w:sz w:val="16"/>
                <w:szCs w:val="16"/>
              </w:rPr>
            </w:pPr>
            <w:r w:rsidRPr="00BC3FF5">
              <w:rPr>
                <w:rFonts w:cs="Arial"/>
                <w:sz w:val="16"/>
                <w:szCs w:val="16"/>
              </w:rPr>
              <w:t>40,6</w:t>
            </w:r>
          </w:p>
        </w:tc>
      </w:tr>
      <w:tr w:rsidR="00BC3FF5" w:rsidRPr="00BC3FF5" w14:paraId="56309E6E"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78E4DA78"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2013</w:t>
            </w:r>
          </w:p>
        </w:tc>
        <w:tc>
          <w:tcPr>
            <w:tcW w:w="966" w:type="dxa"/>
            <w:tcBorders>
              <w:top w:val="nil"/>
              <w:left w:val="nil"/>
              <w:bottom w:val="nil"/>
              <w:right w:val="nil"/>
            </w:tcBorders>
            <w:shd w:val="clear" w:color="auto" w:fill="auto"/>
            <w:vAlign w:val="center"/>
            <w:hideMark/>
          </w:tcPr>
          <w:p w14:paraId="7E9E204E" w14:textId="77777777" w:rsidR="00BC3FF5" w:rsidRPr="00BC3FF5" w:rsidRDefault="00BC3FF5" w:rsidP="00BC3FF5">
            <w:pPr>
              <w:spacing w:after="0" w:line="240" w:lineRule="auto"/>
              <w:jc w:val="right"/>
              <w:rPr>
                <w:rFonts w:cs="Arial"/>
                <w:sz w:val="16"/>
                <w:szCs w:val="16"/>
              </w:rPr>
            </w:pPr>
            <w:r w:rsidRPr="00BC3FF5">
              <w:rPr>
                <w:rFonts w:cs="Arial"/>
                <w:sz w:val="16"/>
                <w:szCs w:val="16"/>
              </w:rPr>
              <w:t>4 440,3</w:t>
            </w:r>
          </w:p>
        </w:tc>
        <w:tc>
          <w:tcPr>
            <w:tcW w:w="963" w:type="dxa"/>
            <w:tcBorders>
              <w:top w:val="nil"/>
              <w:left w:val="nil"/>
              <w:bottom w:val="nil"/>
              <w:right w:val="nil"/>
            </w:tcBorders>
            <w:shd w:val="clear" w:color="auto" w:fill="auto"/>
            <w:vAlign w:val="center"/>
            <w:hideMark/>
          </w:tcPr>
          <w:p w14:paraId="134A5423" w14:textId="77777777" w:rsidR="00BC3FF5" w:rsidRPr="00BC3FF5" w:rsidRDefault="00BC3FF5" w:rsidP="00BC3FF5">
            <w:pPr>
              <w:spacing w:after="0" w:line="240" w:lineRule="auto"/>
              <w:jc w:val="right"/>
              <w:rPr>
                <w:rFonts w:cs="Arial"/>
                <w:sz w:val="16"/>
                <w:szCs w:val="16"/>
              </w:rPr>
            </w:pPr>
            <w:r w:rsidRPr="00BC3FF5">
              <w:rPr>
                <w:rFonts w:cs="Arial"/>
                <w:sz w:val="16"/>
                <w:szCs w:val="16"/>
              </w:rPr>
              <w:t>2 260,7</w:t>
            </w:r>
          </w:p>
        </w:tc>
        <w:tc>
          <w:tcPr>
            <w:tcW w:w="964" w:type="dxa"/>
            <w:tcBorders>
              <w:top w:val="nil"/>
              <w:left w:val="nil"/>
              <w:bottom w:val="nil"/>
              <w:right w:val="single" w:sz="4" w:space="0" w:color="auto"/>
            </w:tcBorders>
            <w:shd w:val="clear" w:color="auto" w:fill="auto"/>
            <w:vAlign w:val="center"/>
            <w:hideMark/>
          </w:tcPr>
          <w:p w14:paraId="258A89AD" w14:textId="77777777" w:rsidR="00BC3FF5" w:rsidRPr="00BC3FF5" w:rsidRDefault="00BC3FF5" w:rsidP="00BC3FF5">
            <w:pPr>
              <w:spacing w:after="0" w:line="240" w:lineRule="auto"/>
              <w:jc w:val="right"/>
              <w:rPr>
                <w:rFonts w:cs="Arial"/>
                <w:sz w:val="16"/>
                <w:szCs w:val="16"/>
              </w:rPr>
            </w:pPr>
            <w:r w:rsidRPr="00BC3FF5">
              <w:rPr>
                <w:rFonts w:cs="Arial"/>
                <w:sz w:val="16"/>
                <w:szCs w:val="16"/>
              </w:rPr>
              <w:t>2 179,6</w:t>
            </w:r>
          </w:p>
        </w:tc>
        <w:tc>
          <w:tcPr>
            <w:tcW w:w="1054" w:type="dxa"/>
            <w:tcBorders>
              <w:top w:val="nil"/>
              <w:left w:val="single" w:sz="4" w:space="0" w:color="auto"/>
              <w:bottom w:val="nil"/>
              <w:right w:val="nil"/>
            </w:tcBorders>
            <w:shd w:val="clear" w:color="auto" w:fill="auto"/>
            <w:vAlign w:val="center"/>
            <w:hideMark/>
          </w:tcPr>
          <w:p w14:paraId="4ED065D9" w14:textId="77777777" w:rsidR="00BC3FF5" w:rsidRPr="00BC3FF5" w:rsidRDefault="00BC3FF5" w:rsidP="00BC3FF5">
            <w:pPr>
              <w:spacing w:after="0" w:line="240" w:lineRule="auto"/>
              <w:jc w:val="right"/>
              <w:rPr>
                <w:rFonts w:cs="Arial"/>
                <w:sz w:val="16"/>
                <w:szCs w:val="16"/>
              </w:rPr>
            </w:pPr>
            <w:r w:rsidRPr="00BC3FF5">
              <w:rPr>
                <w:rFonts w:cs="Arial"/>
                <w:sz w:val="16"/>
                <w:szCs w:val="16"/>
              </w:rPr>
              <w:t>4 331,2</w:t>
            </w:r>
          </w:p>
        </w:tc>
        <w:tc>
          <w:tcPr>
            <w:tcW w:w="963" w:type="dxa"/>
            <w:tcBorders>
              <w:top w:val="nil"/>
              <w:left w:val="nil"/>
              <w:bottom w:val="nil"/>
              <w:right w:val="nil"/>
            </w:tcBorders>
            <w:shd w:val="clear" w:color="auto" w:fill="auto"/>
            <w:vAlign w:val="center"/>
            <w:hideMark/>
          </w:tcPr>
          <w:p w14:paraId="2BE011EC" w14:textId="77777777" w:rsidR="00BC3FF5" w:rsidRPr="00BC3FF5" w:rsidRDefault="00BC3FF5" w:rsidP="00BC3FF5">
            <w:pPr>
              <w:spacing w:after="0" w:line="240" w:lineRule="auto"/>
              <w:jc w:val="right"/>
              <w:rPr>
                <w:rFonts w:cs="Arial"/>
                <w:sz w:val="16"/>
                <w:szCs w:val="16"/>
              </w:rPr>
            </w:pPr>
            <w:r w:rsidRPr="00BC3FF5">
              <w:rPr>
                <w:rFonts w:cs="Arial"/>
                <w:sz w:val="16"/>
                <w:szCs w:val="16"/>
              </w:rPr>
              <w:t>2 194,2</w:t>
            </w:r>
          </w:p>
        </w:tc>
        <w:tc>
          <w:tcPr>
            <w:tcW w:w="964" w:type="dxa"/>
            <w:tcBorders>
              <w:top w:val="nil"/>
              <w:left w:val="nil"/>
              <w:bottom w:val="nil"/>
              <w:right w:val="single" w:sz="4" w:space="0" w:color="auto"/>
            </w:tcBorders>
            <w:shd w:val="clear" w:color="auto" w:fill="auto"/>
            <w:vAlign w:val="center"/>
            <w:hideMark/>
          </w:tcPr>
          <w:p w14:paraId="4E1C4747" w14:textId="77777777" w:rsidR="00BC3FF5" w:rsidRPr="00BC3FF5" w:rsidRDefault="00BC3FF5" w:rsidP="00BC3FF5">
            <w:pPr>
              <w:spacing w:after="0" w:line="240" w:lineRule="auto"/>
              <w:jc w:val="right"/>
              <w:rPr>
                <w:rFonts w:cs="Arial"/>
                <w:sz w:val="16"/>
                <w:szCs w:val="16"/>
              </w:rPr>
            </w:pPr>
            <w:r w:rsidRPr="00BC3FF5">
              <w:rPr>
                <w:rFonts w:cs="Arial"/>
                <w:sz w:val="16"/>
                <w:szCs w:val="16"/>
              </w:rPr>
              <w:t>2 136,9</w:t>
            </w:r>
          </w:p>
        </w:tc>
        <w:tc>
          <w:tcPr>
            <w:tcW w:w="966" w:type="dxa"/>
            <w:tcBorders>
              <w:top w:val="nil"/>
              <w:left w:val="single" w:sz="4" w:space="0" w:color="auto"/>
              <w:bottom w:val="nil"/>
              <w:right w:val="nil"/>
            </w:tcBorders>
            <w:shd w:val="clear" w:color="auto" w:fill="auto"/>
            <w:vAlign w:val="center"/>
            <w:hideMark/>
          </w:tcPr>
          <w:p w14:paraId="2DE73FA4" w14:textId="77777777" w:rsidR="00BC3FF5" w:rsidRPr="00BC3FF5" w:rsidRDefault="00BC3FF5" w:rsidP="00BC3FF5">
            <w:pPr>
              <w:spacing w:after="0" w:line="240" w:lineRule="auto"/>
              <w:jc w:val="right"/>
              <w:rPr>
                <w:rFonts w:cs="Arial"/>
                <w:sz w:val="16"/>
                <w:szCs w:val="16"/>
              </w:rPr>
            </w:pPr>
            <w:r w:rsidRPr="00BC3FF5">
              <w:rPr>
                <w:rFonts w:cs="Arial"/>
                <w:sz w:val="16"/>
                <w:szCs w:val="16"/>
              </w:rPr>
              <w:t>109,2</w:t>
            </w:r>
          </w:p>
        </w:tc>
        <w:tc>
          <w:tcPr>
            <w:tcW w:w="963" w:type="dxa"/>
            <w:tcBorders>
              <w:top w:val="nil"/>
              <w:left w:val="nil"/>
              <w:bottom w:val="nil"/>
              <w:right w:val="nil"/>
            </w:tcBorders>
            <w:shd w:val="clear" w:color="auto" w:fill="auto"/>
            <w:vAlign w:val="center"/>
            <w:hideMark/>
          </w:tcPr>
          <w:p w14:paraId="1B81500C" w14:textId="77777777" w:rsidR="00BC3FF5" w:rsidRPr="00BC3FF5" w:rsidRDefault="00BC3FF5" w:rsidP="00BC3FF5">
            <w:pPr>
              <w:spacing w:after="0" w:line="240" w:lineRule="auto"/>
              <w:jc w:val="right"/>
              <w:rPr>
                <w:rFonts w:cs="Arial"/>
                <w:sz w:val="16"/>
                <w:szCs w:val="16"/>
              </w:rPr>
            </w:pPr>
            <w:r w:rsidRPr="00BC3FF5">
              <w:rPr>
                <w:rFonts w:cs="Arial"/>
                <w:sz w:val="16"/>
                <w:szCs w:val="16"/>
              </w:rPr>
              <w:t>66,5</w:t>
            </w:r>
          </w:p>
        </w:tc>
        <w:tc>
          <w:tcPr>
            <w:tcW w:w="965" w:type="dxa"/>
            <w:tcBorders>
              <w:top w:val="nil"/>
              <w:left w:val="nil"/>
              <w:bottom w:val="nil"/>
              <w:right w:val="nil"/>
            </w:tcBorders>
            <w:shd w:val="clear" w:color="auto" w:fill="auto"/>
            <w:vAlign w:val="center"/>
            <w:hideMark/>
          </w:tcPr>
          <w:p w14:paraId="4AE88B30" w14:textId="77777777" w:rsidR="00BC3FF5" w:rsidRPr="00BC3FF5" w:rsidRDefault="00BC3FF5" w:rsidP="00BC3FF5">
            <w:pPr>
              <w:spacing w:after="0" w:line="240" w:lineRule="auto"/>
              <w:jc w:val="right"/>
              <w:rPr>
                <w:rFonts w:cs="Arial"/>
                <w:sz w:val="16"/>
                <w:szCs w:val="16"/>
              </w:rPr>
            </w:pPr>
            <w:r w:rsidRPr="00BC3FF5">
              <w:rPr>
                <w:rFonts w:cs="Arial"/>
                <w:sz w:val="16"/>
                <w:szCs w:val="16"/>
              </w:rPr>
              <w:t>42,7</w:t>
            </w:r>
          </w:p>
        </w:tc>
      </w:tr>
      <w:tr w:rsidR="00BC3FF5" w:rsidRPr="00BC3FF5" w14:paraId="0A4D56F6"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223AD4AE"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2014</w:t>
            </w:r>
          </w:p>
        </w:tc>
        <w:tc>
          <w:tcPr>
            <w:tcW w:w="966" w:type="dxa"/>
            <w:tcBorders>
              <w:top w:val="nil"/>
              <w:left w:val="nil"/>
              <w:bottom w:val="nil"/>
              <w:right w:val="nil"/>
            </w:tcBorders>
            <w:shd w:val="clear" w:color="auto" w:fill="auto"/>
            <w:vAlign w:val="center"/>
            <w:hideMark/>
          </w:tcPr>
          <w:p w14:paraId="45FDCE35" w14:textId="77777777" w:rsidR="00BC3FF5" w:rsidRPr="00BC3FF5" w:rsidRDefault="00BC3FF5" w:rsidP="00BC3FF5">
            <w:pPr>
              <w:spacing w:after="0" w:line="240" w:lineRule="auto"/>
              <w:jc w:val="right"/>
              <w:rPr>
                <w:rFonts w:cs="Arial"/>
                <w:sz w:val="16"/>
                <w:szCs w:val="16"/>
              </w:rPr>
            </w:pPr>
            <w:r w:rsidRPr="00BC3FF5">
              <w:rPr>
                <w:rFonts w:cs="Arial"/>
                <w:sz w:val="16"/>
                <w:szCs w:val="16"/>
              </w:rPr>
              <w:t>4 464,1</w:t>
            </w:r>
          </w:p>
        </w:tc>
        <w:tc>
          <w:tcPr>
            <w:tcW w:w="963" w:type="dxa"/>
            <w:tcBorders>
              <w:top w:val="nil"/>
              <w:left w:val="nil"/>
              <w:bottom w:val="nil"/>
              <w:right w:val="nil"/>
            </w:tcBorders>
            <w:shd w:val="clear" w:color="auto" w:fill="auto"/>
            <w:vAlign w:val="center"/>
            <w:hideMark/>
          </w:tcPr>
          <w:p w14:paraId="34DCAD88" w14:textId="77777777" w:rsidR="00BC3FF5" w:rsidRPr="00BC3FF5" w:rsidRDefault="00BC3FF5" w:rsidP="00BC3FF5">
            <w:pPr>
              <w:spacing w:after="0" w:line="240" w:lineRule="auto"/>
              <w:jc w:val="right"/>
              <w:rPr>
                <w:rFonts w:cs="Arial"/>
                <w:sz w:val="16"/>
                <w:szCs w:val="16"/>
              </w:rPr>
            </w:pPr>
            <w:r w:rsidRPr="00BC3FF5">
              <w:rPr>
                <w:rFonts w:cs="Arial"/>
                <w:sz w:val="16"/>
                <w:szCs w:val="16"/>
              </w:rPr>
              <w:t>2 272,9</w:t>
            </w:r>
          </w:p>
        </w:tc>
        <w:tc>
          <w:tcPr>
            <w:tcW w:w="964" w:type="dxa"/>
            <w:tcBorders>
              <w:top w:val="nil"/>
              <w:left w:val="nil"/>
              <w:bottom w:val="nil"/>
              <w:right w:val="single" w:sz="4" w:space="0" w:color="auto"/>
            </w:tcBorders>
            <w:shd w:val="clear" w:color="auto" w:fill="auto"/>
            <w:vAlign w:val="center"/>
            <w:hideMark/>
          </w:tcPr>
          <w:p w14:paraId="10FA11ED" w14:textId="77777777" w:rsidR="00BC3FF5" w:rsidRPr="00BC3FF5" w:rsidRDefault="00BC3FF5" w:rsidP="00BC3FF5">
            <w:pPr>
              <w:spacing w:after="0" w:line="240" w:lineRule="auto"/>
              <w:jc w:val="right"/>
              <w:rPr>
                <w:rFonts w:cs="Arial"/>
                <w:sz w:val="16"/>
                <w:szCs w:val="16"/>
              </w:rPr>
            </w:pPr>
            <w:r w:rsidRPr="00BC3FF5">
              <w:rPr>
                <w:rFonts w:cs="Arial"/>
                <w:sz w:val="16"/>
                <w:szCs w:val="16"/>
              </w:rPr>
              <w:t>2 191,2</w:t>
            </w:r>
          </w:p>
        </w:tc>
        <w:tc>
          <w:tcPr>
            <w:tcW w:w="1054" w:type="dxa"/>
            <w:tcBorders>
              <w:top w:val="nil"/>
              <w:left w:val="single" w:sz="4" w:space="0" w:color="auto"/>
              <w:bottom w:val="nil"/>
              <w:right w:val="nil"/>
            </w:tcBorders>
            <w:shd w:val="clear" w:color="auto" w:fill="auto"/>
            <w:vAlign w:val="center"/>
            <w:hideMark/>
          </w:tcPr>
          <w:p w14:paraId="648E6A91" w14:textId="77777777" w:rsidR="00BC3FF5" w:rsidRPr="00BC3FF5" w:rsidRDefault="00BC3FF5" w:rsidP="00BC3FF5">
            <w:pPr>
              <w:spacing w:after="0" w:line="240" w:lineRule="auto"/>
              <w:jc w:val="right"/>
              <w:rPr>
                <w:rFonts w:cs="Arial"/>
                <w:sz w:val="16"/>
                <w:szCs w:val="16"/>
              </w:rPr>
            </w:pPr>
            <w:r w:rsidRPr="00BC3FF5">
              <w:rPr>
                <w:rFonts w:cs="Arial"/>
                <w:sz w:val="16"/>
                <w:szCs w:val="16"/>
              </w:rPr>
              <w:t>4 358,3</w:t>
            </w:r>
          </w:p>
        </w:tc>
        <w:tc>
          <w:tcPr>
            <w:tcW w:w="963" w:type="dxa"/>
            <w:tcBorders>
              <w:top w:val="nil"/>
              <w:left w:val="nil"/>
              <w:bottom w:val="nil"/>
              <w:right w:val="nil"/>
            </w:tcBorders>
            <w:shd w:val="clear" w:color="auto" w:fill="auto"/>
            <w:vAlign w:val="center"/>
            <w:hideMark/>
          </w:tcPr>
          <w:p w14:paraId="469B22BA" w14:textId="77777777" w:rsidR="00BC3FF5" w:rsidRPr="00BC3FF5" w:rsidRDefault="00BC3FF5" w:rsidP="00BC3FF5">
            <w:pPr>
              <w:spacing w:after="0" w:line="240" w:lineRule="auto"/>
              <w:jc w:val="right"/>
              <w:rPr>
                <w:rFonts w:cs="Arial"/>
                <w:sz w:val="16"/>
                <w:szCs w:val="16"/>
              </w:rPr>
            </w:pPr>
            <w:r w:rsidRPr="00BC3FF5">
              <w:rPr>
                <w:rFonts w:cs="Arial"/>
                <w:sz w:val="16"/>
                <w:szCs w:val="16"/>
              </w:rPr>
              <w:t>2 207,8</w:t>
            </w:r>
          </w:p>
        </w:tc>
        <w:tc>
          <w:tcPr>
            <w:tcW w:w="964" w:type="dxa"/>
            <w:tcBorders>
              <w:top w:val="nil"/>
              <w:left w:val="nil"/>
              <w:bottom w:val="nil"/>
              <w:right w:val="single" w:sz="4" w:space="0" w:color="auto"/>
            </w:tcBorders>
            <w:shd w:val="clear" w:color="auto" w:fill="auto"/>
            <w:vAlign w:val="center"/>
            <w:hideMark/>
          </w:tcPr>
          <w:p w14:paraId="4890228B" w14:textId="77777777" w:rsidR="00BC3FF5" w:rsidRPr="00BC3FF5" w:rsidRDefault="00BC3FF5" w:rsidP="00BC3FF5">
            <w:pPr>
              <w:spacing w:after="0" w:line="240" w:lineRule="auto"/>
              <w:jc w:val="right"/>
              <w:rPr>
                <w:rFonts w:cs="Arial"/>
                <w:sz w:val="16"/>
                <w:szCs w:val="16"/>
              </w:rPr>
            </w:pPr>
            <w:r w:rsidRPr="00BC3FF5">
              <w:rPr>
                <w:rFonts w:cs="Arial"/>
                <w:sz w:val="16"/>
                <w:szCs w:val="16"/>
              </w:rPr>
              <w:t>2 150,6</w:t>
            </w:r>
          </w:p>
        </w:tc>
        <w:tc>
          <w:tcPr>
            <w:tcW w:w="966" w:type="dxa"/>
            <w:tcBorders>
              <w:top w:val="nil"/>
              <w:left w:val="single" w:sz="4" w:space="0" w:color="auto"/>
              <w:bottom w:val="nil"/>
              <w:right w:val="nil"/>
            </w:tcBorders>
            <w:shd w:val="clear" w:color="auto" w:fill="auto"/>
            <w:vAlign w:val="center"/>
            <w:hideMark/>
          </w:tcPr>
          <w:p w14:paraId="5C8A1AB1" w14:textId="77777777" w:rsidR="00BC3FF5" w:rsidRPr="00BC3FF5" w:rsidRDefault="00BC3FF5" w:rsidP="00BC3FF5">
            <w:pPr>
              <w:spacing w:after="0" w:line="240" w:lineRule="auto"/>
              <w:jc w:val="right"/>
              <w:rPr>
                <w:rFonts w:cs="Arial"/>
                <w:sz w:val="16"/>
                <w:szCs w:val="16"/>
              </w:rPr>
            </w:pPr>
            <w:r w:rsidRPr="00BC3FF5">
              <w:rPr>
                <w:rFonts w:cs="Arial"/>
                <w:sz w:val="16"/>
                <w:szCs w:val="16"/>
              </w:rPr>
              <w:t>105,7</w:t>
            </w:r>
          </w:p>
        </w:tc>
        <w:tc>
          <w:tcPr>
            <w:tcW w:w="963" w:type="dxa"/>
            <w:tcBorders>
              <w:top w:val="nil"/>
              <w:left w:val="nil"/>
              <w:bottom w:val="nil"/>
              <w:right w:val="nil"/>
            </w:tcBorders>
            <w:shd w:val="clear" w:color="auto" w:fill="auto"/>
            <w:vAlign w:val="center"/>
            <w:hideMark/>
          </w:tcPr>
          <w:p w14:paraId="392EDD3B" w14:textId="77777777" w:rsidR="00BC3FF5" w:rsidRPr="00BC3FF5" w:rsidRDefault="00BC3FF5" w:rsidP="00BC3FF5">
            <w:pPr>
              <w:spacing w:after="0" w:line="240" w:lineRule="auto"/>
              <w:jc w:val="right"/>
              <w:rPr>
                <w:rFonts w:cs="Arial"/>
                <w:sz w:val="16"/>
                <w:szCs w:val="16"/>
              </w:rPr>
            </w:pPr>
            <w:r w:rsidRPr="00BC3FF5">
              <w:rPr>
                <w:rFonts w:cs="Arial"/>
                <w:sz w:val="16"/>
                <w:szCs w:val="16"/>
              </w:rPr>
              <w:t>65,1</w:t>
            </w:r>
          </w:p>
        </w:tc>
        <w:tc>
          <w:tcPr>
            <w:tcW w:w="965" w:type="dxa"/>
            <w:tcBorders>
              <w:top w:val="nil"/>
              <w:left w:val="nil"/>
              <w:bottom w:val="nil"/>
              <w:right w:val="nil"/>
            </w:tcBorders>
            <w:shd w:val="clear" w:color="auto" w:fill="auto"/>
            <w:vAlign w:val="center"/>
            <w:hideMark/>
          </w:tcPr>
          <w:p w14:paraId="55E9ED9C" w14:textId="77777777" w:rsidR="00BC3FF5" w:rsidRPr="00BC3FF5" w:rsidRDefault="00BC3FF5" w:rsidP="00BC3FF5">
            <w:pPr>
              <w:spacing w:after="0" w:line="240" w:lineRule="auto"/>
              <w:jc w:val="right"/>
              <w:rPr>
                <w:rFonts w:cs="Arial"/>
                <w:sz w:val="16"/>
                <w:szCs w:val="16"/>
              </w:rPr>
            </w:pPr>
            <w:r w:rsidRPr="00BC3FF5">
              <w:rPr>
                <w:rFonts w:cs="Arial"/>
                <w:sz w:val="16"/>
                <w:szCs w:val="16"/>
              </w:rPr>
              <w:t>40,6</w:t>
            </w:r>
          </w:p>
        </w:tc>
      </w:tr>
      <w:tr w:rsidR="00BC3FF5" w:rsidRPr="00BC3FF5" w14:paraId="57888AF4"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540DD450"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2015</w:t>
            </w:r>
          </w:p>
        </w:tc>
        <w:tc>
          <w:tcPr>
            <w:tcW w:w="966" w:type="dxa"/>
            <w:tcBorders>
              <w:top w:val="nil"/>
              <w:left w:val="nil"/>
              <w:bottom w:val="nil"/>
              <w:right w:val="nil"/>
            </w:tcBorders>
            <w:shd w:val="clear" w:color="auto" w:fill="auto"/>
            <w:vAlign w:val="center"/>
            <w:hideMark/>
          </w:tcPr>
          <w:p w14:paraId="3196DCB3" w14:textId="77777777" w:rsidR="00BC3FF5" w:rsidRPr="00BC3FF5" w:rsidRDefault="00BC3FF5" w:rsidP="00BC3FF5">
            <w:pPr>
              <w:spacing w:after="0" w:line="240" w:lineRule="auto"/>
              <w:jc w:val="right"/>
              <w:rPr>
                <w:rFonts w:cs="Arial"/>
                <w:sz w:val="16"/>
                <w:szCs w:val="16"/>
              </w:rPr>
            </w:pPr>
            <w:r w:rsidRPr="00BC3FF5">
              <w:rPr>
                <w:rFonts w:cs="Arial"/>
                <w:sz w:val="16"/>
                <w:szCs w:val="16"/>
              </w:rPr>
              <w:t>4 507,0</w:t>
            </w:r>
          </w:p>
        </w:tc>
        <w:tc>
          <w:tcPr>
            <w:tcW w:w="963" w:type="dxa"/>
            <w:tcBorders>
              <w:top w:val="nil"/>
              <w:left w:val="nil"/>
              <w:bottom w:val="nil"/>
              <w:right w:val="nil"/>
            </w:tcBorders>
            <w:shd w:val="clear" w:color="auto" w:fill="auto"/>
            <w:vAlign w:val="center"/>
            <w:hideMark/>
          </w:tcPr>
          <w:p w14:paraId="039D9E7D" w14:textId="77777777" w:rsidR="00BC3FF5" w:rsidRPr="00BC3FF5" w:rsidRDefault="00BC3FF5" w:rsidP="00BC3FF5">
            <w:pPr>
              <w:spacing w:after="0" w:line="240" w:lineRule="auto"/>
              <w:jc w:val="right"/>
              <w:rPr>
                <w:rFonts w:cs="Arial"/>
                <w:sz w:val="16"/>
                <w:szCs w:val="16"/>
              </w:rPr>
            </w:pPr>
            <w:r w:rsidRPr="00BC3FF5">
              <w:rPr>
                <w:rFonts w:cs="Arial"/>
                <w:sz w:val="16"/>
                <w:szCs w:val="16"/>
              </w:rPr>
              <w:t>2 301,3</w:t>
            </w:r>
          </w:p>
        </w:tc>
        <w:tc>
          <w:tcPr>
            <w:tcW w:w="964" w:type="dxa"/>
            <w:tcBorders>
              <w:top w:val="nil"/>
              <w:left w:val="nil"/>
              <w:bottom w:val="nil"/>
              <w:right w:val="single" w:sz="4" w:space="0" w:color="auto"/>
            </w:tcBorders>
            <w:shd w:val="clear" w:color="auto" w:fill="auto"/>
            <w:vAlign w:val="center"/>
            <w:hideMark/>
          </w:tcPr>
          <w:p w14:paraId="50D5E49F" w14:textId="77777777" w:rsidR="00BC3FF5" w:rsidRPr="00BC3FF5" w:rsidRDefault="00BC3FF5" w:rsidP="00BC3FF5">
            <w:pPr>
              <w:spacing w:after="0" w:line="240" w:lineRule="auto"/>
              <w:jc w:val="right"/>
              <w:rPr>
                <w:rFonts w:cs="Arial"/>
                <w:sz w:val="16"/>
                <w:szCs w:val="16"/>
              </w:rPr>
            </w:pPr>
            <w:r w:rsidRPr="00BC3FF5">
              <w:rPr>
                <w:rFonts w:cs="Arial"/>
                <w:sz w:val="16"/>
                <w:szCs w:val="16"/>
              </w:rPr>
              <w:t>2 205,7</w:t>
            </w:r>
          </w:p>
        </w:tc>
        <w:tc>
          <w:tcPr>
            <w:tcW w:w="1054" w:type="dxa"/>
            <w:tcBorders>
              <w:top w:val="nil"/>
              <w:left w:val="single" w:sz="4" w:space="0" w:color="auto"/>
              <w:bottom w:val="nil"/>
              <w:right w:val="nil"/>
            </w:tcBorders>
            <w:shd w:val="clear" w:color="auto" w:fill="auto"/>
            <w:vAlign w:val="center"/>
            <w:hideMark/>
          </w:tcPr>
          <w:p w14:paraId="38B07EFB" w14:textId="77777777" w:rsidR="00BC3FF5" w:rsidRPr="00BC3FF5" w:rsidRDefault="00BC3FF5" w:rsidP="00BC3FF5">
            <w:pPr>
              <w:spacing w:after="0" w:line="240" w:lineRule="auto"/>
              <w:jc w:val="right"/>
              <w:rPr>
                <w:rFonts w:cs="Arial"/>
                <w:sz w:val="16"/>
                <w:szCs w:val="16"/>
              </w:rPr>
            </w:pPr>
            <w:r w:rsidRPr="00BC3FF5">
              <w:rPr>
                <w:rFonts w:cs="Arial"/>
                <w:sz w:val="16"/>
                <w:szCs w:val="16"/>
              </w:rPr>
              <w:t>4 417,6</w:t>
            </w:r>
          </w:p>
        </w:tc>
        <w:tc>
          <w:tcPr>
            <w:tcW w:w="963" w:type="dxa"/>
            <w:tcBorders>
              <w:top w:val="nil"/>
              <w:left w:val="nil"/>
              <w:bottom w:val="nil"/>
              <w:right w:val="nil"/>
            </w:tcBorders>
            <w:shd w:val="clear" w:color="auto" w:fill="auto"/>
            <w:vAlign w:val="center"/>
            <w:hideMark/>
          </w:tcPr>
          <w:p w14:paraId="66042724" w14:textId="77777777" w:rsidR="00BC3FF5" w:rsidRPr="00BC3FF5" w:rsidRDefault="00BC3FF5" w:rsidP="00BC3FF5">
            <w:pPr>
              <w:spacing w:after="0" w:line="240" w:lineRule="auto"/>
              <w:jc w:val="right"/>
              <w:rPr>
                <w:rFonts w:cs="Arial"/>
                <w:sz w:val="16"/>
                <w:szCs w:val="16"/>
              </w:rPr>
            </w:pPr>
            <w:r w:rsidRPr="00BC3FF5">
              <w:rPr>
                <w:rFonts w:cs="Arial"/>
                <w:sz w:val="16"/>
                <w:szCs w:val="16"/>
              </w:rPr>
              <w:t>2 252,8</w:t>
            </w:r>
          </w:p>
        </w:tc>
        <w:tc>
          <w:tcPr>
            <w:tcW w:w="964" w:type="dxa"/>
            <w:tcBorders>
              <w:top w:val="nil"/>
              <w:left w:val="nil"/>
              <w:bottom w:val="nil"/>
              <w:right w:val="single" w:sz="4" w:space="0" w:color="auto"/>
            </w:tcBorders>
            <w:shd w:val="clear" w:color="auto" w:fill="auto"/>
            <w:vAlign w:val="center"/>
            <w:hideMark/>
          </w:tcPr>
          <w:p w14:paraId="485E869D" w14:textId="77777777" w:rsidR="00BC3FF5" w:rsidRPr="00BC3FF5" w:rsidRDefault="00BC3FF5" w:rsidP="00BC3FF5">
            <w:pPr>
              <w:spacing w:after="0" w:line="240" w:lineRule="auto"/>
              <w:jc w:val="right"/>
              <w:rPr>
                <w:rFonts w:cs="Arial"/>
                <w:sz w:val="16"/>
                <w:szCs w:val="16"/>
              </w:rPr>
            </w:pPr>
            <w:r w:rsidRPr="00BC3FF5">
              <w:rPr>
                <w:rFonts w:cs="Arial"/>
                <w:sz w:val="16"/>
                <w:szCs w:val="16"/>
              </w:rPr>
              <w:t>2 164,8</w:t>
            </w:r>
          </w:p>
        </w:tc>
        <w:tc>
          <w:tcPr>
            <w:tcW w:w="966" w:type="dxa"/>
            <w:tcBorders>
              <w:top w:val="nil"/>
              <w:left w:val="single" w:sz="4" w:space="0" w:color="auto"/>
              <w:bottom w:val="nil"/>
              <w:right w:val="nil"/>
            </w:tcBorders>
            <w:shd w:val="clear" w:color="auto" w:fill="auto"/>
            <w:vAlign w:val="center"/>
            <w:hideMark/>
          </w:tcPr>
          <w:p w14:paraId="6D5F1C82" w14:textId="77777777" w:rsidR="00BC3FF5" w:rsidRPr="00BC3FF5" w:rsidRDefault="00BC3FF5" w:rsidP="00BC3FF5">
            <w:pPr>
              <w:spacing w:after="0" w:line="240" w:lineRule="auto"/>
              <w:jc w:val="right"/>
              <w:rPr>
                <w:rFonts w:cs="Arial"/>
                <w:sz w:val="16"/>
                <w:szCs w:val="16"/>
              </w:rPr>
            </w:pPr>
            <w:r w:rsidRPr="00BC3FF5">
              <w:rPr>
                <w:rFonts w:cs="Arial"/>
                <w:sz w:val="16"/>
                <w:szCs w:val="16"/>
              </w:rPr>
              <w:t>89,4</w:t>
            </w:r>
          </w:p>
        </w:tc>
        <w:tc>
          <w:tcPr>
            <w:tcW w:w="963" w:type="dxa"/>
            <w:tcBorders>
              <w:top w:val="nil"/>
              <w:left w:val="nil"/>
              <w:bottom w:val="nil"/>
              <w:right w:val="nil"/>
            </w:tcBorders>
            <w:shd w:val="clear" w:color="auto" w:fill="auto"/>
            <w:vAlign w:val="center"/>
            <w:hideMark/>
          </w:tcPr>
          <w:p w14:paraId="74D5A182" w14:textId="77777777" w:rsidR="00BC3FF5" w:rsidRPr="00BC3FF5" w:rsidRDefault="00BC3FF5" w:rsidP="00BC3FF5">
            <w:pPr>
              <w:spacing w:after="0" w:line="240" w:lineRule="auto"/>
              <w:jc w:val="right"/>
              <w:rPr>
                <w:rFonts w:cs="Arial"/>
                <w:sz w:val="16"/>
                <w:szCs w:val="16"/>
              </w:rPr>
            </w:pPr>
            <w:r w:rsidRPr="00BC3FF5">
              <w:rPr>
                <w:rFonts w:cs="Arial"/>
                <w:sz w:val="16"/>
                <w:szCs w:val="16"/>
              </w:rPr>
              <w:t>48,5</w:t>
            </w:r>
          </w:p>
        </w:tc>
        <w:tc>
          <w:tcPr>
            <w:tcW w:w="965" w:type="dxa"/>
            <w:tcBorders>
              <w:top w:val="nil"/>
              <w:left w:val="nil"/>
              <w:bottom w:val="nil"/>
              <w:right w:val="nil"/>
            </w:tcBorders>
            <w:shd w:val="clear" w:color="auto" w:fill="auto"/>
            <w:vAlign w:val="center"/>
            <w:hideMark/>
          </w:tcPr>
          <w:p w14:paraId="42A1E2DA" w14:textId="77777777" w:rsidR="00BC3FF5" w:rsidRPr="00BC3FF5" w:rsidRDefault="00BC3FF5" w:rsidP="00BC3FF5">
            <w:pPr>
              <w:spacing w:after="0" w:line="240" w:lineRule="auto"/>
              <w:jc w:val="right"/>
              <w:rPr>
                <w:rFonts w:cs="Arial"/>
                <w:sz w:val="16"/>
                <w:szCs w:val="16"/>
              </w:rPr>
            </w:pPr>
            <w:r w:rsidRPr="00BC3FF5">
              <w:rPr>
                <w:rFonts w:cs="Arial"/>
                <w:sz w:val="16"/>
                <w:szCs w:val="16"/>
              </w:rPr>
              <w:t>40,9</w:t>
            </w:r>
          </w:p>
        </w:tc>
      </w:tr>
      <w:tr w:rsidR="00BC3FF5" w:rsidRPr="00BC3FF5" w14:paraId="3264C9A0"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2C47909A"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2016</w:t>
            </w:r>
          </w:p>
        </w:tc>
        <w:tc>
          <w:tcPr>
            <w:tcW w:w="966" w:type="dxa"/>
            <w:tcBorders>
              <w:top w:val="nil"/>
              <w:left w:val="nil"/>
              <w:bottom w:val="nil"/>
              <w:right w:val="nil"/>
            </w:tcBorders>
            <w:shd w:val="clear" w:color="auto" w:fill="auto"/>
            <w:vAlign w:val="center"/>
            <w:hideMark/>
          </w:tcPr>
          <w:p w14:paraId="5083353E" w14:textId="77777777" w:rsidR="00BC3FF5" w:rsidRPr="00BC3FF5" w:rsidRDefault="00BC3FF5" w:rsidP="00BC3FF5">
            <w:pPr>
              <w:spacing w:after="0" w:line="240" w:lineRule="auto"/>
              <w:jc w:val="right"/>
              <w:rPr>
                <w:rFonts w:cs="Arial"/>
                <w:sz w:val="16"/>
                <w:szCs w:val="16"/>
              </w:rPr>
            </w:pPr>
            <w:r w:rsidRPr="00BC3FF5">
              <w:rPr>
                <w:rFonts w:cs="Arial"/>
                <w:sz w:val="16"/>
                <w:szCs w:val="16"/>
              </w:rPr>
              <w:t>4 571,3</w:t>
            </w:r>
          </w:p>
        </w:tc>
        <w:tc>
          <w:tcPr>
            <w:tcW w:w="963" w:type="dxa"/>
            <w:tcBorders>
              <w:top w:val="nil"/>
              <w:left w:val="nil"/>
              <w:bottom w:val="nil"/>
              <w:right w:val="nil"/>
            </w:tcBorders>
            <w:shd w:val="clear" w:color="auto" w:fill="auto"/>
            <w:vAlign w:val="center"/>
            <w:hideMark/>
          </w:tcPr>
          <w:p w14:paraId="549E686F" w14:textId="77777777" w:rsidR="00BC3FF5" w:rsidRPr="00BC3FF5" w:rsidRDefault="00BC3FF5" w:rsidP="00BC3FF5">
            <w:pPr>
              <w:spacing w:after="0" w:line="240" w:lineRule="auto"/>
              <w:jc w:val="right"/>
              <w:rPr>
                <w:rFonts w:cs="Arial"/>
                <w:sz w:val="16"/>
                <w:szCs w:val="16"/>
              </w:rPr>
            </w:pPr>
            <w:r w:rsidRPr="00BC3FF5">
              <w:rPr>
                <w:rFonts w:cs="Arial"/>
                <w:sz w:val="16"/>
                <w:szCs w:val="16"/>
              </w:rPr>
              <w:t>2 328,5</w:t>
            </w:r>
          </w:p>
        </w:tc>
        <w:tc>
          <w:tcPr>
            <w:tcW w:w="964" w:type="dxa"/>
            <w:tcBorders>
              <w:top w:val="nil"/>
              <w:left w:val="nil"/>
              <w:bottom w:val="nil"/>
              <w:right w:val="single" w:sz="4" w:space="0" w:color="auto"/>
            </w:tcBorders>
            <w:shd w:val="clear" w:color="auto" w:fill="auto"/>
            <w:vAlign w:val="center"/>
            <w:hideMark/>
          </w:tcPr>
          <w:p w14:paraId="5C194D27" w14:textId="77777777" w:rsidR="00BC3FF5" w:rsidRPr="00BC3FF5" w:rsidRDefault="00BC3FF5" w:rsidP="00BC3FF5">
            <w:pPr>
              <w:spacing w:after="0" w:line="240" w:lineRule="auto"/>
              <w:jc w:val="right"/>
              <w:rPr>
                <w:rFonts w:cs="Arial"/>
                <w:sz w:val="16"/>
                <w:szCs w:val="16"/>
              </w:rPr>
            </w:pPr>
            <w:r w:rsidRPr="00BC3FF5">
              <w:rPr>
                <w:rFonts w:cs="Arial"/>
                <w:sz w:val="16"/>
                <w:szCs w:val="16"/>
              </w:rPr>
              <w:t>2 242,8</w:t>
            </w:r>
          </w:p>
        </w:tc>
        <w:tc>
          <w:tcPr>
            <w:tcW w:w="1054" w:type="dxa"/>
            <w:tcBorders>
              <w:top w:val="nil"/>
              <w:left w:val="single" w:sz="4" w:space="0" w:color="auto"/>
              <w:bottom w:val="nil"/>
              <w:right w:val="nil"/>
            </w:tcBorders>
            <w:shd w:val="clear" w:color="auto" w:fill="auto"/>
            <w:vAlign w:val="center"/>
            <w:hideMark/>
          </w:tcPr>
          <w:p w14:paraId="51B1C169" w14:textId="77777777" w:rsidR="00BC3FF5" w:rsidRPr="00BC3FF5" w:rsidRDefault="00BC3FF5" w:rsidP="00BC3FF5">
            <w:pPr>
              <w:spacing w:after="0" w:line="240" w:lineRule="auto"/>
              <w:jc w:val="right"/>
              <w:rPr>
                <w:rFonts w:cs="Arial"/>
                <w:sz w:val="16"/>
                <w:szCs w:val="16"/>
              </w:rPr>
            </w:pPr>
            <w:r w:rsidRPr="00BC3FF5">
              <w:rPr>
                <w:rFonts w:cs="Arial"/>
                <w:sz w:val="16"/>
                <w:szCs w:val="16"/>
              </w:rPr>
              <w:t>4 481,8</w:t>
            </w:r>
          </w:p>
        </w:tc>
        <w:tc>
          <w:tcPr>
            <w:tcW w:w="963" w:type="dxa"/>
            <w:tcBorders>
              <w:top w:val="nil"/>
              <w:left w:val="nil"/>
              <w:bottom w:val="nil"/>
              <w:right w:val="nil"/>
            </w:tcBorders>
            <w:shd w:val="clear" w:color="auto" w:fill="auto"/>
            <w:vAlign w:val="center"/>
            <w:hideMark/>
          </w:tcPr>
          <w:p w14:paraId="2B55B6BB" w14:textId="77777777" w:rsidR="00BC3FF5" w:rsidRPr="00BC3FF5" w:rsidRDefault="00BC3FF5" w:rsidP="00BC3FF5">
            <w:pPr>
              <w:spacing w:after="0" w:line="240" w:lineRule="auto"/>
              <w:jc w:val="right"/>
              <w:rPr>
                <w:rFonts w:cs="Arial"/>
                <w:sz w:val="16"/>
                <w:szCs w:val="16"/>
              </w:rPr>
            </w:pPr>
            <w:r w:rsidRPr="00BC3FF5">
              <w:rPr>
                <w:rFonts w:cs="Arial"/>
                <w:sz w:val="16"/>
                <w:szCs w:val="16"/>
              </w:rPr>
              <w:t>2 273,5</w:t>
            </w:r>
          </w:p>
        </w:tc>
        <w:tc>
          <w:tcPr>
            <w:tcW w:w="964" w:type="dxa"/>
            <w:tcBorders>
              <w:top w:val="nil"/>
              <w:left w:val="nil"/>
              <w:bottom w:val="nil"/>
              <w:right w:val="single" w:sz="4" w:space="0" w:color="auto"/>
            </w:tcBorders>
            <w:shd w:val="clear" w:color="auto" w:fill="auto"/>
            <w:vAlign w:val="center"/>
            <w:hideMark/>
          </w:tcPr>
          <w:p w14:paraId="124FF8C1" w14:textId="77777777" w:rsidR="00BC3FF5" w:rsidRPr="00BC3FF5" w:rsidRDefault="00BC3FF5" w:rsidP="00BC3FF5">
            <w:pPr>
              <w:spacing w:after="0" w:line="240" w:lineRule="auto"/>
              <w:jc w:val="right"/>
              <w:rPr>
                <w:rFonts w:cs="Arial"/>
                <w:sz w:val="16"/>
                <w:szCs w:val="16"/>
              </w:rPr>
            </w:pPr>
            <w:r w:rsidRPr="00BC3FF5">
              <w:rPr>
                <w:rFonts w:cs="Arial"/>
                <w:sz w:val="16"/>
                <w:szCs w:val="16"/>
              </w:rPr>
              <w:t>2 208,3</w:t>
            </w:r>
          </w:p>
        </w:tc>
        <w:tc>
          <w:tcPr>
            <w:tcW w:w="966" w:type="dxa"/>
            <w:tcBorders>
              <w:top w:val="nil"/>
              <w:left w:val="single" w:sz="4" w:space="0" w:color="auto"/>
              <w:bottom w:val="nil"/>
              <w:right w:val="nil"/>
            </w:tcBorders>
            <w:shd w:val="clear" w:color="auto" w:fill="auto"/>
            <w:vAlign w:val="center"/>
            <w:hideMark/>
          </w:tcPr>
          <w:p w14:paraId="2106CF45" w14:textId="77777777" w:rsidR="00BC3FF5" w:rsidRPr="00BC3FF5" w:rsidRDefault="00BC3FF5" w:rsidP="00BC3FF5">
            <w:pPr>
              <w:spacing w:after="0" w:line="240" w:lineRule="auto"/>
              <w:jc w:val="right"/>
              <w:rPr>
                <w:rFonts w:cs="Arial"/>
                <w:sz w:val="16"/>
                <w:szCs w:val="16"/>
              </w:rPr>
            </w:pPr>
            <w:r w:rsidRPr="00BC3FF5">
              <w:rPr>
                <w:rFonts w:cs="Arial"/>
                <w:sz w:val="16"/>
                <w:szCs w:val="16"/>
              </w:rPr>
              <w:t>89,5</w:t>
            </w:r>
          </w:p>
        </w:tc>
        <w:tc>
          <w:tcPr>
            <w:tcW w:w="963" w:type="dxa"/>
            <w:tcBorders>
              <w:top w:val="nil"/>
              <w:left w:val="nil"/>
              <w:bottom w:val="nil"/>
              <w:right w:val="nil"/>
            </w:tcBorders>
            <w:shd w:val="clear" w:color="auto" w:fill="auto"/>
            <w:vAlign w:val="center"/>
            <w:hideMark/>
          </w:tcPr>
          <w:p w14:paraId="1D4A44AA" w14:textId="77777777" w:rsidR="00BC3FF5" w:rsidRPr="00BC3FF5" w:rsidRDefault="00BC3FF5" w:rsidP="00BC3FF5">
            <w:pPr>
              <w:spacing w:after="0" w:line="240" w:lineRule="auto"/>
              <w:jc w:val="right"/>
              <w:rPr>
                <w:rFonts w:cs="Arial"/>
                <w:sz w:val="16"/>
                <w:szCs w:val="16"/>
              </w:rPr>
            </w:pPr>
            <w:r w:rsidRPr="00BC3FF5">
              <w:rPr>
                <w:rFonts w:cs="Arial"/>
                <w:sz w:val="16"/>
                <w:szCs w:val="16"/>
              </w:rPr>
              <w:t>55,0</w:t>
            </w:r>
          </w:p>
        </w:tc>
        <w:tc>
          <w:tcPr>
            <w:tcW w:w="965" w:type="dxa"/>
            <w:tcBorders>
              <w:top w:val="nil"/>
              <w:left w:val="nil"/>
              <w:bottom w:val="nil"/>
              <w:right w:val="nil"/>
            </w:tcBorders>
            <w:shd w:val="clear" w:color="auto" w:fill="auto"/>
            <w:vAlign w:val="center"/>
            <w:hideMark/>
          </w:tcPr>
          <w:p w14:paraId="4538E2E2" w14:textId="77777777" w:rsidR="00BC3FF5" w:rsidRPr="00BC3FF5" w:rsidRDefault="00BC3FF5" w:rsidP="00BC3FF5">
            <w:pPr>
              <w:spacing w:after="0" w:line="240" w:lineRule="auto"/>
              <w:jc w:val="right"/>
              <w:rPr>
                <w:rFonts w:cs="Arial"/>
                <w:sz w:val="16"/>
                <w:szCs w:val="16"/>
              </w:rPr>
            </w:pPr>
            <w:r w:rsidRPr="00BC3FF5">
              <w:rPr>
                <w:rFonts w:cs="Arial"/>
                <w:sz w:val="16"/>
                <w:szCs w:val="16"/>
              </w:rPr>
              <w:t>34,5</w:t>
            </w:r>
          </w:p>
        </w:tc>
      </w:tr>
      <w:tr w:rsidR="00BC3FF5" w:rsidRPr="00BC3FF5" w14:paraId="3202FBF8"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5F97CA94"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2017</w:t>
            </w:r>
          </w:p>
        </w:tc>
        <w:tc>
          <w:tcPr>
            <w:tcW w:w="966" w:type="dxa"/>
            <w:tcBorders>
              <w:top w:val="nil"/>
              <w:left w:val="nil"/>
              <w:bottom w:val="nil"/>
              <w:right w:val="nil"/>
            </w:tcBorders>
            <w:shd w:val="clear" w:color="auto" w:fill="auto"/>
            <w:vAlign w:val="center"/>
            <w:hideMark/>
          </w:tcPr>
          <w:p w14:paraId="5D43663B" w14:textId="77777777" w:rsidR="00BC3FF5" w:rsidRPr="00BC3FF5" w:rsidRDefault="00BC3FF5" w:rsidP="00BC3FF5">
            <w:pPr>
              <w:spacing w:after="0" w:line="240" w:lineRule="auto"/>
              <w:jc w:val="right"/>
              <w:rPr>
                <w:rFonts w:cs="Arial"/>
                <w:sz w:val="16"/>
                <w:szCs w:val="16"/>
              </w:rPr>
            </w:pPr>
            <w:r w:rsidRPr="00BC3FF5">
              <w:rPr>
                <w:rFonts w:cs="Arial"/>
                <w:sz w:val="16"/>
                <w:szCs w:val="16"/>
              </w:rPr>
              <w:t>4 671,8</w:t>
            </w:r>
          </w:p>
        </w:tc>
        <w:tc>
          <w:tcPr>
            <w:tcW w:w="963" w:type="dxa"/>
            <w:tcBorders>
              <w:top w:val="nil"/>
              <w:left w:val="nil"/>
              <w:bottom w:val="nil"/>
              <w:right w:val="nil"/>
            </w:tcBorders>
            <w:shd w:val="clear" w:color="auto" w:fill="auto"/>
            <w:vAlign w:val="center"/>
            <w:hideMark/>
          </w:tcPr>
          <w:p w14:paraId="7DB5D6CC" w14:textId="77777777" w:rsidR="00BC3FF5" w:rsidRPr="00BC3FF5" w:rsidRDefault="00BC3FF5" w:rsidP="00BC3FF5">
            <w:pPr>
              <w:spacing w:after="0" w:line="240" w:lineRule="auto"/>
              <w:jc w:val="right"/>
              <w:rPr>
                <w:rFonts w:cs="Arial"/>
                <w:sz w:val="16"/>
                <w:szCs w:val="16"/>
              </w:rPr>
            </w:pPr>
            <w:r w:rsidRPr="00BC3FF5">
              <w:rPr>
                <w:rFonts w:cs="Arial"/>
                <w:sz w:val="16"/>
                <w:szCs w:val="16"/>
              </w:rPr>
              <w:t>2 370,0</w:t>
            </w:r>
          </w:p>
        </w:tc>
        <w:tc>
          <w:tcPr>
            <w:tcW w:w="964" w:type="dxa"/>
            <w:tcBorders>
              <w:top w:val="nil"/>
              <w:left w:val="nil"/>
              <w:bottom w:val="nil"/>
              <w:right w:val="single" w:sz="4" w:space="0" w:color="auto"/>
            </w:tcBorders>
            <w:shd w:val="clear" w:color="auto" w:fill="auto"/>
            <w:vAlign w:val="center"/>
            <w:hideMark/>
          </w:tcPr>
          <w:p w14:paraId="43FE497E" w14:textId="77777777" w:rsidR="00BC3FF5" w:rsidRPr="00BC3FF5" w:rsidRDefault="00BC3FF5" w:rsidP="00BC3FF5">
            <w:pPr>
              <w:spacing w:after="0" w:line="240" w:lineRule="auto"/>
              <w:jc w:val="right"/>
              <w:rPr>
                <w:rFonts w:cs="Arial"/>
                <w:sz w:val="16"/>
                <w:szCs w:val="16"/>
              </w:rPr>
            </w:pPr>
            <w:r w:rsidRPr="00BC3FF5">
              <w:rPr>
                <w:rFonts w:cs="Arial"/>
                <w:sz w:val="16"/>
                <w:szCs w:val="16"/>
              </w:rPr>
              <w:t>2 301,8</w:t>
            </w:r>
          </w:p>
        </w:tc>
        <w:tc>
          <w:tcPr>
            <w:tcW w:w="1054" w:type="dxa"/>
            <w:tcBorders>
              <w:top w:val="nil"/>
              <w:left w:val="single" w:sz="4" w:space="0" w:color="auto"/>
              <w:bottom w:val="nil"/>
              <w:right w:val="nil"/>
            </w:tcBorders>
            <w:shd w:val="clear" w:color="auto" w:fill="auto"/>
            <w:vAlign w:val="center"/>
            <w:hideMark/>
          </w:tcPr>
          <w:p w14:paraId="0D564A82" w14:textId="77777777" w:rsidR="00BC3FF5" w:rsidRPr="00BC3FF5" w:rsidRDefault="00BC3FF5" w:rsidP="00BC3FF5">
            <w:pPr>
              <w:spacing w:after="0" w:line="240" w:lineRule="auto"/>
              <w:jc w:val="right"/>
              <w:rPr>
                <w:rFonts w:cs="Arial"/>
                <w:sz w:val="16"/>
                <w:szCs w:val="16"/>
              </w:rPr>
            </w:pPr>
            <w:r w:rsidRPr="00BC3FF5">
              <w:rPr>
                <w:rFonts w:cs="Arial"/>
                <w:sz w:val="16"/>
                <w:szCs w:val="16"/>
              </w:rPr>
              <w:t>4 582,2</w:t>
            </w:r>
          </w:p>
        </w:tc>
        <w:tc>
          <w:tcPr>
            <w:tcW w:w="963" w:type="dxa"/>
            <w:tcBorders>
              <w:top w:val="nil"/>
              <w:left w:val="nil"/>
              <w:bottom w:val="nil"/>
              <w:right w:val="nil"/>
            </w:tcBorders>
            <w:shd w:val="clear" w:color="auto" w:fill="auto"/>
            <w:vAlign w:val="center"/>
            <w:hideMark/>
          </w:tcPr>
          <w:p w14:paraId="427507A3" w14:textId="77777777" w:rsidR="00BC3FF5" w:rsidRPr="00BC3FF5" w:rsidRDefault="00BC3FF5" w:rsidP="00BC3FF5">
            <w:pPr>
              <w:spacing w:after="0" w:line="240" w:lineRule="auto"/>
              <w:jc w:val="right"/>
              <w:rPr>
                <w:rFonts w:cs="Arial"/>
                <w:sz w:val="16"/>
                <w:szCs w:val="16"/>
              </w:rPr>
            </w:pPr>
            <w:r w:rsidRPr="00BC3FF5">
              <w:rPr>
                <w:rFonts w:cs="Arial"/>
                <w:sz w:val="16"/>
                <w:szCs w:val="16"/>
              </w:rPr>
              <w:t>2 315,8</w:t>
            </w:r>
          </w:p>
        </w:tc>
        <w:tc>
          <w:tcPr>
            <w:tcW w:w="964" w:type="dxa"/>
            <w:tcBorders>
              <w:top w:val="nil"/>
              <w:left w:val="nil"/>
              <w:bottom w:val="nil"/>
              <w:right w:val="single" w:sz="4" w:space="0" w:color="auto"/>
            </w:tcBorders>
            <w:shd w:val="clear" w:color="auto" w:fill="auto"/>
            <w:vAlign w:val="center"/>
            <w:hideMark/>
          </w:tcPr>
          <w:p w14:paraId="1EB2CAB7" w14:textId="77777777" w:rsidR="00BC3FF5" w:rsidRPr="00BC3FF5" w:rsidRDefault="00BC3FF5" w:rsidP="00BC3FF5">
            <w:pPr>
              <w:spacing w:after="0" w:line="240" w:lineRule="auto"/>
              <w:jc w:val="right"/>
              <w:rPr>
                <w:rFonts w:cs="Arial"/>
                <w:sz w:val="16"/>
                <w:szCs w:val="16"/>
              </w:rPr>
            </w:pPr>
            <w:r w:rsidRPr="00BC3FF5">
              <w:rPr>
                <w:rFonts w:cs="Arial"/>
                <w:sz w:val="16"/>
                <w:szCs w:val="16"/>
              </w:rPr>
              <w:t>2 266,4</w:t>
            </w:r>
          </w:p>
        </w:tc>
        <w:tc>
          <w:tcPr>
            <w:tcW w:w="966" w:type="dxa"/>
            <w:tcBorders>
              <w:top w:val="nil"/>
              <w:left w:val="single" w:sz="4" w:space="0" w:color="auto"/>
              <w:bottom w:val="nil"/>
              <w:right w:val="nil"/>
            </w:tcBorders>
            <w:shd w:val="clear" w:color="auto" w:fill="auto"/>
            <w:vAlign w:val="center"/>
            <w:hideMark/>
          </w:tcPr>
          <w:p w14:paraId="4C17816E" w14:textId="77777777" w:rsidR="00BC3FF5" w:rsidRPr="00BC3FF5" w:rsidRDefault="00BC3FF5" w:rsidP="00BC3FF5">
            <w:pPr>
              <w:spacing w:after="0" w:line="240" w:lineRule="auto"/>
              <w:jc w:val="right"/>
              <w:rPr>
                <w:rFonts w:cs="Arial"/>
                <w:sz w:val="16"/>
                <w:szCs w:val="16"/>
              </w:rPr>
            </w:pPr>
            <w:r w:rsidRPr="00BC3FF5">
              <w:rPr>
                <w:rFonts w:cs="Arial"/>
                <w:sz w:val="16"/>
                <w:szCs w:val="16"/>
              </w:rPr>
              <w:t>89,7</w:t>
            </w:r>
          </w:p>
        </w:tc>
        <w:tc>
          <w:tcPr>
            <w:tcW w:w="963" w:type="dxa"/>
            <w:tcBorders>
              <w:top w:val="nil"/>
              <w:left w:val="nil"/>
              <w:bottom w:val="nil"/>
              <w:right w:val="nil"/>
            </w:tcBorders>
            <w:shd w:val="clear" w:color="auto" w:fill="auto"/>
            <w:vAlign w:val="center"/>
            <w:hideMark/>
          </w:tcPr>
          <w:p w14:paraId="3CCD4695" w14:textId="77777777" w:rsidR="00BC3FF5" w:rsidRPr="00BC3FF5" w:rsidRDefault="00BC3FF5" w:rsidP="00BC3FF5">
            <w:pPr>
              <w:spacing w:after="0" w:line="240" w:lineRule="auto"/>
              <w:jc w:val="right"/>
              <w:rPr>
                <w:rFonts w:cs="Arial"/>
                <w:sz w:val="16"/>
                <w:szCs w:val="16"/>
              </w:rPr>
            </w:pPr>
            <w:r w:rsidRPr="00BC3FF5">
              <w:rPr>
                <w:rFonts w:cs="Arial"/>
                <w:sz w:val="16"/>
                <w:szCs w:val="16"/>
              </w:rPr>
              <w:t>54,2</w:t>
            </w:r>
          </w:p>
        </w:tc>
        <w:tc>
          <w:tcPr>
            <w:tcW w:w="965" w:type="dxa"/>
            <w:tcBorders>
              <w:top w:val="nil"/>
              <w:left w:val="nil"/>
              <w:bottom w:val="nil"/>
              <w:right w:val="nil"/>
            </w:tcBorders>
            <w:shd w:val="clear" w:color="auto" w:fill="auto"/>
            <w:vAlign w:val="center"/>
            <w:hideMark/>
          </w:tcPr>
          <w:p w14:paraId="2A199201" w14:textId="77777777" w:rsidR="00BC3FF5" w:rsidRPr="00BC3FF5" w:rsidRDefault="00BC3FF5" w:rsidP="00BC3FF5">
            <w:pPr>
              <w:spacing w:after="0" w:line="240" w:lineRule="auto"/>
              <w:jc w:val="right"/>
              <w:rPr>
                <w:rFonts w:cs="Arial"/>
                <w:sz w:val="16"/>
                <w:szCs w:val="16"/>
              </w:rPr>
            </w:pPr>
            <w:r w:rsidRPr="00BC3FF5">
              <w:rPr>
                <w:rFonts w:cs="Arial"/>
                <w:sz w:val="16"/>
                <w:szCs w:val="16"/>
              </w:rPr>
              <w:t>35,4</w:t>
            </w:r>
          </w:p>
        </w:tc>
      </w:tr>
      <w:tr w:rsidR="00BC3FF5" w:rsidRPr="00BC3FF5" w14:paraId="19A254DF" w14:textId="77777777" w:rsidTr="007E7B35">
        <w:trPr>
          <w:trHeight w:val="315"/>
        </w:trPr>
        <w:tc>
          <w:tcPr>
            <w:tcW w:w="705" w:type="dxa"/>
            <w:tcBorders>
              <w:top w:val="nil"/>
              <w:left w:val="nil"/>
              <w:bottom w:val="nil"/>
              <w:right w:val="single" w:sz="4" w:space="0" w:color="auto"/>
            </w:tcBorders>
            <w:shd w:val="clear" w:color="auto" w:fill="auto"/>
            <w:vAlign w:val="center"/>
            <w:hideMark/>
          </w:tcPr>
          <w:p w14:paraId="37891723" w14:textId="77777777" w:rsidR="00BC3FF5" w:rsidRPr="00BC3FF5" w:rsidRDefault="00BC3FF5" w:rsidP="00BC3FF5">
            <w:pPr>
              <w:spacing w:after="0" w:line="240" w:lineRule="auto"/>
              <w:jc w:val="center"/>
              <w:rPr>
                <w:rFonts w:cs="Arial"/>
                <w:sz w:val="16"/>
                <w:szCs w:val="16"/>
              </w:rPr>
            </w:pPr>
            <w:r w:rsidRPr="00BC3FF5">
              <w:rPr>
                <w:rFonts w:cs="Arial"/>
                <w:sz w:val="16"/>
                <w:szCs w:val="16"/>
              </w:rPr>
              <w:t>2018</w:t>
            </w:r>
          </w:p>
        </w:tc>
        <w:tc>
          <w:tcPr>
            <w:tcW w:w="966" w:type="dxa"/>
            <w:tcBorders>
              <w:top w:val="nil"/>
              <w:left w:val="nil"/>
              <w:bottom w:val="nil"/>
              <w:right w:val="nil"/>
            </w:tcBorders>
            <w:shd w:val="clear" w:color="auto" w:fill="auto"/>
            <w:vAlign w:val="center"/>
            <w:hideMark/>
          </w:tcPr>
          <w:p w14:paraId="21495C7A" w14:textId="77777777" w:rsidR="00BC3FF5" w:rsidRPr="00BC3FF5" w:rsidRDefault="00BC3FF5" w:rsidP="00BC3FF5">
            <w:pPr>
              <w:spacing w:after="0" w:line="240" w:lineRule="auto"/>
              <w:jc w:val="right"/>
              <w:rPr>
                <w:rFonts w:cs="Arial"/>
                <w:sz w:val="16"/>
                <w:szCs w:val="16"/>
              </w:rPr>
            </w:pPr>
            <w:r w:rsidRPr="00BC3FF5">
              <w:rPr>
                <w:rFonts w:cs="Arial"/>
                <w:sz w:val="16"/>
                <w:szCs w:val="16"/>
              </w:rPr>
              <w:t>4 732,7</w:t>
            </w:r>
          </w:p>
        </w:tc>
        <w:tc>
          <w:tcPr>
            <w:tcW w:w="963" w:type="dxa"/>
            <w:tcBorders>
              <w:top w:val="nil"/>
              <w:left w:val="nil"/>
              <w:bottom w:val="nil"/>
              <w:right w:val="nil"/>
            </w:tcBorders>
            <w:shd w:val="clear" w:color="auto" w:fill="auto"/>
            <w:vAlign w:val="center"/>
            <w:hideMark/>
          </w:tcPr>
          <w:p w14:paraId="166D8818" w14:textId="77777777" w:rsidR="00BC3FF5" w:rsidRPr="00BC3FF5" w:rsidRDefault="00BC3FF5" w:rsidP="00BC3FF5">
            <w:pPr>
              <w:spacing w:after="0" w:line="240" w:lineRule="auto"/>
              <w:jc w:val="right"/>
              <w:rPr>
                <w:rFonts w:cs="Arial"/>
                <w:sz w:val="16"/>
                <w:szCs w:val="16"/>
              </w:rPr>
            </w:pPr>
            <w:r w:rsidRPr="00BC3FF5">
              <w:rPr>
                <w:rFonts w:cs="Arial"/>
                <w:sz w:val="16"/>
                <w:szCs w:val="16"/>
              </w:rPr>
              <w:t>2 391,4</w:t>
            </w:r>
          </w:p>
        </w:tc>
        <w:tc>
          <w:tcPr>
            <w:tcW w:w="964" w:type="dxa"/>
            <w:tcBorders>
              <w:top w:val="nil"/>
              <w:left w:val="nil"/>
              <w:bottom w:val="nil"/>
              <w:right w:val="single" w:sz="4" w:space="0" w:color="auto"/>
            </w:tcBorders>
            <w:shd w:val="clear" w:color="auto" w:fill="auto"/>
            <w:vAlign w:val="center"/>
            <w:hideMark/>
          </w:tcPr>
          <w:p w14:paraId="030AB70C" w14:textId="77777777" w:rsidR="00BC3FF5" w:rsidRPr="00BC3FF5" w:rsidRDefault="00BC3FF5" w:rsidP="00BC3FF5">
            <w:pPr>
              <w:spacing w:after="0" w:line="240" w:lineRule="auto"/>
              <w:jc w:val="right"/>
              <w:rPr>
                <w:rFonts w:cs="Arial"/>
                <w:sz w:val="16"/>
                <w:szCs w:val="16"/>
              </w:rPr>
            </w:pPr>
            <w:r w:rsidRPr="00BC3FF5">
              <w:rPr>
                <w:rFonts w:cs="Arial"/>
                <w:sz w:val="16"/>
                <w:szCs w:val="16"/>
              </w:rPr>
              <w:t>2 341,3</w:t>
            </w:r>
          </w:p>
        </w:tc>
        <w:tc>
          <w:tcPr>
            <w:tcW w:w="1054" w:type="dxa"/>
            <w:tcBorders>
              <w:top w:val="nil"/>
              <w:left w:val="single" w:sz="4" w:space="0" w:color="auto"/>
              <w:bottom w:val="nil"/>
              <w:right w:val="nil"/>
            </w:tcBorders>
            <w:shd w:val="clear" w:color="auto" w:fill="auto"/>
            <w:vAlign w:val="center"/>
            <w:hideMark/>
          </w:tcPr>
          <w:p w14:paraId="4D1CEEEC" w14:textId="77777777" w:rsidR="00BC3FF5" w:rsidRPr="00BC3FF5" w:rsidRDefault="00BC3FF5" w:rsidP="00BC3FF5">
            <w:pPr>
              <w:spacing w:after="0" w:line="240" w:lineRule="auto"/>
              <w:jc w:val="right"/>
              <w:rPr>
                <w:rFonts w:cs="Arial"/>
                <w:sz w:val="16"/>
                <w:szCs w:val="16"/>
              </w:rPr>
            </w:pPr>
            <w:r w:rsidRPr="00BC3FF5">
              <w:rPr>
                <w:rFonts w:cs="Arial"/>
                <w:sz w:val="16"/>
                <w:szCs w:val="16"/>
              </w:rPr>
              <w:t>4 641,5</w:t>
            </w:r>
          </w:p>
        </w:tc>
        <w:tc>
          <w:tcPr>
            <w:tcW w:w="963" w:type="dxa"/>
            <w:tcBorders>
              <w:top w:val="nil"/>
              <w:left w:val="nil"/>
              <w:bottom w:val="nil"/>
              <w:right w:val="nil"/>
            </w:tcBorders>
            <w:shd w:val="clear" w:color="auto" w:fill="auto"/>
            <w:vAlign w:val="center"/>
            <w:hideMark/>
          </w:tcPr>
          <w:p w14:paraId="6A06A9FA" w14:textId="77777777" w:rsidR="00BC3FF5" w:rsidRPr="00BC3FF5" w:rsidRDefault="00BC3FF5" w:rsidP="00BC3FF5">
            <w:pPr>
              <w:spacing w:after="0" w:line="240" w:lineRule="auto"/>
              <w:jc w:val="right"/>
              <w:rPr>
                <w:rFonts w:cs="Arial"/>
                <w:sz w:val="16"/>
                <w:szCs w:val="16"/>
              </w:rPr>
            </w:pPr>
            <w:r w:rsidRPr="00BC3FF5">
              <w:rPr>
                <w:rFonts w:cs="Arial"/>
                <w:sz w:val="16"/>
                <w:szCs w:val="16"/>
              </w:rPr>
              <w:t>2 336,8</w:t>
            </w:r>
          </w:p>
        </w:tc>
        <w:tc>
          <w:tcPr>
            <w:tcW w:w="964" w:type="dxa"/>
            <w:tcBorders>
              <w:top w:val="nil"/>
              <w:left w:val="nil"/>
              <w:bottom w:val="nil"/>
              <w:right w:val="single" w:sz="4" w:space="0" w:color="auto"/>
            </w:tcBorders>
            <w:shd w:val="clear" w:color="auto" w:fill="auto"/>
            <w:vAlign w:val="center"/>
            <w:hideMark/>
          </w:tcPr>
          <w:p w14:paraId="1CB3CF4A" w14:textId="77777777" w:rsidR="00BC3FF5" w:rsidRPr="00BC3FF5" w:rsidRDefault="00BC3FF5" w:rsidP="00BC3FF5">
            <w:pPr>
              <w:spacing w:after="0" w:line="240" w:lineRule="auto"/>
              <w:jc w:val="right"/>
              <w:rPr>
                <w:rFonts w:cs="Arial"/>
                <w:sz w:val="16"/>
                <w:szCs w:val="16"/>
              </w:rPr>
            </w:pPr>
            <w:r w:rsidRPr="00BC3FF5">
              <w:rPr>
                <w:rFonts w:cs="Arial"/>
                <w:sz w:val="16"/>
                <w:szCs w:val="16"/>
              </w:rPr>
              <w:t>2 304,6</w:t>
            </w:r>
          </w:p>
        </w:tc>
        <w:tc>
          <w:tcPr>
            <w:tcW w:w="966" w:type="dxa"/>
            <w:tcBorders>
              <w:top w:val="nil"/>
              <w:left w:val="single" w:sz="4" w:space="0" w:color="auto"/>
              <w:bottom w:val="nil"/>
              <w:right w:val="nil"/>
            </w:tcBorders>
            <w:shd w:val="clear" w:color="auto" w:fill="auto"/>
            <w:vAlign w:val="center"/>
            <w:hideMark/>
          </w:tcPr>
          <w:p w14:paraId="3923F9D6" w14:textId="77777777" w:rsidR="00BC3FF5" w:rsidRPr="00BC3FF5" w:rsidRDefault="00BC3FF5" w:rsidP="00BC3FF5">
            <w:pPr>
              <w:spacing w:after="0" w:line="240" w:lineRule="auto"/>
              <w:jc w:val="right"/>
              <w:rPr>
                <w:rFonts w:cs="Arial"/>
                <w:sz w:val="16"/>
                <w:szCs w:val="16"/>
              </w:rPr>
            </w:pPr>
            <w:r w:rsidRPr="00BC3FF5">
              <w:rPr>
                <w:rFonts w:cs="Arial"/>
                <w:sz w:val="16"/>
                <w:szCs w:val="16"/>
              </w:rPr>
              <w:t>91,3</w:t>
            </w:r>
          </w:p>
        </w:tc>
        <w:tc>
          <w:tcPr>
            <w:tcW w:w="963" w:type="dxa"/>
            <w:tcBorders>
              <w:top w:val="nil"/>
              <w:left w:val="nil"/>
              <w:bottom w:val="nil"/>
              <w:right w:val="nil"/>
            </w:tcBorders>
            <w:shd w:val="clear" w:color="auto" w:fill="auto"/>
            <w:vAlign w:val="center"/>
            <w:hideMark/>
          </w:tcPr>
          <w:p w14:paraId="34346A2C" w14:textId="77777777" w:rsidR="00BC3FF5" w:rsidRPr="00BC3FF5" w:rsidRDefault="00BC3FF5" w:rsidP="00BC3FF5">
            <w:pPr>
              <w:spacing w:after="0" w:line="240" w:lineRule="auto"/>
              <w:jc w:val="right"/>
              <w:rPr>
                <w:rFonts w:cs="Arial"/>
                <w:sz w:val="16"/>
                <w:szCs w:val="16"/>
              </w:rPr>
            </w:pPr>
            <w:r w:rsidRPr="00BC3FF5">
              <w:rPr>
                <w:rFonts w:cs="Arial"/>
                <w:sz w:val="16"/>
                <w:szCs w:val="16"/>
              </w:rPr>
              <w:t>54,5</w:t>
            </w:r>
          </w:p>
        </w:tc>
        <w:tc>
          <w:tcPr>
            <w:tcW w:w="965" w:type="dxa"/>
            <w:tcBorders>
              <w:top w:val="nil"/>
              <w:left w:val="nil"/>
              <w:bottom w:val="nil"/>
              <w:right w:val="nil"/>
            </w:tcBorders>
            <w:shd w:val="clear" w:color="auto" w:fill="auto"/>
            <w:vAlign w:val="center"/>
            <w:hideMark/>
          </w:tcPr>
          <w:p w14:paraId="59D9F53F" w14:textId="77777777" w:rsidR="00BC3FF5" w:rsidRPr="00BC3FF5" w:rsidRDefault="00BC3FF5" w:rsidP="00BC3FF5">
            <w:pPr>
              <w:spacing w:after="0" w:line="240" w:lineRule="auto"/>
              <w:jc w:val="right"/>
              <w:rPr>
                <w:rFonts w:cs="Arial"/>
                <w:sz w:val="16"/>
                <w:szCs w:val="16"/>
              </w:rPr>
            </w:pPr>
            <w:r w:rsidRPr="00BC3FF5">
              <w:rPr>
                <w:rFonts w:cs="Arial"/>
                <w:sz w:val="16"/>
                <w:szCs w:val="16"/>
              </w:rPr>
              <w:t>36,7</w:t>
            </w:r>
          </w:p>
        </w:tc>
      </w:tr>
    </w:tbl>
    <w:p w14:paraId="05E46884" w14:textId="5872D241" w:rsidR="001C0339" w:rsidRDefault="001C0339" w:rsidP="00D112A7">
      <w:pPr>
        <w:spacing w:after="0"/>
      </w:pPr>
    </w:p>
    <w:p w14:paraId="6C155CD2" w14:textId="77777777" w:rsidR="0084688F" w:rsidRDefault="00BC3FF5" w:rsidP="0084688F">
      <w:pPr>
        <w:rPr>
          <w:sz w:val="18"/>
        </w:rPr>
      </w:pPr>
      <w:r w:rsidRPr="00BC3FF5">
        <w:rPr>
          <w:sz w:val="18"/>
        </w:rPr>
        <w:t>Zdroj: ČSÚ</w:t>
      </w:r>
    </w:p>
    <w:p w14:paraId="23F80E86" w14:textId="7B4C948A" w:rsidR="006D09A9" w:rsidRPr="0084688F" w:rsidRDefault="007A3D44" w:rsidP="0084688F">
      <w:pPr>
        <w:jc w:val="both"/>
        <w:rPr>
          <w:sz w:val="18"/>
        </w:rPr>
      </w:pPr>
      <w:r w:rsidRPr="007A3D44">
        <w:t xml:space="preserve">Nejvíce zastoupenými </w:t>
      </w:r>
      <w:r w:rsidRPr="00A37CD1">
        <w:rPr>
          <w:b/>
        </w:rPr>
        <w:t>odvětvími</w:t>
      </w:r>
      <w:r w:rsidR="0084688F">
        <w:t>,</w:t>
      </w:r>
      <w:r w:rsidRPr="007A3D44">
        <w:t xml:space="preserve"> co do počtu nemocensky pojištěných</w:t>
      </w:r>
      <w:r w:rsidR="0084688F">
        <w:t>,</w:t>
      </w:r>
      <w:r w:rsidRPr="007A3D44">
        <w:t xml:space="preserve"> jsou Zpracovatelský průmysl a</w:t>
      </w:r>
      <w:r w:rsidR="00F547BE">
        <w:t> </w:t>
      </w:r>
      <w:r w:rsidRPr="007A3D44">
        <w:t>Velkoobchod a maloobchod; opravy a údržba motorových vozidel</w:t>
      </w:r>
      <w:r w:rsidR="0084688F">
        <w:t>, což kopíruje strukturu české ekonomiky</w:t>
      </w:r>
      <w:r w:rsidRPr="007A3D44">
        <w:t>. Tato dvě odvětví dohromady zaměstnávají 40 % všech nemocensky pojištěných osob.</w:t>
      </w:r>
    </w:p>
    <w:p w14:paraId="59523560" w14:textId="5F420F3A" w:rsidR="001C0339" w:rsidRPr="001C0339" w:rsidRDefault="001C0339" w:rsidP="001C0339">
      <w:pPr>
        <w:pStyle w:val="Titulek"/>
        <w:keepNext/>
        <w:rPr>
          <w:b/>
          <w:i w:val="0"/>
          <w:color w:val="auto"/>
          <w:sz w:val="20"/>
        </w:rPr>
      </w:pPr>
      <w:r w:rsidRPr="001C0339">
        <w:rPr>
          <w:b/>
          <w:i w:val="0"/>
          <w:color w:val="auto"/>
          <w:sz w:val="20"/>
        </w:rPr>
        <w:t xml:space="preserve">Graf </w:t>
      </w:r>
      <w:r w:rsidRPr="001C0339">
        <w:rPr>
          <w:b/>
          <w:i w:val="0"/>
          <w:color w:val="auto"/>
          <w:sz w:val="20"/>
        </w:rPr>
        <w:fldChar w:fldCharType="begin"/>
      </w:r>
      <w:r w:rsidRPr="001C0339">
        <w:rPr>
          <w:b/>
          <w:i w:val="0"/>
          <w:color w:val="auto"/>
          <w:sz w:val="20"/>
        </w:rPr>
        <w:instrText xml:space="preserve"> SEQ Graf \* ARABIC </w:instrText>
      </w:r>
      <w:r w:rsidRPr="001C0339">
        <w:rPr>
          <w:b/>
          <w:i w:val="0"/>
          <w:color w:val="auto"/>
          <w:sz w:val="20"/>
        </w:rPr>
        <w:fldChar w:fldCharType="separate"/>
      </w:r>
      <w:r w:rsidR="004426F5">
        <w:rPr>
          <w:b/>
          <w:i w:val="0"/>
          <w:noProof/>
          <w:color w:val="auto"/>
          <w:sz w:val="20"/>
        </w:rPr>
        <w:t>1</w:t>
      </w:r>
      <w:r w:rsidRPr="001C0339">
        <w:rPr>
          <w:b/>
          <w:i w:val="0"/>
          <w:color w:val="auto"/>
          <w:sz w:val="20"/>
        </w:rPr>
        <w:fldChar w:fldCharType="end"/>
      </w:r>
      <w:r w:rsidRPr="001C0339">
        <w:rPr>
          <w:b/>
          <w:i w:val="0"/>
          <w:color w:val="auto"/>
          <w:sz w:val="20"/>
        </w:rPr>
        <w:t>.1: Struktura nemocensky pojištěných osob podle velikosti podniku v letech 200</w:t>
      </w:r>
      <w:r w:rsidR="00F4354F">
        <w:rPr>
          <w:b/>
          <w:i w:val="0"/>
          <w:color w:val="auto"/>
          <w:sz w:val="20"/>
        </w:rPr>
        <w:t>8</w:t>
      </w:r>
      <w:r w:rsidRPr="001C0339">
        <w:rPr>
          <w:b/>
          <w:i w:val="0"/>
          <w:color w:val="auto"/>
          <w:sz w:val="20"/>
        </w:rPr>
        <w:t>–201</w:t>
      </w:r>
      <w:r w:rsidR="00BC3FF5">
        <w:rPr>
          <w:b/>
          <w:i w:val="0"/>
          <w:color w:val="auto"/>
          <w:sz w:val="20"/>
        </w:rPr>
        <w:t>8</w:t>
      </w:r>
      <w:r w:rsidRPr="001C0339">
        <w:rPr>
          <w:b/>
          <w:i w:val="0"/>
          <w:color w:val="auto"/>
          <w:sz w:val="20"/>
        </w:rPr>
        <w:t xml:space="preserve"> (v %)</w:t>
      </w:r>
    </w:p>
    <w:p w14:paraId="0A98D062" w14:textId="414DF072" w:rsidR="00992FBA" w:rsidRDefault="006F687C" w:rsidP="008E048A">
      <w:r w:rsidRPr="006F687C">
        <w:rPr>
          <w:rFonts w:cs="Arial"/>
          <w:noProof/>
          <w:sz w:val="16"/>
        </w:rPr>
        <w:drawing>
          <wp:inline distT="0" distB="0" distL="0" distR="0" wp14:anchorId="78B73B2E" wp14:editId="11E0191F">
            <wp:extent cx="6086475" cy="2276475"/>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DB6146" w14:textId="7ED9D5CD" w:rsidR="003C629F" w:rsidRDefault="001C0339" w:rsidP="00D112A7">
      <w:pPr>
        <w:spacing w:after="0"/>
        <w:rPr>
          <w:sz w:val="18"/>
        </w:rPr>
      </w:pPr>
      <w:r w:rsidRPr="00BC3FF5">
        <w:rPr>
          <w:sz w:val="18"/>
        </w:rPr>
        <w:t>Zdroj: ČSÚ</w:t>
      </w:r>
    </w:p>
    <w:p w14:paraId="2203DCC9" w14:textId="4242071A" w:rsidR="00493A71" w:rsidRPr="008E048A" w:rsidRDefault="00493A71" w:rsidP="00493A71">
      <w:pPr>
        <w:pStyle w:val="Box1"/>
        <w:jc w:val="both"/>
        <w:rPr>
          <w:i/>
        </w:rPr>
      </w:pPr>
      <w:r w:rsidRPr="008E048A">
        <w:rPr>
          <w:b/>
          <w:i/>
        </w:rPr>
        <w:t xml:space="preserve">Průměrný počet nemocensky pojištěných mladistvých </w:t>
      </w:r>
      <w:r w:rsidRPr="00F46EA8">
        <w:rPr>
          <w:i/>
        </w:rPr>
        <w:t xml:space="preserve">– </w:t>
      </w:r>
      <w:r>
        <w:rPr>
          <w:i/>
        </w:rPr>
        <w:t>u</w:t>
      </w:r>
      <w:r w:rsidRPr="008E048A">
        <w:rPr>
          <w:i/>
        </w:rPr>
        <w:t xml:space="preserve">kazatel </w:t>
      </w:r>
      <w:r>
        <w:rPr>
          <w:i/>
        </w:rPr>
        <w:t>udává</w:t>
      </w:r>
      <w:r w:rsidRPr="008E048A">
        <w:rPr>
          <w:i/>
        </w:rPr>
        <w:t xml:space="preserve"> průměrný počet nemocensky pojištěných </w:t>
      </w:r>
      <w:r>
        <w:rPr>
          <w:i/>
        </w:rPr>
        <w:t xml:space="preserve">osob mladších </w:t>
      </w:r>
      <w:r w:rsidRPr="008E048A">
        <w:rPr>
          <w:i/>
        </w:rPr>
        <w:t xml:space="preserve">18 let </w:t>
      </w:r>
      <w:r w:rsidRPr="002C394F">
        <w:rPr>
          <w:i/>
        </w:rPr>
        <w:t>(</w:t>
      </w:r>
      <w:r>
        <w:rPr>
          <w:i/>
        </w:rPr>
        <w:t xml:space="preserve">viz </w:t>
      </w:r>
      <w:r w:rsidRPr="002C394F">
        <w:rPr>
          <w:i/>
        </w:rPr>
        <w:t>§ 350 odst. 2 zákona č. 262/2006 Sb., zákoník práce, ve znění pozdějších předpisů).</w:t>
      </w:r>
    </w:p>
    <w:p w14:paraId="0939CDC9" w14:textId="77777777" w:rsidR="00493A71" w:rsidRPr="008E048A" w:rsidRDefault="00493A71" w:rsidP="00493A71">
      <w:pPr>
        <w:pStyle w:val="Box1"/>
        <w:jc w:val="both"/>
        <w:rPr>
          <w:i/>
          <w:u w:val="single"/>
        </w:rPr>
      </w:pPr>
      <w:r w:rsidRPr="008E048A">
        <w:rPr>
          <w:i/>
          <w:u w:val="single"/>
        </w:rPr>
        <w:t>Způsob výpočtu:</w:t>
      </w:r>
    </w:p>
    <w:p w14:paraId="0998456E" w14:textId="00D5EB90" w:rsidR="00493A71" w:rsidRPr="00F46EA8" w:rsidRDefault="00493A71" w:rsidP="00493A71">
      <w:pPr>
        <w:pStyle w:val="Box1"/>
        <w:jc w:val="both"/>
        <w:rPr>
          <w:i/>
        </w:rPr>
      </w:pPr>
      <w:r w:rsidRPr="008E048A">
        <w:rPr>
          <w:i/>
        </w:rPr>
        <w:t xml:space="preserve">Průměrný počet nemocensky pojištěných mladistvých = počet dní nemocenského pojištění </w:t>
      </w:r>
      <w:r>
        <w:rPr>
          <w:i/>
        </w:rPr>
        <w:t xml:space="preserve">jednotlivých pojištěných </w:t>
      </w:r>
      <w:r w:rsidRPr="008E048A">
        <w:rPr>
          <w:i/>
        </w:rPr>
        <w:t>mladistvých ve vykazovaném období / počet kalendářních dní ve</w:t>
      </w:r>
      <w:r w:rsidR="00F547BE">
        <w:rPr>
          <w:i/>
        </w:rPr>
        <w:t> </w:t>
      </w:r>
      <w:r w:rsidRPr="008E048A">
        <w:rPr>
          <w:i/>
        </w:rPr>
        <w:t>vykazovaném období.</w:t>
      </w:r>
    </w:p>
    <w:p w14:paraId="05EC261E" w14:textId="7AA631E3" w:rsidR="00493A71" w:rsidRPr="00493A71" w:rsidRDefault="00493A71" w:rsidP="000D281A">
      <w:pPr>
        <w:jc w:val="both"/>
      </w:pPr>
      <w:r w:rsidRPr="00493A71">
        <w:lastRenderedPageBreak/>
        <w:t xml:space="preserve">V roce 2018 bylo </w:t>
      </w:r>
      <w:r>
        <w:t xml:space="preserve">evidováno </w:t>
      </w:r>
      <w:r w:rsidRPr="00493A71">
        <w:t xml:space="preserve">12,7 tis. nemocensky pojištěných </w:t>
      </w:r>
      <w:r w:rsidRPr="00A37CD1">
        <w:rPr>
          <w:b/>
        </w:rPr>
        <w:t>mladistvých</w:t>
      </w:r>
      <w:r w:rsidRPr="00493A71">
        <w:t>,</w:t>
      </w:r>
      <w:r>
        <w:t xml:space="preserve"> tedy osob mladších 18 let. Na</w:t>
      </w:r>
      <w:r w:rsidR="00F547BE">
        <w:t> </w:t>
      </w:r>
      <w:r>
        <w:t xml:space="preserve">celkovém počtu pojištěnců se podíleli 0,27 %. </w:t>
      </w:r>
      <w:r w:rsidR="000D281A">
        <w:t>Jejich počet meziročně vzrostl z 11 tisíc o 1,7 tisíc, tj. o 0,3 </w:t>
      </w:r>
      <w:r w:rsidR="00CB7336">
        <w:t>%</w:t>
      </w:r>
      <w:r w:rsidR="000D281A">
        <w:t>.</w:t>
      </w:r>
      <w:r>
        <w:t xml:space="preserve"> </w:t>
      </w:r>
    </w:p>
    <w:p w14:paraId="442FA1CB" w14:textId="6009C109" w:rsidR="003C629F" w:rsidRDefault="003C629F" w:rsidP="000D281A">
      <w:pPr>
        <w:pStyle w:val="Nadpis2"/>
        <w:spacing w:after="100"/>
      </w:pPr>
      <w:bookmarkStart w:id="6" w:name="_Toc10117312"/>
      <w:bookmarkStart w:id="7" w:name="_Toc444112496"/>
      <w:r>
        <w:t>4.2 Nově hlášené případy dočasné pracovní neschopnosti</w:t>
      </w:r>
      <w:bookmarkEnd w:id="6"/>
    </w:p>
    <w:p w14:paraId="7E4F96EB" w14:textId="3FD3A3FF" w:rsidR="000D281A" w:rsidRDefault="000D281A" w:rsidP="00017063">
      <w:pPr>
        <w:jc w:val="both"/>
        <w:rPr>
          <w:rFonts w:cs="Arial"/>
        </w:rPr>
      </w:pPr>
      <w:r>
        <w:rPr>
          <w:rFonts w:cs="Arial"/>
        </w:rPr>
        <w:t>Vstupním zdrojem a podkladem pro zpracování dat této kapitoly jsou údaje o dočasné pracovní neschopnosti pro nemoc a úraz nahlášené České správě sociálního zabezpečení prostřednictvím formuláře „</w:t>
      </w:r>
      <w:r>
        <w:rPr>
          <w:rFonts w:cs="Arial"/>
          <w:i/>
        </w:rPr>
        <w:t>Rozhodnutí o dočasné pracovní neschopnosti</w:t>
      </w:r>
      <w:r>
        <w:rPr>
          <w:rFonts w:cs="Arial"/>
        </w:rPr>
        <w:t xml:space="preserve">“ (tzv. „neschopenka“), který vyplňuje ošetřující lékař. </w:t>
      </w:r>
    </w:p>
    <w:p w14:paraId="7DB8AFE6" w14:textId="6F06D7F2" w:rsidR="00EE4B1B" w:rsidRDefault="003C629F" w:rsidP="00E70927">
      <w:pPr>
        <w:pStyle w:val="Nadpis3"/>
        <w:spacing w:after="100"/>
      </w:pPr>
      <w:bookmarkStart w:id="8" w:name="_Toc10117313"/>
      <w:bookmarkEnd w:id="7"/>
      <w:r>
        <w:t>4.2.1 Počet případů dočasné pracovní neschopnosti</w:t>
      </w:r>
      <w:bookmarkEnd w:id="8"/>
    </w:p>
    <w:p w14:paraId="5C8B9C92" w14:textId="6C5B0CCC" w:rsidR="00E70927" w:rsidRDefault="00E70927" w:rsidP="00E70927">
      <w:pPr>
        <w:jc w:val="both"/>
        <w:rPr>
          <w:bCs/>
        </w:rPr>
      </w:pPr>
      <w:r>
        <w:rPr>
          <w:bCs/>
        </w:rPr>
        <w:t xml:space="preserve">Četnost výskytu dočasné pracovní neschopnosti </w:t>
      </w:r>
      <w:r w:rsidR="005A6E76">
        <w:rPr>
          <w:bCs/>
        </w:rPr>
        <w:t xml:space="preserve">(DPN) </w:t>
      </w:r>
      <w:r>
        <w:rPr>
          <w:bCs/>
        </w:rPr>
        <w:t>odráží ukazatel počet nově hlášených případů pracovní neschopnosti. Tento absolutní ukazatel je rovněž vhodný pro posouzení trendů vývoje pracovní neschopnosti. Avšak z pohledu porovnání regionů, jednotlivých odvětví ekonomických činností či velikosti zaměstnavatele má vyšší vypovídací schopnost ukazatel relativní – počet nově hlášených případů pracovní neschopnosti na 100 pojištěnců</w:t>
      </w:r>
      <w:r w:rsidR="006D3235">
        <w:rPr>
          <w:bCs/>
        </w:rPr>
        <w:t xml:space="preserve"> v dané kategorii, např. ve zpracovatelském průmyslu, či v malých podnicích</w:t>
      </w:r>
      <w:r>
        <w:rPr>
          <w:bCs/>
        </w:rPr>
        <w:t>.</w:t>
      </w:r>
    </w:p>
    <w:p w14:paraId="31410FB4" w14:textId="77777777" w:rsidR="00A2036D" w:rsidRDefault="00A2036D" w:rsidP="007508FD">
      <w:pPr>
        <w:pStyle w:val="Box1"/>
        <w:jc w:val="both"/>
        <w:rPr>
          <w:i/>
        </w:rPr>
      </w:pPr>
      <w:r w:rsidRPr="00A2036D">
        <w:rPr>
          <w:b/>
          <w:i/>
        </w:rPr>
        <w:t xml:space="preserve">Počet nově hlášených případů dočasné pracovní neschopnosti </w:t>
      </w:r>
      <w:r w:rsidR="003C629F" w:rsidRPr="00F46EA8">
        <w:rPr>
          <w:i/>
        </w:rPr>
        <w:t xml:space="preserve">– </w:t>
      </w:r>
      <w:r w:rsidR="00C53647">
        <w:rPr>
          <w:i/>
        </w:rPr>
        <w:t>ukazatel zahrnuje</w:t>
      </w:r>
      <w:r w:rsidRPr="00A2036D">
        <w:rPr>
          <w:i/>
        </w:rPr>
        <w:t xml:space="preserve"> nově hlášené případy pracovní neschopnosti ve sledovaném období na základě hlášení o vzniku pracovní neschopnosti nemocensky pojištěných osob.</w:t>
      </w:r>
    </w:p>
    <w:p w14:paraId="28043DB1" w14:textId="77777777" w:rsidR="00A2036D" w:rsidRDefault="00A2036D" w:rsidP="007508FD">
      <w:pPr>
        <w:pStyle w:val="Box1"/>
        <w:jc w:val="both"/>
        <w:rPr>
          <w:i/>
        </w:rPr>
      </w:pPr>
    </w:p>
    <w:p w14:paraId="45BF65D9" w14:textId="77777777" w:rsidR="00A2036D" w:rsidRPr="00A2036D" w:rsidRDefault="00A2036D" w:rsidP="007508FD">
      <w:pPr>
        <w:pStyle w:val="Box1"/>
        <w:jc w:val="both"/>
        <w:rPr>
          <w:i/>
        </w:rPr>
      </w:pPr>
      <w:r w:rsidRPr="00A2036D">
        <w:rPr>
          <w:b/>
          <w:i/>
        </w:rPr>
        <w:t xml:space="preserve">Počet případů pracovní neschopnosti na 100 pojištěnců </w:t>
      </w:r>
      <w:r>
        <w:rPr>
          <w:i/>
        </w:rPr>
        <w:t>– u</w:t>
      </w:r>
      <w:r w:rsidRPr="00A2036D">
        <w:rPr>
          <w:i/>
        </w:rPr>
        <w:t>kazatel vyjadřuje počet nově hlášených případů pracovní neschopnosti, které připadají v průměru na 100 nemocensky pojištěných</w:t>
      </w:r>
      <w:r>
        <w:rPr>
          <w:i/>
        </w:rPr>
        <w:t xml:space="preserve"> osob</w:t>
      </w:r>
      <w:r w:rsidRPr="00A2036D">
        <w:rPr>
          <w:i/>
        </w:rPr>
        <w:t xml:space="preserve">. </w:t>
      </w:r>
    </w:p>
    <w:p w14:paraId="5AB318A9" w14:textId="77777777" w:rsidR="00A2036D" w:rsidRPr="00A2036D" w:rsidRDefault="00A2036D" w:rsidP="007508FD">
      <w:pPr>
        <w:pStyle w:val="Box1"/>
        <w:jc w:val="both"/>
        <w:rPr>
          <w:i/>
          <w:u w:val="single"/>
        </w:rPr>
      </w:pPr>
      <w:r w:rsidRPr="00A2036D">
        <w:rPr>
          <w:i/>
          <w:u w:val="single"/>
        </w:rPr>
        <w:t>Způsob výpočtu:</w:t>
      </w:r>
    </w:p>
    <w:p w14:paraId="23C5FBA4" w14:textId="77777777" w:rsidR="003C629F" w:rsidRDefault="00A2036D" w:rsidP="007508FD">
      <w:pPr>
        <w:pStyle w:val="Box1"/>
        <w:jc w:val="both"/>
        <w:rPr>
          <w:i/>
        </w:rPr>
      </w:pPr>
      <w:r w:rsidRPr="00A2036D">
        <w:rPr>
          <w:i/>
        </w:rPr>
        <w:t>Počet případů pracovní neschopnosti na 100 pojištěnců = nově hlášené případy dočasné pracovní neschopnosti x 100 / průměrný počet osob nemocensky pojištěných.</w:t>
      </w:r>
    </w:p>
    <w:p w14:paraId="69283CA9" w14:textId="70289ADE" w:rsidR="00667CC8" w:rsidRDefault="00C25159" w:rsidP="00157E96">
      <w:pPr>
        <w:pStyle w:val="Titulek"/>
        <w:keepNext/>
        <w:spacing w:line="288" w:lineRule="auto"/>
        <w:jc w:val="both"/>
        <w:rPr>
          <w:i w:val="0"/>
          <w:color w:val="auto"/>
          <w:sz w:val="20"/>
        </w:rPr>
      </w:pPr>
      <w:r w:rsidRPr="00C25159">
        <w:rPr>
          <w:i w:val="0"/>
          <w:color w:val="auto"/>
          <w:sz w:val="20"/>
        </w:rPr>
        <w:t>V</w:t>
      </w:r>
      <w:r w:rsidR="00667CC8">
        <w:rPr>
          <w:i w:val="0"/>
          <w:color w:val="auto"/>
          <w:sz w:val="20"/>
        </w:rPr>
        <w:t> roce 2018 bylo zaznamenáno nejvíce případů pracovní neschopnosti za posledních deset let, a sice 1</w:t>
      </w:r>
      <w:r w:rsidR="005A6E76">
        <w:rPr>
          <w:i w:val="0"/>
          <w:color w:val="auto"/>
          <w:sz w:val="20"/>
        </w:rPr>
        <w:t> </w:t>
      </w:r>
      <w:r w:rsidR="00667CC8">
        <w:rPr>
          <w:i w:val="0"/>
          <w:color w:val="auto"/>
          <w:sz w:val="20"/>
        </w:rPr>
        <w:t xml:space="preserve">849,5 tis. </w:t>
      </w:r>
      <w:r w:rsidR="00786ED5">
        <w:rPr>
          <w:i w:val="0"/>
          <w:color w:val="auto"/>
          <w:sz w:val="20"/>
        </w:rPr>
        <w:t>Meziročně d</w:t>
      </w:r>
      <w:r w:rsidR="00667CC8">
        <w:rPr>
          <w:i w:val="0"/>
          <w:color w:val="auto"/>
          <w:sz w:val="20"/>
        </w:rPr>
        <w:t>ošlo k nárůstu o 142 tis, v relativním vyjádření o 8 %. V převážné většině případů se jednalo o pracovní neschopnost z důvodu nemoci 1 650 tis., tj.</w:t>
      </w:r>
      <w:r w:rsidR="00667CC8" w:rsidRPr="00667CC8">
        <w:rPr>
          <w:i w:val="0"/>
          <w:color w:val="auto"/>
          <w:sz w:val="20"/>
        </w:rPr>
        <w:t xml:space="preserve"> </w:t>
      </w:r>
      <w:r w:rsidR="00667CC8">
        <w:rPr>
          <w:i w:val="0"/>
          <w:color w:val="auto"/>
          <w:sz w:val="20"/>
        </w:rPr>
        <w:t xml:space="preserve">90 % všech hlášení. </w:t>
      </w:r>
      <w:r w:rsidR="00744A49">
        <w:rPr>
          <w:i w:val="0"/>
          <w:color w:val="auto"/>
          <w:sz w:val="20"/>
        </w:rPr>
        <w:t>Oproti roku 2017 ubylo p</w:t>
      </w:r>
      <w:r w:rsidR="00667CC8">
        <w:rPr>
          <w:i w:val="0"/>
          <w:color w:val="auto"/>
          <w:sz w:val="20"/>
        </w:rPr>
        <w:t xml:space="preserve">racovních </w:t>
      </w:r>
      <w:r w:rsidR="00744A49">
        <w:rPr>
          <w:i w:val="0"/>
          <w:color w:val="auto"/>
          <w:sz w:val="20"/>
        </w:rPr>
        <w:t>úrazů o 1,3 tis. na 46,2 tis.</w:t>
      </w:r>
      <w:r w:rsidR="00513C1E">
        <w:rPr>
          <w:i w:val="0"/>
          <w:color w:val="auto"/>
          <w:sz w:val="20"/>
        </w:rPr>
        <w:t xml:space="preserve"> (2 % všech případů). </w:t>
      </w:r>
      <w:r w:rsidR="00744A49">
        <w:rPr>
          <w:i w:val="0"/>
          <w:color w:val="auto"/>
          <w:sz w:val="20"/>
        </w:rPr>
        <w:t xml:space="preserve">Naopak </w:t>
      </w:r>
      <w:r w:rsidR="00A37CD1">
        <w:rPr>
          <w:i w:val="0"/>
          <w:color w:val="auto"/>
          <w:sz w:val="20"/>
        </w:rPr>
        <w:t xml:space="preserve">meziročně </w:t>
      </w:r>
      <w:r w:rsidR="00744A49">
        <w:rPr>
          <w:i w:val="0"/>
          <w:color w:val="auto"/>
          <w:sz w:val="20"/>
        </w:rPr>
        <w:t xml:space="preserve">vzrostl počet </w:t>
      </w:r>
      <w:r w:rsidR="001033B0">
        <w:rPr>
          <w:i w:val="0"/>
          <w:color w:val="auto"/>
          <w:sz w:val="20"/>
        </w:rPr>
        <w:t>ne</w:t>
      </w:r>
      <w:r w:rsidR="00017063">
        <w:rPr>
          <w:i w:val="0"/>
          <w:color w:val="auto"/>
          <w:sz w:val="20"/>
        </w:rPr>
        <w:t>pracovních úrazů</w:t>
      </w:r>
      <w:r w:rsidR="00744A49">
        <w:rPr>
          <w:i w:val="0"/>
          <w:color w:val="auto"/>
          <w:sz w:val="20"/>
        </w:rPr>
        <w:t xml:space="preserve">, ze 149 tis. </w:t>
      </w:r>
      <w:r w:rsidR="00A37CD1">
        <w:rPr>
          <w:i w:val="0"/>
          <w:color w:val="auto"/>
          <w:sz w:val="20"/>
        </w:rPr>
        <w:t xml:space="preserve">v roce 2017 </w:t>
      </w:r>
      <w:r w:rsidR="00744A49">
        <w:rPr>
          <w:i w:val="0"/>
          <w:color w:val="auto"/>
          <w:sz w:val="20"/>
        </w:rPr>
        <w:t>na 153 tis.</w:t>
      </w:r>
      <w:r w:rsidR="00513C1E">
        <w:rPr>
          <w:i w:val="0"/>
          <w:color w:val="auto"/>
          <w:sz w:val="20"/>
        </w:rPr>
        <w:t xml:space="preserve"> </w:t>
      </w:r>
      <w:r w:rsidR="00A37CD1">
        <w:rPr>
          <w:i w:val="0"/>
          <w:color w:val="auto"/>
          <w:sz w:val="20"/>
        </w:rPr>
        <w:t xml:space="preserve">v roce 2018 </w:t>
      </w:r>
      <w:r w:rsidR="00513C1E">
        <w:rPr>
          <w:i w:val="0"/>
          <w:color w:val="auto"/>
          <w:sz w:val="20"/>
        </w:rPr>
        <w:t>(čili 8 % ze všech pracovních neschopností).</w:t>
      </w:r>
    </w:p>
    <w:p w14:paraId="27B0EDDD" w14:textId="61CC6ADA" w:rsidR="006D3235" w:rsidRDefault="00017063" w:rsidP="009343D6">
      <w:pPr>
        <w:jc w:val="both"/>
        <w:rPr>
          <w:rFonts w:cs="Arial"/>
        </w:rPr>
      </w:pPr>
      <w:r>
        <w:t xml:space="preserve">Častěji nastupovaly do pracovní neschopnosti tradičně </w:t>
      </w:r>
      <w:r w:rsidRPr="00A37CD1">
        <w:rPr>
          <w:b/>
        </w:rPr>
        <w:t>ženy</w:t>
      </w:r>
      <w:r>
        <w:t xml:space="preserve"> </w:t>
      </w:r>
      <w:r w:rsidR="00513C1E">
        <w:t xml:space="preserve">– </w:t>
      </w:r>
      <w:r w:rsidR="00157E96">
        <w:t>975,2 tis.</w:t>
      </w:r>
      <w:r w:rsidR="00513C1E">
        <w:t>, tj.</w:t>
      </w:r>
      <w:r w:rsidR="00157E96">
        <w:t xml:space="preserve"> 53 %</w:t>
      </w:r>
      <w:r w:rsidR="006D3235">
        <w:t xml:space="preserve"> v roce 2018</w:t>
      </w:r>
      <w:r w:rsidR="00513C1E">
        <w:t>.</w:t>
      </w:r>
      <w:r w:rsidR="00157E96">
        <w:t xml:space="preserve"> </w:t>
      </w:r>
      <w:r w:rsidR="00513C1E">
        <w:t>M</w:t>
      </w:r>
      <w:r w:rsidR="00157E96">
        <w:t xml:space="preserve">uži </w:t>
      </w:r>
      <w:r w:rsidR="00513C1E">
        <w:t>šli na</w:t>
      </w:r>
      <w:r w:rsidR="00F547BE">
        <w:t> </w:t>
      </w:r>
      <w:r w:rsidR="00513C1E">
        <w:t xml:space="preserve">neschopenku v </w:t>
      </w:r>
      <w:r w:rsidR="00157E96">
        <w:t>874,3 tis.</w:t>
      </w:r>
      <w:r w:rsidR="00513C1E">
        <w:t xml:space="preserve"> případů a zaujímali tak 47 % všech pracovních neschopností. </w:t>
      </w:r>
      <w:r w:rsidR="009343D6">
        <w:t xml:space="preserve">Ženy vykazovaly o 156 tis. případů dočasné pracovní neschopnosti </w:t>
      </w:r>
      <w:r w:rsidR="009343D6" w:rsidRPr="006D3235">
        <w:rPr>
          <w:b/>
        </w:rPr>
        <w:t>pro nemoc</w:t>
      </w:r>
      <w:r w:rsidR="009343D6">
        <w:t xml:space="preserve"> více než muži. </w:t>
      </w:r>
      <w:r w:rsidR="009343D6" w:rsidRPr="003E6827">
        <w:rPr>
          <w:rFonts w:cs="Arial"/>
        </w:rPr>
        <w:t xml:space="preserve">Vyšší podíl žen na </w:t>
      </w:r>
      <w:r w:rsidR="009343D6">
        <w:rPr>
          <w:rFonts w:cs="Arial"/>
        </w:rPr>
        <w:t>pracovní neschopnosti pro nemoc</w:t>
      </w:r>
      <w:r w:rsidR="009343D6" w:rsidRPr="003E6827">
        <w:rPr>
          <w:rFonts w:cs="Arial"/>
        </w:rPr>
        <w:t xml:space="preserve"> může souviset s mateřskou úlohou žen, u nichž mohou být důvodem pracovní neschopnosti také komplikace v těhotenství, potraty </w:t>
      </w:r>
      <w:r w:rsidR="009343D6">
        <w:rPr>
          <w:rFonts w:cs="Arial"/>
        </w:rPr>
        <w:t>apod</w:t>
      </w:r>
      <w:r w:rsidR="009343D6" w:rsidRPr="003E6827">
        <w:rPr>
          <w:rFonts w:cs="Arial"/>
        </w:rPr>
        <w:t>.</w:t>
      </w:r>
      <w:r w:rsidR="009343D6">
        <w:rPr>
          <w:rFonts w:cs="Arial"/>
        </w:rPr>
        <w:t xml:space="preserve"> </w:t>
      </w:r>
    </w:p>
    <w:p w14:paraId="1EA034DE" w14:textId="3E3F3E9F" w:rsidR="009343D6" w:rsidRDefault="009343D6" w:rsidP="009343D6">
      <w:pPr>
        <w:jc w:val="both"/>
      </w:pPr>
      <w:r w:rsidRPr="003E6827">
        <w:rPr>
          <w:rFonts w:cs="Arial"/>
        </w:rPr>
        <w:t xml:space="preserve">Z celkového počtu nově hlášených případů </w:t>
      </w:r>
      <w:r w:rsidRPr="006D3235">
        <w:rPr>
          <w:rFonts w:cs="Arial"/>
          <w:b/>
        </w:rPr>
        <w:t>pro pracovní úrazy</w:t>
      </w:r>
      <w:r w:rsidRPr="003E6827">
        <w:rPr>
          <w:rFonts w:cs="Arial"/>
        </w:rPr>
        <w:t xml:space="preserve"> připad</w:t>
      </w:r>
      <w:r w:rsidR="006D3235">
        <w:rPr>
          <w:rFonts w:cs="Arial"/>
        </w:rPr>
        <w:t>alo v roce 2018</w:t>
      </w:r>
      <w:r w:rsidRPr="003E6827">
        <w:rPr>
          <w:rFonts w:cs="Arial"/>
        </w:rPr>
        <w:t xml:space="preserve"> na ženy pouze 3</w:t>
      </w:r>
      <w:r>
        <w:rPr>
          <w:rFonts w:cs="Arial"/>
        </w:rPr>
        <w:t>2</w:t>
      </w:r>
      <w:r w:rsidRPr="003E6827">
        <w:rPr>
          <w:rFonts w:cs="Arial"/>
        </w:rPr>
        <w:t xml:space="preserve"> % pracovních úrazů, což je dáno i odlišnou strukturou zaměstnanosti žen a mužů. Odvětví, </w:t>
      </w:r>
      <w:r w:rsidRPr="003E6827">
        <w:t>kde převládají muži a vyskytují se zvýšená rizika pracovního úrazu</w:t>
      </w:r>
      <w:r>
        <w:t>,</w:t>
      </w:r>
      <w:r w:rsidRPr="003E6827">
        <w:t xml:space="preserve"> jsou např. T</w:t>
      </w:r>
      <w:r w:rsidRPr="003E6827">
        <w:rPr>
          <w:rFonts w:cs="Arial"/>
        </w:rPr>
        <w:t>ěžb</w:t>
      </w:r>
      <w:r>
        <w:rPr>
          <w:rFonts w:cs="Arial"/>
        </w:rPr>
        <w:t>a</w:t>
      </w:r>
      <w:r w:rsidRPr="003E6827">
        <w:rPr>
          <w:rFonts w:cs="Arial"/>
        </w:rPr>
        <w:t xml:space="preserve"> a dobývání, Zpracovatelsk</w:t>
      </w:r>
      <w:r>
        <w:rPr>
          <w:rFonts w:cs="Arial"/>
        </w:rPr>
        <w:t>ý</w:t>
      </w:r>
      <w:r w:rsidRPr="003E6827">
        <w:rPr>
          <w:rFonts w:cs="Arial"/>
        </w:rPr>
        <w:t xml:space="preserve"> průmysl, S</w:t>
      </w:r>
      <w:r w:rsidRPr="003E6827">
        <w:t>tavebnictví, Doprav</w:t>
      </w:r>
      <w:r>
        <w:t>a</w:t>
      </w:r>
      <w:r w:rsidRPr="003E6827">
        <w:t xml:space="preserve"> a</w:t>
      </w:r>
      <w:r>
        <w:t> </w:t>
      </w:r>
      <w:r w:rsidRPr="003E6827">
        <w:t xml:space="preserve">skladování či Zemědělství, lesnictví, rybářství. Naopak odvětví, kde převažují v zaměstnání ženy a rizika pracovních úrazů </w:t>
      </w:r>
      <w:r w:rsidR="005A6E76">
        <w:t>bývají</w:t>
      </w:r>
      <w:r w:rsidRPr="003E6827">
        <w:t xml:space="preserve"> méně častá, jsou Peněžnictví a</w:t>
      </w:r>
      <w:r w:rsidR="00F14F45">
        <w:t> pojišťovnictví</w:t>
      </w:r>
      <w:r>
        <w:rPr>
          <w:rFonts w:cs="Arial"/>
        </w:rPr>
        <w:t>, Veřejná správa</w:t>
      </w:r>
      <w:r w:rsidRPr="003E6827">
        <w:rPr>
          <w:rFonts w:cs="Arial"/>
        </w:rPr>
        <w:t xml:space="preserve"> </w:t>
      </w:r>
      <w:r w:rsidRPr="003E6827">
        <w:t xml:space="preserve">a Vzdělávání. </w:t>
      </w:r>
    </w:p>
    <w:p w14:paraId="459433ED" w14:textId="3925C535" w:rsidR="00157E96" w:rsidRPr="00157E96" w:rsidRDefault="00513C1E" w:rsidP="001E476C">
      <w:pPr>
        <w:jc w:val="both"/>
      </w:pPr>
      <w:r>
        <w:t xml:space="preserve">Zatímco u počtu pracovních neschopností </w:t>
      </w:r>
      <w:r w:rsidR="00017063">
        <w:t>celkem</w:t>
      </w:r>
      <w:r>
        <w:t xml:space="preserve"> a u nesc</w:t>
      </w:r>
      <w:r w:rsidR="00A37CD1">
        <w:t>hopností z důvodu nemoci zůstávají</w:t>
      </w:r>
      <w:r>
        <w:t xml:space="preserve"> podíl</w:t>
      </w:r>
      <w:r w:rsidR="00A37CD1">
        <w:t>y</w:t>
      </w:r>
      <w:r>
        <w:t xml:space="preserve"> podle pohlaví dlouhodobě relativně konstantní, </w:t>
      </w:r>
      <w:r w:rsidR="00A37CD1">
        <w:t xml:space="preserve">u </w:t>
      </w:r>
      <w:r>
        <w:t xml:space="preserve">pracovních neschopností </w:t>
      </w:r>
      <w:r w:rsidR="00786ED5">
        <w:t xml:space="preserve">zapříčiněných úrazem </w:t>
      </w:r>
      <w:r w:rsidR="00A37CD1">
        <w:t>podíl</w:t>
      </w:r>
      <w:r w:rsidR="005E012A">
        <w:t xml:space="preserve"> žen </w:t>
      </w:r>
      <w:r w:rsidR="00A37CD1">
        <w:t xml:space="preserve">v čase </w:t>
      </w:r>
      <w:r>
        <w:t>přibývá.</w:t>
      </w:r>
      <w:r w:rsidR="005E012A">
        <w:t xml:space="preserve"> Toto je zřejmé zejména </w:t>
      </w:r>
      <w:r w:rsidR="001033B0">
        <w:t>jiných než pracovních</w:t>
      </w:r>
      <w:r w:rsidR="005E012A">
        <w:t xml:space="preserve"> úrazů, kdy ještě v roce 2009 nahlásily ženy 27 tis. případů</w:t>
      </w:r>
      <w:r w:rsidR="00A37CD1">
        <w:t>,</w:t>
      </w:r>
      <w:r w:rsidR="005E012A">
        <w:t xml:space="preserve"> a</w:t>
      </w:r>
      <w:r w:rsidR="00A37CD1">
        <w:t>le</w:t>
      </w:r>
      <w:r w:rsidR="00F547BE">
        <w:t> </w:t>
      </w:r>
      <w:r w:rsidR="005E012A">
        <w:t xml:space="preserve">v roce 2018 to bylo </w:t>
      </w:r>
      <w:r w:rsidR="00A37CD1">
        <w:t>již o 30 tis. více</w:t>
      </w:r>
      <w:r w:rsidR="005E012A">
        <w:t xml:space="preserve">. Velký nárůst je patrný i u mužů, počet nově hlášených případů pracovní neschopnosti z důvodu </w:t>
      </w:r>
      <w:r w:rsidR="001033B0" w:rsidRPr="00A37CD1">
        <w:rPr>
          <w:b/>
        </w:rPr>
        <w:t>ne</w:t>
      </w:r>
      <w:r w:rsidR="006D3235" w:rsidRPr="00A37CD1">
        <w:rPr>
          <w:b/>
        </w:rPr>
        <w:t>pracov</w:t>
      </w:r>
      <w:r w:rsidR="001033B0" w:rsidRPr="00A37CD1">
        <w:rPr>
          <w:b/>
        </w:rPr>
        <w:t>ních (ostatních)</w:t>
      </w:r>
      <w:r w:rsidR="006D3235" w:rsidRPr="00A37CD1">
        <w:rPr>
          <w:b/>
        </w:rPr>
        <w:t xml:space="preserve"> </w:t>
      </w:r>
      <w:r w:rsidR="005E012A" w:rsidRPr="00A37CD1">
        <w:rPr>
          <w:b/>
        </w:rPr>
        <w:t>úraz</w:t>
      </w:r>
      <w:r w:rsidR="001033B0" w:rsidRPr="00A37CD1">
        <w:rPr>
          <w:b/>
        </w:rPr>
        <w:t>ů</w:t>
      </w:r>
      <w:r w:rsidR="005E012A">
        <w:t xml:space="preserve"> činil v roce 2009 necelých 60 tis., </w:t>
      </w:r>
      <w:r w:rsidR="005E012A">
        <w:lastRenderedPageBreak/>
        <w:t xml:space="preserve">v současné době překonal 96 tis. Naopak pracovních úrazů, které vyústily v pracovní neschopnost u mužů za sledované období, ubylo – ze 36 tis. </w:t>
      </w:r>
      <w:r w:rsidR="00A37CD1">
        <w:t xml:space="preserve">v roce 2009 </w:t>
      </w:r>
      <w:r w:rsidR="005E012A">
        <w:t>na 31 tis.</w:t>
      </w:r>
      <w:r w:rsidR="00A37CD1">
        <w:t xml:space="preserve"> v roce 2018.</w:t>
      </w:r>
      <w:r w:rsidR="005E012A">
        <w:t xml:space="preserve"> Současně také došlo k poklesu </w:t>
      </w:r>
      <w:r w:rsidR="001E476C">
        <w:t>podílu pracovních úrazů na celkové úrazov</w:t>
      </w:r>
      <w:r w:rsidR="001033B0">
        <w:t>osti. Zatímco v roce 2009 činil podíl</w:t>
      </w:r>
      <w:r w:rsidR="001E476C">
        <w:t xml:space="preserve"> pracovních úrazů 37 %, dnes je to 23 %.</w:t>
      </w:r>
    </w:p>
    <w:p w14:paraId="3A0A48A0" w14:textId="49D0A010" w:rsidR="00F00627" w:rsidRPr="00F00627" w:rsidRDefault="00F00627" w:rsidP="00F00627">
      <w:pPr>
        <w:pStyle w:val="Titulek"/>
        <w:keepNext/>
        <w:rPr>
          <w:b/>
          <w:i w:val="0"/>
          <w:color w:val="auto"/>
          <w:sz w:val="20"/>
        </w:rPr>
      </w:pPr>
      <w:bookmarkStart w:id="9" w:name="_Toc10112620"/>
      <w:r w:rsidRPr="00F00627">
        <w:rPr>
          <w:b/>
          <w:i w:val="0"/>
          <w:color w:val="auto"/>
          <w:sz w:val="20"/>
        </w:rPr>
        <w:t>Tab</w:t>
      </w:r>
      <w:r w:rsidR="00381067">
        <w:rPr>
          <w:b/>
          <w:i w:val="0"/>
          <w:color w:val="auto"/>
          <w:sz w:val="20"/>
        </w:rPr>
        <w:t>.</w:t>
      </w:r>
      <w:r w:rsidRPr="00F00627">
        <w:rPr>
          <w:b/>
          <w:i w:val="0"/>
          <w:color w:val="auto"/>
          <w:sz w:val="20"/>
        </w:rPr>
        <w:t xml:space="preserve"> </w:t>
      </w:r>
      <w:r w:rsidRPr="00F00627">
        <w:rPr>
          <w:b/>
          <w:i w:val="0"/>
          <w:color w:val="auto"/>
          <w:sz w:val="20"/>
        </w:rPr>
        <w:fldChar w:fldCharType="begin"/>
      </w:r>
      <w:r w:rsidRPr="00F00627">
        <w:rPr>
          <w:b/>
          <w:i w:val="0"/>
          <w:color w:val="auto"/>
          <w:sz w:val="20"/>
        </w:rPr>
        <w:instrText xml:space="preserve"> SEQ Tabulka \* ARABIC </w:instrText>
      </w:r>
      <w:r w:rsidRPr="00F00627">
        <w:rPr>
          <w:b/>
          <w:i w:val="0"/>
          <w:color w:val="auto"/>
          <w:sz w:val="20"/>
        </w:rPr>
        <w:fldChar w:fldCharType="separate"/>
      </w:r>
      <w:r w:rsidR="004426F5">
        <w:rPr>
          <w:b/>
          <w:i w:val="0"/>
          <w:noProof/>
          <w:color w:val="auto"/>
          <w:sz w:val="20"/>
        </w:rPr>
        <w:t>2</w:t>
      </w:r>
      <w:r w:rsidRPr="00F00627">
        <w:rPr>
          <w:b/>
          <w:i w:val="0"/>
          <w:color w:val="auto"/>
          <w:sz w:val="20"/>
        </w:rPr>
        <w:fldChar w:fldCharType="end"/>
      </w:r>
      <w:r w:rsidRPr="00F00627">
        <w:rPr>
          <w:b/>
          <w:i w:val="0"/>
          <w:color w:val="auto"/>
          <w:sz w:val="20"/>
        </w:rPr>
        <w:t>.1</w:t>
      </w:r>
      <w:r w:rsidR="00A84595">
        <w:rPr>
          <w:b/>
          <w:i w:val="0"/>
          <w:color w:val="auto"/>
          <w:sz w:val="20"/>
        </w:rPr>
        <w:t>:</w:t>
      </w:r>
      <w:r w:rsidRPr="00F00627">
        <w:rPr>
          <w:b/>
          <w:i w:val="0"/>
          <w:color w:val="auto"/>
          <w:sz w:val="20"/>
        </w:rPr>
        <w:t xml:space="preserve"> Nově hlášené případy </w:t>
      </w:r>
      <w:r w:rsidR="005A6E76">
        <w:rPr>
          <w:b/>
          <w:i w:val="0"/>
          <w:color w:val="auto"/>
          <w:sz w:val="20"/>
        </w:rPr>
        <w:t xml:space="preserve">dočasné </w:t>
      </w:r>
      <w:r w:rsidRPr="00F00627">
        <w:rPr>
          <w:b/>
          <w:i w:val="0"/>
          <w:color w:val="auto"/>
          <w:sz w:val="20"/>
        </w:rPr>
        <w:t>pracovní neschopnosti podle</w:t>
      </w:r>
      <w:r w:rsidR="00F4354F">
        <w:rPr>
          <w:b/>
          <w:i w:val="0"/>
          <w:color w:val="auto"/>
          <w:sz w:val="20"/>
        </w:rPr>
        <w:t xml:space="preserve"> příčiny a pohlaví v letech 2008</w:t>
      </w:r>
      <w:r w:rsidRPr="00F00627">
        <w:rPr>
          <w:b/>
          <w:i w:val="0"/>
          <w:color w:val="auto"/>
          <w:sz w:val="20"/>
        </w:rPr>
        <w:t>–2018 (</w:t>
      </w:r>
      <w:r>
        <w:rPr>
          <w:b/>
          <w:i w:val="0"/>
          <w:color w:val="auto"/>
          <w:sz w:val="20"/>
        </w:rPr>
        <w:t xml:space="preserve">v </w:t>
      </w:r>
      <w:r w:rsidRPr="00F00627">
        <w:rPr>
          <w:b/>
          <w:i w:val="0"/>
          <w:color w:val="auto"/>
          <w:sz w:val="20"/>
        </w:rPr>
        <w:t>tis. případů)</w:t>
      </w:r>
      <w:bookmarkEnd w:id="9"/>
    </w:p>
    <w:tbl>
      <w:tblPr>
        <w:tblW w:w="9740" w:type="dxa"/>
        <w:tblInd w:w="70" w:type="dxa"/>
        <w:tblCellMar>
          <w:left w:w="70" w:type="dxa"/>
          <w:right w:w="70" w:type="dxa"/>
        </w:tblCellMar>
        <w:tblLook w:val="04A0" w:firstRow="1" w:lastRow="0" w:firstColumn="1" w:lastColumn="0" w:noHBand="0" w:noVBand="1"/>
      </w:tblPr>
      <w:tblGrid>
        <w:gridCol w:w="620"/>
        <w:gridCol w:w="760"/>
        <w:gridCol w:w="760"/>
        <w:gridCol w:w="760"/>
        <w:gridCol w:w="760"/>
        <w:gridCol w:w="760"/>
        <w:gridCol w:w="760"/>
        <w:gridCol w:w="760"/>
        <w:gridCol w:w="760"/>
        <w:gridCol w:w="760"/>
        <w:gridCol w:w="760"/>
        <w:gridCol w:w="760"/>
        <w:gridCol w:w="760"/>
      </w:tblGrid>
      <w:tr w:rsidR="00F4354F" w:rsidRPr="00F4354F" w14:paraId="067BFEF7" w14:textId="77777777" w:rsidTr="00F4354F">
        <w:trPr>
          <w:trHeight w:val="300"/>
        </w:trPr>
        <w:tc>
          <w:tcPr>
            <w:tcW w:w="620" w:type="dxa"/>
            <w:vMerge w:val="restart"/>
            <w:tcBorders>
              <w:top w:val="single" w:sz="4" w:space="0" w:color="auto"/>
              <w:left w:val="nil"/>
              <w:bottom w:val="single" w:sz="8" w:space="0" w:color="000000"/>
              <w:right w:val="single" w:sz="4" w:space="0" w:color="auto"/>
            </w:tcBorders>
            <w:shd w:val="clear" w:color="000000" w:fill="F5DADD"/>
            <w:vAlign w:val="center"/>
            <w:hideMark/>
          </w:tcPr>
          <w:p w14:paraId="57B71D2C" w14:textId="77777777" w:rsidR="00F4354F" w:rsidRPr="00F4354F" w:rsidRDefault="00F4354F" w:rsidP="00F4354F">
            <w:pPr>
              <w:spacing w:after="0" w:line="240" w:lineRule="auto"/>
              <w:jc w:val="center"/>
              <w:rPr>
                <w:rFonts w:cs="Arial"/>
                <w:sz w:val="16"/>
                <w:szCs w:val="16"/>
              </w:rPr>
            </w:pPr>
            <w:r w:rsidRPr="00F4354F">
              <w:rPr>
                <w:rFonts w:cs="Arial"/>
                <w:sz w:val="16"/>
                <w:szCs w:val="16"/>
              </w:rPr>
              <w:t>Rok</w:t>
            </w:r>
          </w:p>
        </w:tc>
        <w:tc>
          <w:tcPr>
            <w:tcW w:w="9120" w:type="dxa"/>
            <w:gridSpan w:val="12"/>
            <w:tcBorders>
              <w:top w:val="single" w:sz="4" w:space="0" w:color="auto"/>
              <w:left w:val="nil"/>
              <w:bottom w:val="single" w:sz="4" w:space="0" w:color="auto"/>
              <w:right w:val="nil"/>
            </w:tcBorders>
            <w:shd w:val="clear" w:color="000000" w:fill="F2DBDB"/>
            <w:vAlign w:val="center"/>
            <w:hideMark/>
          </w:tcPr>
          <w:p w14:paraId="26E6FCC6" w14:textId="4C48928B" w:rsidR="00F4354F" w:rsidRPr="00F4354F" w:rsidRDefault="00F4354F" w:rsidP="005A6E76">
            <w:pPr>
              <w:spacing w:after="0" w:line="240" w:lineRule="auto"/>
              <w:jc w:val="center"/>
              <w:rPr>
                <w:rFonts w:cs="Arial"/>
                <w:sz w:val="16"/>
                <w:szCs w:val="16"/>
              </w:rPr>
            </w:pPr>
            <w:r w:rsidRPr="00F4354F">
              <w:rPr>
                <w:rFonts w:cs="Arial"/>
                <w:sz w:val="16"/>
                <w:szCs w:val="16"/>
              </w:rPr>
              <w:t xml:space="preserve">Počet nově hlášených případů </w:t>
            </w:r>
            <w:r w:rsidR="005A6E76">
              <w:rPr>
                <w:rFonts w:cs="Arial"/>
                <w:sz w:val="16"/>
                <w:szCs w:val="16"/>
              </w:rPr>
              <w:t>DPN</w:t>
            </w:r>
            <w:r w:rsidRPr="00F4354F">
              <w:rPr>
                <w:rFonts w:cs="Arial"/>
                <w:sz w:val="16"/>
                <w:szCs w:val="16"/>
              </w:rPr>
              <w:t xml:space="preserve"> (v tis.)</w:t>
            </w:r>
          </w:p>
        </w:tc>
      </w:tr>
      <w:tr w:rsidR="00F4354F" w:rsidRPr="00F4354F" w14:paraId="421D723F" w14:textId="77777777" w:rsidTr="00F4354F">
        <w:trPr>
          <w:trHeight w:val="300"/>
        </w:trPr>
        <w:tc>
          <w:tcPr>
            <w:tcW w:w="620" w:type="dxa"/>
            <w:vMerge/>
            <w:tcBorders>
              <w:top w:val="single" w:sz="4" w:space="0" w:color="auto"/>
              <w:left w:val="nil"/>
              <w:bottom w:val="single" w:sz="8" w:space="0" w:color="000000"/>
              <w:right w:val="single" w:sz="4" w:space="0" w:color="auto"/>
            </w:tcBorders>
            <w:vAlign w:val="center"/>
            <w:hideMark/>
          </w:tcPr>
          <w:p w14:paraId="5DF104B3" w14:textId="77777777" w:rsidR="00F4354F" w:rsidRPr="00F4354F" w:rsidRDefault="00F4354F" w:rsidP="00F4354F">
            <w:pPr>
              <w:spacing w:after="0" w:line="240" w:lineRule="auto"/>
              <w:rPr>
                <w:rFonts w:cs="Arial"/>
                <w:sz w:val="16"/>
                <w:szCs w:val="16"/>
              </w:rPr>
            </w:pP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024E1EFF" w14:textId="77777777" w:rsidR="00F4354F" w:rsidRPr="00F4354F" w:rsidRDefault="00F4354F" w:rsidP="00F4354F">
            <w:pPr>
              <w:spacing w:after="0" w:line="240" w:lineRule="auto"/>
              <w:jc w:val="center"/>
              <w:rPr>
                <w:rFonts w:cs="Arial"/>
                <w:sz w:val="16"/>
                <w:szCs w:val="16"/>
              </w:rPr>
            </w:pPr>
            <w:r w:rsidRPr="00F4354F">
              <w:rPr>
                <w:rFonts w:cs="Arial"/>
                <w:sz w:val="16"/>
                <w:szCs w:val="16"/>
              </w:rPr>
              <w:t>Celkem</w:t>
            </w:r>
          </w:p>
        </w:tc>
        <w:tc>
          <w:tcPr>
            <w:tcW w:w="1520" w:type="dxa"/>
            <w:gridSpan w:val="2"/>
            <w:tcBorders>
              <w:top w:val="single" w:sz="4" w:space="0" w:color="auto"/>
              <w:left w:val="nil"/>
              <w:bottom w:val="single" w:sz="4" w:space="0" w:color="auto"/>
              <w:right w:val="single" w:sz="4" w:space="0" w:color="auto"/>
            </w:tcBorders>
            <w:shd w:val="clear" w:color="000000" w:fill="F2DBDB"/>
            <w:vAlign w:val="center"/>
            <w:hideMark/>
          </w:tcPr>
          <w:p w14:paraId="0A07D98F" w14:textId="0E2E20EA" w:rsidR="00F4354F" w:rsidRPr="00F4354F" w:rsidRDefault="0014571B" w:rsidP="00F4354F">
            <w:pPr>
              <w:spacing w:after="0" w:line="240" w:lineRule="auto"/>
              <w:jc w:val="center"/>
              <w:rPr>
                <w:rFonts w:cs="Arial"/>
                <w:sz w:val="16"/>
                <w:szCs w:val="16"/>
              </w:rPr>
            </w:pPr>
            <w:r>
              <w:rPr>
                <w:rFonts w:cs="Arial"/>
                <w:sz w:val="16"/>
                <w:szCs w:val="16"/>
              </w:rPr>
              <w:t>podle pohlaví</w:t>
            </w: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6A31E9E9" w14:textId="77777777" w:rsidR="00F4354F" w:rsidRPr="00F4354F" w:rsidRDefault="00F4354F" w:rsidP="00F4354F">
            <w:pPr>
              <w:spacing w:after="0" w:line="240" w:lineRule="auto"/>
              <w:jc w:val="center"/>
              <w:rPr>
                <w:rFonts w:cs="Arial"/>
                <w:sz w:val="16"/>
                <w:szCs w:val="16"/>
              </w:rPr>
            </w:pPr>
            <w:r w:rsidRPr="00F4354F">
              <w:rPr>
                <w:rFonts w:cs="Arial"/>
                <w:sz w:val="16"/>
                <w:szCs w:val="16"/>
              </w:rPr>
              <w:t>Celkem pro nemoc</w:t>
            </w:r>
          </w:p>
        </w:tc>
        <w:tc>
          <w:tcPr>
            <w:tcW w:w="1520" w:type="dxa"/>
            <w:gridSpan w:val="2"/>
            <w:tcBorders>
              <w:top w:val="single" w:sz="4" w:space="0" w:color="auto"/>
              <w:left w:val="nil"/>
              <w:bottom w:val="single" w:sz="4" w:space="0" w:color="auto"/>
              <w:right w:val="single" w:sz="4" w:space="0" w:color="auto"/>
            </w:tcBorders>
            <w:shd w:val="clear" w:color="000000" w:fill="F2DBDB"/>
            <w:vAlign w:val="center"/>
            <w:hideMark/>
          </w:tcPr>
          <w:p w14:paraId="17E791DD" w14:textId="42A4ECFA" w:rsidR="00F4354F" w:rsidRPr="00F4354F" w:rsidRDefault="0014571B" w:rsidP="00F4354F">
            <w:pPr>
              <w:spacing w:after="0" w:line="240" w:lineRule="auto"/>
              <w:jc w:val="center"/>
              <w:rPr>
                <w:rFonts w:cs="Arial"/>
                <w:sz w:val="16"/>
                <w:szCs w:val="16"/>
              </w:rPr>
            </w:pPr>
            <w:r>
              <w:rPr>
                <w:rFonts w:cs="Arial"/>
                <w:sz w:val="16"/>
                <w:szCs w:val="16"/>
              </w:rPr>
              <w:t>podle pohlaví</w:t>
            </w: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29D38A00" w14:textId="77777777" w:rsidR="00F4354F" w:rsidRPr="00F4354F" w:rsidRDefault="00F4354F" w:rsidP="00F4354F">
            <w:pPr>
              <w:spacing w:after="0" w:line="240" w:lineRule="auto"/>
              <w:jc w:val="center"/>
              <w:rPr>
                <w:rFonts w:cs="Arial"/>
                <w:sz w:val="16"/>
                <w:szCs w:val="16"/>
              </w:rPr>
            </w:pPr>
            <w:r w:rsidRPr="00F4354F">
              <w:rPr>
                <w:rFonts w:cs="Arial"/>
                <w:sz w:val="16"/>
                <w:szCs w:val="16"/>
              </w:rPr>
              <w:t>Celkem pro pracovní úrazy</w:t>
            </w:r>
          </w:p>
        </w:tc>
        <w:tc>
          <w:tcPr>
            <w:tcW w:w="1520" w:type="dxa"/>
            <w:gridSpan w:val="2"/>
            <w:tcBorders>
              <w:top w:val="single" w:sz="4" w:space="0" w:color="auto"/>
              <w:left w:val="nil"/>
              <w:bottom w:val="single" w:sz="4" w:space="0" w:color="auto"/>
              <w:right w:val="single" w:sz="4" w:space="0" w:color="auto"/>
            </w:tcBorders>
            <w:shd w:val="clear" w:color="000000" w:fill="F2DBDB"/>
            <w:vAlign w:val="center"/>
            <w:hideMark/>
          </w:tcPr>
          <w:p w14:paraId="3361FD1D" w14:textId="29500C39" w:rsidR="00F4354F" w:rsidRPr="00F4354F" w:rsidRDefault="0014571B" w:rsidP="00F4354F">
            <w:pPr>
              <w:spacing w:after="0" w:line="240" w:lineRule="auto"/>
              <w:jc w:val="center"/>
              <w:rPr>
                <w:rFonts w:cs="Arial"/>
                <w:sz w:val="16"/>
                <w:szCs w:val="16"/>
              </w:rPr>
            </w:pPr>
            <w:r>
              <w:rPr>
                <w:rFonts w:cs="Arial"/>
                <w:sz w:val="16"/>
                <w:szCs w:val="16"/>
              </w:rPr>
              <w:t>podle pohlaví</w:t>
            </w: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51381694" w14:textId="77777777" w:rsidR="00F4354F" w:rsidRPr="00F4354F" w:rsidRDefault="00F4354F" w:rsidP="00F4354F">
            <w:pPr>
              <w:spacing w:after="0" w:line="240" w:lineRule="auto"/>
              <w:jc w:val="center"/>
              <w:rPr>
                <w:rFonts w:cs="Arial"/>
                <w:sz w:val="16"/>
                <w:szCs w:val="16"/>
              </w:rPr>
            </w:pPr>
            <w:r w:rsidRPr="00F4354F">
              <w:rPr>
                <w:rFonts w:cs="Arial"/>
                <w:sz w:val="16"/>
                <w:szCs w:val="16"/>
              </w:rPr>
              <w:t>Celkem pro ostatní úrazy</w:t>
            </w:r>
          </w:p>
        </w:tc>
        <w:tc>
          <w:tcPr>
            <w:tcW w:w="1520" w:type="dxa"/>
            <w:gridSpan w:val="2"/>
            <w:tcBorders>
              <w:top w:val="single" w:sz="4" w:space="0" w:color="auto"/>
              <w:left w:val="nil"/>
              <w:bottom w:val="single" w:sz="4" w:space="0" w:color="auto"/>
            </w:tcBorders>
            <w:shd w:val="clear" w:color="000000" w:fill="F2DBDB"/>
            <w:vAlign w:val="center"/>
            <w:hideMark/>
          </w:tcPr>
          <w:p w14:paraId="6FC70BD2" w14:textId="436C2BF4" w:rsidR="00F4354F" w:rsidRPr="00F4354F" w:rsidRDefault="0014571B" w:rsidP="00F4354F">
            <w:pPr>
              <w:spacing w:after="0" w:line="240" w:lineRule="auto"/>
              <w:jc w:val="center"/>
              <w:rPr>
                <w:rFonts w:cs="Arial"/>
                <w:sz w:val="16"/>
                <w:szCs w:val="16"/>
              </w:rPr>
            </w:pPr>
            <w:r>
              <w:rPr>
                <w:rFonts w:cs="Arial"/>
                <w:sz w:val="16"/>
                <w:szCs w:val="16"/>
              </w:rPr>
              <w:t>podle pohlaví</w:t>
            </w:r>
          </w:p>
        </w:tc>
      </w:tr>
      <w:tr w:rsidR="00F4354F" w:rsidRPr="00F4354F" w14:paraId="7E6D8B47" w14:textId="77777777" w:rsidTr="006D3235">
        <w:trPr>
          <w:trHeight w:val="645"/>
        </w:trPr>
        <w:tc>
          <w:tcPr>
            <w:tcW w:w="620" w:type="dxa"/>
            <w:vMerge/>
            <w:tcBorders>
              <w:top w:val="single" w:sz="4" w:space="0" w:color="auto"/>
              <w:left w:val="nil"/>
              <w:bottom w:val="single" w:sz="8" w:space="0" w:color="000000"/>
              <w:right w:val="single" w:sz="4" w:space="0" w:color="auto"/>
            </w:tcBorders>
            <w:vAlign w:val="center"/>
            <w:hideMark/>
          </w:tcPr>
          <w:p w14:paraId="7EB4B792" w14:textId="77777777" w:rsidR="00F4354F" w:rsidRPr="00F4354F" w:rsidRDefault="00F4354F" w:rsidP="00F4354F">
            <w:pPr>
              <w:spacing w:after="0" w:line="240" w:lineRule="auto"/>
              <w:rPr>
                <w:rFonts w:cs="Arial"/>
                <w:sz w:val="16"/>
                <w:szCs w:val="16"/>
              </w:rPr>
            </w:pPr>
          </w:p>
        </w:tc>
        <w:tc>
          <w:tcPr>
            <w:tcW w:w="760" w:type="dxa"/>
            <w:vMerge/>
            <w:tcBorders>
              <w:top w:val="nil"/>
              <w:left w:val="single" w:sz="4" w:space="0" w:color="auto"/>
              <w:bottom w:val="single" w:sz="8" w:space="0" w:color="000000"/>
              <w:right w:val="single" w:sz="4" w:space="0" w:color="auto"/>
            </w:tcBorders>
            <w:vAlign w:val="center"/>
            <w:hideMark/>
          </w:tcPr>
          <w:p w14:paraId="75F35053" w14:textId="77777777" w:rsidR="00F4354F" w:rsidRPr="00F4354F" w:rsidRDefault="00F4354F" w:rsidP="00F4354F">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125D7CC3" w14:textId="77777777" w:rsidR="00F4354F" w:rsidRPr="00F4354F" w:rsidRDefault="00F4354F" w:rsidP="00F4354F">
            <w:pPr>
              <w:spacing w:after="0" w:line="240" w:lineRule="auto"/>
              <w:jc w:val="center"/>
              <w:rPr>
                <w:rFonts w:cs="Arial"/>
                <w:sz w:val="16"/>
                <w:szCs w:val="16"/>
              </w:rPr>
            </w:pPr>
            <w:r w:rsidRPr="00F4354F">
              <w:rPr>
                <w:rFonts w:cs="Arial"/>
                <w:sz w:val="16"/>
                <w:szCs w:val="16"/>
              </w:rPr>
              <w:t>muži</w:t>
            </w:r>
          </w:p>
        </w:tc>
        <w:tc>
          <w:tcPr>
            <w:tcW w:w="760" w:type="dxa"/>
            <w:tcBorders>
              <w:top w:val="nil"/>
              <w:left w:val="nil"/>
              <w:bottom w:val="single" w:sz="8" w:space="0" w:color="auto"/>
              <w:right w:val="single" w:sz="4" w:space="0" w:color="auto"/>
            </w:tcBorders>
            <w:shd w:val="clear" w:color="000000" w:fill="F2DBDB"/>
            <w:vAlign w:val="center"/>
            <w:hideMark/>
          </w:tcPr>
          <w:p w14:paraId="2787FB04" w14:textId="77777777" w:rsidR="00F4354F" w:rsidRPr="00F4354F" w:rsidRDefault="00F4354F" w:rsidP="00F4354F">
            <w:pPr>
              <w:spacing w:after="0" w:line="240" w:lineRule="auto"/>
              <w:jc w:val="center"/>
              <w:rPr>
                <w:rFonts w:cs="Arial"/>
                <w:sz w:val="16"/>
                <w:szCs w:val="16"/>
              </w:rPr>
            </w:pPr>
            <w:r w:rsidRPr="00F4354F">
              <w:rPr>
                <w:rFonts w:cs="Arial"/>
                <w:sz w:val="16"/>
                <w:szCs w:val="16"/>
              </w:rPr>
              <w:t>ženy</w:t>
            </w:r>
          </w:p>
        </w:tc>
        <w:tc>
          <w:tcPr>
            <w:tcW w:w="760" w:type="dxa"/>
            <w:vMerge/>
            <w:tcBorders>
              <w:top w:val="nil"/>
              <w:left w:val="single" w:sz="4" w:space="0" w:color="auto"/>
              <w:bottom w:val="single" w:sz="8" w:space="0" w:color="000000"/>
              <w:right w:val="single" w:sz="4" w:space="0" w:color="auto"/>
            </w:tcBorders>
            <w:vAlign w:val="center"/>
            <w:hideMark/>
          </w:tcPr>
          <w:p w14:paraId="26B58872" w14:textId="77777777" w:rsidR="00F4354F" w:rsidRPr="00F4354F" w:rsidRDefault="00F4354F" w:rsidP="00F4354F">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1D40358A" w14:textId="77777777" w:rsidR="00F4354F" w:rsidRPr="00F4354F" w:rsidRDefault="00F4354F" w:rsidP="00F4354F">
            <w:pPr>
              <w:spacing w:after="0" w:line="240" w:lineRule="auto"/>
              <w:jc w:val="center"/>
              <w:rPr>
                <w:rFonts w:cs="Arial"/>
                <w:sz w:val="16"/>
                <w:szCs w:val="16"/>
              </w:rPr>
            </w:pPr>
            <w:r w:rsidRPr="00F4354F">
              <w:rPr>
                <w:rFonts w:cs="Arial"/>
                <w:sz w:val="16"/>
                <w:szCs w:val="16"/>
              </w:rPr>
              <w:t>muži</w:t>
            </w:r>
          </w:p>
        </w:tc>
        <w:tc>
          <w:tcPr>
            <w:tcW w:w="760" w:type="dxa"/>
            <w:tcBorders>
              <w:top w:val="nil"/>
              <w:left w:val="nil"/>
              <w:bottom w:val="single" w:sz="8" w:space="0" w:color="auto"/>
              <w:right w:val="single" w:sz="4" w:space="0" w:color="auto"/>
            </w:tcBorders>
            <w:shd w:val="clear" w:color="000000" w:fill="F2DBDB"/>
            <w:vAlign w:val="center"/>
            <w:hideMark/>
          </w:tcPr>
          <w:p w14:paraId="4352A47B" w14:textId="77777777" w:rsidR="00F4354F" w:rsidRPr="00F4354F" w:rsidRDefault="00F4354F" w:rsidP="00F4354F">
            <w:pPr>
              <w:spacing w:after="0" w:line="240" w:lineRule="auto"/>
              <w:jc w:val="center"/>
              <w:rPr>
                <w:rFonts w:cs="Arial"/>
                <w:sz w:val="16"/>
                <w:szCs w:val="16"/>
              </w:rPr>
            </w:pPr>
            <w:r w:rsidRPr="00F4354F">
              <w:rPr>
                <w:rFonts w:cs="Arial"/>
                <w:sz w:val="16"/>
                <w:szCs w:val="16"/>
              </w:rPr>
              <w:t>ženy</w:t>
            </w:r>
          </w:p>
        </w:tc>
        <w:tc>
          <w:tcPr>
            <w:tcW w:w="760" w:type="dxa"/>
            <w:vMerge/>
            <w:tcBorders>
              <w:top w:val="nil"/>
              <w:left w:val="single" w:sz="4" w:space="0" w:color="auto"/>
              <w:bottom w:val="single" w:sz="8" w:space="0" w:color="000000"/>
              <w:right w:val="single" w:sz="4" w:space="0" w:color="auto"/>
            </w:tcBorders>
            <w:vAlign w:val="center"/>
            <w:hideMark/>
          </w:tcPr>
          <w:p w14:paraId="547CE91C" w14:textId="77777777" w:rsidR="00F4354F" w:rsidRPr="00F4354F" w:rsidRDefault="00F4354F" w:rsidP="00F4354F">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5707BCA0" w14:textId="77777777" w:rsidR="00F4354F" w:rsidRPr="00F4354F" w:rsidRDefault="00F4354F" w:rsidP="00F4354F">
            <w:pPr>
              <w:spacing w:after="0" w:line="240" w:lineRule="auto"/>
              <w:jc w:val="center"/>
              <w:rPr>
                <w:rFonts w:cs="Arial"/>
                <w:sz w:val="16"/>
                <w:szCs w:val="16"/>
              </w:rPr>
            </w:pPr>
            <w:r w:rsidRPr="00F4354F">
              <w:rPr>
                <w:rFonts w:cs="Arial"/>
                <w:sz w:val="16"/>
                <w:szCs w:val="16"/>
              </w:rPr>
              <w:t>muži</w:t>
            </w:r>
          </w:p>
        </w:tc>
        <w:tc>
          <w:tcPr>
            <w:tcW w:w="760" w:type="dxa"/>
            <w:tcBorders>
              <w:top w:val="nil"/>
              <w:left w:val="nil"/>
              <w:bottom w:val="single" w:sz="8" w:space="0" w:color="auto"/>
              <w:right w:val="nil"/>
            </w:tcBorders>
            <w:shd w:val="clear" w:color="000000" w:fill="F2DBDB"/>
            <w:vAlign w:val="center"/>
            <w:hideMark/>
          </w:tcPr>
          <w:p w14:paraId="5EDC1DB7" w14:textId="77777777" w:rsidR="00F4354F" w:rsidRPr="00F4354F" w:rsidRDefault="00F4354F" w:rsidP="00F4354F">
            <w:pPr>
              <w:spacing w:after="0" w:line="240" w:lineRule="auto"/>
              <w:jc w:val="center"/>
              <w:rPr>
                <w:rFonts w:cs="Arial"/>
                <w:sz w:val="16"/>
                <w:szCs w:val="16"/>
              </w:rPr>
            </w:pPr>
            <w:r w:rsidRPr="00F4354F">
              <w:rPr>
                <w:rFonts w:cs="Arial"/>
                <w:sz w:val="16"/>
                <w:szCs w:val="16"/>
              </w:rPr>
              <w:t>ženy</w:t>
            </w:r>
          </w:p>
        </w:tc>
        <w:tc>
          <w:tcPr>
            <w:tcW w:w="760" w:type="dxa"/>
            <w:vMerge/>
            <w:tcBorders>
              <w:top w:val="nil"/>
              <w:left w:val="single" w:sz="4" w:space="0" w:color="auto"/>
              <w:bottom w:val="single" w:sz="8" w:space="0" w:color="000000"/>
              <w:right w:val="single" w:sz="4" w:space="0" w:color="auto"/>
            </w:tcBorders>
            <w:vAlign w:val="center"/>
            <w:hideMark/>
          </w:tcPr>
          <w:p w14:paraId="3D6CDC48" w14:textId="77777777" w:rsidR="00F4354F" w:rsidRPr="00F4354F" w:rsidRDefault="00F4354F" w:rsidP="00F4354F">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144B9817" w14:textId="77777777" w:rsidR="00F4354F" w:rsidRPr="00F4354F" w:rsidRDefault="00F4354F" w:rsidP="00F4354F">
            <w:pPr>
              <w:spacing w:after="0" w:line="240" w:lineRule="auto"/>
              <w:jc w:val="center"/>
              <w:rPr>
                <w:rFonts w:cs="Arial"/>
                <w:sz w:val="16"/>
                <w:szCs w:val="16"/>
              </w:rPr>
            </w:pPr>
            <w:r w:rsidRPr="00F4354F">
              <w:rPr>
                <w:rFonts w:cs="Arial"/>
                <w:sz w:val="16"/>
                <w:szCs w:val="16"/>
              </w:rPr>
              <w:t>muži</w:t>
            </w:r>
          </w:p>
        </w:tc>
        <w:tc>
          <w:tcPr>
            <w:tcW w:w="760" w:type="dxa"/>
            <w:tcBorders>
              <w:top w:val="nil"/>
              <w:left w:val="nil"/>
              <w:bottom w:val="single" w:sz="8" w:space="0" w:color="auto"/>
              <w:right w:val="nil"/>
            </w:tcBorders>
            <w:shd w:val="clear" w:color="000000" w:fill="F2DBDB"/>
            <w:vAlign w:val="center"/>
            <w:hideMark/>
          </w:tcPr>
          <w:p w14:paraId="33166D58" w14:textId="77777777" w:rsidR="00F4354F" w:rsidRPr="00F4354F" w:rsidRDefault="00F4354F" w:rsidP="00F4354F">
            <w:pPr>
              <w:spacing w:after="0" w:line="240" w:lineRule="auto"/>
              <w:jc w:val="center"/>
              <w:rPr>
                <w:rFonts w:cs="Arial"/>
                <w:sz w:val="16"/>
                <w:szCs w:val="16"/>
              </w:rPr>
            </w:pPr>
            <w:r w:rsidRPr="00F4354F">
              <w:rPr>
                <w:rFonts w:cs="Arial"/>
                <w:sz w:val="16"/>
                <w:szCs w:val="16"/>
              </w:rPr>
              <w:t>ženy</w:t>
            </w:r>
          </w:p>
        </w:tc>
      </w:tr>
      <w:tr w:rsidR="00F4354F" w:rsidRPr="00F4354F" w14:paraId="05040873"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4B85197B" w14:textId="77777777" w:rsidR="00F4354F" w:rsidRPr="00F4354F" w:rsidRDefault="00F4354F" w:rsidP="00F4354F">
            <w:pPr>
              <w:spacing w:after="0" w:line="240" w:lineRule="auto"/>
              <w:jc w:val="center"/>
              <w:rPr>
                <w:rFonts w:cs="Arial"/>
                <w:sz w:val="16"/>
                <w:szCs w:val="16"/>
              </w:rPr>
            </w:pPr>
            <w:r w:rsidRPr="00F4354F">
              <w:rPr>
                <w:rFonts w:cs="Arial"/>
                <w:sz w:val="16"/>
                <w:szCs w:val="16"/>
              </w:rPr>
              <w:t>2008</w:t>
            </w:r>
          </w:p>
        </w:tc>
        <w:tc>
          <w:tcPr>
            <w:tcW w:w="760" w:type="dxa"/>
            <w:tcBorders>
              <w:top w:val="nil"/>
              <w:left w:val="nil"/>
              <w:bottom w:val="nil"/>
              <w:right w:val="nil"/>
            </w:tcBorders>
            <w:shd w:val="clear" w:color="auto" w:fill="auto"/>
            <w:vAlign w:val="center"/>
            <w:hideMark/>
          </w:tcPr>
          <w:p w14:paraId="4C2F52BC" w14:textId="77777777" w:rsidR="00F4354F" w:rsidRPr="00F4354F" w:rsidRDefault="00F4354F" w:rsidP="00F4354F">
            <w:pPr>
              <w:spacing w:after="0" w:line="240" w:lineRule="auto"/>
              <w:jc w:val="right"/>
              <w:rPr>
                <w:rFonts w:cs="Arial"/>
                <w:sz w:val="16"/>
                <w:szCs w:val="16"/>
              </w:rPr>
            </w:pPr>
            <w:r w:rsidRPr="00F4354F">
              <w:rPr>
                <w:rFonts w:cs="Arial"/>
                <w:sz w:val="16"/>
                <w:szCs w:val="16"/>
              </w:rPr>
              <w:t>2 221,7</w:t>
            </w:r>
          </w:p>
        </w:tc>
        <w:tc>
          <w:tcPr>
            <w:tcW w:w="760" w:type="dxa"/>
            <w:tcBorders>
              <w:top w:val="nil"/>
              <w:left w:val="nil"/>
              <w:bottom w:val="nil"/>
              <w:right w:val="nil"/>
            </w:tcBorders>
            <w:shd w:val="clear" w:color="auto" w:fill="auto"/>
            <w:vAlign w:val="center"/>
            <w:hideMark/>
          </w:tcPr>
          <w:p w14:paraId="4E85C1F9" w14:textId="77777777" w:rsidR="00F4354F" w:rsidRPr="00F4354F" w:rsidRDefault="00F4354F" w:rsidP="00F4354F">
            <w:pPr>
              <w:spacing w:after="0" w:line="240" w:lineRule="auto"/>
              <w:jc w:val="right"/>
              <w:rPr>
                <w:rFonts w:cs="Arial"/>
                <w:sz w:val="16"/>
                <w:szCs w:val="16"/>
              </w:rPr>
            </w:pPr>
            <w:r w:rsidRPr="00F4354F">
              <w:rPr>
                <w:rFonts w:cs="Arial"/>
                <w:sz w:val="16"/>
                <w:szCs w:val="16"/>
              </w:rPr>
              <w:t>1 092,6</w:t>
            </w:r>
          </w:p>
        </w:tc>
        <w:tc>
          <w:tcPr>
            <w:tcW w:w="760" w:type="dxa"/>
            <w:tcBorders>
              <w:top w:val="single" w:sz="8" w:space="0" w:color="auto"/>
              <w:left w:val="nil"/>
              <w:bottom w:val="nil"/>
              <w:right w:val="single" w:sz="4" w:space="0" w:color="auto"/>
            </w:tcBorders>
            <w:shd w:val="clear" w:color="auto" w:fill="auto"/>
            <w:vAlign w:val="center"/>
            <w:hideMark/>
          </w:tcPr>
          <w:p w14:paraId="7C6F58D3" w14:textId="77777777" w:rsidR="00F4354F" w:rsidRPr="00F4354F" w:rsidRDefault="00F4354F" w:rsidP="00F4354F">
            <w:pPr>
              <w:spacing w:after="0" w:line="240" w:lineRule="auto"/>
              <w:jc w:val="right"/>
              <w:rPr>
                <w:rFonts w:cs="Arial"/>
                <w:sz w:val="16"/>
                <w:szCs w:val="16"/>
              </w:rPr>
            </w:pPr>
            <w:r w:rsidRPr="00F4354F">
              <w:rPr>
                <w:rFonts w:cs="Arial"/>
                <w:sz w:val="16"/>
                <w:szCs w:val="16"/>
              </w:rPr>
              <w:t>1 129,2</w:t>
            </w:r>
          </w:p>
        </w:tc>
        <w:tc>
          <w:tcPr>
            <w:tcW w:w="760" w:type="dxa"/>
            <w:tcBorders>
              <w:top w:val="nil"/>
              <w:left w:val="single" w:sz="4" w:space="0" w:color="auto"/>
              <w:bottom w:val="nil"/>
              <w:right w:val="nil"/>
            </w:tcBorders>
            <w:shd w:val="clear" w:color="auto" w:fill="auto"/>
            <w:vAlign w:val="center"/>
            <w:hideMark/>
          </w:tcPr>
          <w:p w14:paraId="56AFA205" w14:textId="77777777" w:rsidR="00F4354F" w:rsidRPr="00F4354F" w:rsidRDefault="00F4354F" w:rsidP="00F4354F">
            <w:pPr>
              <w:spacing w:after="0" w:line="240" w:lineRule="auto"/>
              <w:jc w:val="right"/>
              <w:rPr>
                <w:rFonts w:cs="Arial"/>
                <w:sz w:val="16"/>
                <w:szCs w:val="16"/>
              </w:rPr>
            </w:pPr>
            <w:r w:rsidRPr="00F4354F">
              <w:rPr>
                <w:rFonts w:cs="Arial"/>
                <w:sz w:val="16"/>
                <w:szCs w:val="16"/>
              </w:rPr>
              <w:t>2 037,8</w:t>
            </w:r>
          </w:p>
        </w:tc>
        <w:tc>
          <w:tcPr>
            <w:tcW w:w="760" w:type="dxa"/>
            <w:tcBorders>
              <w:top w:val="nil"/>
              <w:left w:val="nil"/>
              <w:bottom w:val="nil"/>
              <w:right w:val="nil"/>
            </w:tcBorders>
            <w:shd w:val="clear" w:color="auto" w:fill="auto"/>
            <w:vAlign w:val="center"/>
            <w:hideMark/>
          </w:tcPr>
          <w:p w14:paraId="2AE76DF6" w14:textId="77777777" w:rsidR="00F4354F" w:rsidRPr="00F4354F" w:rsidRDefault="00F4354F" w:rsidP="00F4354F">
            <w:pPr>
              <w:spacing w:after="0" w:line="240" w:lineRule="auto"/>
              <w:jc w:val="right"/>
              <w:rPr>
                <w:rFonts w:cs="Arial"/>
                <w:sz w:val="16"/>
                <w:szCs w:val="16"/>
              </w:rPr>
            </w:pPr>
            <w:r w:rsidRPr="00F4354F">
              <w:rPr>
                <w:rFonts w:cs="Arial"/>
                <w:sz w:val="16"/>
                <w:szCs w:val="16"/>
              </w:rPr>
              <w:t>961,0</w:t>
            </w:r>
          </w:p>
        </w:tc>
        <w:tc>
          <w:tcPr>
            <w:tcW w:w="760" w:type="dxa"/>
            <w:tcBorders>
              <w:top w:val="single" w:sz="8" w:space="0" w:color="auto"/>
              <w:left w:val="nil"/>
              <w:bottom w:val="nil"/>
              <w:right w:val="single" w:sz="4" w:space="0" w:color="auto"/>
            </w:tcBorders>
            <w:shd w:val="clear" w:color="auto" w:fill="auto"/>
            <w:vAlign w:val="center"/>
            <w:hideMark/>
          </w:tcPr>
          <w:p w14:paraId="0B724F89" w14:textId="77777777" w:rsidR="00F4354F" w:rsidRPr="00F4354F" w:rsidRDefault="00F4354F" w:rsidP="00F4354F">
            <w:pPr>
              <w:spacing w:after="0" w:line="240" w:lineRule="auto"/>
              <w:jc w:val="right"/>
              <w:rPr>
                <w:rFonts w:cs="Arial"/>
                <w:sz w:val="16"/>
                <w:szCs w:val="16"/>
              </w:rPr>
            </w:pPr>
            <w:r w:rsidRPr="00F4354F">
              <w:rPr>
                <w:rFonts w:cs="Arial"/>
                <w:sz w:val="16"/>
                <w:szCs w:val="16"/>
              </w:rPr>
              <w:t>1 076,8</w:t>
            </w:r>
          </w:p>
        </w:tc>
        <w:tc>
          <w:tcPr>
            <w:tcW w:w="760" w:type="dxa"/>
            <w:tcBorders>
              <w:top w:val="nil"/>
              <w:left w:val="single" w:sz="4" w:space="0" w:color="auto"/>
              <w:bottom w:val="nil"/>
              <w:right w:val="nil"/>
            </w:tcBorders>
            <w:shd w:val="clear" w:color="auto" w:fill="auto"/>
            <w:vAlign w:val="center"/>
            <w:hideMark/>
          </w:tcPr>
          <w:p w14:paraId="3B61F417" w14:textId="77777777" w:rsidR="00F4354F" w:rsidRPr="00F4354F" w:rsidRDefault="00F4354F" w:rsidP="00F4354F">
            <w:pPr>
              <w:spacing w:after="0" w:line="240" w:lineRule="auto"/>
              <w:jc w:val="right"/>
              <w:rPr>
                <w:rFonts w:cs="Arial"/>
                <w:sz w:val="16"/>
                <w:szCs w:val="16"/>
              </w:rPr>
            </w:pPr>
            <w:r w:rsidRPr="00F4354F">
              <w:rPr>
                <w:rFonts w:cs="Arial"/>
                <w:sz w:val="16"/>
                <w:szCs w:val="16"/>
              </w:rPr>
              <w:t>71,3</w:t>
            </w:r>
          </w:p>
        </w:tc>
        <w:tc>
          <w:tcPr>
            <w:tcW w:w="760" w:type="dxa"/>
            <w:tcBorders>
              <w:top w:val="nil"/>
              <w:left w:val="nil"/>
              <w:bottom w:val="nil"/>
              <w:right w:val="nil"/>
            </w:tcBorders>
            <w:shd w:val="clear" w:color="auto" w:fill="auto"/>
            <w:vAlign w:val="center"/>
            <w:hideMark/>
          </w:tcPr>
          <w:p w14:paraId="37DDEE79" w14:textId="77777777" w:rsidR="00F4354F" w:rsidRPr="00F4354F" w:rsidRDefault="00F4354F" w:rsidP="00F4354F">
            <w:pPr>
              <w:spacing w:after="0" w:line="240" w:lineRule="auto"/>
              <w:jc w:val="right"/>
              <w:rPr>
                <w:rFonts w:cs="Arial"/>
                <w:sz w:val="16"/>
                <w:szCs w:val="16"/>
              </w:rPr>
            </w:pPr>
            <w:r w:rsidRPr="00F4354F">
              <w:rPr>
                <w:rFonts w:cs="Arial"/>
                <w:sz w:val="16"/>
                <w:szCs w:val="16"/>
              </w:rPr>
              <w:t>52,3</w:t>
            </w:r>
          </w:p>
        </w:tc>
        <w:tc>
          <w:tcPr>
            <w:tcW w:w="760" w:type="dxa"/>
            <w:tcBorders>
              <w:top w:val="single" w:sz="8" w:space="0" w:color="auto"/>
              <w:left w:val="nil"/>
              <w:bottom w:val="nil"/>
              <w:right w:val="single" w:sz="4" w:space="0" w:color="auto"/>
            </w:tcBorders>
            <w:shd w:val="clear" w:color="auto" w:fill="auto"/>
            <w:vAlign w:val="center"/>
            <w:hideMark/>
          </w:tcPr>
          <w:p w14:paraId="581262CF" w14:textId="77777777" w:rsidR="00F4354F" w:rsidRPr="00F4354F" w:rsidRDefault="00F4354F" w:rsidP="00F4354F">
            <w:pPr>
              <w:spacing w:after="0" w:line="240" w:lineRule="auto"/>
              <w:jc w:val="right"/>
              <w:rPr>
                <w:rFonts w:cs="Arial"/>
                <w:sz w:val="16"/>
                <w:szCs w:val="16"/>
              </w:rPr>
            </w:pPr>
            <w:r w:rsidRPr="00F4354F">
              <w:rPr>
                <w:rFonts w:cs="Arial"/>
                <w:sz w:val="16"/>
                <w:szCs w:val="16"/>
              </w:rPr>
              <w:t>19,0</w:t>
            </w:r>
          </w:p>
        </w:tc>
        <w:tc>
          <w:tcPr>
            <w:tcW w:w="760" w:type="dxa"/>
            <w:tcBorders>
              <w:top w:val="nil"/>
              <w:left w:val="single" w:sz="4" w:space="0" w:color="auto"/>
              <w:bottom w:val="nil"/>
              <w:right w:val="nil"/>
            </w:tcBorders>
            <w:shd w:val="clear" w:color="auto" w:fill="auto"/>
            <w:vAlign w:val="center"/>
            <w:hideMark/>
          </w:tcPr>
          <w:p w14:paraId="54658AA5" w14:textId="77777777" w:rsidR="00F4354F" w:rsidRPr="00F4354F" w:rsidRDefault="00F4354F" w:rsidP="00F4354F">
            <w:pPr>
              <w:spacing w:after="0" w:line="240" w:lineRule="auto"/>
              <w:jc w:val="right"/>
              <w:rPr>
                <w:rFonts w:cs="Arial"/>
                <w:sz w:val="16"/>
                <w:szCs w:val="16"/>
              </w:rPr>
            </w:pPr>
            <w:r w:rsidRPr="00F4354F">
              <w:rPr>
                <w:rFonts w:cs="Arial"/>
                <w:sz w:val="16"/>
                <w:szCs w:val="16"/>
              </w:rPr>
              <w:t>112,6</w:t>
            </w:r>
          </w:p>
        </w:tc>
        <w:tc>
          <w:tcPr>
            <w:tcW w:w="760" w:type="dxa"/>
            <w:tcBorders>
              <w:top w:val="nil"/>
              <w:left w:val="nil"/>
              <w:bottom w:val="nil"/>
              <w:right w:val="nil"/>
            </w:tcBorders>
            <w:shd w:val="clear" w:color="auto" w:fill="auto"/>
            <w:vAlign w:val="center"/>
            <w:hideMark/>
          </w:tcPr>
          <w:p w14:paraId="5684C7E9" w14:textId="77777777" w:rsidR="00F4354F" w:rsidRPr="00F4354F" w:rsidRDefault="00F4354F" w:rsidP="00F4354F">
            <w:pPr>
              <w:spacing w:after="0" w:line="240" w:lineRule="auto"/>
              <w:jc w:val="right"/>
              <w:rPr>
                <w:rFonts w:cs="Arial"/>
                <w:sz w:val="16"/>
                <w:szCs w:val="16"/>
              </w:rPr>
            </w:pPr>
            <w:r w:rsidRPr="00F4354F">
              <w:rPr>
                <w:rFonts w:cs="Arial"/>
                <w:sz w:val="16"/>
                <w:szCs w:val="16"/>
              </w:rPr>
              <w:t>79,3</w:t>
            </w:r>
          </w:p>
        </w:tc>
        <w:tc>
          <w:tcPr>
            <w:tcW w:w="760" w:type="dxa"/>
            <w:tcBorders>
              <w:top w:val="nil"/>
              <w:left w:val="nil"/>
              <w:bottom w:val="nil"/>
              <w:right w:val="nil"/>
            </w:tcBorders>
            <w:shd w:val="clear" w:color="auto" w:fill="auto"/>
            <w:vAlign w:val="center"/>
            <w:hideMark/>
          </w:tcPr>
          <w:p w14:paraId="3EF62C08" w14:textId="77777777" w:rsidR="00F4354F" w:rsidRPr="00F4354F" w:rsidRDefault="00F4354F" w:rsidP="00F4354F">
            <w:pPr>
              <w:spacing w:after="0" w:line="240" w:lineRule="auto"/>
              <w:jc w:val="right"/>
              <w:rPr>
                <w:rFonts w:cs="Arial"/>
                <w:sz w:val="16"/>
                <w:szCs w:val="16"/>
              </w:rPr>
            </w:pPr>
            <w:r w:rsidRPr="00F4354F">
              <w:rPr>
                <w:rFonts w:cs="Arial"/>
                <w:sz w:val="16"/>
                <w:szCs w:val="16"/>
              </w:rPr>
              <w:t>33,3</w:t>
            </w:r>
          </w:p>
        </w:tc>
      </w:tr>
      <w:tr w:rsidR="00F4354F" w:rsidRPr="00F4354F" w14:paraId="27214CF3"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06C4D994" w14:textId="77777777" w:rsidR="00F4354F" w:rsidRPr="00F4354F" w:rsidRDefault="00F4354F" w:rsidP="00F4354F">
            <w:pPr>
              <w:spacing w:after="0" w:line="240" w:lineRule="auto"/>
              <w:jc w:val="center"/>
              <w:rPr>
                <w:rFonts w:cs="Arial"/>
                <w:sz w:val="16"/>
                <w:szCs w:val="16"/>
              </w:rPr>
            </w:pPr>
            <w:r w:rsidRPr="00F4354F">
              <w:rPr>
                <w:rFonts w:cs="Arial"/>
                <w:sz w:val="16"/>
                <w:szCs w:val="16"/>
              </w:rPr>
              <w:t>2009</w:t>
            </w:r>
          </w:p>
        </w:tc>
        <w:tc>
          <w:tcPr>
            <w:tcW w:w="760" w:type="dxa"/>
            <w:tcBorders>
              <w:top w:val="nil"/>
              <w:left w:val="nil"/>
              <w:bottom w:val="nil"/>
              <w:right w:val="nil"/>
            </w:tcBorders>
            <w:shd w:val="clear" w:color="auto" w:fill="auto"/>
            <w:vAlign w:val="center"/>
            <w:hideMark/>
          </w:tcPr>
          <w:p w14:paraId="48DBC647" w14:textId="77777777" w:rsidR="00F4354F" w:rsidRPr="00F4354F" w:rsidRDefault="00F4354F" w:rsidP="00F4354F">
            <w:pPr>
              <w:spacing w:after="0" w:line="240" w:lineRule="auto"/>
              <w:jc w:val="right"/>
              <w:rPr>
                <w:rFonts w:cs="Arial"/>
                <w:sz w:val="16"/>
                <w:szCs w:val="16"/>
              </w:rPr>
            </w:pPr>
            <w:r w:rsidRPr="00F4354F">
              <w:rPr>
                <w:rFonts w:cs="Arial"/>
                <w:sz w:val="16"/>
                <w:szCs w:val="16"/>
              </w:rPr>
              <w:t>1 441,5</w:t>
            </w:r>
          </w:p>
        </w:tc>
        <w:tc>
          <w:tcPr>
            <w:tcW w:w="760" w:type="dxa"/>
            <w:tcBorders>
              <w:top w:val="nil"/>
              <w:left w:val="nil"/>
              <w:bottom w:val="nil"/>
              <w:right w:val="nil"/>
            </w:tcBorders>
            <w:shd w:val="clear" w:color="auto" w:fill="auto"/>
            <w:vAlign w:val="center"/>
            <w:hideMark/>
          </w:tcPr>
          <w:p w14:paraId="32525E85" w14:textId="77777777" w:rsidR="00F4354F" w:rsidRPr="00F4354F" w:rsidRDefault="00F4354F" w:rsidP="00F4354F">
            <w:pPr>
              <w:spacing w:after="0" w:line="240" w:lineRule="auto"/>
              <w:jc w:val="right"/>
              <w:rPr>
                <w:rFonts w:cs="Arial"/>
                <w:sz w:val="16"/>
                <w:szCs w:val="16"/>
              </w:rPr>
            </w:pPr>
            <w:r w:rsidRPr="00F4354F">
              <w:rPr>
                <w:rFonts w:cs="Arial"/>
                <w:sz w:val="16"/>
                <w:szCs w:val="16"/>
              </w:rPr>
              <w:t>694,3</w:t>
            </w:r>
          </w:p>
        </w:tc>
        <w:tc>
          <w:tcPr>
            <w:tcW w:w="760" w:type="dxa"/>
            <w:tcBorders>
              <w:top w:val="nil"/>
              <w:left w:val="nil"/>
              <w:bottom w:val="nil"/>
              <w:right w:val="single" w:sz="4" w:space="0" w:color="auto"/>
            </w:tcBorders>
            <w:shd w:val="clear" w:color="auto" w:fill="auto"/>
            <w:vAlign w:val="center"/>
            <w:hideMark/>
          </w:tcPr>
          <w:p w14:paraId="1D00EE28" w14:textId="77777777" w:rsidR="00F4354F" w:rsidRPr="00F4354F" w:rsidRDefault="00F4354F" w:rsidP="00F4354F">
            <w:pPr>
              <w:spacing w:after="0" w:line="240" w:lineRule="auto"/>
              <w:jc w:val="right"/>
              <w:rPr>
                <w:rFonts w:cs="Arial"/>
                <w:sz w:val="16"/>
                <w:szCs w:val="16"/>
              </w:rPr>
            </w:pPr>
            <w:r w:rsidRPr="00F4354F">
              <w:rPr>
                <w:rFonts w:cs="Arial"/>
                <w:sz w:val="16"/>
                <w:szCs w:val="16"/>
              </w:rPr>
              <w:t>747,2</w:t>
            </w:r>
          </w:p>
        </w:tc>
        <w:tc>
          <w:tcPr>
            <w:tcW w:w="760" w:type="dxa"/>
            <w:tcBorders>
              <w:top w:val="nil"/>
              <w:left w:val="single" w:sz="4" w:space="0" w:color="auto"/>
              <w:bottom w:val="nil"/>
              <w:right w:val="nil"/>
            </w:tcBorders>
            <w:shd w:val="clear" w:color="auto" w:fill="auto"/>
            <w:vAlign w:val="center"/>
            <w:hideMark/>
          </w:tcPr>
          <w:p w14:paraId="47BD4634" w14:textId="77777777" w:rsidR="00F4354F" w:rsidRPr="00F4354F" w:rsidRDefault="00F4354F" w:rsidP="00F4354F">
            <w:pPr>
              <w:spacing w:after="0" w:line="240" w:lineRule="auto"/>
              <w:jc w:val="right"/>
              <w:rPr>
                <w:rFonts w:cs="Arial"/>
                <w:sz w:val="16"/>
                <w:szCs w:val="16"/>
              </w:rPr>
            </w:pPr>
            <w:r w:rsidRPr="00F4354F">
              <w:rPr>
                <w:rFonts w:cs="Arial"/>
                <w:sz w:val="16"/>
                <w:szCs w:val="16"/>
              </w:rPr>
              <w:t>1 305,5</w:t>
            </w:r>
          </w:p>
        </w:tc>
        <w:tc>
          <w:tcPr>
            <w:tcW w:w="760" w:type="dxa"/>
            <w:tcBorders>
              <w:top w:val="nil"/>
              <w:left w:val="nil"/>
              <w:bottom w:val="nil"/>
              <w:right w:val="nil"/>
            </w:tcBorders>
            <w:shd w:val="clear" w:color="auto" w:fill="auto"/>
            <w:vAlign w:val="center"/>
            <w:hideMark/>
          </w:tcPr>
          <w:p w14:paraId="433B1248" w14:textId="77777777" w:rsidR="00F4354F" w:rsidRPr="00F4354F" w:rsidRDefault="00F4354F" w:rsidP="00F4354F">
            <w:pPr>
              <w:spacing w:after="0" w:line="240" w:lineRule="auto"/>
              <w:jc w:val="right"/>
              <w:rPr>
                <w:rFonts w:cs="Arial"/>
                <w:sz w:val="16"/>
                <w:szCs w:val="16"/>
              </w:rPr>
            </w:pPr>
            <w:r w:rsidRPr="00F4354F">
              <w:rPr>
                <w:rFonts w:cs="Arial"/>
                <w:sz w:val="16"/>
                <w:szCs w:val="16"/>
              </w:rPr>
              <w:t>599,4</w:t>
            </w:r>
          </w:p>
        </w:tc>
        <w:tc>
          <w:tcPr>
            <w:tcW w:w="760" w:type="dxa"/>
            <w:tcBorders>
              <w:top w:val="nil"/>
              <w:left w:val="nil"/>
              <w:bottom w:val="nil"/>
              <w:right w:val="single" w:sz="4" w:space="0" w:color="auto"/>
            </w:tcBorders>
            <w:shd w:val="clear" w:color="auto" w:fill="auto"/>
            <w:vAlign w:val="center"/>
            <w:hideMark/>
          </w:tcPr>
          <w:p w14:paraId="4C392262" w14:textId="77777777" w:rsidR="00F4354F" w:rsidRPr="00F4354F" w:rsidRDefault="00F4354F" w:rsidP="00F4354F">
            <w:pPr>
              <w:spacing w:after="0" w:line="240" w:lineRule="auto"/>
              <w:jc w:val="right"/>
              <w:rPr>
                <w:rFonts w:cs="Arial"/>
                <w:sz w:val="16"/>
                <w:szCs w:val="16"/>
              </w:rPr>
            </w:pPr>
            <w:r w:rsidRPr="00F4354F">
              <w:rPr>
                <w:rFonts w:cs="Arial"/>
                <w:sz w:val="16"/>
                <w:szCs w:val="16"/>
              </w:rPr>
              <w:t>706,2</w:t>
            </w:r>
          </w:p>
        </w:tc>
        <w:tc>
          <w:tcPr>
            <w:tcW w:w="760" w:type="dxa"/>
            <w:tcBorders>
              <w:top w:val="nil"/>
              <w:left w:val="single" w:sz="4" w:space="0" w:color="auto"/>
              <w:bottom w:val="nil"/>
              <w:right w:val="nil"/>
            </w:tcBorders>
            <w:shd w:val="clear" w:color="auto" w:fill="auto"/>
            <w:vAlign w:val="center"/>
            <w:hideMark/>
          </w:tcPr>
          <w:p w14:paraId="46E8D55B" w14:textId="77777777" w:rsidR="00F4354F" w:rsidRPr="00F4354F" w:rsidRDefault="00F4354F" w:rsidP="00F4354F">
            <w:pPr>
              <w:spacing w:after="0" w:line="240" w:lineRule="auto"/>
              <w:jc w:val="right"/>
              <w:rPr>
                <w:rFonts w:cs="Arial"/>
                <w:sz w:val="16"/>
                <w:szCs w:val="16"/>
              </w:rPr>
            </w:pPr>
            <w:r w:rsidRPr="00F4354F">
              <w:rPr>
                <w:rFonts w:cs="Arial"/>
                <w:sz w:val="16"/>
                <w:szCs w:val="16"/>
              </w:rPr>
              <w:t>50,2</w:t>
            </w:r>
          </w:p>
        </w:tc>
        <w:tc>
          <w:tcPr>
            <w:tcW w:w="760" w:type="dxa"/>
            <w:tcBorders>
              <w:top w:val="nil"/>
              <w:left w:val="nil"/>
              <w:bottom w:val="nil"/>
              <w:right w:val="nil"/>
            </w:tcBorders>
            <w:shd w:val="clear" w:color="auto" w:fill="auto"/>
            <w:vAlign w:val="center"/>
            <w:hideMark/>
          </w:tcPr>
          <w:p w14:paraId="6D4DD009" w14:textId="77777777" w:rsidR="00F4354F" w:rsidRPr="00F4354F" w:rsidRDefault="00F4354F" w:rsidP="00F4354F">
            <w:pPr>
              <w:spacing w:after="0" w:line="240" w:lineRule="auto"/>
              <w:jc w:val="right"/>
              <w:rPr>
                <w:rFonts w:cs="Arial"/>
                <w:sz w:val="16"/>
                <w:szCs w:val="16"/>
              </w:rPr>
            </w:pPr>
            <w:r w:rsidRPr="00F4354F">
              <w:rPr>
                <w:rFonts w:cs="Arial"/>
                <w:sz w:val="16"/>
                <w:szCs w:val="16"/>
              </w:rPr>
              <w:t>36,0</w:t>
            </w:r>
          </w:p>
        </w:tc>
        <w:tc>
          <w:tcPr>
            <w:tcW w:w="760" w:type="dxa"/>
            <w:tcBorders>
              <w:top w:val="nil"/>
              <w:left w:val="nil"/>
              <w:bottom w:val="nil"/>
              <w:right w:val="single" w:sz="4" w:space="0" w:color="auto"/>
            </w:tcBorders>
            <w:shd w:val="clear" w:color="auto" w:fill="auto"/>
            <w:vAlign w:val="center"/>
            <w:hideMark/>
          </w:tcPr>
          <w:p w14:paraId="5D32CA26" w14:textId="77777777" w:rsidR="00F4354F" w:rsidRPr="00F4354F" w:rsidRDefault="00F4354F" w:rsidP="00F4354F">
            <w:pPr>
              <w:spacing w:after="0" w:line="240" w:lineRule="auto"/>
              <w:jc w:val="right"/>
              <w:rPr>
                <w:rFonts w:cs="Arial"/>
                <w:sz w:val="16"/>
                <w:szCs w:val="16"/>
              </w:rPr>
            </w:pPr>
            <w:r w:rsidRPr="00F4354F">
              <w:rPr>
                <w:rFonts w:cs="Arial"/>
                <w:sz w:val="16"/>
                <w:szCs w:val="16"/>
              </w:rPr>
              <w:t>14,2</w:t>
            </w:r>
          </w:p>
        </w:tc>
        <w:tc>
          <w:tcPr>
            <w:tcW w:w="760" w:type="dxa"/>
            <w:tcBorders>
              <w:top w:val="nil"/>
              <w:left w:val="single" w:sz="4" w:space="0" w:color="auto"/>
              <w:bottom w:val="nil"/>
              <w:right w:val="nil"/>
            </w:tcBorders>
            <w:shd w:val="clear" w:color="auto" w:fill="auto"/>
            <w:vAlign w:val="center"/>
            <w:hideMark/>
          </w:tcPr>
          <w:p w14:paraId="00820EC4" w14:textId="77777777" w:rsidR="00F4354F" w:rsidRPr="00F4354F" w:rsidRDefault="00F4354F" w:rsidP="00F4354F">
            <w:pPr>
              <w:spacing w:after="0" w:line="240" w:lineRule="auto"/>
              <w:jc w:val="right"/>
              <w:rPr>
                <w:rFonts w:cs="Arial"/>
                <w:sz w:val="16"/>
                <w:szCs w:val="16"/>
              </w:rPr>
            </w:pPr>
            <w:r w:rsidRPr="00F4354F">
              <w:rPr>
                <w:rFonts w:cs="Arial"/>
                <w:sz w:val="16"/>
                <w:szCs w:val="16"/>
              </w:rPr>
              <w:t>85,8</w:t>
            </w:r>
          </w:p>
        </w:tc>
        <w:tc>
          <w:tcPr>
            <w:tcW w:w="760" w:type="dxa"/>
            <w:tcBorders>
              <w:top w:val="nil"/>
              <w:left w:val="nil"/>
              <w:bottom w:val="nil"/>
              <w:right w:val="nil"/>
            </w:tcBorders>
            <w:shd w:val="clear" w:color="auto" w:fill="auto"/>
            <w:vAlign w:val="center"/>
            <w:hideMark/>
          </w:tcPr>
          <w:p w14:paraId="187D2B74" w14:textId="77777777" w:rsidR="00F4354F" w:rsidRPr="00F4354F" w:rsidRDefault="00F4354F" w:rsidP="00F4354F">
            <w:pPr>
              <w:spacing w:after="0" w:line="240" w:lineRule="auto"/>
              <w:jc w:val="right"/>
              <w:rPr>
                <w:rFonts w:cs="Arial"/>
                <w:sz w:val="16"/>
                <w:szCs w:val="16"/>
              </w:rPr>
            </w:pPr>
            <w:r w:rsidRPr="00F4354F">
              <w:rPr>
                <w:rFonts w:cs="Arial"/>
                <w:sz w:val="16"/>
                <w:szCs w:val="16"/>
              </w:rPr>
              <w:t>58,9</w:t>
            </w:r>
          </w:p>
        </w:tc>
        <w:tc>
          <w:tcPr>
            <w:tcW w:w="760" w:type="dxa"/>
            <w:tcBorders>
              <w:top w:val="nil"/>
              <w:left w:val="nil"/>
              <w:bottom w:val="nil"/>
              <w:right w:val="nil"/>
            </w:tcBorders>
            <w:shd w:val="clear" w:color="auto" w:fill="auto"/>
            <w:vAlign w:val="center"/>
            <w:hideMark/>
          </w:tcPr>
          <w:p w14:paraId="14F8C81A" w14:textId="77777777" w:rsidR="00F4354F" w:rsidRPr="00F4354F" w:rsidRDefault="00F4354F" w:rsidP="00F4354F">
            <w:pPr>
              <w:spacing w:after="0" w:line="240" w:lineRule="auto"/>
              <w:jc w:val="right"/>
              <w:rPr>
                <w:rFonts w:cs="Arial"/>
                <w:sz w:val="16"/>
                <w:szCs w:val="16"/>
              </w:rPr>
            </w:pPr>
            <w:r w:rsidRPr="00F4354F">
              <w:rPr>
                <w:rFonts w:cs="Arial"/>
                <w:sz w:val="16"/>
                <w:szCs w:val="16"/>
              </w:rPr>
              <w:t>26,9</w:t>
            </w:r>
          </w:p>
        </w:tc>
      </w:tr>
      <w:tr w:rsidR="00F4354F" w:rsidRPr="00F4354F" w14:paraId="5EAA7BEA"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4391CAA6"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2010</w:t>
            </w:r>
          </w:p>
        </w:tc>
        <w:tc>
          <w:tcPr>
            <w:tcW w:w="760" w:type="dxa"/>
            <w:tcBorders>
              <w:top w:val="nil"/>
              <w:left w:val="nil"/>
              <w:bottom w:val="nil"/>
              <w:right w:val="nil"/>
            </w:tcBorders>
            <w:shd w:val="clear" w:color="auto" w:fill="auto"/>
            <w:vAlign w:val="center"/>
            <w:hideMark/>
          </w:tcPr>
          <w:p w14:paraId="4B18259F" w14:textId="77777777" w:rsidR="00F4354F" w:rsidRPr="00F4354F" w:rsidRDefault="00F4354F" w:rsidP="00F4354F">
            <w:pPr>
              <w:spacing w:after="0" w:line="240" w:lineRule="auto"/>
              <w:jc w:val="right"/>
              <w:rPr>
                <w:rFonts w:cs="Arial"/>
                <w:sz w:val="16"/>
                <w:szCs w:val="16"/>
              </w:rPr>
            </w:pPr>
            <w:r w:rsidRPr="00F4354F">
              <w:rPr>
                <w:rFonts w:cs="Arial"/>
                <w:sz w:val="16"/>
                <w:szCs w:val="16"/>
              </w:rPr>
              <w:t>1 324,9</w:t>
            </w:r>
          </w:p>
        </w:tc>
        <w:tc>
          <w:tcPr>
            <w:tcW w:w="760" w:type="dxa"/>
            <w:tcBorders>
              <w:top w:val="nil"/>
              <w:left w:val="nil"/>
              <w:bottom w:val="nil"/>
              <w:right w:val="nil"/>
            </w:tcBorders>
            <w:shd w:val="clear" w:color="auto" w:fill="auto"/>
            <w:vAlign w:val="center"/>
            <w:hideMark/>
          </w:tcPr>
          <w:p w14:paraId="786828B7" w14:textId="77777777" w:rsidR="00F4354F" w:rsidRPr="00F4354F" w:rsidRDefault="00F4354F" w:rsidP="00F4354F">
            <w:pPr>
              <w:spacing w:after="0" w:line="240" w:lineRule="auto"/>
              <w:jc w:val="right"/>
              <w:rPr>
                <w:rFonts w:cs="Arial"/>
                <w:sz w:val="16"/>
                <w:szCs w:val="16"/>
              </w:rPr>
            </w:pPr>
            <w:r w:rsidRPr="00F4354F">
              <w:rPr>
                <w:rFonts w:cs="Arial"/>
                <w:sz w:val="16"/>
                <w:szCs w:val="16"/>
              </w:rPr>
              <w:t>642,7</w:t>
            </w:r>
          </w:p>
        </w:tc>
        <w:tc>
          <w:tcPr>
            <w:tcW w:w="760" w:type="dxa"/>
            <w:tcBorders>
              <w:top w:val="nil"/>
              <w:left w:val="nil"/>
              <w:bottom w:val="nil"/>
              <w:right w:val="single" w:sz="4" w:space="0" w:color="auto"/>
            </w:tcBorders>
            <w:shd w:val="clear" w:color="auto" w:fill="auto"/>
            <w:vAlign w:val="center"/>
            <w:hideMark/>
          </w:tcPr>
          <w:p w14:paraId="4EEEDA28" w14:textId="77777777" w:rsidR="00F4354F" w:rsidRPr="00F4354F" w:rsidRDefault="00F4354F" w:rsidP="00F4354F">
            <w:pPr>
              <w:spacing w:after="0" w:line="240" w:lineRule="auto"/>
              <w:jc w:val="right"/>
              <w:rPr>
                <w:rFonts w:cs="Arial"/>
                <w:sz w:val="16"/>
                <w:szCs w:val="16"/>
              </w:rPr>
            </w:pPr>
            <w:r w:rsidRPr="00F4354F">
              <w:rPr>
                <w:rFonts w:cs="Arial"/>
                <w:sz w:val="16"/>
                <w:szCs w:val="16"/>
              </w:rPr>
              <w:t>682,2</w:t>
            </w:r>
          </w:p>
        </w:tc>
        <w:tc>
          <w:tcPr>
            <w:tcW w:w="760" w:type="dxa"/>
            <w:tcBorders>
              <w:top w:val="nil"/>
              <w:left w:val="single" w:sz="4" w:space="0" w:color="auto"/>
              <w:bottom w:val="nil"/>
              <w:right w:val="nil"/>
            </w:tcBorders>
            <w:shd w:val="clear" w:color="auto" w:fill="auto"/>
            <w:vAlign w:val="center"/>
            <w:hideMark/>
          </w:tcPr>
          <w:p w14:paraId="3C341D1A" w14:textId="77777777" w:rsidR="00F4354F" w:rsidRPr="00F4354F" w:rsidRDefault="00F4354F" w:rsidP="00F4354F">
            <w:pPr>
              <w:spacing w:after="0" w:line="240" w:lineRule="auto"/>
              <w:jc w:val="right"/>
              <w:rPr>
                <w:rFonts w:cs="Arial"/>
                <w:sz w:val="16"/>
                <w:szCs w:val="16"/>
              </w:rPr>
            </w:pPr>
            <w:r w:rsidRPr="00F4354F">
              <w:rPr>
                <w:rFonts w:cs="Arial"/>
                <w:sz w:val="16"/>
                <w:szCs w:val="16"/>
              </w:rPr>
              <w:t>1 188,0</w:t>
            </w:r>
          </w:p>
        </w:tc>
        <w:tc>
          <w:tcPr>
            <w:tcW w:w="760" w:type="dxa"/>
            <w:tcBorders>
              <w:top w:val="nil"/>
              <w:left w:val="nil"/>
              <w:bottom w:val="nil"/>
              <w:right w:val="nil"/>
            </w:tcBorders>
            <w:shd w:val="clear" w:color="auto" w:fill="auto"/>
            <w:vAlign w:val="center"/>
            <w:hideMark/>
          </w:tcPr>
          <w:p w14:paraId="364D4FDA" w14:textId="77777777" w:rsidR="00F4354F" w:rsidRPr="00F4354F" w:rsidRDefault="00F4354F" w:rsidP="00F4354F">
            <w:pPr>
              <w:spacing w:after="0" w:line="240" w:lineRule="auto"/>
              <w:jc w:val="right"/>
              <w:rPr>
                <w:rFonts w:cs="Arial"/>
                <w:sz w:val="16"/>
                <w:szCs w:val="16"/>
              </w:rPr>
            </w:pPr>
            <w:r w:rsidRPr="00F4354F">
              <w:rPr>
                <w:rFonts w:cs="Arial"/>
                <w:sz w:val="16"/>
                <w:szCs w:val="16"/>
              </w:rPr>
              <w:t>548,6</w:t>
            </w:r>
          </w:p>
        </w:tc>
        <w:tc>
          <w:tcPr>
            <w:tcW w:w="760" w:type="dxa"/>
            <w:tcBorders>
              <w:top w:val="nil"/>
              <w:left w:val="nil"/>
              <w:bottom w:val="nil"/>
              <w:right w:val="single" w:sz="4" w:space="0" w:color="auto"/>
            </w:tcBorders>
            <w:shd w:val="clear" w:color="auto" w:fill="auto"/>
            <w:vAlign w:val="center"/>
            <w:hideMark/>
          </w:tcPr>
          <w:p w14:paraId="4EFD3D21" w14:textId="77777777" w:rsidR="00F4354F" w:rsidRPr="00F4354F" w:rsidRDefault="00F4354F" w:rsidP="00F4354F">
            <w:pPr>
              <w:spacing w:after="0" w:line="240" w:lineRule="auto"/>
              <w:jc w:val="right"/>
              <w:rPr>
                <w:rFonts w:cs="Arial"/>
                <w:sz w:val="16"/>
                <w:szCs w:val="16"/>
              </w:rPr>
            </w:pPr>
            <w:r w:rsidRPr="00F4354F">
              <w:rPr>
                <w:rFonts w:cs="Arial"/>
                <w:sz w:val="16"/>
                <w:szCs w:val="16"/>
              </w:rPr>
              <w:t>639,4</w:t>
            </w:r>
          </w:p>
        </w:tc>
        <w:tc>
          <w:tcPr>
            <w:tcW w:w="760" w:type="dxa"/>
            <w:tcBorders>
              <w:top w:val="nil"/>
              <w:left w:val="single" w:sz="4" w:space="0" w:color="auto"/>
              <w:bottom w:val="nil"/>
              <w:right w:val="nil"/>
            </w:tcBorders>
            <w:shd w:val="clear" w:color="auto" w:fill="auto"/>
            <w:vAlign w:val="center"/>
            <w:hideMark/>
          </w:tcPr>
          <w:p w14:paraId="641EFA25" w14:textId="77777777" w:rsidR="00F4354F" w:rsidRPr="00F4354F" w:rsidRDefault="00F4354F" w:rsidP="00F4354F">
            <w:pPr>
              <w:spacing w:after="0" w:line="240" w:lineRule="auto"/>
              <w:jc w:val="right"/>
              <w:rPr>
                <w:rFonts w:cs="Arial"/>
                <w:sz w:val="16"/>
                <w:szCs w:val="16"/>
              </w:rPr>
            </w:pPr>
            <w:r w:rsidRPr="00F4354F">
              <w:rPr>
                <w:rFonts w:cs="Arial"/>
                <w:sz w:val="16"/>
                <w:szCs w:val="16"/>
              </w:rPr>
              <w:t>51,7</w:t>
            </w:r>
          </w:p>
        </w:tc>
        <w:tc>
          <w:tcPr>
            <w:tcW w:w="760" w:type="dxa"/>
            <w:tcBorders>
              <w:top w:val="nil"/>
              <w:left w:val="nil"/>
              <w:bottom w:val="nil"/>
              <w:right w:val="nil"/>
            </w:tcBorders>
            <w:shd w:val="clear" w:color="auto" w:fill="auto"/>
            <w:vAlign w:val="center"/>
            <w:hideMark/>
          </w:tcPr>
          <w:p w14:paraId="136F5182" w14:textId="77777777" w:rsidR="00F4354F" w:rsidRPr="00F4354F" w:rsidRDefault="00F4354F" w:rsidP="00F4354F">
            <w:pPr>
              <w:spacing w:after="0" w:line="240" w:lineRule="auto"/>
              <w:jc w:val="right"/>
              <w:rPr>
                <w:rFonts w:cs="Arial"/>
                <w:sz w:val="16"/>
                <w:szCs w:val="16"/>
              </w:rPr>
            </w:pPr>
            <w:r w:rsidRPr="00F4354F">
              <w:rPr>
                <w:rFonts w:cs="Arial"/>
                <w:sz w:val="16"/>
                <w:szCs w:val="16"/>
              </w:rPr>
              <w:t>36,7</w:t>
            </w:r>
          </w:p>
        </w:tc>
        <w:tc>
          <w:tcPr>
            <w:tcW w:w="760" w:type="dxa"/>
            <w:tcBorders>
              <w:top w:val="nil"/>
              <w:left w:val="nil"/>
              <w:bottom w:val="nil"/>
              <w:right w:val="single" w:sz="4" w:space="0" w:color="auto"/>
            </w:tcBorders>
            <w:shd w:val="clear" w:color="auto" w:fill="auto"/>
            <w:vAlign w:val="center"/>
            <w:hideMark/>
          </w:tcPr>
          <w:p w14:paraId="3096A991" w14:textId="77777777" w:rsidR="00F4354F" w:rsidRPr="00F4354F" w:rsidRDefault="00F4354F" w:rsidP="00F4354F">
            <w:pPr>
              <w:spacing w:after="0" w:line="240" w:lineRule="auto"/>
              <w:jc w:val="right"/>
              <w:rPr>
                <w:rFonts w:cs="Arial"/>
                <w:sz w:val="16"/>
                <w:szCs w:val="16"/>
              </w:rPr>
            </w:pPr>
            <w:r w:rsidRPr="00F4354F">
              <w:rPr>
                <w:rFonts w:cs="Arial"/>
                <w:sz w:val="16"/>
                <w:szCs w:val="16"/>
              </w:rPr>
              <w:t>15,0</w:t>
            </w:r>
          </w:p>
        </w:tc>
        <w:tc>
          <w:tcPr>
            <w:tcW w:w="760" w:type="dxa"/>
            <w:tcBorders>
              <w:top w:val="nil"/>
              <w:left w:val="single" w:sz="4" w:space="0" w:color="auto"/>
              <w:bottom w:val="nil"/>
              <w:right w:val="nil"/>
            </w:tcBorders>
            <w:shd w:val="clear" w:color="auto" w:fill="auto"/>
            <w:vAlign w:val="center"/>
            <w:hideMark/>
          </w:tcPr>
          <w:p w14:paraId="1EF3E224" w14:textId="77777777" w:rsidR="00F4354F" w:rsidRPr="00F4354F" w:rsidRDefault="00F4354F" w:rsidP="00F4354F">
            <w:pPr>
              <w:spacing w:after="0" w:line="240" w:lineRule="auto"/>
              <w:jc w:val="right"/>
              <w:rPr>
                <w:rFonts w:cs="Arial"/>
                <w:sz w:val="16"/>
                <w:szCs w:val="16"/>
              </w:rPr>
            </w:pPr>
            <w:r w:rsidRPr="00F4354F">
              <w:rPr>
                <w:rFonts w:cs="Arial"/>
                <w:sz w:val="16"/>
                <w:szCs w:val="16"/>
              </w:rPr>
              <w:t>85,3</w:t>
            </w:r>
          </w:p>
        </w:tc>
        <w:tc>
          <w:tcPr>
            <w:tcW w:w="760" w:type="dxa"/>
            <w:tcBorders>
              <w:top w:val="nil"/>
              <w:left w:val="nil"/>
              <w:bottom w:val="nil"/>
              <w:right w:val="nil"/>
            </w:tcBorders>
            <w:shd w:val="clear" w:color="auto" w:fill="auto"/>
            <w:vAlign w:val="center"/>
            <w:hideMark/>
          </w:tcPr>
          <w:p w14:paraId="0D3736FA" w14:textId="77777777" w:rsidR="00F4354F" w:rsidRPr="00F4354F" w:rsidRDefault="00F4354F" w:rsidP="00F4354F">
            <w:pPr>
              <w:spacing w:after="0" w:line="240" w:lineRule="auto"/>
              <w:jc w:val="right"/>
              <w:rPr>
                <w:rFonts w:cs="Arial"/>
                <w:sz w:val="16"/>
                <w:szCs w:val="16"/>
              </w:rPr>
            </w:pPr>
            <w:r w:rsidRPr="00F4354F">
              <w:rPr>
                <w:rFonts w:cs="Arial"/>
                <w:sz w:val="16"/>
                <w:szCs w:val="16"/>
              </w:rPr>
              <w:t>57,4</w:t>
            </w:r>
          </w:p>
        </w:tc>
        <w:tc>
          <w:tcPr>
            <w:tcW w:w="760" w:type="dxa"/>
            <w:tcBorders>
              <w:top w:val="nil"/>
              <w:left w:val="nil"/>
              <w:bottom w:val="nil"/>
              <w:right w:val="nil"/>
            </w:tcBorders>
            <w:shd w:val="clear" w:color="auto" w:fill="auto"/>
            <w:vAlign w:val="center"/>
            <w:hideMark/>
          </w:tcPr>
          <w:p w14:paraId="1A44DBA1" w14:textId="77777777" w:rsidR="00F4354F" w:rsidRPr="00F4354F" w:rsidRDefault="00F4354F" w:rsidP="00F4354F">
            <w:pPr>
              <w:spacing w:after="0" w:line="240" w:lineRule="auto"/>
              <w:jc w:val="right"/>
              <w:rPr>
                <w:rFonts w:cs="Arial"/>
                <w:sz w:val="16"/>
                <w:szCs w:val="16"/>
              </w:rPr>
            </w:pPr>
            <w:r w:rsidRPr="00F4354F">
              <w:rPr>
                <w:rFonts w:cs="Arial"/>
                <w:sz w:val="16"/>
                <w:szCs w:val="16"/>
              </w:rPr>
              <w:t>27,9</w:t>
            </w:r>
          </w:p>
        </w:tc>
      </w:tr>
      <w:tr w:rsidR="00F4354F" w:rsidRPr="00F4354F" w14:paraId="73641432"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4D60A456"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2011</w:t>
            </w:r>
          </w:p>
        </w:tc>
        <w:tc>
          <w:tcPr>
            <w:tcW w:w="760" w:type="dxa"/>
            <w:tcBorders>
              <w:top w:val="nil"/>
              <w:left w:val="nil"/>
              <w:bottom w:val="nil"/>
              <w:right w:val="nil"/>
            </w:tcBorders>
            <w:shd w:val="clear" w:color="auto" w:fill="auto"/>
            <w:vAlign w:val="center"/>
            <w:hideMark/>
          </w:tcPr>
          <w:p w14:paraId="0F8D5967" w14:textId="77777777" w:rsidR="00F4354F" w:rsidRPr="00F4354F" w:rsidRDefault="00F4354F" w:rsidP="00F4354F">
            <w:pPr>
              <w:spacing w:after="0" w:line="240" w:lineRule="auto"/>
              <w:jc w:val="right"/>
              <w:rPr>
                <w:rFonts w:cs="Arial"/>
                <w:sz w:val="16"/>
                <w:szCs w:val="16"/>
              </w:rPr>
            </w:pPr>
            <w:r w:rsidRPr="00F4354F">
              <w:rPr>
                <w:rFonts w:cs="Arial"/>
                <w:sz w:val="16"/>
                <w:szCs w:val="16"/>
              </w:rPr>
              <w:t>1 268,8</w:t>
            </w:r>
          </w:p>
        </w:tc>
        <w:tc>
          <w:tcPr>
            <w:tcW w:w="760" w:type="dxa"/>
            <w:tcBorders>
              <w:top w:val="nil"/>
              <w:left w:val="nil"/>
              <w:bottom w:val="nil"/>
              <w:right w:val="nil"/>
            </w:tcBorders>
            <w:shd w:val="clear" w:color="auto" w:fill="auto"/>
            <w:vAlign w:val="center"/>
            <w:hideMark/>
          </w:tcPr>
          <w:p w14:paraId="3CAB75F2" w14:textId="77777777" w:rsidR="00F4354F" w:rsidRPr="00F4354F" w:rsidRDefault="00F4354F" w:rsidP="00F4354F">
            <w:pPr>
              <w:spacing w:after="0" w:line="240" w:lineRule="auto"/>
              <w:jc w:val="right"/>
              <w:rPr>
                <w:rFonts w:cs="Arial"/>
                <w:sz w:val="16"/>
                <w:szCs w:val="16"/>
              </w:rPr>
            </w:pPr>
            <w:r w:rsidRPr="00F4354F">
              <w:rPr>
                <w:rFonts w:cs="Arial"/>
                <w:sz w:val="16"/>
                <w:szCs w:val="16"/>
              </w:rPr>
              <w:t>605,1</w:t>
            </w:r>
          </w:p>
        </w:tc>
        <w:tc>
          <w:tcPr>
            <w:tcW w:w="760" w:type="dxa"/>
            <w:tcBorders>
              <w:top w:val="nil"/>
              <w:left w:val="nil"/>
              <w:bottom w:val="nil"/>
              <w:right w:val="single" w:sz="4" w:space="0" w:color="auto"/>
            </w:tcBorders>
            <w:shd w:val="clear" w:color="auto" w:fill="auto"/>
            <w:vAlign w:val="center"/>
            <w:hideMark/>
          </w:tcPr>
          <w:p w14:paraId="18D8A13A" w14:textId="77777777" w:rsidR="00F4354F" w:rsidRPr="00F4354F" w:rsidRDefault="00F4354F" w:rsidP="00F4354F">
            <w:pPr>
              <w:spacing w:after="0" w:line="240" w:lineRule="auto"/>
              <w:jc w:val="right"/>
              <w:rPr>
                <w:rFonts w:cs="Arial"/>
                <w:sz w:val="16"/>
                <w:szCs w:val="16"/>
              </w:rPr>
            </w:pPr>
            <w:r w:rsidRPr="00F4354F">
              <w:rPr>
                <w:rFonts w:cs="Arial"/>
                <w:sz w:val="16"/>
                <w:szCs w:val="16"/>
              </w:rPr>
              <w:t>663,7</w:t>
            </w:r>
          </w:p>
        </w:tc>
        <w:tc>
          <w:tcPr>
            <w:tcW w:w="760" w:type="dxa"/>
            <w:tcBorders>
              <w:top w:val="nil"/>
              <w:left w:val="single" w:sz="4" w:space="0" w:color="auto"/>
              <w:bottom w:val="nil"/>
              <w:right w:val="nil"/>
            </w:tcBorders>
            <w:shd w:val="clear" w:color="auto" w:fill="auto"/>
            <w:vAlign w:val="center"/>
            <w:hideMark/>
          </w:tcPr>
          <w:p w14:paraId="49ADFF84" w14:textId="77777777" w:rsidR="00F4354F" w:rsidRPr="00F4354F" w:rsidRDefault="00F4354F" w:rsidP="00F4354F">
            <w:pPr>
              <w:spacing w:after="0" w:line="240" w:lineRule="auto"/>
              <w:jc w:val="right"/>
              <w:rPr>
                <w:rFonts w:cs="Arial"/>
                <w:sz w:val="16"/>
                <w:szCs w:val="16"/>
              </w:rPr>
            </w:pPr>
            <w:r w:rsidRPr="00F4354F">
              <w:rPr>
                <w:rFonts w:cs="Arial"/>
                <w:sz w:val="16"/>
                <w:szCs w:val="16"/>
              </w:rPr>
              <w:t>1 144,5</w:t>
            </w:r>
          </w:p>
        </w:tc>
        <w:tc>
          <w:tcPr>
            <w:tcW w:w="760" w:type="dxa"/>
            <w:tcBorders>
              <w:top w:val="nil"/>
              <w:left w:val="nil"/>
              <w:bottom w:val="nil"/>
              <w:right w:val="nil"/>
            </w:tcBorders>
            <w:shd w:val="clear" w:color="auto" w:fill="auto"/>
            <w:vAlign w:val="center"/>
            <w:hideMark/>
          </w:tcPr>
          <w:p w14:paraId="333055CD" w14:textId="77777777" w:rsidR="00F4354F" w:rsidRPr="00F4354F" w:rsidRDefault="00F4354F" w:rsidP="00F4354F">
            <w:pPr>
              <w:spacing w:after="0" w:line="240" w:lineRule="auto"/>
              <w:jc w:val="right"/>
              <w:rPr>
                <w:rFonts w:cs="Arial"/>
                <w:sz w:val="16"/>
                <w:szCs w:val="16"/>
              </w:rPr>
            </w:pPr>
            <w:r w:rsidRPr="00F4354F">
              <w:rPr>
                <w:rFonts w:cs="Arial"/>
                <w:sz w:val="16"/>
                <w:szCs w:val="16"/>
              </w:rPr>
              <w:t>519,2</w:t>
            </w:r>
          </w:p>
        </w:tc>
        <w:tc>
          <w:tcPr>
            <w:tcW w:w="760" w:type="dxa"/>
            <w:tcBorders>
              <w:top w:val="nil"/>
              <w:left w:val="nil"/>
              <w:bottom w:val="nil"/>
              <w:right w:val="single" w:sz="4" w:space="0" w:color="auto"/>
            </w:tcBorders>
            <w:shd w:val="clear" w:color="auto" w:fill="auto"/>
            <w:vAlign w:val="center"/>
            <w:hideMark/>
          </w:tcPr>
          <w:p w14:paraId="6058740F" w14:textId="77777777" w:rsidR="00F4354F" w:rsidRPr="00F4354F" w:rsidRDefault="00F4354F" w:rsidP="00F4354F">
            <w:pPr>
              <w:spacing w:after="0" w:line="240" w:lineRule="auto"/>
              <w:jc w:val="right"/>
              <w:rPr>
                <w:rFonts w:cs="Arial"/>
                <w:sz w:val="16"/>
                <w:szCs w:val="16"/>
              </w:rPr>
            </w:pPr>
            <w:r w:rsidRPr="00F4354F">
              <w:rPr>
                <w:rFonts w:cs="Arial"/>
                <w:sz w:val="16"/>
                <w:szCs w:val="16"/>
              </w:rPr>
              <w:t>625,3</w:t>
            </w:r>
          </w:p>
        </w:tc>
        <w:tc>
          <w:tcPr>
            <w:tcW w:w="760" w:type="dxa"/>
            <w:tcBorders>
              <w:top w:val="nil"/>
              <w:left w:val="single" w:sz="4" w:space="0" w:color="auto"/>
              <w:bottom w:val="nil"/>
              <w:right w:val="nil"/>
            </w:tcBorders>
            <w:shd w:val="clear" w:color="auto" w:fill="auto"/>
            <w:vAlign w:val="center"/>
            <w:hideMark/>
          </w:tcPr>
          <w:p w14:paraId="3C695471" w14:textId="77777777" w:rsidR="00F4354F" w:rsidRPr="00F4354F" w:rsidRDefault="00F4354F" w:rsidP="00F4354F">
            <w:pPr>
              <w:spacing w:after="0" w:line="240" w:lineRule="auto"/>
              <w:jc w:val="right"/>
              <w:rPr>
                <w:rFonts w:cs="Arial"/>
                <w:sz w:val="16"/>
                <w:szCs w:val="16"/>
              </w:rPr>
            </w:pPr>
            <w:r w:rsidRPr="00F4354F">
              <w:rPr>
                <w:rFonts w:cs="Arial"/>
                <w:sz w:val="16"/>
                <w:szCs w:val="16"/>
              </w:rPr>
              <w:t>47,1</w:t>
            </w:r>
          </w:p>
        </w:tc>
        <w:tc>
          <w:tcPr>
            <w:tcW w:w="760" w:type="dxa"/>
            <w:tcBorders>
              <w:top w:val="nil"/>
              <w:left w:val="nil"/>
              <w:bottom w:val="nil"/>
              <w:right w:val="nil"/>
            </w:tcBorders>
            <w:shd w:val="clear" w:color="auto" w:fill="auto"/>
            <w:vAlign w:val="center"/>
            <w:hideMark/>
          </w:tcPr>
          <w:p w14:paraId="2FD94998" w14:textId="77777777" w:rsidR="00F4354F" w:rsidRPr="00F4354F" w:rsidRDefault="00F4354F" w:rsidP="00F4354F">
            <w:pPr>
              <w:spacing w:after="0" w:line="240" w:lineRule="auto"/>
              <w:jc w:val="right"/>
              <w:rPr>
                <w:rFonts w:cs="Arial"/>
                <w:sz w:val="16"/>
                <w:szCs w:val="16"/>
              </w:rPr>
            </w:pPr>
            <w:r w:rsidRPr="00F4354F">
              <w:rPr>
                <w:rFonts w:cs="Arial"/>
                <w:sz w:val="16"/>
                <w:szCs w:val="16"/>
              </w:rPr>
              <w:t>33,6</w:t>
            </w:r>
          </w:p>
        </w:tc>
        <w:tc>
          <w:tcPr>
            <w:tcW w:w="760" w:type="dxa"/>
            <w:tcBorders>
              <w:top w:val="nil"/>
              <w:left w:val="nil"/>
              <w:bottom w:val="nil"/>
              <w:right w:val="single" w:sz="4" w:space="0" w:color="auto"/>
            </w:tcBorders>
            <w:shd w:val="clear" w:color="auto" w:fill="auto"/>
            <w:vAlign w:val="center"/>
            <w:hideMark/>
          </w:tcPr>
          <w:p w14:paraId="3DE91E31" w14:textId="77777777" w:rsidR="00F4354F" w:rsidRPr="00F4354F" w:rsidRDefault="00F4354F" w:rsidP="00F4354F">
            <w:pPr>
              <w:spacing w:after="0" w:line="240" w:lineRule="auto"/>
              <w:jc w:val="right"/>
              <w:rPr>
                <w:rFonts w:cs="Arial"/>
                <w:sz w:val="16"/>
                <w:szCs w:val="16"/>
              </w:rPr>
            </w:pPr>
            <w:r w:rsidRPr="00F4354F">
              <w:rPr>
                <w:rFonts w:cs="Arial"/>
                <w:sz w:val="16"/>
                <w:szCs w:val="16"/>
              </w:rPr>
              <w:t>13,5</w:t>
            </w:r>
          </w:p>
        </w:tc>
        <w:tc>
          <w:tcPr>
            <w:tcW w:w="760" w:type="dxa"/>
            <w:tcBorders>
              <w:top w:val="nil"/>
              <w:left w:val="single" w:sz="4" w:space="0" w:color="auto"/>
              <w:bottom w:val="nil"/>
              <w:right w:val="nil"/>
            </w:tcBorders>
            <w:shd w:val="clear" w:color="auto" w:fill="auto"/>
            <w:vAlign w:val="center"/>
            <w:hideMark/>
          </w:tcPr>
          <w:p w14:paraId="33380CB4" w14:textId="77777777" w:rsidR="00F4354F" w:rsidRPr="00F4354F" w:rsidRDefault="00F4354F" w:rsidP="00F4354F">
            <w:pPr>
              <w:spacing w:after="0" w:line="240" w:lineRule="auto"/>
              <w:jc w:val="right"/>
              <w:rPr>
                <w:rFonts w:cs="Arial"/>
                <w:sz w:val="16"/>
                <w:szCs w:val="16"/>
              </w:rPr>
            </w:pPr>
            <w:r w:rsidRPr="00F4354F">
              <w:rPr>
                <w:rFonts w:cs="Arial"/>
                <w:sz w:val="16"/>
                <w:szCs w:val="16"/>
              </w:rPr>
              <w:t>77,1</w:t>
            </w:r>
          </w:p>
        </w:tc>
        <w:tc>
          <w:tcPr>
            <w:tcW w:w="760" w:type="dxa"/>
            <w:tcBorders>
              <w:top w:val="nil"/>
              <w:left w:val="nil"/>
              <w:bottom w:val="nil"/>
              <w:right w:val="nil"/>
            </w:tcBorders>
            <w:shd w:val="clear" w:color="auto" w:fill="auto"/>
            <w:vAlign w:val="center"/>
            <w:hideMark/>
          </w:tcPr>
          <w:p w14:paraId="084C1323" w14:textId="77777777" w:rsidR="00F4354F" w:rsidRPr="00F4354F" w:rsidRDefault="00F4354F" w:rsidP="00F4354F">
            <w:pPr>
              <w:spacing w:after="0" w:line="240" w:lineRule="auto"/>
              <w:jc w:val="right"/>
              <w:rPr>
                <w:rFonts w:cs="Arial"/>
                <w:sz w:val="16"/>
                <w:szCs w:val="16"/>
              </w:rPr>
            </w:pPr>
            <w:r w:rsidRPr="00F4354F">
              <w:rPr>
                <w:rFonts w:cs="Arial"/>
                <w:sz w:val="16"/>
                <w:szCs w:val="16"/>
              </w:rPr>
              <w:t>52,3</w:t>
            </w:r>
          </w:p>
        </w:tc>
        <w:tc>
          <w:tcPr>
            <w:tcW w:w="760" w:type="dxa"/>
            <w:tcBorders>
              <w:top w:val="nil"/>
              <w:left w:val="nil"/>
              <w:bottom w:val="nil"/>
              <w:right w:val="nil"/>
            </w:tcBorders>
            <w:shd w:val="clear" w:color="auto" w:fill="auto"/>
            <w:vAlign w:val="center"/>
            <w:hideMark/>
          </w:tcPr>
          <w:p w14:paraId="6986CC9A" w14:textId="77777777" w:rsidR="00F4354F" w:rsidRPr="00F4354F" w:rsidRDefault="00F4354F" w:rsidP="00F4354F">
            <w:pPr>
              <w:spacing w:after="0" w:line="240" w:lineRule="auto"/>
              <w:jc w:val="right"/>
              <w:rPr>
                <w:rFonts w:cs="Arial"/>
                <w:sz w:val="16"/>
                <w:szCs w:val="16"/>
              </w:rPr>
            </w:pPr>
            <w:r w:rsidRPr="00F4354F">
              <w:rPr>
                <w:rFonts w:cs="Arial"/>
                <w:sz w:val="16"/>
                <w:szCs w:val="16"/>
              </w:rPr>
              <w:t>24,8</w:t>
            </w:r>
          </w:p>
        </w:tc>
      </w:tr>
      <w:tr w:rsidR="00F4354F" w:rsidRPr="00F4354F" w14:paraId="5B7134D1"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6167C3B7"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2012</w:t>
            </w:r>
          </w:p>
        </w:tc>
        <w:tc>
          <w:tcPr>
            <w:tcW w:w="760" w:type="dxa"/>
            <w:tcBorders>
              <w:top w:val="nil"/>
              <w:left w:val="nil"/>
              <w:bottom w:val="nil"/>
              <w:right w:val="nil"/>
            </w:tcBorders>
            <w:shd w:val="clear" w:color="auto" w:fill="auto"/>
            <w:vAlign w:val="center"/>
            <w:hideMark/>
          </w:tcPr>
          <w:p w14:paraId="64CC1F91" w14:textId="77777777" w:rsidR="00F4354F" w:rsidRPr="00F4354F" w:rsidRDefault="00F4354F" w:rsidP="00F4354F">
            <w:pPr>
              <w:spacing w:after="0" w:line="240" w:lineRule="auto"/>
              <w:jc w:val="right"/>
              <w:rPr>
                <w:rFonts w:cs="Arial"/>
                <w:sz w:val="16"/>
                <w:szCs w:val="16"/>
              </w:rPr>
            </w:pPr>
            <w:r w:rsidRPr="00F4354F">
              <w:rPr>
                <w:rFonts w:cs="Arial"/>
                <w:sz w:val="16"/>
                <w:szCs w:val="16"/>
              </w:rPr>
              <w:t>1 226,9</w:t>
            </w:r>
          </w:p>
        </w:tc>
        <w:tc>
          <w:tcPr>
            <w:tcW w:w="760" w:type="dxa"/>
            <w:tcBorders>
              <w:top w:val="nil"/>
              <w:left w:val="nil"/>
              <w:bottom w:val="nil"/>
              <w:right w:val="nil"/>
            </w:tcBorders>
            <w:shd w:val="clear" w:color="auto" w:fill="auto"/>
            <w:vAlign w:val="center"/>
            <w:hideMark/>
          </w:tcPr>
          <w:p w14:paraId="05E3E096" w14:textId="77777777" w:rsidR="00F4354F" w:rsidRPr="00F4354F" w:rsidRDefault="00F4354F" w:rsidP="00F4354F">
            <w:pPr>
              <w:spacing w:after="0" w:line="240" w:lineRule="auto"/>
              <w:jc w:val="right"/>
              <w:rPr>
                <w:rFonts w:cs="Arial"/>
                <w:sz w:val="16"/>
                <w:szCs w:val="16"/>
              </w:rPr>
            </w:pPr>
            <w:r w:rsidRPr="00F4354F">
              <w:rPr>
                <w:rFonts w:cs="Arial"/>
                <w:sz w:val="16"/>
                <w:szCs w:val="16"/>
              </w:rPr>
              <w:t>593,7</w:t>
            </w:r>
          </w:p>
        </w:tc>
        <w:tc>
          <w:tcPr>
            <w:tcW w:w="760" w:type="dxa"/>
            <w:tcBorders>
              <w:top w:val="nil"/>
              <w:left w:val="nil"/>
              <w:bottom w:val="nil"/>
              <w:right w:val="single" w:sz="4" w:space="0" w:color="auto"/>
            </w:tcBorders>
            <w:shd w:val="clear" w:color="auto" w:fill="auto"/>
            <w:vAlign w:val="center"/>
            <w:hideMark/>
          </w:tcPr>
          <w:p w14:paraId="122B84FB" w14:textId="77777777" w:rsidR="00F4354F" w:rsidRPr="00F4354F" w:rsidRDefault="00F4354F" w:rsidP="00F4354F">
            <w:pPr>
              <w:spacing w:after="0" w:line="240" w:lineRule="auto"/>
              <w:jc w:val="right"/>
              <w:rPr>
                <w:rFonts w:cs="Arial"/>
                <w:sz w:val="16"/>
                <w:szCs w:val="16"/>
              </w:rPr>
            </w:pPr>
            <w:r w:rsidRPr="00F4354F">
              <w:rPr>
                <w:rFonts w:cs="Arial"/>
                <w:sz w:val="16"/>
                <w:szCs w:val="16"/>
              </w:rPr>
              <w:t>633,2</w:t>
            </w:r>
          </w:p>
        </w:tc>
        <w:tc>
          <w:tcPr>
            <w:tcW w:w="760" w:type="dxa"/>
            <w:tcBorders>
              <w:top w:val="nil"/>
              <w:left w:val="single" w:sz="4" w:space="0" w:color="auto"/>
              <w:bottom w:val="nil"/>
              <w:right w:val="nil"/>
            </w:tcBorders>
            <w:shd w:val="clear" w:color="auto" w:fill="auto"/>
            <w:vAlign w:val="center"/>
            <w:hideMark/>
          </w:tcPr>
          <w:p w14:paraId="2A994449" w14:textId="77777777" w:rsidR="00F4354F" w:rsidRPr="00F4354F" w:rsidRDefault="00F4354F" w:rsidP="00F4354F">
            <w:pPr>
              <w:spacing w:after="0" w:line="240" w:lineRule="auto"/>
              <w:jc w:val="right"/>
              <w:rPr>
                <w:rFonts w:cs="Arial"/>
                <w:sz w:val="16"/>
                <w:szCs w:val="16"/>
              </w:rPr>
            </w:pPr>
            <w:r w:rsidRPr="00F4354F">
              <w:rPr>
                <w:rFonts w:cs="Arial"/>
                <w:sz w:val="16"/>
                <w:szCs w:val="16"/>
              </w:rPr>
              <w:t>1 067,3</w:t>
            </w:r>
          </w:p>
        </w:tc>
        <w:tc>
          <w:tcPr>
            <w:tcW w:w="760" w:type="dxa"/>
            <w:tcBorders>
              <w:top w:val="nil"/>
              <w:left w:val="nil"/>
              <w:bottom w:val="nil"/>
              <w:right w:val="nil"/>
            </w:tcBorders>
            <w:shd w:val="clear" w:color="auto" w:fill="auto"/>
            <w:vAlign w:val="center"/>
            <w:hideMark/>
          </w:tcPr>
          <w:p w14:paraId="54DD79B6" w14:textId="77777777" w:rsidR="00F4354F" w:rsidRPr="00F4354F" w:rsidRDefault="00F4354F" w:rsidP="00F4354F">
            <w:pPr>
              <w:spacing w:after="0" w:line="240" w:lineRule="auto"/>
              <w:jc w:val="right"/>
              <w:rPr>
                <w:rFonts w:cs="Arial"/>
                <w:sz w:val="16"/>
                <w:szCs w:val="16"/>
              </w:rPr>
            </w:pPr>
            <w:r w:rsidRPr="00F4354F">
              <w:rPr>
                <w:rFonts w:cs="Arial"/>
                <w:sz w:val="16"/>
                <w:szCs w:val="16"/>
              </w:rPr>
              <w:t>485,9</w:t>
            </w:r>
          </w:p>
        </w:tc>
        <w:tc>
          <w:tcPr>
            <w:tcW w:w="760" w:type="dxa"/>
            <w:tcBorders>
              <w:top w:val="nil"/>
              <w:left w:val="nil"/>
              <w:bottom w:val="nil"/>
              <w:right w:val="single" w:sz="4" w:space="0" w:color="auto"/>
            </w:tcBorders>
            <w:shd w:val="clear" w:color="auto" w:fill="auto"/>
            <w:vAlign w:val="center"/>
            <w:hideMark/>
          </w:tcPr>
          <w:p w14:paraId="4F93291C" w14:textId="77777777" w:rsidR="00F4354F" w:rsidRPr="00F4354F" w:rsidRDefault="00F4354F" w:rsidP="00F4354F">
            <w:pPr>
              <w:spacing w:after="0" w:line="240" w:lineRule="auto"/>
              <w:jc w:val="right"/>
              <w:rPr>
                <w:rFonts w:cs="Arial"/>
                <w:sz w:val="16"/>
                <w:szCs w:val="16"/>
              </w:rPr>
            </w:pPr>
            <w:r w:rsidRPr="00F4354F">
              <w:rPr>
                <w:rFonts w:cs="Arial"/>
                <w:sz w:val="16"/>
                <w:szCs w:val="16"/>
              </w:rPr>
              <w:t>581,4</w:t>
            </w:r>
          </w:p>
        </w:tc>
        <w:tc>
          <w:tcPr>
            <w:tcW w:w="760" w:type="dxa"/>
            <w:tcBorders>
              <w:top w:val="nil"/>
              <w:left w:val="single" w:sz="4" w:space="0" w:color="auto"/>
              <w:bottom w:val="nil"/>
              <w:right w:val="nil"/>
            </w:tcBorders>
            <w:shd w:val="clear" w:color="auto" w:fill="auto"/>
            <w:vAlign w:val="center"/>
            <w:hideMark/>
          </w:tcPr>
          <w:p w14:paraId="5B9D09E3" w14:textId="77777777" w:rsidR="00F4354F" w:rsidRPr="00F4354F" w:rsidRDefault="00F4354F" w:rsidP="00F4354F">
            <w:pPr>
              <w:spacing w:after="0" w:line="240" w:lineRule="auto"/>
              <w:jc w:val="right"/>
              <w:rPr>
                <w:rFonts w:cs="Arial"/>
                <w:sz w:val="16"/>
                <w:szCs w:val="16"/>
              </w:rPr>
            </w:pPr>
            <w:r w:rsidRPr="00F4354F">
              <w:rPr>
                <w:rFonts w:cs="Arial"/>
                <w:sz w:val="16"/>
                <w:szCs w:val="16"/>
              </w:rPr>
              <w:t>44,1</w:t>
            </w:r>
          </w:p>
        </w:tc>
        <w:tc>
          <w:tcPr>
            <w:tcW w:w="760" w:type="dxa"/>
            <w:tcBorders>
              <w:top w:val="nil"/>
              <w:left w:val="nil"/>
              <w:bottom w:val="nil"/>
              <w:right w:val="nil"/>
            </w:tcBorders>
            <w:shd w:val="clear" w:color="auto" w:fill="auto"/>
            <w:vAlign w:val="center"/>
            <w:hideMark/>
          </w:tcPr>
          <w:p w14:paraId="329126D4" w14:textId="77777777" w:rsidR="00F4354F" w:rsidRPr="00F4354F" w:rsidRDefault="00F4354F" w:rsidP="00F4354F">
            <w:pPr>
              <w:spacing w:after="0" w:line="240" w:lineRule="auto"/>
              <w:jc w:val="right"/>
              <w:rPr>
                <w:rFonts w:cs="Arial"/>
                <w:sz w:val="16"/>
                <w:szCs w:val="16"/>
              </w:rPr>
            </w:pPr>
            <w:r w:rsidRPr="00F4354F">
              <w:rPr>
                <w:rFonts w:cs="Arial"/>
                <w:sz w:val="16"/>
                <w:szCs w:val="16"/>
              </w:rPr>
              <w:t>31,5</w:t>
            </w:r>
          </w:p>
        </w:tc>
        <w:tc>
          <w:tcPr>
            <w:tcW w:w="760" w:type="dxa"/>
            <w:tcBorders>
              <w:top w:val="nil"/>
              <w:left w:val="nil"/>
              <w:bottom w:val="nil"/>
              <w:right w:val="single" w:sz="4" w:space="0" w:color="auto"/>
            </w:tcBorders>
            <w:shd w:val="clear" w:color="auto" w:fill="auto"/>
            <w:vAlign w:val="center"/>
            <w:hideMark/>
          </w:tcPr>
          <w:p w14:paraId="058B52EF" w14:textId="77777777" w:rsidR="00F4354F" w:rsidRPr="00F4354F" w:rsidRDefault="00F4354F" w:rsidP="00F4354F">
            <w:pPr>
              <w:spacing w:after="0" w:line="240" w:lineRule="auto"/>
              <w:jc w:val="right"/>
              <w:rPr>
                <w:rFonts w:cs="Arial"/>
                <w:sz w:val="16"/>
                <w:szCs w:val="16"/>
              </w:rPr>
            </w:pPr>
            <w:r w:rsidRPr="00F4354F">
              <w:rPr>
                <w:rFonts w:cs="Arial"/>
                <w:sz w:val="16"/>
                <w:szCs w:val="16"/>
              </w:rPr>
              <w:t>12,7</w:t>
            </w:r>
          </w:p>
        </w:tc>
        <w:tc>
          <w:tcPr>
            <w:tcW w:w="760" w:type="dxa"/>
            <w:tcBorders>
              <w:top w:val="nil"/>
              <w:left w:val="single" w:sz="4" w:space="0" w:color="auto"/>
              <w:bottom w:val="nil"/>
              <w:right w:val="nil"/>
            </w:tcBorders>
            <w:shd w:val="clear" w:color="auto" w:fill="auto"/>
            <w:vAlign w:val="center"/>
            <w:hideMark/>
          </w:tcPr>
          <w:p w14:paraId="4CF94BFA" w14:textId="77777777" w:rsidR="00F4354F" w:rsidRPr="00F4354F" w:rsidRDefault="00F4354F" w:rsidP="00F4354F">
            <w:pPr>
              <w:spacing w:after="0" w:line="240" w:lineRule="auto"/>
              <w:jc w:val="right"/>
              <w:rPr>
                <w:rFonts w:cs="Arial"/>
                <w:sz w:val="16"/>
                <w:szCs w:val="16"/>
              </w:rPr>
            </w:pPr>
            <w:r w:rsidRPr="00F4354F">
              <w:rPr>
                <w:rFonts w:cs="Arial"/>
                <w:sz w:val="16"/>
                <w:szCs w:val="16"/>
              </w:rPr>
              <w:t>115,4</w:t>
            </w:r>
          </w:p>
        </w:tc>
        <w:tc>
          <w:tcPr>
            <w:tcW w:w="760" w:type="dxa"/>
            <w:tcBorders>
              <w:top w:val="nil"/>
              <w:left w:val="nil"/>
              <w:bottom w:val="nil"/>
              <w:right w:val="nil"/>
            </w:tcBorders>
            <w:shd w:val="clear" w:color="auto" w:fill="auto"/>
            <w:vAlign w:val="center"/>
            <w:hideMark/>
          </w:tcPr>
          <w:p w14:paraId="12E495A8" w14:textId="77777777" w:rsidR="00F4354F" w:rsidRPr="00F4354F" w:rsidRDefault="00F4354F" w:rsidP="00F4354F">
            <w:pPr>
              <w:spacing w:after="0" w:line="240" w:lineRule="auto"/>
              <w:jc w:val="right"/>
              <w:rPr>
                <w:rFonts w:cs="Arial"/>
                <w:sz w:val="16"/>
                <w:szCs w:val="16"/>
              </w:rPr>
            </w:pPr>
            <w:r w:rsidRPr="00F4354F">
              <w:rPr>
                <w:rFonts w:cs="Arial"/>
                <w:sz w:val="16"/>
                <w:szCs w:val="16"/>
              </w:rPr>
              <w:t>76,4</w:t>
            </w:r>
          </w:p>
        </w:tc>
        <w:tc>
          <w:tcPr>
            <w:tcW w:w="760" w:type="dxa"/>
            <w:tcBorders>
              <w:top w:val="nil"/>
              <w:left w:val="nil"/>
              <w:bottom w:val="nil"/>
              <w:right w:val="nil"/>
            </w:tcBorders>
            <w:shd w:val="clear" w:color="auto" w:fill="auto"/>
            <w:vAlign w:val="center"/>
            <w:hideMark/>
          </w:tcPr>
          <w:p w14:paraId="664E0DB8" w14:textId="77777777" w:rsidR="00F4354F" w:rsidRPr="00F4354F" w:rsidRDefault="00F4354F" w:rsidP="00F4354F">
            <w:pPr>
              <w:spacing w:after="0" w:line="240" w:lineRule="auto"/>
              <w:jc w:val="right"/>
              <w:rPr>
                <w:rFonts w:cs="Arial"/>
                <w:sz w:val="16"/>
                <w:szCs w:val="16"/>
              </w:rPr>
            </w:pPr>
            <w:r w:rsidRPr="00F4354F">
              <w:rPr>
                <w:rFonts w:cs="Arial"/>
                <w:sz w:val="16"/>
                <w:szCs w:val="16"/>
              </w:rPr>
              <w:t>39,1</w:t>
            </w:r>
          </w:p>
        </w:tc>
      </w:tr>
      <w:tr w:rsidR="00F4354F" w:rsidRPr="00F4354F" w14:paraId="01B7A171"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21042220"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2013</w:t>
            </w:r>
          </w:p>
        </w:tc>
        <w:tc>
          <w:tcPr>
            <w:tcW w:w="760" w:type="dxa"/>
            <w:tcBorders>
              <w:top w:val="nil"/>
              <w:left w:val="nil"/>
              <w:bottom w:val="nil"/>
              <w:right w:val="nil"/>
            </w:tcBorders>
            <w:shd w:val="clear" w:color="auto" w:fill="auto"/>
            <w:vAlign w:val="center"/>
            <w:hideMark/>
          </w:tcPr>
          <w:p w14:paraId="369DE431" w14:textId="77777777" w:rsidR="00F4354F" w:rsidRPr="00F4354F" w:rsidRDefault="00F4354F" w:rsidP="00F4354F">
            <w:pPr>
              <w:spacing w:after="0" w:line="240" w:lineRule="auto"/>
              <w:jc w:val="right"/>
              <w:rPr>
                <w:rFonts w:cs="Arial"/>
                <w:sz w:val="16"/>
                <w:szCs w:val="16"/>
              </w:rPr>
            </w:pPr>
            <w:r w:rsidRPr="00F4354F">
              <w:rPr>
                <w:rFonts w:cs="Arial"/>
                <w:sz w:val="16"/>
                <w:szCs w:val="16"/>
              </w:rPr>
              <w:t>1 331,5</w:t>
            </w:r>
          </w:p>
        </w:tc>
        <w:tc>
          <w:tcPr>
            <w:tcW w:w="760" w:type="dxa"/>
            <w:tcBorders>
              <w:top w:val="nil"/>
              <w:left w:val="nil"/>
              <w:bottom w:val="nil"/>
              <w:right w:val="nil"/>
            </w:tcBorders>
            <w:shd w:val="clear" w:color="auto" w:fill="auto"/>
            <w:vAlign w:val="center"/>
            <w:hideMark/>
          </w:tcPr>
          <w:p w14:paraId="6247F8FA" w14:textId="77777777" w:rsidR="00F4354F" w:rsidRPr="00F4354F" w:rsidRDefault="00F4354F" w:rsidP="00F4354F">
            <w:pPr>
              <w:spacing w:after="0" w:line="240" w:lineRule="auto"/>
              <w:jc w:val="right"/>
              <w:rPr>
                <w:rFonts w:cs="Arial"/>
                <w:sz w:val="16"/>
                <w:szCs w:val="16"/>
              </w:rPr>
            </w:pPr>
            <w:r w:rsidRPr="00F4354F">
              <w:rPr>
                <w:rFonts w:cs="Arial"/>
                <w:sz w:val="16"/>
                <w:szCs w:val="16"/>
              </w:rPr>
              <w:t>638,2</w:t>
            </w:r>
          </w:p>
        </w:tc>
        <w:tc>
          <w:tcPr>
            <w:tcW w:w="760" w:type="dxa"/>
            <w:tcBorders>
              <w:top w:val="nil"/>
              <w:left w:val="nil"/>
              <w:bottom w:val="nil"/>
              <w:right w:val="single" w:sz="4" w:space="0" w:color="auto"/>
            </w:tcBorders>
            <w:shd w:val="clear" w:color="auto" w:fill="auto"/>
            <w:vAlign w:val="center"/>
            <w:hideMark/>
          </w:tcPr>
          <w:p w14:paraId="7E276C1A" w14:textId="77777777" w:rsidR="00F4354F" w:rsidRPr="00F4354F" w:rsidRDefault="00F4354F" w:rsidP="00F4354F">
            <w:pPr>
              <w:spacing w:after="0" w:line="240" w:lineRule="auto"/>
              <w:jc w:val="right"/>
              <w:rPr>
                <w:rFonts w:cs="Arial"/>
                <w:sz w:val="16"/>
                <w:szCs w:val="16"/>
              </w:rPr>
            </w:pPr>
            <w:r w:rsidRPr="00F4354F">
              <w:rPr>
                <w:rFonts w:cs="Arial"/>
                <w:sz w:val="16"/>
                <w:szCs w:val="16"/>
              </w:rPr>
              <w:t>693,3</w:t>
            </w:r>
          </w:p>
        </w:tc>
        <w:tc>
          <w:tcPr>
            <w:tcW w:w="760" w:type="dxa"/>
            <w:tcBorders>
              <w:top w:val="nil"/>
              <w:left w:val="single" w:sz="4" w:space="0" w:color="auto"/>
              <w:bottom w:val="nil"/>
              <w:right w:val="nil"/>
            </w:tcBorders>
            <w:shd w:val="clear" w:color="auto" w:fill="auto"/>
            <w:vAlign w:val="center"/>
            <w:hideMark/>
          </w:tcPr>
          <w:p w14:paraId="496B271E" w14:textId="77777777" w:rsidR="00F4354F" w:rsidRPr="00F4354F" w:rsidRDefault="00F4354F" w:rsidP="00F4354F">
            <w:pPr>
              <w:spacing w:after="0" w:line="240" w:lineRule="auto"/>
              <w:jc w:val="right"/>
              <w:rPr>
                <w:rFonts w:cs="Arial"/>
                <w:sz w:val="16"/>
                <w:szCs w:val="16"/>
              </w:rPr>
            </w:pPr>
            <w:r w:rsidRPr="00F4354F">
              <w:rPr>
                <w:rFonts w:cs="Arial"/>
                <w:sz w:val="16"/>
                <w:szCs w:val="16"/>
              </w:rPr>
              <w:t>1 168,1</w:t>
            </w:r>
          </w:p>
        </w:tc>
        <w:tc>
          <w:tcPr>
            <w:tcW w:w="760" w:type="dxa"/>
            <w:tcBorders>
              <w:top w:val="nil"/>
              <w:left w:val="nil"/>
              <w:bottom w:val="nil"/>
              <w:right w:val="nil"/>
            </w:tcBorders>
            <w:shd w:val="clear" w:color="auto" w:fill="auto"/>
            <w:vAlign w:val="center"/>
            <w:hideMark/>
          </w:tcPr>
          <w:p w14:paraId="2EC8858A" w14:textId="77777777" w:rsidR="00F4354F" w:rsidRPr="00F4354F" w:rsidRDefault="00F4354F" w:rsidP="00F4354F">
            <w:pPr>
              <w:spacing w:after="0" w:line="240" w:lineRule="auto"/>
              <w:jc w:val="right"/>
              <w:rPr>
                <w:rFonts w:cs="Arial"/>
                <w:sz w:val="16"/>
                <w:szCs w:val="16"/>
              </w:rPr>
            </w:pPr>
            <w:r w:rsidRPr="00F4354F">
              <w:rPr>
                <w:rFonts w:cs="Arial"/>
                <w:sz w:val="16"/>
                <w:szCs w:val="16"/>
              </w:rPr>
              <w:t>528,7</w:t>
            </w:r>
          </w:p>
        </w:tc>
        <w:tc>
          <w:tcPr>
            <w:tcW w:w="760" w:type="dxa"/>
            <w:tcBorders>
              <w:top w:val="nil"/>
              <w:left w:val="nil"/>
              <w:bottom w:val="nil"/>
              <w:right w:val="single" w:sz="4" w:space="0" w:color="auto"/>
            </w:tcBorders>
            <w:shd w:val="clear" w:color="auto" w:fill="auto"/>
            <w:vAlign w:val="center"/>
            <w:hideMark/>
          </w:tcPr>
          <w:p w14:paraId="5DB7B83A" w14:textId="77777777" w:rsidR="00F4354F" w:rsidRPr="00F4354F" w:rsidRDefault="00F4354F" w:rsidP="00F4354F">
            <w:pPr>
              <w:spacing w:after="0" w:line="240" w:lineRule="auto"/>
              <w:jc w:val="right"/>
              <w:rPr>
                <w:rFonts w:cs="Arial"/>
                <w:sz w:val="16"/>
                <w:szCs w:val="16"/>
              </w:rPr>
            </w:pPr>
            <w:r w:rsidRPr="00F4354F">
              <w:rPr>
                <w:rFonts w:cs="Arial"/>
                <w:sz w:val="16"/>
                <w:szCs w:val="16"/>
              </w:rPr>
              <w:t>639,4</w:t>
            </w:r>
          </w:p>
        </w:tc>
        <w:tc>
          <w:tcPr>
            <w:tcW w:w="760" w:type="dxa"/>
            <w:tcBorders>
              <w:top w:val="nil"/>
              <w:left w:val="single" w:sz="4" w:space="0" w:color="auto"/>
              <w:bottom w:val="nil"/>
              <w:right w:val="nil"/>
            </w:tcBorders>
            <w:shd w:val="clear" w:color="auto" w:fill="auto"/>
            <w:vAlign w:val="center"/>
            <w:hideMark/>
          </w:tcPr>
          <w:p w14:paraId="6C2372A4" w14:textId="77777777" w:rsidR="00F4354F" w:rsidRPr="00F4354F" w:rsidRDefault="00F4354F" w:rsidP="00F4354F">
            <w:pPr>
              <w:spacing w:after="0" w:line="240" w:lineRule="auto"/>
              <w:jc w:val="right"/>
              <w:rPr>
                <w:rFonts w:cs="Arial"/>
                <w:sz w:val="16"/>
                <w:szCs w:val="16"/>
              </w:rPr>
            </w:pPr>
            <w:r w:rsidRPr="00F4354F">
              <w:rPr>
                <w:rFonts w:cs="Arial"/>
                <w:sz w:val="16"/>
                <w:szCs w:val="16"/>
              </w:rPr>
              <w:t>42,9</w:t>
            </w:r>
          </w:p>
        </w:tc>
        <w:tc>
          <w:tcPr>
            <w:tcW w:w="760" w:type="dxa"/>
            <w:tcBorders>
              <w:top w:val="nil"/>
              <w:left w:val="nil"/>
              <w:bottom w:val="nil"/>
              <w:right w:val="nil"/>
            </w:tcBorders>
            <w:shd w:val="clear" w:color="auto" w:fill="auto"/>
            <w:vAlign w:val="center"/>
            <w:hideMark/>
          </w:tcPr>
          <w:p w14:paraId="26F1FB29" w14:textId="77777777" w:rsidR="00F4354F" w:rsidRPr="00F4354F" w:rsidRDefault="00F4354F" w:rsidP="00F4354F">
            <w:pPr>
              <w:spacing w:after="0" w:line="240" w:lineRule="auto"/>
              <w:jc w:val="right"/>
              <w:rPr>
                <w:rFonts w:cs="Arial"/>
                <w:sz w:val="16"/>
                <w:szCs w:val="16"/>
              </w:rPr>
            </w:pPr>
            <w:r w:rsidRPr="00F4354F">
              <w:rPr>
                <w:rFonts w:cs="Arial"/>
                <w:sz w:val="16"/>
                <w:szCs w:val="16"/>
              </w:rPr>
              <w:t>30,4</w:t>
            </w:r>
          </w:p>
        </w:tc>
        <w:tc>
          <w:tcPr>
            <w:tcW w:w="760" w:type="dxa"/>
            <w:tcBorders>
              <w:top w:val="nil"/>
              <w:left w:val="nil"/>
              <w:bottom w:val="nil"/>
              <w:right w:val="single" w:sz="4" w:space="0" w:color="auto"/>
            </w:tcBorders>
            <w:shd w:val="clear" w:color="auto" w:fill="auto"/>
            <w:vAlign w:val="center"/>
            <w:hideMark/>
          </w:tcPr>
          <w:p w14:paraId="2C3D17DB" w14:textId="77777777" w:rsidR="00F4354F" w:rsidRPr="00F4354F" w:rsidRDefault="00F4354F" w:rsidP="00F4354F">
            <w:pPr>
              <w:spacing w:after="0" w:line="240" w:lineRule="auto"/>
              <w:jc w:val="right"/>
              <w:rPr>
                <w:rFonts w:cs="Arial"/>
                <w:sz w:val="16"/>
                <w:szCs w:val="16"/>
              </w:rPr>
            </w:pPr>
            <w:r w:rsidRPr="00F4354F">
              <w:rPr>
                <w:rFonts w:cs="Arial"/>
                <w:sz w:val="16"/>
                <w:szCs w:val="16"/>
              </w:rPr>
              <w:t>12,5</w:t>
            </w:r>
          </w:p>
        </w:tc>
        <w:tc>
          <w:tcPr>
            <w:tcW w:w="760" w:type="dxa"/>
            <w:tcBorders>
              <w:top w:val="nil"/>
              <w:left w:val="single" w:sz="4" w:space="0" w:color="auto"/>
              <w:bottom w:val="nil"/>
              <w:right w:val="nil"/>
            </w:tcBorders>
            <w:shd w:val="clear" w:color="auto" w:fill="auto"/>
            <w:vAlign w:val="center"/>
            <w:hideMark/>
          </w:tcPr>
          <w:p w14:paraId="3EC8FCBB" w14:textId="77777777" w:rsidR="00F4354F" w:rsidRPr="00F4354F" w:rsidRDefault="00F4354F" w:rsidP="00F4354F">
            <w:pPr>
              <w:spacing w:after="0" w:line="240" w:lineRule="auto"/>
              <w:jc w:val="right"/>
              <w:rPr>
                <w:rFonts w:cs="Arial"/>
                <w:sz w:val="16"/>
                <w:szCs w:val="16"/>
              </w:rPr>
            </w:pPr>
            <w:r w:rsidRPr="00F4354F">
              <w:rPr>
                <w:rFonts w:cs="Arial"/>
                <w:sz w:val="16"/>
                <w:szCs w:val="16"/>
              </w:rPr>
              <w:t>120,5</w:t>
            </w:r>
          </w:p>
        </w:tc>
        <w:tc>
          <w:tcPr>
            <w:tcW w:w="760" w:type="dxa"/>
            <w:tcBorders>
              <w:top w:val="nil"/>
              <w:left w:val="nil"/>
              <w:bottom w:val="nil"/>
              <w:right w:val="nil"/>
            </w:tcBorders>
            <w:shd w:val="clear" w:color="auto" w:fill="auto"/>
            <w:vAlign w:val="center"/>
            <w:hideMark/>
          </w:tcPr>
          <w:p w14:paraId="3F947969" w14:textId="77777777" w:rsidR="00F4354F" w:rsidRPr="00F4354F" w:rsidRDefault="00F4354F" w:rsidP="00F4354F">
            <w:pPr>
              <w:spacing w:after="0" w:line="240" w:lineRule="auto"/>
              <w:jc w:val="right"/>
              <w:rPr>
                <w:rFonts w:cs="Arial"/>
                <w:sz w:val="16"/>
                <w:szCs w:val="16"/>
              </w:rPr>
            </w:pPr>
            <w:r w:rsidRPr="00F4354F">
              <w:rPr>
                <w:rFonts w:cs="Arial"/>
                <w:sz w:val="16"/>
                <w:szCs w:val="16"/>
              </w:rPr>
              <w:t>79,1</w:t>
            </w:r>
          </w:p>
        </w:tc>
        <w:tc>
          <w:tcPr>
            <w:tcW w:w="760" w:type="dxa"/>
            <w:tcBorders>
              <w:top w:val="nil"/>
              <w:left w:val="nil"/>
              <w:bottom w:val="nil"/>
              <w:right w:val="nil"/>
            </w:tcBorders>
            <w:shd w:val="clear" w:color="auto" w:fill="auto"/>
            <w:vAlign w:val="center"/>
            <w:hideMark/>
          </w:tcPr>
          <w:p w14:paraId="3E028511" w14:textId="77777777" w:rsidR="00F4354F" w:rsidRPr="00F4354F" w:rsidRDefault="00F4354F" w:rsidP="00F4354F">
            <w:pPr>
              <w:spacing w:after="0" w:line="240" w:lineRule="auto"/>
              <w:jc w:val="right"/>
              <w:rPr>
                <w:rFonts w:cs="Arial"/>
                <w:sz w:val="16"/>
                <w:szCs w:val="16"/>
              </w:rPr>
            </w:pPr>
            <w:r w:rsidRPr="00F4354F">
              <w:rPr>
                <w:rFonts w:cs="Arial"/>
                <w:sz w:val="16"/>
                <w:szCs w:val="16"/>
              </w:rPr>
              <w:t>41,4</w:t>
            </w:r>
          </w:p>
        </w:tc>
      </w:tr>
      <w:tr w:rsidR="00F4354F" w:rsidRPr="00F4354F" w14:paraId="4C8227CA"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7CB90B5E"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2014</w:t>
            </w:r>
          </w:p>
        </w:tc>
        <w:tc>
          <w:tcPr>
            <w:tcW w:w="760" w:type="dxa"/>
            <w:tcBorders>
              <w:top w:val="nil"/>
              <w:left w:val="nil"/>
              <w:bottom w:val="nil"/>
              <w:right w:val="nil"/>
            </w:tcBorders>
            <w:shd w:val="clear" w:color="auto" w:fill="auto"/>
            <w:vAlign w:val="center"/>
            <w:hideMark/>
          </w:tcPr>
          <w:p w14:paraId="61F61281" w14:textId="77777777" w:rsidR="00F4354F" w:rsidRPr="00F4354F" w:rsidRDefault="00F4354F" w:rsidP="00F4354F">
            <w:pPr>
              <w:spacing w:after="0" w:line="240" w:lineRule="auto"/>
              <w:jc w:val="right"/>
              <w:rPr>
                <w:rFonts w:cs="Arial"/>
                <w:sz w:val="16"/>
                <w:szCs w:val="16"/>
              </w:rPr>
            </w:pPr>
            <w:r w:rsidRPr="00F4354F">
              <w:rPr>
                <w:rFonts w:cs="Arial"/>
                <w:sz w:val="16"/>
                <w:szCs w:val="16"/>
              </w:rPr>
              <w:t>1 314,8</w:t>
            </w:r>
          </w:p>
        </w:tc>
        <w:tc>
          <w:tcPr>
            <w:tcW w:w="760" w:type="dxa"/>
            <w:tcBorders>
              <w:top w:val="nil"/>
              <w:left w:val="nil"/>
              <w:bottom w:val="nil"/>
              <w:right w:val="nil"/>
            </w:tcBorders>
            <w:shd w:val="clear" w:color="auto" w:fill="auto"/>
            <w:vAlign w:val="center"/>
            <w:hideMark/>
          </w:tcPr>
          <w:p w14:paraId="3830CB49" w14:textId="77777777" w:rsidR="00F4354F" w:rsidRPr="00F4354F" w:rsidRDefault="00F4354F" w:rsidP="00F4354F">
            <w:pPr>
              <w:spacing w:after="0" w:line="240" w:lineRule="auto"/>
              <w:jc w:val="right"/>
              <w:rPr>
                <w:rFonts w:cs="Arial"/>
                <w:sz w:val="16"/>
                <w:szCs w:val="16"/>
              </w:rPr>
            </w:pPr>
            <w:r w:rsidRPr="00F4354F">
              <w:rPr>
                <w:rFonts w:cs="Arial"/>
                <w:sz w:val="16"/>
                <w:szCs w:val="16"/>
              </w:rPr>
              <w:t>631,7</w:t>
            </w:r>
          </w:p>
        </w:tc>
        <w:tc>
          <w:tcPr>
            <w:tcW w:w="760" w:type="dxa"/>
            <w:tcBorders>
              <w:top w:val="nil"/>
              <w:left w:val="nil"/>
              <w:bottom w:val="nil"/>
              <w:right w:val="single" w:sz="4" w:space="0" w:color="auto"/>
            </w:tcBorders>
            <w:shd w:val="clear" w:color="auto" w:fill="auto"/>
            <w:vAlign w:val="center"/>
            <w:hideMark/>
          </w:tcPr>
          <w:p w14:paraId="42F382FD" w14:textId="77777777" w:rsidR="00F4354F" w:rsidRPr="00F4354F" w:rsidRDefault="00F4354F" w:rsidP="00F4354F">
            <w:pPr>
              <w:spacing w:after="0" w:line="240" w:lineRule="auto"/>
              <w:jc w:val="right"/>
              <w:rPr>
                <w:rFonts w:cs="Arial"/>
                <w:sz w:val="16"/>
                <w:szCs w:val="16"/>
              </w:rPr>
            </w:pPr>
            <w:r w:rsidRPr="00F4354F">
              <w:rPr>
                <w:rFonts w:cs="Arial"/>
                <w:sz w:val="16"/>
                <w:szCs w:val="16"/>
              </w:rPr>
              <w:t>683,1</w:t>
            </w:r>
          </w:p>
        </w:tc>
        <w:tc>
          <w:tcPr>
            <w:tcW w:w="760" w:type="dxa"/>
            <w:tcBorders>
              <w:top w:val="nil"/>
              <w:left w:val="single" w:sz="4" w:space="0" w:color="auto"/>
              <w:bottom w:val="nil"/>
              <w:right w:val="nil"/>
            </w:tcBorders>
            <w:shd w:val="clear" w:color="auto" w:fill="auto"/>
            <w:vAlign w:val="center"/>
            <w:hideMark/>
          </w:tcPr>
          <w:p w14:paraId="12F50B17" w14:textId="77777777" w:rsidR="00F4354F" w:rsidRPr="00F4354F" w:rsidRDefault="00F4354F" w:rsidP="00F4354F">
            <w:pPr>
              <w:spacing w:after="0" w:line="240" w:lineRule="auto"/>
              <w:jc w:val="right"/>
              <w:rPr>
                <w:rFonts w:cs="Arial"/>
                <w:sz w:val="16"/>
                <w:szCs w:val="16"/>
              </w:rPr>
            </w:pPr>
            <w:r w:rsidRPr="00F4354F">
              <w:rPr>
                <w:rFonts w:cs="Arial"/>
                <w:sz w:val="16"/>
                <w:szCs w:val="16"/>
              </w:rPr>
              <w:t>1 146,3</w:t>
            </w:r>
          </w:p>
        </w:tc>
        <w:tc>
          <w:tcPr>
            <w:tcW w:w="760" w:type="dxa"/>
            <w:tcBorders>
              <w:top w:val="nil"/>
              <w:left w:val="nil"/>
              <w:bottom w:val="nil"/>
              <w:right w:val="nil"/>
            </w:tcBorders>
            <w:shd w:val="clear" w:color="auto" w:fill="auto"/>
            <w:vAlign w:val="center"/>
            <w:hideMark/>
          </w:tcPr>
          <w:p w14:paraId="5DB72966" w14:textId="77777777" w:rsidR="00F4354F" w:rsidRPr="00F4354F" w:rsidRDefault="00F4354F" w:rsidP="00F4354F">
            <w:pPr>
              <w:spacing w:after="0" w:line="240" w:lineRule="auto"/>
              <w:jc w:val="right"/>
              <w:rPr>
                <w:rFonts w:cs="Arial"/>
                <w:sz w:val="16"/>
                <w:szCs w:val="16"/>
              </w:rPr>
            </w:pPr>
            <w:r w:rsidRPr="00F4354F">
              <w:rPr>
                <w:rFonts w:cs="Arial"/>
                <w:sz w:val="16"/>
                <w:szCs w:val="16"/>
              </w:rPr>
              <w:t>518,5</w:t>
            </w:r>
          </w:p>
        </w:tc>
        <w:tc>
          <w:tcPr>
            <w:tcW w:w="760" w:type="dxa"/>
            <w:tcBorders>
              <w:top w:val="nil"/>
              <w:left w:val="nil"/>
              <w:bottom w:val="nil"/>
              <w:right w:val="single" w:sz="4" w:space="0" w:color="auto"/>
            </w:tcBorders>
            <w:shd w:val="clear" w:color="auto" w:fill="auto"/>
            <w:vAlign w:val="center"/>
            <w:hideMark/>
          </w:tcPr>
          <w:p w14:paraId="56BC2929" w14:textId="77777777" w:rsidR="00F4354F" w:rsidRPr="00F4354F" w:rsidRDefault="00F4354F" w:rsidP="00F4354F">
            <w:pPr>
              <w:spacing w:after="0" w:line="240" w:lineRule="auto"/>
              <w:jc w:val="right"/>
              <w:rPr>
                <w:rFonts w:cs="Arial"/>
                <w:sz w:val="16"/>
                <w:szCs w:val="16"/>
              </w:rPr>
            </w:pPr>
            <w:r w:rsidRPr="00F4354F">
              <w:rPr>
                <w:rFonts w:cs="Arial"/>
                <w:sz w:val="16"/>
                <w:szCs w:val="16"/>
              </w:rPr>
              <w:t>627,8</w:t>
            </w:r>
          </w:p>
        </w:tc>
        <w:tc>
          <w:tcPr>
            <w:tcW w:w="760" w:type="dxa"/>
            <w:tcBorders>
              <w:top w:val="nil"/>
              <w:left w:val="single" w:sz="4" w:space="0" w:color="auto"/>
              <w:bottom w:val="nil"/>
              <w:right w:val="nil"/>
            </w:tcBorders>
            <w:shd w:val="clear" w:color="auto" w:fill="auto"/>
            <w:vAlign w:val="center"/>
            <w:hideMark/>
          </w:tcPr>
          <w:p w14:paraId="0B83F472" w14:textId="77777777" w:rsidR="00F4354F" w:rsidRPr="00F4354F" w:rsidRDefault="00F4354F" w:rsidP="00F4354F">
            <w:pPr>
              <w:spacing w:after="0" w:line="240" w:lineRule="auto"/>
              <w:jc w:val="right"/>
              <w:rPr>
                <w:rFonts w:cs="Arial"/>
                <w:sz w:val="16"/>
                <w:szCs w:val="16"/>
              </w:rPr>
            </w:pPr>
            <w:r w:rsidRPr="00F4354F">
              <w:rPr>
                <w:rFonts w:cs="Arial"/>
                <w:sz w:val="16"/>
                <w:szCs w:val="16"/>
              </w:rPr>
              <w:t>45,1</w:t>
            </w:r>
          </w:p>
        </w:tc>
        <w:tc>
          <w:tcPr>
            <w:tcW w:w="760" w:type="dxa"/>
            <w:tcBorders>
              <w:top w:val="nil"/>
              <w:left w:val="nil"/>
              <w:bottom w:val="nil"/>
              <w:right w:val="nil"/>
            </w:tcBorders>
            <w:shd w:val="clear" w:color="auto" w:fill="auto"/>
            <w:vAlign w:val="center"/>
            <w:hideMark/>
          </w:tcPr>
          <w:p w14:paraId="60457821" w14:textId="77777777" w:rsidR="00F4354F" w:rsidRPr="00F4354F" w:rsidRDefault="00F4354F" w:rsidP="00F4354F">
            <w:pPr>
              <w:spacing w:after="0" w:line="240" w:lineRule="auto"/>
              <w:jc w:val="right"/>
              <w:rPr>
                <w:rFonts w:cs="Arial"/>
                <w:sz w:val="16"/>
                <w:szCs w:val="16"/>
              </w:rPr>
            </w:pPr>
            <w:r w:rsidRPr="00F4354F">
              <w:rPr>
                <w:rFonts w:cs="Arial"/>
                <w:sz w:val="16"/>
                <w:szCs w:val="16"/>
              </w:rPr>
              <w:t>31,7</w:t>
            </w:r>
          </w:p>
        </w:tc>
        <w:tc>
          <w:tcPr>
            <w:tcW w:w="760" w:type="dxa"/>
            <w:tcBorders>
              <w:top w:val="nil"/>
              <w:left w:val="nil"/>
              <w:bottom w:val="nil"/>
              <w:right w:val="single" w:sz="4" w:space="0" w:color="auto"/>
            </w:tcBorders>
            <w:shd w:val="clear" w:color="auto" w:fill="auto"/>
            <w:vAlign w:val="center"/>
            <w:hideMark/>
          </w:tcPr>
          <w:p w14:paraId="641E6519" w14:textId="77777777" w:rsidR="00F4354F" w:rsidRPr="00F4354F" w:rsidRDefault="00F4354F" w:rsidP="00F4354F">
            <w:pPr>
              <w:spacing w:after="0" w:line="240" w:lineRule="auto"/>
              <w:jc w:val="right"/>
              <w:rPr>
                <w:rFonts w:cs="Arial"/>
                <w:sz w:val="16"/>
                <w:szCs w:val="16"/>
              </w:rPr>
            </w:pPr>
            <w:r w:rsidRPr="00F4354F">
              <w:rPr>
                <w:rFonts w:cs="Arial"/>
                <w:sz w:val="16"/>
                <w:szCs w:val="16"/>
              </w:rPr>
              <w:t>13,3</w:t>
            </w:r>
          </w:p>
        </w:tc>
        <w:tc>
          <w:tcPr>
            <w:tcW w:w="760" w:type="dxa"/>
            <w:tcBorders>
              <w:top w:val="nil"/>
              <w:left w:val="single" w:sz="4" w:space="0" w:color="auto"/>
              <w:bottom w:val="nil"/>
              <w:right w:val="nil"/>
            </w:tcBorders>
            <w:shd w:val="clear" w:color="auto" w:fill="auto"/>
            <w:vAlign w:val="center"/>
            <w:hideMark/>
          </w:tcPr>
          <w:p w14:paraId="7D196B7C" w14:textId="77777777" w:rsidR="00F4354F" w:rsidRPr="00F4354F" w:rsidRDefault="00F4354F" w:rsidP="00F4354F">
            <w:pPr>
              <w:spacing w:after="0" w:line="240" w:lineRule="auto"/>
              <w:jc w:val="right"/>
              <w:rPr>
                <w:rFonts w:cs="Arial"/>
                <w:sz w:val="16"/>
                <w:szCs w:val="16"/>
              </w:rPr>
            </w:pPr>
            <w:r w:rsidRPr="00F4354F">
              <w:rPr>
                <w:rFonts w:cs="Arial"/>
                <w:sz w:val="16"/>
                <w:szCs w:val="16"/>
              </w:rPr>
              <w:t>123,4</w:t>
            </w:r>
          </w:p>
        </w:tc>
        <w:tc>
          <w:tcPr>
            <w:tcW w:w="760" w:type="dxa"/>
            <w:tcBorders>
              <w:top w:val="nil"/>
              <w:left w:val="nil"/>
              <w:bottom w:val="nil"/>
              <w:right w:val="nil"/>
            </w:tcBorders>
            <w:shd w:val="clear" w:color="auto" w:fill="auto"/>
            <w:vAlign w:val="center"/>
            <w:hideMark/>
          </w:tcPr>
          <w:p w14:paraId="533D7A78" w14:textId="77777777" w:rsidR="00F4354F" w:rsidRPr="00F4354F" w:rsidRDefault="00F4354F" w:rsidP="00F4354F">
            <w:pPr>
              <w:spacing w:after="0" w:line="240" w:lineRule="auto"/>
              <w:jc w:val="right"/>
              <w:rPr>
                <w:rFonts w:cs="Arial"/>
                <w:sz w:val="16"/>
                <w:szCs w:val="16"/>
              </w:rPr>
            </w:pPr>
            <w:r w:rsidRPr="00F4354F">
              <w:rPr>
                <w:rFonts w:cs="Arial"/>
                <w:sz w:val="16"/>
                <w:szCs w:val="16"/>
              </w:rPr>
              <w:t>81,5</w:t>
            </w:r>
          </w:p>
        </w:tc>
        <w:tc>
          <w:tcPr>
            <w:tcW w:w="760" w:type="dxa"/>
            <w:tcBorders>
              <w:top w:val="nil"/>
              <w:left w:val="nil"/>
              <w:bottom w:val="nil"/>
              <w:right w:val="nil"/>
            </w:tcBorders>
            <w:shd w:val="clear" w:color="auto" w:fill="auto"/>
            <w:vAlign w:val="center"/>
            <w:hideMark/>
          </w:tcPr>
          <w:p w14:paraId="78902256" w14:textId="77777777" w:rsidR="00F4354F" w:rsidRPr="00F4354F" w:rsidRDefault="00F4354F" w:rsidP="00F4354F">
            <w:pPr>
              <w:spacing w:after="0" w:line="240" w:lineRule="auto"/>
              <w:jc w:val="right"/>
              <w:rPr>
                <w:rFonts w:cs="Arial"/>
                <w:sz w:val="16"/>
                <w:szCs w:val="16"/>
              </w:rPr>
            </w:pPr>
            <w:r w:rsidRPr="00F4354F">
              <w:rPr>
                <w:rFonts w:cs="Arial"/>
                <w:sz w:val="16"/>
                <w:szCs w:val="16"/>
              </w:rPr>
              <w:t>42,0</w:t>
            </w:r>
          </w:p>
        </w:tc>
      </w:tr>
      <w:tr w:rsidR="00F4354F" w:rsidRPr="00F4354F" w14:paraId="38E0FCE2"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383D559D"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2015</w:t>
            </w:r>
          </w:p>
        </w:tc>
        <w:tc>
          <w:tcPr>
            <w:tcW w:w="760" w:type="dxa"/>
            <w:tcBorders>
              <w:top w:val="nil"/>
              <w:left w:val="nil"/>
              <w:bottom w:val="nil"/>
              <w:right w:val="nil"/>
            </w:tcBorders>
            <w:shd w:val="clear" w:color="auto" w:fill="auto"/>
            <w:vAlign w:val="center"/>
            <w:hideMark/>
          </w:tcPr>
          <w:p w14:paraId="240A2AB9" w14:textId="77777777" w:rsidR="00F4354F" w:rsidRPr="00F4354F" w:rsidRDefault="00F4354F" w:rsidP="00F4354F">
            <w:pPr>
              <w:spacing w:after="0" w:line="240" w:lineRule="auto"/>
              <w:jc w:val="right"/>
              <w:rPr>
                <w:rFonts w:cs="Arial"/>
                <w:sz w:val="16"/>
                <w:szCs w:val="16"/>
              </w:rPr>
            </w:pPr>
            <w:r w:rsidRPr="00F4354F">
              <w:rPr>
                <w:rFonts w:cs="Arial"/>
                <w:sz w:val="16"/>
                <w:szCs w:val="16"/>
              </w:rPr>
              <w:t>1 563,5</w:t>
            </w:r>
          </w:p>
        </w:tc>
        <w:tc>
          <w:tcPr>
            <w:tcW w:w="760" w:type="dxa"/>
            <w:tcBorders>
              <w:top w:val="nil"/>
              <w:left w:val="nil"/>
              <w:bottom w:val="nil"/>
              <w:right w:val="nil"/>
            </w:tcBorders>
            <w:shd w:val="clear" w:color="auto" w:fill="auto"/>
            <w:vAlign w:val="center"/>
            <w:hideMark/>
          </w:tcPr>
          <w:p w14:paraId="3515C802" w14:textId="77777777" w:rsidR="00F4354F" w:rsidRPr="00F4354F" w:rsidRDefault="00F4354F" w:rsidP="00F4354F">
            <w:pPr>
              <w:spacing w:after="0" w:line="240" w:lineRule="auto"/>
              <w:jc w:val="right"/>
              <w:rPr>
                <w:rFonts w:cs="Arial"/>
                <w:sz w:val="16"/>
                <w:szCs w:val="16"/>
              </w:rPr>
            </w:pPr>
            <w:r w:rsidRPr="00F4354F">
              <w:rPr>
                <w:rFonts w:cs="Arial"/>
                <w:sz w:val="16"/>
                <w:szCs w:val="16"/>
              </w:rPr>
              <w:t>751,8</w:t>
            </w:r>
          </w:p>
        </w:tc>
        <w:tc>
          <w:tcPr>
            <w:tcW w:w="760" w:type="dxa"/>
            <w:tcBorders>
              <w:top w:val="nil"/>
              <w:left w:val="nil"/>
              <w:bottom w:val="nil"/>
              <w:right w:val="single" w:sz="4" w:space="0" w:color="auto"/>
            </w:tcBorders>
            <w:shd w:val="clear" w:color="auto" w:fill="auto"/>
            <w:vAlign w:val="center"/>
            <w:hideMark/>
          </w:tcPr>
          <w:p w14:paraId="1FA6D589" w14:textId="77777777" w:rsidR="00F4354F" w:rsidRPr="00F4354F" w:rsidRDefault="00F4354F" w:rsidP="00F4354F">
            <w:pPr>
              <w:spacing w:after="0" w:line="240" w:lineRule="auto"/>
              <w:jc w:val="right"/>
              <w:rPr>
                <w:rFonts w:cs="Arial"/>
                <w:sz w:val="16"/>
                <w:szCs w:val="16"/>
              </w:rPr>
            </w:pPr>
            <w:r w:rsidRPr="00F4354F">
              <w:rPr>
                <w:rFonts w:cs="Arial"/>
                <w:sz w:val="16"/>
                <w:szCs w:val="16"/>
              </w:rPr>
              <w:t>811,7</w:t>
            </w:r>
          </w:p>
        </w:tc>
        <w:tc>
          <w:tcPr>
            <w:tcW w:w="760" w:type="dxa"/>
            <w:tcBorders>
              <w:top w:val="nil"/>
              <w:left w:val="single" w:sz="4" w:space="0" w:color="auto"/>
              <w:bottom w:val="nil"/>
              <w:right w:val="nil"/>
            </w:tcBorders>
            <w:shd w:val="clear" w:color="auto" w:fill="auto"/>
            <w:vAlign w:val="center"/>
            <w:hideMark/>
          </w:tcPr>
          <w:p w14:paraId="5E5AB652" w14:textId="77777777" w:rsidR="00F4354F" w:rsidRPr="00F4354F" w:rsidRDefault="00F4354F" w:rsidP="00F4354F">
            <w:pPr>
              <w:spacing w:after="0" w:line="240" w:lineRule="auto"/>
              <w:jc w:val="right"/>
              <w:rPr>
                <w:rFonts w:cs="Arial"/>
                <w:sz w:val="16"/>
                <w:szCs w:val="16"/>
              </w:rPr>
            </w:pPr>
            <w:r w:rsidRPr="00F4354F">
              <w:rPr>
                <w:rFonts w:cs="Arial"/>
                <w:sz w:val="16"/>
                <w:szCs w:val="16"/>
              </w:rPr>
              <w:t>1 383,9</w:t>
            </w:r>
          </w:p>
        </w:tc>
        <w:tc>
          <w:tcPr>
            <w:tcW w:w="760" w:type="dxa"/>
            <w:tcBorders>
              <w:top w:val="nil"/>
              <w:left w:val="nil"/>
              <w:bottom w:val="nil"/>
              <w:right w:val="nil"/>
            </w:tcBorders>
            <w:shd w:val="clear" w:color="auto" w:fill="auto"/>
            <w:vAlign w:val="center"/>
            <w:hideMark/>
          </w:tcPr>
          <w:p w14:paraId="5911418D" w14:textId="77777777" w:rsidR="00F4354F" w:rsidRPr="00F4354F" w:rsidRDefault="00F4354F" w:rsidP="00F4354F">
            <w:pPr>
              <w:spacing w:after="0" w:line="240" w:lineRule="auto"/>
              <w:jc w:val="right"/>
              <w:rPr>
                <w:rFonts w:cs="Arial"/>
                <w:sz w:val="16"/>
                <w:szCs w:val="16"/>
              </w:rPr>
            </w:pPr>
            <w:r w:rsidRPr="00F4354F">
              <w:rPr>
                <w:rFonts w:cs="Arial"/>
                <w:sz w:val="16"/>
                <w:szCs w:val="16"/>
              </w:rPr>
              <w:t>632,6</w:t>
            </w:r>
          </w:p>
        </w:tc>
        <w:tc>
          <w:tcPr>
            <w:tcW w:w="760" w:type="dxa"/>
            <w:tcBorders>
              <w:top w:val="nil"/>
              <w:left w:val="nil"/>
              <w:bottom w:val="nil"/>
              <w:right w:val="single" w:sz="4" w:space="0" w:color="auto"/>
            </w:tcBorders>
            <w:shd w:val="clear" w:color="auto" w:fill="auto"/>
            <w:vAlign w:val="center"/>
            <w:hideMark/>
          </w:tcPr>
          <w:p w14:paraId="060CAF4B" w14:textId="77777777" w:rsidR="00F4354F" w:rsidRPr="00F4354F" w:rsidRDefault="00F4354F" w:rsidP="00F4354F">
            <w:pPr>
              <w:spacing w:after="0" w:line="240" w:lineRule="auto"/>
              <w:jc w:val="right"/>
              <w:rPr>
                <w:rFonts w:cs="Arial"/>
                <w:sz w:val="16"/>
                <w:szCs w:val="16"/>
              </w:rPr>
            </w:pPr>
            <w:r w:rsidRPr="00F4354F">
              <w:rPr>
                <w:rFonts w:cs="Arial"/>
                <w:sz w:val="16"/>
                <w:szCs w:val="16"/>
              </w:rPr>
              <w:t>751,3</w:t>
            </w:r>
          </w:p>
        </w:tc>
        <w:tc>
          <w:tcPr>
            <w:tcW w:w="760" w:type="dxa"/>
            <w:tcBorders>
              <w:top w:val="nil"/>
              <w:left w:val="single" w:sz="4" w:space="0" w:color="auto"/>
              <w:bottom w:val="nil"/>
              <w:right w:val="nil"/>
            </w:tcBorders>
            <w:shd w:val="clear" w:color="auto" w:fill="auto"/>
            <w:vAlign w:val="center"/>
            <w:hideMark/>
          </w:tcPr>
          <w:p w14:paraId="2FAD8765" w14:textId="77777777" w:rsidR="00F4354F" w:rsidRPr="00F4354F" w:rsidRDefault="00F4354F" w:rsidP="00F4354F">
            <w:pPr>
              <w:spacing w:after="0" w:line="240" w:lineRule="auto"/>
              <w:jc w:val="right"/>
              <w:rPr>
                <w:rFonts w:cs="Arial"/>
                <w:sz w:val="16"/>
                <w:szCs w:val="16"/>
              </w:rPr>
            </w:pPr>
            <w:r w:rsidRPr="00F4354F">
              <w:rPr>
                <w:rFonts w:cs="Arial"/>
                <w:sz w:val="16"/>
                <w:szCs w:val="16"/>
              </w:rPr>
              <w:t>46,3</w:t>
            </w:r>
          </w:p>
        </w:tc>
        <w:tc>
          <w:tcPr>
            <w:tcW w:w="760" w:type="dxa"/>
            <w:tcBorders>
              <w:top w:val="nil"/>
              <w:left w:val="nil"/>
              <w:bottom w:val="nil"/>
              <w:right w:val="nil"/>
            </w:tcBorders>
            <w:shd w:val="clear" w:color="auto" w:fill="auto"/>
            <w:vAlign w:val="center"/>
            <w:hideMark/>
          </w:tcPr>
          <w:p w14:paraId="2F2FFB8B" w14:textId="77777777" w:rsidR="00F4354F" w:rsidRPr="00F4354F" w:rsidRDefault="00F4354F" w:rsidP="00F4354F">
            <w:pPr>
              <w:spacing w:after="0" w:line="240" w:lineRule="auto"/>
              <w:jc w:val="right"/>
              <w:rPr>
                <w:rFonts w:cs="Arial"/>
                <w:sz w:val="16"/>
                <w:szCs w:val="16"/>
              </w:rPr>
            </w:pPr>
            <w:r w:rsidRPr="00F4354F">
              <w:rPr>
                <w:rFonts w:cs="Arial"/>
                <w:sz w:val="16"/>
                <w:szCs w:val="16"/>
              </w:rPr>
              <w:t>32,1</w:t>
            </w:r>
          </w:p>
        </w:tc>
        <w:tc>
          <w:tcPr>
            <w:tcW w:w="760" w:type="dxa"/>
            <w:tcBorders>
              <w:top w:val="nil"/>
              <w:left w:val="nil"/>
              <w:bottom w:val="nil"/>
              <w:right w:val="single" w:sz="4" w:space="0" w:color="auto"/>
            </w:tcBorders>
            <w:shd w:val="clear" w:color="auto" w:fill="auto"/>
            <w:vAlign w:val="center"/>
            <w:hideMark/>
          </w:tcPr>
          <w:p w14:paraId="5ED1D2C5" w14:textId="77777777" w:rsidR="00F4354F" w:rsidRPr="00F4354F" w:rsidRDefault="00F4354F" w:rsidP="00F4354F">
            <w:pPr>
              <w:spacing w:after="0" w:line="240" w:lineRule="auto"/>
              <w:jc w:val="right"/>
              <w:rPr>
                <w:rFonts w:cs="Arial"/>
                <w:sz w:val="16"/>
                <w:szCs w:val="16"/>
              </w:rPr>
            </w:pPr>
            <w:r w:rsidRPr="00F4354F">
              <w:rPr>
                <w:rFonts w:cs="Arial"/>
                <w:sz w:val="16"/>
                <w:szCs w:val="16"/>
              </w:rPr>
              <w:t>14,2</w:t>
            </w:r>
          </w:p>
        </w:tc>
        <w:tc>
          <w:tcPr>
            <w:tcW w:w="760" w:type="dxa"/>
            <w:tcBorders>
              <w:top w:val="nil"/>
              <w:left w:val="single" w:sz="4" w:space="0" w:color="auto"/>
              <w:bottom w:val="nil"/>
              <w:right w:val="nil"/>
            </w:tcBorders>
            <w:shd w:val="clear" w:color="auto" w:fill="auto"/>
            <w:vAlign w:val="center"/>
            <w:hideMark/>
          </w:tcPr>
          <w:p w14:paraId="328FB026" w14:textId="77777777" w:rsidR="00F4354F" w:rsidRPr="00F4354F" w:rsidRDefault="00F4354F" w:rsidP="00F4354F">
            <w:pPr>
              <w:spacing w:after="0" w:line="240" w:lineRule="auto"/>
              <w:jc w:val="right"/>
              <w:rPr>
                <w:rFonts w:cs="Arial"/>
                <w:sz w:val="16"/>
                <w:szCs w:val="16"/>
              </w:rPr>
            </w:pPr>
            <w:r w:rsidRPr="00F4354F">
              <w:rPr>
                <w:rFonts w:cs="Arial"/>
                <w:sz w:val="16"/>
                <w:szCs w:val="16"/>
              </w:rPr>
              <w:t>133,3</w:t>
            </w:r>
          </w:p>
        </w:tc>
        <w:tc>
          <w:tcPr>
            <w:tcW w:w="760" w:type="dxa"/>
            <w:tcBorders>
              <w:top w:val="nil"/>
              <w:left w:val="nil"/>
              <w:bottom w:val="nil"/>
              <w:right w:val="nil"/>
            </w:tcBorders>
            <w:shd w:val="clear" w:color="auto" w:fill="auto"/>
            <w:vAlign w:val="center"/>
            <w:hideMark/>
          </w:tcPr>
          <w:p w14:paraId="4D6580D0" w14:textId="77777777" w:rsidR="00F4354F" w:rsidRPr="00F4354F" w:rsidRDefault="00F4354F" w:rsidP="00F4354F">
            <w:pPr>
              <w:spacing w:after="0" w:line="240" w:lineRule="auto"/>
              <w:jc w:val="right"/>
              <w:rPr>
                <w:rFonts w:cs="Arial"/>
                <w:sz w:val="16"/>
                <w:szCs w:val="16"/>
              </w:rPr>
            </w:pPr>
            <w:r w:rsidRPr="00F4354F">
              <w:rPr>
                <w:rFonts w:cs="Arial"/>
                <w:sz w:val="16"/>
                <w:szCs w:val="16"/>
              </w:rPr>
              <w:t>87,0</w:t>
            </w:r>
          </w:p>
        </w:tc>
        <w:tc>
          <w:tcPr>
            <w:tcW w:w="760" w:type="dxa"/>
            <w:tcBorders>
              <w:top w:val="nil"/>
              <w:left w:val="nil"/>
              <w:bottom w:val="nil"/>
              <w:right w:val="nil"/>
            </w:tcBorders>
            <w:shd w:val="clear" w:color="auto" w:fill="auto"/>
            <w:vAlign w:val="center"/>
            <w:hideMark/>
          </w:tcPr>
          <w:p w14:paraId="4A0B91B1" w14:textId="77777777" w:rsidR="00F4354F" w:rsidRPr="00F4354F" w:rsidRDefault="00F4354F" w:rsidP="00F4354F">
            <w:pPr>
              <w:spacing w:after="0" w:line="240" w:lineRule="auto"/>
              <w:jc w:val="right"/>
              <w:rPr>
                <w:rFonts w:cs="Arial"/>
                <w:sz w:val="16"/>
                <w:szCs w:val="16"/>
              </w:rPr>
            </w:pPr>
            <w:r w:rsidRPr="00F4354F">
              <w:rPr>
                <w:rFonts w:cs="Arial"/>
                <w:sz w:val="16"/>
                <w:szCs w:val="16"/>
              </w:rPr>
              <w:t>46,2</w:t>
            </w:r>
          </w:p>
        </w:tc>
      </w:tr>
      <w:tr w:rsidR="00F4354F" w:rsidRPr="00F4354F" w14:paraId="60D147AF"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2A522BD1"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2016</w:t>
            </w:r>
          </w:p>
        </w:tc>
        <w:tc>
          <w:tcPr>
            <w:tcW w:w="760" w:type="dxa"/>
            <w:tcBorders>
              <w:top w:val="nil"/>
              <w:left w:val="nil"/>
              <w:bottom w:val="nil"/>
              <w:right w:val="nil"/>
            </w:tcBorders>
            <w:shd w:val="clear" w:color="auto" w:fill="auto"/>
            <w:vAlign w:val="center"/>
            <w:hideMark/>
          </w:tcPr>
          <w:p w14:paraId="2D67AFDE" w14:textId="77777777" w:rsidR="00F4354F" w:rsidRPr="00F4354F" w:rsidRDefault="00F4354F" w:rsidP="00F4354F">
            <w:pPr>
              <w:spacing w:after="0" w:line="240" w:lineRule="auto"/>
              <w:jc w:val="right"/>
              <w:rPr>
                <w:rFonts w:cs="Arial"/>
                <w:sz w:val="16"/>
                <w:szCs w:val="16"/>
              </w:rPr>
            </w:pPr>
            <w:r w:rsidRPr="00F4354F">
              <w:rPr>
                <w:rFonts w:cs="Arial"/>
                <w:sz w:val="16"/>
                <w:szCs w:val="16"/>
              </w:rPr>
              <w:t>1 633,3</w:t>
            </w:r>
          </w:p>
        </w:tc>
        <w:tc>
          <w:tcPr>
            <w:tcW w:w="760" w:type="dxa"/>
            <w:tcBorders>
              <w:top w:val="nil"/>
              <w:left w:val="nil"/>
              <w:bottom w:val="nil"/>
              <w:right w:val="nil"/>
            </w:tcBorders>
            <w:shd w:val="clear" w:color="auto" w:fill="auto"/>
            <w:vAlign w:val="center"/>
            <w:hideMark/>
          </w:tcPr>
          <w:p w14:paraId="7DD2A14D" w14:textId="77777777" w:rsidR="00F4354F" w:rsidRPr="00F4354F" w:rsidRDefault="00F4354F" w:rsidP="00F4354F">
            <w:pPr>
              <w:spacing w:after="0" w:line="240" w:lineRule="auto"/>
              <w:jc w:val="right"/>
              <w:rPr>
                <w:rFonts w:cs="Arial"/>
                <w:sz w:val="16"/>
                <w:szCs w:val="16"/>
              </w:rPr>
            </w:pPr>
            <w:r w:rsidRPr="00F4354F">
              <w:rPr>
                <w:rFonts w:cs="Arial"/>
                <w:sz w:val="16"/>
                <w:szCs w:val="16"/>
              </w:rPr>
              <w:t>784,1</w:t>
            </w:r>
          </w:p>
        </w:tc>
        <w:tc>
          <w:tcPr>
            <w:tcW w:w="760" w:type="dxa"/>
            <w:tcBorders>
              <w:top w:val="nil"/>
              <w:left w:val="nil"/>
              <w:bottom w:val="nil"/>
              <w:right w:val="single" w:sz="4" w:space="0" w:color="auto"/>
            </w:tcBorders>
            <w:shd w:val="clear" w:color="auto" w:fill="auto"/>
            <w:vAlign w:val="center"/>
            <w:hideMark/>
          </w:tcPr>
          <w:p w14:paraId="1482F605" w14:textId="77777777" w:rsidR="00F4354F" w:rsidRPr="00F4354F" w:rsidRDefault="00F4354F" w:rsidP="00F4354F">
            <w:pPr>
              <w:spacing w:after="0" w:line="240" w:lineRule="auto"/>
              <w:jc w:val="right"/>
              <w:rPr>
                <w:rFonts w:cs="Arial"/>
                <w:sz w:val="16"/>
                <w:szCs w:val="16"/>
              </w:rPr>
            </w:pPr>
            <w:r w:rsidRPr="00F4354F">
              <w:rPr>
                <w:rFonts w:cs="Arial"/>
                <w:sz w:val="16"/>
                <w:szCs w:val="16"/>
              </w:rPr>
              <w:t>849,3</w:t>
            </w:r>
          </w:p>
        </w:tc>
        <w:tc>
          <w:tcPr>
            <w:tcW w:w="760" w:type="dxa"/>
            <w:tcBorders>
              <w:top w:val="nil"/>
              <w:left w:val="single" w:sz="4" w:space="0" w:color="auto"/>
              <w:bottom w:val="nil"/>
              <w:right w:val="nil"/>
            </w:tcBorders>
            <w:shd w:val="clear" w:color="auto" w:fill="auto"/>
            <w:vAlign w:val="center"/>
            <w:hideMark/>
          </w:tcPr>
          <w:p w14:paraId="7F24D8C8" w14:textId="77777777" w:rsidR="00F4354F" w:rsidRPr="00F4354F" w:rsidRDefault="00F4354F" w:rsidP="00F4354F">
            <w:pPr>
              <w:spacing w:after="0" w:line="240" w:lineRule="auto"/>
              <w:jc w:val="right"/>
              <w:rPr>
                <w:rFonts w:cs="Arial"/>
                <w:sz w:val="16"/>
                <w:szCs w:val="16"/>
              </w:rPr>
            </w:pPr>
            <w:r w:rsidRPr="00F4354F">
              <w:rPr>
                <w:rFonts w:cs="Arial"/>
                <w:sz w:val="16"/>
                <w:szCs w:val="16"/>
              </w:rPr>
              <w:t>1 440,9</w:t>
            </w:r>
          </w:p>
        </w:tc>
        <w:tc>
          <w:tcPr>
            <w:tcW w:w="760" w:type="dxa"/>
            <w:tcBorders>
              <w:top w:val="nil"/>
              <w:left w:val="nil"/>
              <w:bottom w:val="nil"/>
              <w:right w:val="nil"/>
            </w:tcBorders>
            <w:shd w:val="clear" w:color="auto" w:fill="auto"/>
            <w:vAlign w:val="center"/>
            <w:hideMark/>
          </w:tcPr>
          <w:p w14:paraId="439D6EFC" w14:textId="77777777" w:rsidR="00F4354F" w:rsidRPr="00F4354F" w:rsidRDefault="00F4354F" w:rsidP="00F4354F">
            <w:pPr>
              <w:spacing w:after="0" w:line="240" w:lineRule="auto"/>
              <w:jc w:val="right"/>
              <w:rPr>
                <w:rFonts w:cs="Arial"/>
                <w:sz w:val="16"/>
                <w:szCs w:val="16"/>
              </w:rPr>
            </w:pPr>
            <w:r w:rsidRPr="00F4354F">
              <w:rPr>
                <w:rFonts w:cs="Arial"/>
                <w:sz w:val="16"/>
                <w:szCs w:val="16"/>
              </w:rPr>
              <w:t>658,2</w:t>
            </w:r>
          </w:p>
        </w:tc>
        <w:tc>
          <w:tcPr>
            <w:tcW w:w="760" w:type="dxa"/>
            <w:tcBorders>
              <w:top w:val="nil"/>
              <w:left w:val="nil"/>
              <w:bottom w:val="nil"/>
              <w:right w:val="single" w:sz="4" w:space="0" w:color="auto"/>
            </w:tcBorders>
            <w:shd w:val="clear" w:color="auto" w:fill="auto"/>
            <w:vAlign w:val="center"/>
            <w:hideMark/>
          </w:tcPr>
          <w:p w14:paraId="09B79CFB" w14:textId="77777777" w:rsidR="00F4354F" w:rsidRPr="00F4354F" w:rsidRDefault="00F4354F" w:rsidP="00F4354F">
            <w:pPr>
              <w:spacing w:after="0" w:line="240" w:lineRule="auto"/>
              <w:jc w:val="right"/>
              <w:rPr>
                <w:rFonts w:cs="Arial"/>
                <w:sz w:val="16"/>
                <w:szCs w:val="16"/>
              </w:rPr>
            </w:pPr>
            <w:r w:rsidRPr="00F4354F">
              <w:rPr>
                <w:rFonts w:cs="Arial"/>
                <w:sz w:val="16"/>
                <w:szCs w:val="16"/>
              </w:rPr>
              <w:t>782,7</w:t>
            </w:r>
          </w:p>
        </w:tc>
        <w:tc>
          <w:tcPr>
            <w:tcW w:w="760" w:type="dxa"/>
            <w:tcBorders>
              <w:top w:val="nil"/>
              <w:left w:val="single" w:sz="4" w:space="0" w:color="auto"/>
              <w:bottom w:val="nil"/>
              <w:right w:val="nil"/>
            </w:tcBorders>
            <w:shd w:val="clear" w:color="auto" w:fill="auto"/>
            <w:vAlign w:val="center"/>
            <w:hideMark/>
          </w:tcPr>
          <w:p w14:paraId="640DFE15" w14:textId="77777777" w:rsidR="00F4354F" w:rsidRPr="00F4354F" w:rsidRDefault="00F4354F" w:rsidP="00F4354F">
            <w:pPr>
              <w:spacing w:after="0" w:line="240" w:lineRule="auto"/>
              <w:jc w:val="right"/>
              <w:rPr>
                <w:rFonts w:cs="Arial"/>
                <w:sz w:val="16"/>
                <w:szCs w:val="16"/>
              </w:rPr>
            </w:pPr>
            <w:r w:rsidRPr="00F4354F">
              <w:rPr>
                <w:rFonts w:cs="Arial"/>
                <w:sz w:val="16"/>
                <w:szCs w:val="16"/>
              </w:rPr>
              <w:t>47,4</w:t>
            </w:r>
          </w:p>
        </w:tc>
        <w:tc>
          <w:tcPr>
            <w:tcW w:w="760" w:type="dxa"/>
            <w:tcBorders>
              <w:top w:val="nil"/>
              <w:left w:val="nil"/>
              <w:bottom w:val="nil"/>
              <w:right w:val="nil"/>
            </w:tcBorders>
            <w:shd w:val="clear" w:color="auto" w:fill="auto"/>
            <w:vAlign w:val="center"/>
            <w:hideMark/>
          </w:tcPr>
          <w:p w14:paraId="07D94E9D" w14:textId="77777777" w:rsidR="00F4354F" w:rsidRPr="00F4354F" w:rsidRDefault="00F4354F" w:rsidP="00F4354F">
            <w:pPr>
              <w:spacing w:after="0" w:line="240" w:lineRule="auto"/>
              <w:jc w:val="right"/>
              <w:rPr>
                <w:rFonts w:cs="Arial"/>
                <w:sz w:val="16"/>
                <w:szCs w:val="16"/>
              </w:rPr>
            </w:pPr>
            <w:r w:rsidRPr="00F4354F">
              <w:rPr>
                <w:rFonts w:cs="Arial"/>
                <w:sz w:val="16"/>
                <w:szCs w:val="16"/>
              </w:rPr>
              <w:t>32,6</w:t>
            </w:r>
          </w:p>
        </w:tc>
        <w:tc>
          <w:tcPr>
            <w:tcW w:w="760" w:type="dxa"/>
            <w:tcBorders>
              <w:top w:val="nil"/>
              <w:left w:val="nil"/>
              <w:bottom w:val="nil"/>
              <w:right w:val="single" w:sz="4" w:space="0" w:color="auto"/>
            </w:tcBorders>
            <w:shd w:val="clear" w:color="auto" w:fill="auto"/>
            <w:vAlign w:val="center"/>
            <w:hideMark/>
          </w:tcPr>
          <w:p w14:paraId="36A98E7D" w14:textId="77777777" w:rsidR="00F4354F" w:rsidRPr="00F4354F" w:rsidRDefault="00F4354F" w:rsidP="00F4354F">
            <w:pPr>
              <w:spacing w:after="0" w:line="240" w:lineRule="auto"/>
              <w:jc w:val="right"/>
              <w:rPr>
                <w:rFonts w:cs="Arial"/>
                <w:sz w:val="16"/>
                <w:szCs w:val="16"/>
              </w:rPr>
            </w:pPr>
            <w:r w:rsidRPr="00F4354F">
              <w:rPr>
                <w:rFonts w:cs="Arial"/>
                <w:sz w:val="16"/>
                <w:szCs w:val="16"/>
              </w:rPr>
              <w:t>14,8</w:t>
            </w:r>
          </w:p>
        </w:tc>
        <w:tc>
          <w:tcPr>
            <w:tcW w:w="760" w:type="dxa"/>
            <w:tcBorders>
              <w:top w:val="nil"/>
              <w:left w:val="single" w:sz="4" w:space="0" w:color="auto"/>
              <w:bottom w:val="nil"/>
              <w:right w:val="nil"/>
            </w:tcBorders>
            <w:shd w:val="clear" w:color="auto" w:fill="auto"/>
            <w:vAlign w:val="center"/>
            <w:hideMark/>
          </w:tcPr>
          <w:p w14:paraId="21CC26C1" w14:textId="77777777" w:rsidR="00F4354F" w:rsidRPr="00F4354F" w:rsidRDefault="00F4354F" w:rsidP="00F4354F">
            <w:pPr>
              <w:spacing w:after="0" w:line="240" w:lineRule="auto"/>
              <w:jc w:val="right"/>
              <w:rPr>
                <w:rFonts w:cs="Arial"/>
                <w:sz w:val="16"/>
                <w:szCs w:val="16"/>
              </w:rPr>
            </w:pPr>
            <w:r w:rsidRPr="00F4354F">
              <w:rPr>
                <w:rFonts w:cs="Arial"/>
                <w:sz w:val="16"/>
                <w:szCs w:val="16"/>
              </w:rPr>
              <w:t>145,0</w:t>
            </w:r>
          </w:p>
        </w:tc>
        <w:tc>
          <w:tcPr>
            <w:tcW w:w="760" w:type="dxa"/>
            <w:tcBorders>
              <w:top w:val="nil"/>
              <w:left w:val="nil"/>
              <w:bottom w:val="nil"/>
              <w:right w:val="nil"/>
            </w:tcBorders>
            <w:shd w:val="clear" w:color="auto" w:fill="auto"/>
            <w:vAlign w:val="center"/>
            <w:hideMark/>
          </w:tcPr>
          <w:p w14:paraId="2FF78FAF" w14:textId="77777777" w:rsidR="00F4354F" w:rsidRPr="00F4354F" w:rsidRDefault="00F4354F" w:rsidP="00F4354F">
            <w:pPr>
              <w:spacing w:after="0" w:line="240" w:lineRule="auto"/>
              <w:jc w:val="right"/>
              <w:rPr>
                <w:rFonts w:cs="Arial"/>
                <w:sz w:val="16"/>
                <w:szCs w:val="16"/>
              </w:rPr>
            </w:pPr>
            <w:r w:rsidRPr="00F4354F">
              <w:rPr>
                <w:rFonts w:cs="Arial"/>
                <w:sz w:val="16"/>
                <w:szCs w:val="16"/>
              </w:rPr>
              <w:t>93,2</w:t>
            </w:r>
          </w:p>
        </w:tc>
        <w:tc>
          <w:tcPr>
            <w:tcW w:w="760" w:type="dxa"/>
            <w:tcBorders>
              <w:top w:val="nil"/>
              <w:left w:val="nil"/>
              <w:bottom w:val="nil"/>
              <w:right w:val="nil"/>
            </w:tcBorders>
            <w:shd w:val="clear" w:color="auto" w:fill="auto"/>
            <w:vAlign w:val="center"/>
            <w:hideMark/>
          </w:tcPr>
          <w:p w14:paraId="474FF0AF" w14:textId="77777777" w:rsidR="00F4354F" w:rsidRPr="00F4354F" w:rsidRDefault="00F4354F" w:rsidP="00F4354F">
            <w:pPr>
              <w:spacing w:after="0" w:line="240" w:lineRule="auto"/>
              <w:jc w:val="right"/>
              <w:rPr>
                <w:rFonts w:cs="Arial"/>
                <w:sz w:val="16"/>
                <w:szCs w:val="16"/>
              </w:rPr>
            </w:pPr>
            <w:r w:rsidRPr="00F4354F">
              <w:rPr>
                <w:rFonts w:cs="Arial"/>
                <w:sz w:val="16"/>
                <w:szCs w:val="16"/>
              </w:rPr>
              <w:t>51,8</w:t>
            </w:r>
          </w:p>
        </w:tc>
      </w:tr>
      <w:tr w:rsidR="00F4354F" w:rsidRPr="00F4354F" w14:paraId="792CCDA9"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57B7E3CF"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2017</w:t>
            </w:r>
          </w:p>
        </w:tc>
        <w:tc>
          <w:tcPr>
            <w:tcW w:w="760" w:type="dxa"/>
            <w:tcBorders>
              <w:top w:val="nil"/>
              <w:left w:val="nil"/>
              <w:bottom w:val="nil"/>
              <w:right w:val="nil"/>
            </w:tcBorders>
            <w:shd w:val="clear" w:color="auto" w:fill="auto"/>
            <w:vAlign w:val="center"/>
            <w:hideMark/>
          </w:tcPr>
          <w:p w14:paraId="44AB50DE" w14:textId="77777777" w:rsidR="00F4354F" w:rsidRPr="00F4354F" w:rsidRDefault="00F4354F" w:rsidP="00F4354F">
            <w:pPr>
              <w:spacing w:after="0" w:line="240" w:lineRule="auto"/>
              <w:jc w:val="right"/>
              <w:rPr>
                <w:rFonts w:cs="Arial"/>
                <w:sz w:val="16"/>
                <w:szCs w:val="16"/>
              </w:rPr>
            </w:pPr>
            <w:r w:rsidRPr="00F4354F">
              <w:rPr>
                <w:rFonts w:cs="Arial"/>
                <w:sz w:val="16"/>
                <w:szCs w:val="16"/>
              </w:rPr>
              <w:t>1 707,5</w:t>
            </w:r>
          </w:p>
        </w:tc>
        <w:tc>
          <w:tcPr>
            <w:tcW w:w="760" w:type="dxa"/>
            <w:tcBorders>
              <w:top w:val="nil"/>
              <w:left w:val="nil"/>
              <w:bottom w:val="nil"/>
              <w:right w:val="nil"/>
            </w:tcBorders>
            <w:shd w:val="clear" w:color="auto" w:fill="auto"/>
            <w:vAlign w:val="center"/>
            <w:hideMark/>
          </w:tcPr>
          <w:p w14:paraId="7B4A383A" w14:textId="77777777" w:rsidR="00F4354F" w:rsidRPr="00F4354F" w:rsidRDefault="00F4354F" w:rsidP="00F4354F">
            <w:pPr>
              <w:spacing w:after="0" w:line="240" w:lineRule="auto"/>
              <w:jc w:val="right"/>
              <w:rPr>
                <w:rFonts w:cs="Arial"/>
                <w:sz w:val="16"/>
                <w:szCs w:val="16"/>
              </w:rPr>
            </w:pPr>
            <w:r w:rsidRPr="00F4354F">
              <w:rPr>
                <w:rFonts w:cs="Arial"/>
                <w:sz w:val="16"/>
                <w:szCs w:val="16"/>
              </w:rPr>
              <w:t>814,5</w:t>
            </w:r>
          </w:p>
        </w:tc>
        <w:tc>
          <w:tcPr>
            <w:tcW w:w="760" w:type="dxa"/>
            <w:tcBorders>
              <w:top w:val="nil"/>
              <w:left w:val="nil"/>
              <w:bottom w:val="nil"/>
              <w:right w:val="single" w:sz="4" w:space="0" w:color="auto"/>
            </w:tcBorders>
            <w:shd w:val="clear" w:color="auto" w:fill="auto"/>
            <w:vAlign w:val="center"/>
            <w:hideMark/>
          </w:tcPr>
          <w:p w14:paraId="695BF244" w14:textId="77777777" w:rsidR="00F4354F" w:rsidRPr="00F4354F" w:rsidRDefault="00F4354F" w:rsidP="00F4354F">
            <w:pPr>
              <w:spacing w:after="0" w:line="240" w:lineRule="auto"/>
              <w:jc w:val="right"/>
              <w:rPr>
                <w:rFonts w:cs="Arial"/>
                <w:sz w:val="16"/>
                <w:szCs w:val="16"/>
              </w:rPr>
            </w:pPr>
            <w:r w:rsidRPr="00F4354F">
              <w:rPr>
                <w:rFonts w:cs="Arial"/>
                <w:sz w:val="16"/>
                <w:szCs w:val="16"/>
              </w:rPr>
              <w:t>893,0</w:t>
            </w:r>
          </w:p>
        </w:tc>
        <w:tc>
          <w:tcPr>
            <w:tcW w:w="760" w:type="dxa"/>
            <w:tcBorders>
              <w:top w:val="nil"/>
              <w:left w:val="single" w:sz="4" w:space="0" w:color="auto"/>
              <w:bottom w:val="nil"/>
              <w:right w:val="nil"/>
            </w:tcBorders>
            <w:shd w:val="clear" w:color="auto" w:fill="auto"/>
            <w:vAlign w:val="center"/>
            <w:hideMark/>
          </w:tcPr>
          <w:p w14:paraId="076A1BCF" w14:textId="77777777" w:rsidR="00F4354F" w:rsidRPr="00F4354F" w:rsidRDefault="00F4354F" w:rsidP="00F4354F">
            <w:pPr>
              <w:spacing w:after="0" w:line="240" w:lineRule="auto"/>
              <w:jc w:val="right"/>
              <w:rPr>
                <w:rFonts w:cs="Arial"/>
                <w:sz w:val="16"/>
                <w:szCs w:val="16"/>
              </w:rPr>
            </w:pPr>
            <w:r w:rsidRPr="00F4354F">
              <w:rPr>
                <w:rFonts w:cs="Arial"/>
                <w:sz w:val="16"/>
                <w:szCs w:val="16"/>
              </w:rPr>
              <w:t>1 510,9</w:t>
            </w:r>
          </w:p>
        </w:tc>
        <w:tc>
          <w:tcPr>
            <w:tcW w:w="760" w:type="dxa"/>
            <w:tcBorders>
              <w:top w:val="nil"/>
              <w:left w:val="nil"/>
              <w:bottom w:val="nil"/>
              <w:right w:val="nil"/>
            </w:tcBorders>
            <w:shd w:val="clear" w:color="auto" w:fill="auto"/>
            <w:vAlign w:val="center"/>
            <w:hideMark/>
          </w:tcPr>
          <w:p w14:paraId="0CB98668" w14:textId="77777777" w:rsidR="00F4354F" w:rsidRPr="00F4354F" w:rsidRDefault="00F4354F" w:rsidP="00F4354F">
            <w:pPr>
              <w:spacing w:after="0" w:line="240" w:lineRule="auto"/>
              <w:jc w:val="right"/>
              <w:rPr>
                <w:rFonts w:cs="Arial"/>
                <w:sz w:val="16"/>
                <w:szCs w:val="16"/>
              </w:rPr>
            </w:pPr>
            <w:r w:rsidRPr="00F4354F">
              <w:rPr>
                <w:rFonts w:cs="Arial"/>
                <w:sz w:val="16"/>
                <w:szCs w:val="16"/>
              </w:rPr>
              <w:t>687,8</w:t>
            </w:r>
          </w:p>
        </w:tc>
        <w:tc>
          <w:tcPr>
            <w:tcW w:w="760" w:type="dxa"/>
            <w:tcBorders>
              <w:top w:val="nil"/>
              <w:left w:val="nil"/>
              <w:bottom w:val="nil"/>
              <w:right w:val="single" w:sz="4" w:space="0" w:color="auto"/>
            </w:tcBorders>
            <w:shd w:val="clear" w:color="auto" w:fill="auto"/>
            <w:vAlign w:val="center"/>
            <w:hideMark/>
          </w:tcPr>
          <w:p w14:paraId="4465EBB8" w14:textId="77777777" w:rsidR="00F4354F" w:rsidRPr="00F4354F" w:rsidRDefault="00F4354F" w:rsidP="00F4354F">
            <w:pPr>
              <w:spacing w:after="0" w:line="240" w:lineRule="auto"/>
              <w:jc w:val="right"/>
              <w:rPr>
                <w:rFonts w:cs="Arial"/>
                <w:sz w:val="16"/>
                <w:szCs w:val="16"/>
              </w:rPr>
            </w:pPr>
            <w:r w:rsidRPr="00F4354F">
              <w:rPr>
                <w:rFonts w:cs="Arial"/>
                <w:sz w:val="16"/>
                <w:szCs w:val="16"/>
              </w:rPr>
              <w:t>823,1</w:t>
            </w:r>
          </w:p>
        </w:tc>
        <w:tc>
          <w:tcPr>
            <w:tcW w:w="760" w:type="dxa"/>
            <w:tcBorders>
              <w:top w:val="nil"/>
              <w:left w:val="single" w:sz="4" w:space="0" w:color="auto"/>
              <w:bottom w:val="nil"/>
              <w:right w:val="nil"/>
            </w:tcBorders>
            <w:shd w:val="clear" w:color="auto" w:fill="auto"/>
            <w:vAlign w:val="center"/>
            <w:hideMark/>
          </w:tcPr>
          <w:p w14:paraId="1510C491" w14:textId="77777777" w:rsidR="00F4354F" w:rsidRPr="00F4354F" w:rsidRDefault="00F4354F" w:rsidP="00F4354F">
            <w:pPr>
              <w:spacing w:after="0" w:line="240" w:lineRule="auto"/>
              <w:jc w:val="right"/>
              <w:rPr>
                <w:rFonts w:cs="Arial"/>
                <w:sz w:val="16"/>
                <w:szCs w:val="16"/>
              </w:rPr>
            </w:pPr>
            <w:r w:rsidRPr="00F4354F">
              <w:rPr>
                <w:rFonts w:cs="Arial"/>
                <w:sz w:val="16"/>
                <w:szCs w:val="16"/>
              </w:rPr>
              <w:t>47,5</w:t>
            </w:r>
          </w:p>
        </w:tc>
        <w:tc>
          <w:tcPr>
            <w:tcW w:w="760" w:type="dxa"/>
            <w:tcBorders>
              <w:top w:val="nil"/>
              <w:left w:val="nil"/>
              <w:bottom w:val="nil"/>
              <w:right w:val="nil"/>
            </w:tcBorders>
            <w:shd w:val="clear" w:color="auto" w:fill="auto"/>
            <w:vAlign w:val="center"/>
            <w:hideMark/>
          </w:tcPr>
          <w:p w14:paraId="3F51B688" w14:textId="77777777" w:rsidR="00F4354F" w:rsidRPr="00F4354F" w:rsidRDefault="00F4354F" w:rsidP="00F4354F">
            <w:pPr>
              <w:spacing w:after="0" w:line="240" w:lineRule="auto"/>
              <w:jc w:val="right"/>
              <w:rPr>
                <w:rFonts w:cs="Arial"/>
                <w:sz w:val="16"/>
                <w:szCs w:val="16"/>
              </w:rPr>
            </w:pPr>
            <w:r w:rsidRPr="00F4354F">
              <w:rPr>
                <w:rFonts w:cs="Arial"/>
                <w:sz w:val="16"/>
                <w:szCs w:val="16"/>
              </w:rPr>
              <w:t>32,6</w:t>
            </w:r>
          </w:p>
        </w:tc>
        <w:tc>
          <w:tcPr>
            <w:tcW w:w="760" w:type="dxa"/>
            <w:tcBorders>
              <w:top w:val="nil"/>
              <w:left w:val="nil"/>
              <w:bottom w:val="nil"/>
              <w:right w:val="single" w:sz="4" w:space="0" w:color="auto"/>
            </w:tcBorders>
            <w:shd w:val="clear" w:color="auto" w:fill="auto"/>
            <w:vAlign w:val="center"/>
            <w:hideMark/>
          </w:tcPr>
          <w:p w14:paraId="3CD460AA" w14:textId="77777777" w:rsidR="00F4354F" w:rsidRPr="00F4354F" w:rsidRDefault="00F4354F" w:rsidP="00F4354F">
            <w:pPr>
              <w:spacing w:after="0" w:line="240" w:lineRule="auto"/>
              <w:jc w:val="right"/>
              <w:rPr>
                <w:rFonts w:cs="Arial"/>
                <w:sz w:val="16"/>
                <w:szCs w:val="16"/>
              </w:rPr>
            </w:pPr>
            <w:r w:rsidRPr="00F4354F">
              <w:rPr>
                <w:rFonts w:cs="Arial"/>
                <w:sz w:val="16"/>
                <w:szCs w:val="16"/>
              </w:rPr>
              <w:t>14,9</w:t>
            </w:r>
          </w:p>
        </w:tc>
        <w:tc>
          <w:tcPr>
            <w:tcW w:w="760" w:type="dxa"/>
            <w:tcBorders>
              <w:top w:val="nil"/>
              <w:left w:val="single" w:sz="4" w:space="0" w:color="auto"/>
              <w:bottom w:val="nil"/>
              <w:right w:val="nil"/>
            </w:tcBorders>
            <w:shd w:val="clear" w:color="auto" w:fill="auto"/>
            <w:vAlign w:val="center"/>
            <w:hideMark/>
          </w:tcPr>
          <w:p w14:paraId="3A8D2AC2" w14:textId="77777777" w:rsidR="00F4354F" w:rsidRPr="00F4354F" w:rsidRDefault="00F4354F" w:rsidP="00F4354F">
            <w:pPr>
              <w:spacing w:after="0" w:line="240" w:lineRule="auto"/>
              <w:jc w:val="right"/>
              <w:rPr>
                <w:rFonts w:cs="Arial"/>
                <w:sz w:val="16"/>
                <w:szCs w:val="16"/>
              </w:rPr>
            </w:pPr>
            <w:r w:rsidRPr="00F4354F">
              <w:rPr>
                <w:rFonts w:cs="Arial"/>
                <w:sz w:val="16"/>
                <w:szCs w:val="16"/>
              </w:rPr>
              <w:t>149,1</w:t>
            </w:r>
          </w:p>
        </w:tc>
        <w:tc>
          <w:tcPr>
            <w:tcW w:w="760" w:type="dxa"/>
            <w:tcBorders>
              <w:top w:val="nil"/>
              <w:left w:val="nil"/>
              <w:bottom w:val="nil"/>
              <w:right w:val="nil"/>
            </w:tcBorders>
            <w:shd w:val="clear" w:color="auto" w:fill="auto"/>
            <w:vAlign w:val="center"/>
            <w:hideMark/>
          </w:tcPr>
          <w:p w14:paraId="54AE1583" w14:textId="77777777" w:rsidR="00F4354F" w:rsidRPr="00F4354F" w:rsidRDefault="00F4354F" w:rsidP="00F4354F">
            <w:pPr>
              <w:spacing w:after="0" w:line="240" w:lineRule="auto"/>
              <w:jc w:val="right"/>
              <w:rPr>
                <w:rFonts w:cs="Arial"/>
                <w:sz w:val="16"/>
                <w:szCs w:val="16"/>
              </w:rPr>
            </w:pPr>
            <w:r w:rsidRPr="00F4354F">
              <w:rPr>
                <w:rFonts w:cs="Arial"/>
                <w:sz w:val="16"/>
                <w:szCs w:val="16"/>
              </w:rPr>
              <w:t>94,1</w:t>
            </w:r>
          </w:p>
        </w:tc>
        <w:tc>
          <w:tcPr>
            <w:tcW w:w="760" w:type="dxa"/>
            <w:tcBorders>
              <w:top w:val="nil"/>
              <w:left w:val="nil"/>
              <w:bottom w:val="nil"/>
              <w:right w:val="nil"/>
            </w:tcBorders>
            <w:shd w:val="clear" w:color="auto" w:fill="auto"/>
            <w:vAlign w:val="center"/>
            <w:hideMark/>
          </w:tcPr>
          <w:p w14:paraId="357C35E8" w14:textId="77777777" w:rsidR="00F4354F" w:rsidRPr="00F4354F" w:rsidRDefault="00F4354F" w:rsidP="00F4354F">
            <w:pPr>
              <w:spacing w:after="0" w:line="240" w:lineRule="auto"/>
              <w:jc w:val="right"/>
              <w:rPr>
                <w:rFonts w:cs="Arial"/>
                <w:sz w:val="16"/>
                <w:szCs w:val="16"/>
              </w:rPr>
            </w:pPr>
            <w:r w:rsidRPr="00F4354F">
              <w:rPr>
                <w:rFonts w:cs="Arial"/>
                <w:sz w:val="16"/>
                <w:szCs w:val="16"/>
              </w:rPr>
              <w:t>55,1</w:t>
            </w:r>
          </w:p>
        </w:tc>
      </w:tr>
      <w:tr w:rsidR="00F4354F" w:rsidRPr="00F4354F" w14:paraId="1E6BA5BD" w14:textId="77777777" w:rsidTr="006D3235">
        <w:trPr>
          <w:trHeight w:val="300"/>
        </w:trPr>
        <w:tc>
          <w:tcPr>
            <w:tcW w:w="620" w:type="dxa"/>
            <w:tcBorders>
              <w:top w:val="nil"/>
              <w:left w:val="nil"/>
              <w:bottom w:val="nil"/>
              <w:right w:val="single" w:sz="4" w:space="0" w:color="auto"/>
            </w:tcBorders>
            <w:shd w:val="clear" w:color="auto" w:fill="auto"/>
            <w:vAlign w:val="center"/>
            <w:hideMark/>
          </w:tcPr>
          <w:p w14:paraId="46DAB811" w14:textId="77777777" w:rsidR="00F4354F" w:rsidRPr="00F4354F" w:rsidRDefault="00F4354F" w:rsidP="00F4354F">
            <w:pPr>
              <w:spacing w:after="0" w:line="240" w:lineRule="auto"/>
              <w:jc w:val="center"/>
              <w:rPr>
                <w:rFonts w:cs="Arial"/>
                <w:sz w:val="16"/>
                <w:szCs w:val="16"/>
              </w:rPr>
            </w:pPr>
            <w:r w:rsidRPr="00F4354F">
              <w:rPr>
                <w:rFonts w:cs="Arial"/>
                <w:sz w:val="16"/>
                <w:szCs w:val="16"/>
              </w:rPr>
              <w:t>2018</w:t>
            </w:r>
          </w:p>
        </w:tc>
        <w:tc>
          <w:tcPr>
            <w:tcW w:w="760" w:type="dxa"/>
            <w:tcBorders>
              <w:top w:val="nil"/>
              <w:left w:val="nil"/>
              <w:bottom w:val="nil"/>
              <w:right w:val="nil"/>
            </w:tcBorders>
            <w:shd w:val="clear" w:color="auto" w:fill="auto"/>
            <w:vAlign w:val="center"/>
            <w:hideMark/>
          </w:tcPr>
          <w:p w14:paraId="4FD43EC3" w14:textId="77777777" w:rsidR="00F4354F" w:rsidRPr="00F4354F" w:rsidRDefault="00F4354F" w:rsidP="00F4354F">
            <w:pPr>
              <w:spacing w:after="0" w:line="240" w:lineRule="auto"/>
              <w:jc w:val="right"/>
              <w:rPr>
                <w:rFonts w:cs="Arial"/>
                <w:sz w:val="16"/>
                <w:szCs w:val="16"/>
              </w:rPr>
            </w:pPr>
            <w:r w:rsidRPr="00F4354F">
              <w:rPr>
                <w:rFonts w:cs="Arial"/>
                <w:sz w:val="16"/>
                <w:szCs w:val="16"/>
              </w:rPr>
              <w:t>1 849,5</w:t>
            </w:r>
          </w:p>
        </w:tc>
        <w:tc>
          <w:tcPr>
            <w:tcW w:w="760" w:type="dxa"/>
            <w:tcBorders>
              <w:top w:val="nil"/>
              <w:left w:val="nil"/>
              <w:bottom w:val="nil"/>
              <w:right w:val="nil"/>
            </w:tcBorders>
            <w:shd w:val="clear" w:color="auto" w:fill="auto"/>
            <w:vAlign w:val="center"/>
            <w:hideMark/>
          </w:tcPr>
          <w:p w14:paraId="1C78AFD6" w14:textId="77777777" w:rsidR="00F4354F" w:rsidRPr="00F4354F" w:rsidRDefault="00F4354F" w:rsidP="00F4354F">
            <w:pPr>
              <w:spacing w:after="0" w:line="240" w:lineRule="auto"/>
              <w:jc w:val="right"/>
              <w:rPr>
                <w:rFonts w:cs="Arial"/>
                <w:sz w:val="16"/>
                <w:szCs w:val="16"/>
              </w:rPr>
            </w:pPr>
            <w:r w:rsidRPr="00F4354F">
              <w:rPr>
                <w:rFonts w:cs="Arial"/>
                <w:sz w:val="16"/>
                <w:szCs w:val="16"/>
              </w:rPr>
              <w:t>874,3</w:t>
            </w:r>
          </w:p>
        </w:tc>
        <w:tc>
          <w:tcPr>
            <w:tcW w:w="760" w:type="dxa"/>
            <w:tcBorders>
              <w:top w:val="nil"/>
              <w:left w:val="nil"/>
              <w:bottom w:val="nil"/>
              <w:right w:val="single" w:sz="4" w:space="0" w:color="auto"/>
            </w:tcBorders>
            <w:shd w:val="clear" w:color="auto" w:fill="auto"/>
            <w:vAlign w:val="center"/>
            <w:hideMark/>
          </w:tcPr>
          <w:p w14:paraId="5CFE54EB" w14:textId="77777777" w:rsidR="00F4354F" w:rsidRPr="00F4354F" w:rsidRDefault="00F4354F" w:rsidP="00F4354F">
            <w:pPr>
              <w:spacing w:after="0" w:line="240" w:lineRule="auto"/>
              <w:jc w:val="right"/>
              <w:rPr>
                <w:rFonts w:cs="Arial"/>
                <w:sz w:val="16"/>
                <w:szCs w:val="16"/>
              </w:rPr>
            </w:pPr>
            <w:r w:rsidRPr="00F4354F">
              <w:rPr>
                <w:rFonts w:cs="Arial"/>
                <w:sz w:val="16"/>
                <w:szCs w:val="16"/>
              </w:rPr>
              <w:t>975,2</w:t>
            </w:r>
          </w:p>
        </w:tc>
        <w:tc>
          <w:tcPr>
            <w:tcW w:w="760" w:type="dxa"/>
            <w:tcBorders>
              <w:top w:val="nil"/>
              <w:left w:val="single" w:sz="4" w:space="0" w:color="auto"/>
              <w:bottom w:val="nil"/>
              <w:right w:val="nil"/>
            </w:tcBorders>
            <w:shd w:val="clear" w:color="auto" w:fill="auto"/>
            <w:vAlign w:val="center"/>
            <w:hideMark/>
          </w:tcPr>
          <w:p w14:paraId="240CB3B5" w14:textId="77777777" w:rsidR="00F4354F" w:rsidRPr="00F4354F" w:rsidRDefault="00F4354F" w:rsidP="00F4354F">
            <w:pPr>
              <w:spacing w:after="0" w:line="240" w:lineRule="auto"/>
              <w:jc w:val="right"/>
              <w:rPr>
                <w:rFonts w:cs="Arial"/>
                <w:sz w:val="16"/>
                <w:szCs w:val="16"/>
              </w:rPr>
            </w:pPr>
            <w:r w:rsidRPr="00F4354F">
              <w:rPr>
                <w:rFonts w:cs="Arial"/>
                <w:sz w:val="16"/>
                <w:szCs w:val="16"/>
              </w:rPr>
              <w:t>1 650,3</w:t>
            </w:r>
          </w:p>
        </w:tc>
        <w:tc>
          <w:tcPr>
            <w:tcW w:w="760" w:type="dxa"/>
            <w:tcBorders>
              <w:top w:val="nil"/>
              <w:left w:val="nil"/>
              <w:bottom w:val="nil"/>
              <w:right w:val="nil"/>
            </w:tcBorders>
            <w:shd w:val="clear" w:color="auto" w:fill="auto"/>
            <w:vAlign w:val="center"/>
            <w:hideMark/>
          </w:tcPr>
          <w:p w14:paraId="1656F5A8" w14:textId="77777777" w:rsidR="00F4354F" w:rsidRPr="00F4354F" w:rsidRDefault="00F4354F" w:rsidP="00F4354F">
            <w:pPr>
              <w:spacing w:after="0" w:line="240" w:lineRule="auto"/>
              <w:jc w:val="right"/>
              <w:rPr>
                <w:rFonts w:cs="Arial"/>
                <w:sz w:val="16"/>
                <w:szCs w:val="16"/>
              </w:rPr>
            </w:pPr>
            <w:r w:rsidRPr="00F4354F">
              <w:rPr>
                <w:rFonts w:cs="Arial"/>
                <w:sz w:val="16"/>
                <w:szCs w:val="16"/>
              </w:rPr>
              <w:t>746,8</w:t>
            </w:r>
          </w:p>
        </w:tc>
        <w:tc>
          <w:tcPr>
            <w:tcW w:w="760" w:type="dxa"/>
            <w:tcBorders>
              <w:top w:val="nil"/>
              <w:left w:val="nil"/>
              <w:bottom w:val="nil"/>
              <w:right w:val="single" w:sz="4" w:space="0" w:color="auto"/>
            </w:tcBorders>
            <w:shd w:val="clear" w:color="auto" w:fill="auto"/>
            <w:vAlign w:val="center"/>
            <w:hideMark/>
          </w:tcPr>
          <w:p w14:paraId="211AEBC6" w14:textId="77777777" w:rsidR="00F4354F" w:rsidRPr="00F4354F" w:rsidRDefault="00F4354F" w:rsidP="00F4354F">
            <w:pPr>
              <w:spacing w:after="0" w:line="240" w:lineRule="auto"/>
              <w:jc w:val="right"/>
              <w:rPr>
                <w:rFonts w:cs="Arial"/>
                <w:sz w:val="16"/>
                <w:szCs w:val="16"/>
              </w:rPr>
            </w:pPr>
            <w:r w:rsidRPr="00F4354F">
              <w:rPr>
                <w:rFonts w:cs="Arial"/>
                <w:sz w:val="16"/>
                <w:szCs w:val="16"/>
              </w:rPr>
              <w:t>903,5</w:t>
            </w:r>
          </w:p>
        </w:tc>
        <w:tc>
          <w:tcPr>
            <w:tcW w:w="760" w:type="dxa"/>
            <w:tcBorders>
              <w:top w:val="nil"/>
              <w:left w:val="single" w:sz="4" w:space="0" w:color="auto"/>
              <w:bottom w:val="nil"/>
              <w:right w:val="nil"/>
            </w:tcBorders>
            <w:shd w:val="clear" w:color="auto" w:fill="auto"/>
            <w:vAlign w:val="center"/>
            <w:hideMark/>
          </w:tcPr>
          <w:p w14:paraId="20D3D82F" w14:textId="77777777" w:rsidR="00F4354F" w:rsidRPr="00F4354F" w:rsidRDefault="00F4354F" w:rsidP="00F4354F">
            <w:pPr>
              <w:spacing w:after="0" w:line="240" w:lineRule="auto"/>
              <w:jc w:val="right"/>
              <w:rPr>
                <w:rFonts w:cs="Arial"/>
                <w:sz w:val="16"/>
                <w:szCs w:val="16"/>
              </w:rPr>
            </w:pPr>
            <w:r w:rsidRPr="00F4354F">
              <w:rPr>
                <w:rFonts w:cs="Arial"/>
                <w:sz w:val="16"/>
                <w:szCs w:val="16"/>
              </w:rPr>
              <w:t>46,2</w:t>
            </w:r>
          </w:p>
        </w:tc>
        <w:tc>
          <w:tcPr>
            <w:tcW w:w="760" w:type="dxa"/>
            <w:tcBorders>
              <w:top w:val="nil"/>
              <w:left w:val="nil"/>
              <w:bottom w:val="nil"/>
              <w:right w:val="nil"/>
            </w:tcBorders>
            <w:shd w:val="clear" w:color="auto" w:fill="auto"/>
            <w:vAlign w:val="center"/>
            <w:hideMark/>
          </w:tcPr>
          <w:p w14:paraId="7A1940F6" w14:textId="77777777" w:rsidR="00F4354F" w:rsidRPr="00F4354F" w:rsidRDefault="00F4354F" w:rsidP="00F4354F">
            <w:pPr>
              <w:spacing w:after="0" w:line="240" w:lineRule="auto"/>
              <w:jc w:val="right"/>
              <w:rPr>
                <w:rFonts w:cs="Arial"/>
                <w:sz w:val="16"/>
                <w:szCs w:val="16"/>
              </w:rPr>
            </w:pPr>
            <w:r w:rsidRPr="00F4354F">
              <w:rPr>
                <w:rFonts w:cs="Arial"/>
                <w:sz w:val="16"/>
                <w:szCs w:val="16"/>
              </w:rPr>
              <w:t>31,3</w:t>
            </w:r>
          </w:p>
        </w:tc>
        <w:tc>
          <w:tcPr>
            <w:tcW w:w="760" w:type="dxa"/>
            <w:tcBorders>
              <w:top w:val="nil"/>
              <w:left w:val="nil"/>
              <w:bottom w:val="nil"/>
              <w:right w:val="single" w:sz="4" w:space="0" w:color="auto"/>
            </w:tcBorders>
            <w:shd w:val="clear" w:color="auto" w:fill="auto"/>
            <w:vAlign w:val="center"/>
            <w:hideMark/>
          </w:tcPr>
          <w:p w14:paraId="35DE1EEB" w14:textId="77777777" w:rsidR="00F4354F" w:rsidRPr="00F4354F" w:rsidRDefault="00F4354F" w:rsidP="00F4354F">
            <w:pPr>
              <w:spacing w:after="0" w:line="240" w:lineRule="auto"/>
              <w:jc w:val="right"/>
              <w:rPr>
                <w:rFonts w:cs="Arial"/>
                <w:sz w:val="16"/>
                <w:szCs w:val="16"/>
              </w:rPr>
            </w:pPr>
            <w:r w:rsidRPr="00F4354F">
              <w:rPr>
                <w:rFonts w:cs="Arial"/>
                <w:sz w:val="16"/>
                <w:szCs w:val="16"/>
              </w:rPr>
              <w:t>14,9</w:t>
            </w:r>
          </w:p>
        </w:tc>
        <w:tc>
          <w:tcPr>
            <w:tcW w:w="760" w:type="dxa"/>
            <w:tcBorders>
              <w:top w:val="nil"/>
              <w:left w:val="single" w:sz="4" w:space="0" w:color="auto"/>
              <w:bottom w:val="nil"/>
              <w:right w:val="nil"/>
            </w:tcBorders>
            <w:shd w:val="clear" w:color="auto" w:fill="auto"/>
            <w:vAlign w:val="center"/>
            <w:hideMark/>
          </w:tcPr>
          <w:p w14:paraId="2554F976" w14:textId="77777777" w:rsidR="00F4354F" w:rsidRPr="00F4354F" w:rsidRDefault="00F4354F" w:rsidP="00F4354F">
            <w:pPr>
              <w:spacing w:after="0" w:line="240" w:lineRule="auto"/>
              <w:jc w:val="right"/>
              <w:rPr>
                <w:rFonts w:cs="Arial"/>
                <w:sz w:val="16"/>
                <w:szCs w:val="16"/>
              </w:rPr>
            </w:pPr>
            <w:r w:rsidRPr="00F4354F">
              <w:rPr>
                <w:rFonts w:cs="Arial"/>
                <w:sz w:val="16"/>
                <w:szCs w:val="16"/>
              </w:rPr>
              <w:t>153,0</w:t>
            </w:r>
          </w:p>
        </w:tc>
        <w:tc>
          <w:tcPr>
            <w:tcW w:w="760" w:type="dxa"/>
            <w:tcBorders>
              <w:top w:val="nil"/>
              <w:left w:val="nil"/>
              <w:bottom w:val="nil"/>
              <w:right w:val="nil"/>
            </w:tcBorders>
            <w:shd w:val="clear" w:color="auto" w:fill="auto"/>
            <w:vAlign w:val="center"/>
            <w:hideMark/>
          </w:tcPr>
          <w:p w14:paraId="47F2E069" w14:textId="77777777" w:rsidR="00F4354F" w:rsidRPr="00F4354F" w:rsidRDefault="00F4354F" w:rsidP="00F4354F">
            <w:pPr>
              <w:spacing w:after="0" w:line="240" w:lineRule="auto"/>
              <w:jc w:val="right"/>
              <w:rPr>
                <w:rFonts w:cs="Arial"/>
                <w:sz w:val="16"/>
                <w:szCs w:val="16"/>
              </w:rPr>
            </w:pPr>
            <w:r w:rsidRPr="00F4354F">
              <w:rPr>
                <w:rFonts w:cs="Arial"/>
                <w:sz w:val="16"/>
                <w:szCs w:val="16"/>
              </w:rPr>
              <w:t>96,1</w:t>
            </w:r>
          </w:p>
        </w:tc>
        <w:tc>
          <w:tcPr>
            <w:tcW w:w="760" w:type="dxa"/>
            <w:tcBorders>
              <w:top w:val="nil"/>
              <w:left w:val="nil"/>
              <w:bottom w:val="nil"/>
              <w:right w:val="nil"/>
            </w:tcBorders>
            <w:shd w:val="clear" w:color="auto" w:fill="auto"/>
            <w:vAlign w:val="center"/>
            <w:hideMark/>
          </w:tcPr>
          <w:p w14:paraId="4B97ECFE" w14:textId="77777777" w:rsidR="00F4354F" w:rsidRPr="00F4354F" w:rsidRDefault="00F4354F" w:rsidP="00F4354F">
            <w:pPr>
              <w:spacing w:after="0" w:line="240" w:lineRule="auto"/>
              <w:jc w:val="right"/>
              <w:rPr>
                <w:rFonts w:cs="Arial"/>
                <w:sz w:val="16"/>
                <w:szCs w:val="16"/>
              </w:rPr>
            </w:pPr>
            <w:r w:rsidRPr="00F4354F">
              <w:rPr>
                <w:rFonts w:cs="Arial"/>
                <w:sz w:val="16"/>
                <w:szCs w:val="16"/>
              </w:rPr>
              <w:t>56,8</w:t>
            </w:r>
          </w:p>
        </w:tc>
      </w:tr>
    </w:tbl>
    <w:p w14:paraId="07F8D4BC" w14:textId="77777777" w:rsidR="00D112A7" w:rsidRDefault="00D112A7" w:rsidP="00D112A7">
      <w:pPr>
        <w:spacing w:after="0"/>
        <w:jc w:val="both"/>
        <w:rPr>
          <w:rFonts w:cs="Arial"/>
          <w:sz w:val="16"/>
          <w:szCs w:val="16"/>
        </w:rPr>
      </w:pPr>
    </w:p>
    <w:p w14:paraId="0E46F493" w14:textId="1955B476" w:rsidR="00D112A7" w:rsidRDefault="00D112A7" w:rsidP="00D112A7">
      <w:pPr>
        <w:jc w:val="both"/>
        <w:rPr>
          <w:rFonts w:cs="Arial"/>
          <w:sz w:val="16"/>
          <w:szCs w:val="16"/>
        </w:rPr>
      </w:pPr>
      <w:r>
        <w:rPr>
          <w:rFonts w:cs="Arial"/>
          <w:sz w:val="16"/>
          <w:szCs w:val="16"/>
        </w:rPr>
        <w:t>Zdroj: ČSÚ</w:t>
      </w:r>
    </w:p>
    <w:p w14:paraId="54503A58" w14:textId="0420D6B3" w:rsidR="00F734AD" w:rsidRDefault="00F734AD" w:rsidP="00D112A7">
      <w:pPr>
        <w:jc w:val="both"/>
        <w:rPr>
          <w:rFonts w:cs="Arial"/>
        </w:rPr>
      </w:pPr>
      <w:r>
        <w:t xml:space="preserve">Meziroční nárůst pracovní neschopnosti </w:t>
      </w:r>
      <w:r w:rsidRPr="00A37CD1">
        <w:rPr>
          <w:b/>
        </w:rPr>
        <w:t>žen</w:t>
      </w:r>
      <w:r>
        <w:t xml:space="preserve"> byl výraznější než u mužů. </w:t>
      </w:r>
      <w:r w:rsidRPr="003E6827">
        <w:rPr>
          <w:rFonts w:cs="Arial"/>
        </w:rPr>
        <w:t>Absolutní počet nově hlášených případů pracovní neschopnosti žen se meziročně zvýšil z </w:t>
      </w:r>
      <w:r>
        <w:rPr>
          <w:rFonts w:cs="Arial"/>
        </w:rPr>
        <w:t>893</w:t>
      </w:r>
      <w:r w:rsidRPr="003E6827">
        <w:rPr>
          <w:rFonts w:cs="Arial"/>
        </w:rPr>
        <w:t xml:space="preserve"> tis. případů (muži </w:t>
      </w:r>
      <w:r>
        <w:rPr>
          <w:rFonts w:cs="Arial"/>
        </w:rPr>
        <w:t>814</w:t>
      </w:r>
      <w:r w:rsidRPr="003E6827">
        <w:rPr>
          <w:rFonts w:cs="Arial"/>
        </w:rPr>
        <w:t>,</w:t>
      </w:r>
      <w:r>
        <w:rPr>
          <w:rFonts w:cs="Arial"/>
        </w:rPr>
        <w:t xml:space="preserve">5 </w:t>
      </w:r>
      <w:r w:rsidRPr="003E6827">
        <w:rPr>
          <w:rFonts w:cs="Arial"/>
        </w:rPr>
        <w:t>tis. případů) v roce 201</w:t>
      </w:r>
      <w:r>
        <w:rPr>
          <w:rFonts w:cs="Arial"/>
        </w:rPr>
        <w:t>7</w:t>
      </w:r>
      <w:r w:rsidRPr="003E6827">
        <w:rPr>
          <w:rFonts w:cs="Arial"/>
        </w:rPr>
        <w:t xml:space="preserve"> na </w:t>
      </w:r>
      <w:r>
        <w:rPr>
          <w:rFonts w:cs="Arial"/>
        </w:rPr>
        <w:t xml:space="preserve">975,2 </w:t>
      </w:r>
      <w:r w:rsidRPr="003E6827">
        <w:rPr>
          <w:rFonts w:cs="Arial"/>
        </w:rPr>
        <w:t xml:space="preserve">tis. případů (muži </w:t>
      </w:r>
      <w:r>
        <w:rPr>
          <w:rFonts w:cs="Arial"/>
        </w:rPr>
        <w:t>874,3</w:t>
      </w:r>
      <w:r w:rsidRPr="003E6827">
        <w:rPr>
          <w:rFonts w:cs="Arial"/>
        </w:rPr>
        <w:t xml:space="preserve"> tis. případů) v roce 201</w:t>
      </w:r>
      <w:r>
        <w:rPr>
          <w:rFonts w:cs="Arial"/>
        </w:rPr>
        <w:t xml:space="preserve">8, </w:t>
      </w:r>
      <w:r w:rsidRPr="003E6827">
        <w:rPr>
          <w:rFonts w:cs="Arial"/>
        </w:rPr>
        <w:t xml:space="preserve">tj. vzrostl o </w:t>
      </w:r>
      <w:r>
        <w:rPr>
          <w:rFonts w:cs="Arial"/>
        </w:rPr>
        <w:t>9,2</w:t>
      </w:r>
      <w:r w:rsidRPr="003E6827">
        <w:rPr>
          <w:rFonts w:cs="Arial"/>
        </w:rPr>
        <w:t xml:space="preserve"> </w:t>
      </w:r>
      <w:r w:rsidRPr="003E6827">
        <w:rPr>
          <w:rFonts w:cs="Arial"/>
          <w:lang w:val="en-US"/>
        </w:rPr>
        <w:t xml:space="preserve">% </w:t>
      </w:r>
      <w:r>
        <w:rPr>
          <w:rFonts w:cs="Arial"/>
        </w:rPr>
        <w:t>(</w:t>
      </w:r>
      <w:r w:rsidRPr="003E6827">
        <w:rPr>
          <w:rFonts w:cs="Arial"/>
        </w:rPr>
        <w:t>o</w:t>
      </w:r>
      <w:r>
        <w:rPr>
          <w:rFonts w:cs="Arial"/>
        </w:rPr>
        <w:t> 7,3</w:t>
      </w:r>
      <w:r w:rsidRPr="003E6827">
        <w:rPr>
          <w:rFonts w:cs="Arial"/>
        </w:rPr>
        <w:t xml:space="preserve"> </w:t>
      </w:r>
      <w:r w:rsidRPr="003E6827">
        <w:rPr>
          <w:rFonts w:cs="Arial"/>
          <w:lang w:val="en-US"/>
        </w:rPr>
        <w:t>%</w:t>
      </w:r>
      <w:r w:rsidRPr="003E6827">
        <w:rPr>
          <w:rFonts w:cs="Arial"/>
        </w:rPr>
        <w:t xml:space="preserve"> u mužů).</w:t>
      </w:r>
      <w:r>
        <w:rPr>
          <w:rFonts w:cs="Arial"/>
        </w:rPr>
        <w:t xml:space="preserve"> Z hlediska příčin nově hlášených případů dočasné pracovní neschopnosti žen 903,5 tis. případů (</w:t>
      </w:r>
      <w:r w:rsidR="006A16F0">
        <w:rPr>
          <w:rFonts w:cs="Arial"/>
        </w:rPr>
        <w:t>93</w:t>
      </w:r>
      <w:r>
        <w:rPr>
          <w:rFonts w:cs="Arial"/>
        </w:rPr>
        <w:t xml:space="preserve"> %) bylo způsobeno nemocí, 14,9 tis. případů (</w:t>
      </w:r>
      <w:r w:rsidR="006A16F0">
        <w:rPr>
          <w:rFonts w:cs="Arial"/>
        </w:rPr>
        <w:t>2</w:t>
      </w:r>
      <w:r>
        <w:rPr>
          <w:rFonts w:cs="Arial"/>
        </w:rPr>
        <w:t xml:space="preserve"> %) pracovním úrazem a 56,8 tis. (</w:t>
      </w:r>
      <w:r w:rsidR="006A16F0">
        <w:rPr>
          <w:rFonts w:cs="Arial"/>
        </w:rPr>
        <w:t>6</w:t>
      </w:r>
      <w:r>
        <w:rPr>
          <w:rFonts w:cs="Arial"/>
        </w:rPr>
        <w:t xml:space="preserve"> %) mimopracovním úraz</w:t>
      </w:r>
      <w:r w:rsidR="00D112A7">
        <w:rPr>
          <w:rFonts w:cs="Arial"/>
        </w:rPr>
        <w:t>em</w:t>
      </w:r>
      <w:r>
        <w:rPr>
          <w:rFonts w:cs="Arial"/>
        </w:rPr>
        <w:t>.</w:t>
      </w:r>
      <w:r w:rsidR="006A16F0">
        <w:rPr>
          <w:rFonts w:cs="Arial"/>
        </w:rPr>
        <w:t xml:space="preserve"> </w:t>
      </w:r>
      <w:r w:rsidR="006A16F0" w:rsidRPr="00A37CD1">
        <w:rPr>
          <w:rFonts w:cs="Arial"/>
          <w:b/>
        </w:rPr>
        <w:t>Muži</w:t>
      </w:r>
      <w:r w:rsidR="006A16F0">
        <w:rPr>
          <w:rFonts w:cs="Arial"/>
        </w:rPr>
        <w:t xml:space="preserve"> čerpali pracovní neschopnost z důvodu nemoci v 746,8 tis. případech (85 %)</w:t>
      </w:r>
      <w:r w:rsidR="00D112A7">
        <w:rPr>
          <w:rFonts w:cs="Arial"/>
        </w:rPr>
        <w:t>, z důvodu pracovního úrazu v 31,3 tis. případech (4 %) a z důvodu ostatních úrazů v 96,1 tis. případech (11 %).</w:t>
      </w:r>
    </w:p>
    <w:p w14:paraId="6FCEF942" w14:textId="6EDF1828" w:rsidR="000707F1" w:rsidRDefault="009C694A" w:rsidP="00D112A7">
      <w:pPr>
        <w:jc w:val="both"/>
        <w:rPr>
          <w:rFonts w:cs="Arial"/>
        </w:rPr>
      </w:pPr>
      <w:r>
        <w:rPr>
          <w:rFonts w:cs="Arial"/>
        </w:rPr>
        <w:t xml:space="preserve">Za posledních </w:t>
      </w:r>
      <w:r w:rsidR="006D3235">
        <w:rPr>
          <w:rFonts w:cs="Arial"/>
        </w:rPr>
        <w:t>pět</w:t>
      </w:r>
      <w:r>
        <w:rPr>
          <w:rFonts w:cs="Arial"/>
        </w:rPr>
        <w:t xml:space="preserve"> let </w:t>
      </w:r>
      <w:r w:rsidRPr="0038792F">
        <w:rPr>
          <w:rFonts w:cs="Arial"/>
        </w:rPr>
        <w:t>počet nově hlášených případů pracovní neschopnosti</w:t>
      </w:r>
      <w:r>
        <w:rPr>
          <w:rFonts w:cs="Arial"/>
        </w:rPr>
        <w:t xml:space="preserve"> výrazně vzrostl – o </w:t>
      </w:r>
      <w:r w:rsidR="006D3235">
        <w:rPr>
          <w:rFonts w:cs="Arial"/>
        </w:rPr>
        <w:t>518</w:t>
      </w:r>
      <w:r>
        <w:rPr>
          <w:rFonts w:cs="Arial"/>
        </w:rPr>
        <w:t xml:space="preserve"> tis. případů (o </w:t>
      </w:r>
      <w:r w:rsidR="000707F1">
        <w:rPr>
          <w:rFonts w:cs="Arial"/>
        </w:rPr>
        <w:t>39</w:t>
      </w:r>
      <w:r>
        <w:rPr>
          <w:rFonts w:cs="Arial"/>
        </w:rPr>
        <w:t> %) z</w:t>
      </w:r>
      <w:r w:rsidR="000707F1">
        <w:rPr>
          <w:rFonts w:cs="Arial"/>
        </w:rPr>
        <w:t> 1 331,5</w:t>
      </w:r>
      <w:r>
        <w:rPr>
          <w:rFonts w:cs="Arial"/>
        </w:rPr>
        <w:t xml:space="preserve"> tis. případů v roce 201</w:t>
      </w:r>
      <w:r w:rsidR="000707F1">
        <w:rPr>
          <w:rFonts w:cs="Arial"/>
        </w:rPr>
        <w:t>3</w:t>
      </w:r>
      <w:r>
        <w:rPr>
          <w:rFonts w:cs="Arial"/>
        </w:rPr>
        <w:t xml:space="preserve"> na výše zmíněných 1 849,5 tis. případů v roce 2018. </w:t>
      </w:r>
      <w:r w:rsidR="000707F1">
        <w:rPr>
          <w:rFonts w:cs="Arial"/>
        </w:rPr>
        <w:t xml:space="preserve">Oproti roku 2012 došlo k nárůstu počtu hlášených případů o 51 %. </w:t>
      </w:r>
      <w:r w:rsidR="000707F1">
        <w:t xml:space="preserve">Na tomto nárůstu se podílely především výše zmíněné nově hlášené </w:t>
      </w:r>
      <w:r w:rsidR="000707F1" w:rsidRPr="00D60ABB">
        <w:t>případ</w:t>
      </w:r>
      <w:r w:rsidR="000707F1">
        <w:t>y</w:t>
      </w:r>
      <w:r w:rsidR="000707F1" w:rsidRPr="00D60ABB">
        <w:t xml:space="preserve"> pracovní neschopnosti</w:t>
      </w:r>
      <w:r w:rsidR="000707F1">
        <w:t xml:space="preserve"> z důvodu nemoci. </w:t>
      </w:r>
      <w:r w:rsidR="000707F1">
        <w:rPr>
          <w:rFonts w:cs="Arial"/>
        </w:rPr>
        <w:t>Zvýšení</w:t>
      </w:r>
      <w:r>
        <w:rPr>
          <w:rFonts w:cs="Arial"/>
        </w:rPr>
        <w:t xml:space="preserve"> byl</w:t>
      </w:r>
      <w:r w:rsidR="000707F1">
        <w:rPr>
          <w:rFonts w:cs="Arial"/>
        </w:rPr>
        <w:t>o</w:t>
      </w:r>
      <w:r>
        <w:rPr>
          <w:rFonts w:cs="Arial"/>
        </w:rPr>
        <w:t xml:space="preserve"> výraznější v případě žen – </w:t>
      </w:r>
      <w:r w:rsidR="000707F1">
        <w:rPr>
          <w:rFonts w:cs="Arial"/>
        </w:rPr>
        <w:t>mezi lety 2013–2018</w:t>
      </w:r>
      <w:r>
        <w:rPr>
          <w:rFonts w:cs="Arial"/>
        </w:rPr>
        <w:t xml:space="preserve"> vzrostl počet nově hlášených případů pracovní neschopnosti </w:t>
      </w:r>
      <w:r w:rsidR="000707F1">
        <w:rPr>
          <w:rFonts w:cs="Arial"/>
        </w:rPr>
        <w:t xml:space="preserve">u mužů </w:t>
      </w:r>
      <w:r>
        <w:rPr>
          <w:rFonts w:cs="Arial"/>
        </w:rPr>
        <w:t>o</w:t>
      </w:r>
      <w:r w:rsidR="00F547BE">
        <w:rPr>
          <w:rFonts w:cs="Arial"/>
        </w:rPr>
        <w:t> </w:t>
      </w:r>
      <w:r w:rsidR="000707F1">
        <w:rPr>
          <w:rFonts w:cs="Arial"/>
        </w:rPr>
        <w:t>37</w:t>
      </w:r>
      <w:r>
        <w:rPr>
          <w:rFonts w:cs="Arial"/>
        </w:rPr>
        <w:t xml:space="preserve"> %, u žen o </w:t>
      </w:r>
      <w:r w:rsidR="000707F1">
        <w:rPr>
          <w:rFonts w:cs="Arial"/>
        </w:rPr>
        <w:t>41</w:t>
      </w:r>
      <w:r>
        <w:rPr>
          <w:rFonts w:cs="Arial"/>
        </w:rPr>
        <w:t xml:space="preserve"> %. </w:t>
      </w:r>
    </w:p>
    <w:p w14:paraId="70577AEA" w14:textId="407DFA0C" w:rsidR="009C694A" w:rsidRDefault="009C694A" w:rsidP="00D112A7">
      <w:pPr>
        <w:jc w:val="both"/>
        <w:rPr>
          <w:rFonts w:cs="Arial"/>
        </w:rPr>
      </w:pPr>
      <w:r>
        <w:rPr>
          <w:rFonts w:cs="Arial"/>
        </w:rPr>
        <w:t xml:space="preserve">Pokud se však zaměříme na vývoj v posledním desetiletí, je zde patrný pokles pracovní neschopnosti – v roce 2018 byl počet </w:t>
      </w:r>
      <w:r w:rsidRPr="0038792F">
        <w:rPr>
          <w:rFonts w:cs="Arial"/>
        </w:rPr>
        <w:t>nově hlášených případů pracovní neschopnosti</w:t>
      </w:r>
      <w:r>
        <w:rPr>
          <w:rFonts w:cs="Arial"/>
        </w:rPr>
        <w:t xml:space="preserve"> oproti roku 2008 o 372,2 tis. </w:t>
      </w:r>
      <w:r w:rsidR="00722773">
        <w:rPr>
          <w:rFonts w:cs="Arial"/>
        </w:rPr>
        <w:t xml:space="preserve">(16,8 %) případů nižší. </w:t>
      </w:r>
      <w:r w:rsidR="005A6E76">
        <w:rPr>
          <w:rFonts w:cs="Arial"/>
        </w:rPr>
        <w:t xml:space="preserve">To potvrzuje i relativní ukazatel. </w:t>
      </w:r>
      <w:r>
        <w:rPr>
          <w:rFonts w:cs="Arial"/>
        </w:rPr>
        <w:t xml:space="preserve">Zatímco ještě v roce </w:t>
      </w:r>
      <w:r w:rsidR="005A6E76">
        <w:rPr>
          <w:rFonts w:cs="Arial"/>
        </w:rPr>
        <w:t xml:space="preserve">2008 </w:t>
      </w:r>
      <w:r>
        <w:rPr>
          <w:rFonts w:cs="Arial"/>
        </w:rPr>
        <w:t xml:space="preserve">připadalo na 100 pojištěnců téměř </w:t>
      </w:r>
      <w:r w:rsidR="005A6E76">
        <w:rPr>
          <w:rFonts w:cs="Arial"/>
        </w:rPr>
        <w:t xml:space="preserve">50 </w:t>
      </w:r>
      <w:r>
        <w:rPr>
          <w:rFonts w:cs="Arial"/>
        </w:rPr>
        <w:t xml:space="preserve">případů pracovní neschopnosti, v letech 2010–2014 to </w:t>
      </w:r>
      <w:r w:rsidR="005A6E76">
        <w:rPr>
          <w:rFonts w:cs="Arial"/>
        </w:rPr>
        <w:t>bylo okolo 30 případů.</w:t>
      </w:r>
      <w:r>
        <w:rPr>
          <w:rFonts w:cs="Arial"/>
        </w:rPr>
        <w:t xml:space="preserve"> V roce 2018 připadalo na 100 pojištěnců 39,1 </w:t>
      </w:r>
      <w:r w:rsidR="005A6E76">
        <w:rPr>
          <w:rFonts w:cs="Arial"/>
        </w:rPr>
        <w:t xml:space="preserve">hlášení </w:t>
      </w:r>
      <w:r>
        <w:rPr>
          <w:rFonts w:cs="Arial"/>
        </w:rPr>
        <w:t>pracovní neschopnosti.</w:t>
      </w:r>
      <w:r w:rsidR="000707F1">
        <w:rPr>
          <w:rFonts w:cs="Arial"/>
        </w:rPr>
        <w:t xml:space="preserve"> Jen mezi roky 2008–2013 došlo k poklesu počtu nově hlášených případů o necelý milion. </w:t>
      </w:r>
    </w:p>
    <w:p w14:paraId="0D867DA1" w14:textId="071B6A67" w:rsidR="00A84595" w:rsidRPr="00A84595" w:rsidRDefault="00A84595" w:rsidP="00A84595">
      <w:pPr>
        <w:pStyle w:val="Titulek"/>
        <w:keepNext/>
        <w:jc w:val="both"/>
        <w:rPr>
          <w:b/>
          <w:i w:val="0"/>
          <w:color w:val="auto"/>
          <w:sz w:val="20"/>
        </w:rPr>
      </w:pPr>
      <w:r w:rsidRPr="00A84595">
        <w:rPr>
          <w:b/>
          <w:i w:val="0"/>
          <w:color w:val="auto"/>
          <w:sz w:val="20"/>
        </w:rPr>
        <w:lastRenderedPageBreak/>
        <w:t xml:space="preserve">Graf </w:t>
      </w:r>
      <w:r w:rsidRPr="00A84595">
        <w:rPr>
          <w:b/>
          <w:i w:val="0"/>
          <w:color w:val="auto"/>
          <w:sz w:val="20"/>
        </w:rPr>
        <w:fldChar w:fldCharType="begin"/>
      </w:r>
      <w:r w:rsidRPr="00A84595">
        <w:rPr>
          <w:b/>
          <w:i w:val="0"/>
          <w:color w:val="auto"/>
          <w:sz w:val="20"/>
        </w:rPr>
        <w:instrText xml:space="preserve"> SEQ Graf \* ARABIC </w:instrText>
      </w:r>
      <w:r w:rsidRPr="00A84595">
        <w:rPr>
          <w:b/>
          <w:i w:val="0"/>
          <w:color w:val="auto"/>
          <w:sz w:val="20"/>
        </w:rPr>
        <w:fldChar w:fldCharType="separate"/>
      </w:r>
      <w:r w:rsidR="004426F5">
        <w:rPr>
          <w:b/>
          <w:i w:val="0"/>
          <w:noProof/>
          <w:color w:val="auto"/>
          <w:sz w:val="20"/>
        </w:rPr>
        <w:t>2</w:t>
      </w:r>
      <w:r w:rsidRPr="00A84595">
        <w:rPr>
          <w:b/>
          <w:i w:val="0"/>
          <w:color w:val="auto"/>
          <w:sz w:val="20"/>
        </w:rPr>
        <w:fldChar w:fldCharType="end"/>
      </w:r>
      <w:r w:rsidRPr="00A84595">
        <w:rPr>
          <w:b/>
          <w:i w:val="0"/>
          <w:color w:val="auto"/>
          <w:sz w:val="20"/>
        </w:rPr>
        <w:t>.1</w:t>
      </w:r>
      <w:r>
        <w:rPr>
          <w:b/>
          <w:i w:val="0"/>
          <w:color w:val="auto"/>
          <w:sz w:val="20"/>
        </w:rPr>
        <w:t>:</w:t>
      </w:r>
      <w:r w:rsidRPr="00A84595">
        <w:rPr>
          <w:b/>
          <w:i w:val="0"/>
          <w:color w:val="auto"/>
          <w:sz w:val="20"/>
        </w:rPr>
        <w:t xml:space="preserve"> Nově hlášené případy dočasné pracovní neschopnosti </w:t>
      </w:r>
      <w:r w:rsidR="0014571B">
        <w:rPr>
          <w:b/>
          <w:i w:val="0"/>
          <w:color w:val="auto"/>
          <w:sz w:val="20"/>
        </w:rPr>
        <w:t xml:space="preserve">podle příčin </w:t>
      </w:r>
      <w:r w:rsidRPr="00A84595">
        <w:rPr>
          <w:b/>
          <w:i w:val="0"/>
          <w:color w:val="auto"/>
          <w:sz w:val="20"/>
        </w:rPr>
        <w:t>v roce 2018</w:t>
      </w:r>
    </w:p>
    <w:p w14:paraId="3A25CF15" w14:textId="0883400F" w:rsidR="006E0354" w:rsidRDefault="009C37BE" w:rsidP="00D112A7">
      <w:pPr>
        <w:jc w:val="both"/>
      </w:pPr>
      <w:r>
        <w:rPr>
          <w:noProof/>
        </w:rPr>
        <w:drawing>
          <wp:inline distT="0" distB="0" distL="0" distR="0" wp14:anchorId="12A818B9" wp14:editId="2C44DAB4">
            <wp:extent cx="2924175" cy="257175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2E3D4176" wp14:editId="5B6CA09A">
            <wp:extent cx="3114675" cy="257175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A5112D" w14:textId="1966DCF0" w:rsidR="00A84595" w:rsidRDefault="00A84595" w:rsidP="00A84595">
      <w:pPr>
        <w:spacing w:after="0"/>
        <w:rPr>
          <w:sz w:val="18"/>
        </w:rPr>
      </w:pPr>
      <w:r w:rsidRPr="00BC3FF5">
        <w:rPr>
          <w:sz w:val="18"/>
        </w:rPr>
        <w:t>Zdroj: ČSÚ</w:t>
      </w:r>
    </w:p>
    <w:p w14:paraId="69FF3DDA" w14:textId="5226FE15" w:rsidR="009C37BE" w:rsidRDefault="009C37BE" w:rsidP="00A84595">
      <w:pPr>
        <w:spacing w:after="0"/>
        <w:rPr>
          <w:sz w:val="18"/>
        </w:rPr>
      </w:pPr>
    </w:p>
    <w:p w14:paraId="5A4C6A8C" w14:textId="2D7135F2" w:rsidR="009C694A" w:rsidRDefault="009C694A" w:rsidP="008A7BFD">
      <w:pPr>
        <w:jc w:val="both"/>
        <w:rPr>
          <w:rFonts w:cs="Arial"/>
        </w:rPr>
      </w:pPr>
      <w:r w:rsidRPr="00722773">
        <w:rPr>
          <w:rFonts w:cs="Arial"/>
          <w:b/>
        </w:rPr>
        <w:t>Dopad legislativních změn</w:t>
      </w:r>
      <w:r>
        <w:rPr>
          <w:rFonts w:cs="Arial"/>
        </w:rPr>
        <w:t xml:space="preserve"> na četnost</w:t>
      </w:r>
      <w:r w:rsidRPr="00AD787C">
        <w:rPr>
          <w:rFonts w:cs="Arial"/>
        </w:rPr>
        <w:t xml:space="preserve"> případů pracovní neschopnosti </w:t>
      </w:r>
      <w:r>
        <w:rPr>
          <w:rFonts w:cs="Arial"/>
        </w:rPr>
        <w:t xml:space="preserve">je zřejmý </w:t>
      </w:r>
      <w:r w:rsidR="005A6E76">
        <w:rPr>
          <w:rFonts w:cs="Arial"/>
        </w:rPr>
        <w:t>zejm</w:t>
      </w:r>
      <w:r w:rsidR="001033B0">
        <w:rPr>
          <w:rFonts w:cs="Arial"/>
        </w:rPr>
        <w:t>éna</w:t>
      </w:r>
      <w:r w:rsidR="005A6E76">
        <w:rPr>
          <w:rFonts w:cs="Arial"/>
        </w:rPr>
        <w:t xml:space="preserve"> </w:t>
      </w:r>
      <w:r>
        <w:rPr>
          <w:rFonts w:cs="Arial"/>
        </w:rPr>
        <w:t>na vývoji počtu</w:t>
      </w:r>
      <w:r w:rsidRPr="00AD787C">
        <w:rPr>
          <w:rFonts w:cs="Arial"/>
        </w:rPr>
        <w:t xml:space="preserve"> případ</w:t>
      </w:r>
      <w:r>
        <w:rPr>
          <w:rFonts w:cs="Arial"/>
        </w:rPr>
        <w:t>ů</w:t>
      </w:r>
      <w:r w:rsidRPr="00AD787C">
        <w:rPr>
          <w:rFonts w:cs="Arial"/>
        </w:rPr>
        <w:t xml:space="preserve"> pracovní neschopnosti pro nemoc, počty případů pracovní neschopnosti pro pracovní i ostatní úrazy jsou </w:t>
      </w:r>
      <w:r>
        <w:rPr>
          <w:rFonts w:cs="Arial"/>
        </w:rPr>
        <w:t>těmito změnami</w:t>
      </w:r>
      <w:r w:rsidRPr="00AD787C">
        <w:rPr>
          <w:rFonts w:cs="Arial"/>
        </w:rPr>
        <w:t xml:space="preserve"> ovlivněny méně. Legislativní úpravy ve vyplácení dávek nemocenského se nejvíce projevují v četnosti případů méně závažných a krátkodobých pracovních neschopností, například u nemoc</w:t>
      </w:r>
      <w:r>
        <w:rPr>
          <w:rFonts w:cs="Arial"/>
        </w:rPr>
        <w:t>í</w:t>
      </w:r>
      <w:r w:rsidRPr="00AD787C">
        <w:rPr>
          <w:rFonts w:cs="Arial"/>
        </w:rPr>
        <w:t xml:space="preserve"> dýchacích cest (běžná nachlazení, záněty horních cest dýchacích apod.). Tato onemocnění </w:t>
      </w:r>
      <w:r>
        <w:rPr>
          <w:rFonts w:cs="Arial"/>
        </w:rPr>
        <w:t>začali zaměstnanci ve většině případů</w:t>
      </w:r>
      <w:r w:rsidRPr="00AD787C">
        <w:rPr>
          <w:rFonts w:cs="Arial"/>
        </w:rPr>
        <w:t xml:space="preserve"> </w:t>
      </w:r>
      <w:r>
        <w:rPr>
          <w:rFonts w:cs="Arial"/>
        </w:rPr>
        <w:t>řešit</w:t>
      </w:r>
      <w:r w:rsidRPr="00AD787C">
        <w:rPr>
          <w:rFonts w:cs="Arial"/>
        </w:rPr>
        <w:t xml:space="preserve"> jiným způsobem, než návštěvou lékaře a vystavením </w:t>
      </w:r>
      <w:r>
        <w:rPr>
          <w:rFonts w:cs="Arial"/>
        </w:rPr>
        <w:t>tzv. neschopenky</w:t>
      </w:r>
      <w:r w:rsidRPr="00AD787C">
        <w:rPr>
          <w:rFonts w:cs="Arial"/>
        </w:rPr>
        <w:t>. Vzhledem k tomu,</w:t>
      </w:r>
      <w:r w:rsidRPr="00AD787C">
        <w:rPr>
          <w:rFonts w:cs="Arial"/>
          <w:b/>
        </w:rPr>
        <w:t xml:space="preserve"> </w:t>
      </w:r>
      <w:r w:rsidRPr="00AD787C">
        <w:rPr>
          <w:rFonts w:cs="Arial"/>
        </w:rPr>
        <w:t>že</w:t>
      </w:r>
      <w:r w:rsidRPr="00AD787C">
        <w:rPr>
          <w:rFonts w:cs="Arial"/>
          <w:b/>
        </w:rPr>
        <w:t xml:space="preserve"> </w:t>
      </w:r>
      <w:r w:rsidRPr="00AD787C">
        <w:rPr>
          <w:rFonts w:cs="Arial"/>
        </w:rPr>
        <w:t>od roku 2008</w:t>
      </w:r>
      <w:r>
        <w:rPr>
          <w:rFonts w:cs="Arial"/>
        </w:rPr>
        <w:t xml:space="preserve"> (pouze 1. pololetí roku)</w:t>
      </w:r>
      <w:r w:rsidRPr="00AD787C">
        <w:rPr>
          <w:rFonts w:cs="Arial"/>
        </w:rPr>
        <w:t xml:space="preserve">, resp. </w:t>
      </w:r>
      <w:r>
        <w:rPr>
          <w:rFonts w:cs="Arial"/>
        </w:rPr>
        <w:t xml:space="preserve">od 1. 1. </w:t>
      </w:r>
      <w:r w:rsidRPr="00AD787C">
        <w:rPr>
          <w:rFonts w:cs="Arial"/>
        </w:rPr>
        <w:t>2009,</w:t>
      </w:r>
      <w:r w:rsidRPr="00AD787C">
        <w:rPr>
          <w:rFonts w:cs="Arial"/>
          <w:b/>
        </w:rPr>
        <w:t xml:space="preserve"> </w:t>
      </w:r>
      <w:r w:rsidRPr="00AD787C">
        <w:rPr>
          <w:rFonts w:cs="Arial"/>
        </w:rPr>
        <w:t>b</w:t>
      </w:r>
      <w:r>
        <w:rPr>
          <w:rFonts w:cs="Arial"/>
        </w:rPr>
        <w:t>yla zavedena tzv. karenční doba</w:t>
      </w:r>
      <w:r w:rsidRPr="00AD787C">
        <w:rPr>
          <w:rFonts w:cs="Arial"/>
        </w:rPr>
        <w:t xml:space="preserve"> </w:t>
      </w:r>
      <w:r>
        <w:rPr>
          <w:rFonts w:cs="Arial"/>
        </w:rPr>
        <w:t>(</w:t>
      </w:r>
      <w:r w:rsidRPr="00AD787C">
        <w:rPr>
          <w:rFonts w:cs="Arial"/>
        </w:rPr>
        <w:t>za první tři dny pracovní neschopnost</w:t>
      </w:r>
      <w:r>
        <w:rPr>
          <w:rFonts w:cs="Arial"/>
        </w:rPr>
        <w:t>i nepřísluší zaměstnanci náhrada</w:t>
      </w:r>
      <w:r w:rsidRPr="00AD787C">
        <w:rPr>
          <w:rFonts w:cs="Arial"/>
        </w:rPr>
        <w:t xml:space="preserve"> mzdy nebo platu</w:t>
      </w:r>
      <w:r>
        <w:rPr>
          <w:rFonts w:cs="Arial"/>
        </w:rPr>
        <w:t>)</w:t>
      </w:r>
      <w:r w:rsidRPr="00AD787C">
        <w:rPr>
          <w:rFonts w:cs="Arial"/>
        </w:rPr>
        <w:t xml:space="preserve">, v některých případech lidé raději </w:t>
      </w:r>
      <w:r>
        <w:rPr>
          <w:rFonts w:cs="Arial"/>
        </w:rPr>
        <w:t>situaci řeší</w:t>
      </w:r>
      <w:r w:rsidRPr="00AD787C">
        <w:rPr>
          <w:rFonts w:cs="Arial"/>
        </w:rPr>
        <w:t xml:space="preserve"> </w:t>
      </w:r>
      <w:r>
        <w:rPr>
          <w:rFonts w:cs="Arial"/>
        </w:rPr>
        <w:t xml:space="preserve">krátkodobou </w:t>
      </w:r>
      <w:r w:rsidRPr="00AD787C">
        <w:rPr>
          <w:rFonts w:cs="Arial"/>
        </w:rPr>
        <w:t>dovolenou</w:t>
      </w:r>
      <w:r>
        <w:rPr>
          <w:rFonts w:cs="Arial"/>
        </w:rPr>
        <w:t>, příp.</w:t>
      </w:r>
      <w:r w:rsidRPr="00AD787C">
        <w:rPr>
          <w:rFonts w:cs="Arial"/>
        </w:rPr>
        <w:t xml:space="preserve"> </w:t>
      </w:r>
      <w:r>
        <w:rPr>
          <w:rFonts w:cs="Arial"/>
        </w:rPr>
        <w:t xml:space="preserve">pomocí tzv. </w:t>
      </w:r>
      <w:r w:rsidRPr="00AD787C">
        <w:rPr>
          <w:rFonts w:cs="Arial"/>
          <w:lang w:val="en-US"/>
        </w:rPr>
        <w:t>sick days</w:t>
      </w:r>
      <w:r>
        <w:rPr>
          <w:rFonts w:cs="Arial"/>
        </w:rPr>
        <w:t>. Tyto placené dny zdravotního volna patří k zaměstnaneckým benefitům stále většího počtu zaměstnavatelů a objevila se i snaha uzákonit je jako povinné</w:t>
      </w:r>
      <w:r w:rsidRPr="00AD787C">
        <w:rPr>
          <w:rFonts w:cs="Arial"/>
        </w:rPr>
        <w:t>.</w:t>
      </w:r>
    </w:p>
    <w:p w14:paraId="448AB27F" w14:textId="77777777" w:rsidR="000A65CA" w:rsidRDefault="000A65CA" w:rsidP="000A65CA">
      <w:pPr>
        <w:jc w:val="both"/>
        <w:rPr>
          <w:rFonts w:cs="Arial"/>
        </w:rPr>
      </w:pPr>
      <w:r>
        <w:rPr>
          <w:rFonts w:cs="Arial"/>
        </w:rPr>
        <w:t>Vliv uvedených legislativních změn na vývoj pracovní neschopnosti je patrný z grafu 2.2 – v roce 2009 došlo k rapidnímu poklesu počtu případů pracovní neschopnosti (zejm. z důvodu nemoci), který se zastavil až v roce 2013, kdy hodnoty tohoto ukazatele nabraly mírně vzrůstající tendenci.</w:t>
      </w:r>
    </w:p>
    <w:p w14:paraId="17EE8589" w14:textId="7A6372E6" w:rsidR="000A65CA" w:rsidRDefault="000A65CA" w:rsidP="000A65CA">
      <w:pPr>
        <w:jc w:val="both"/>
        <w:rPr>
          <w:rFonts w:cs="Arial"/>
        </w:rPr>
      </w:pPr>
      <w:r>
        <w:rPr>
          <w:rFonts w:cs="Arial"/>
        </w:rPr>
        <w:t xml:space="preserve">Nejvíce nových případů dočasné pracovní neschopnosti bylo v roce 2018 nahlášeno v subjektech, které dle </w:t>
      </w:r>
      <w:r w:rsidRPr="00722773">
        <w:rPr>
          <w:rFonts w:cs="Arial"/>
          <w:b/>
        </w:rPr>
        <w:t>převažující ekonomické činnosti</w:t>
      </w:r>
      <w:r>
        <w:rPr>
          <w:rFonts w:cs="Arial"/>
        </w:rPr>
        <w:t xml:space="preserve"> spadají do odvětvové sekce Zpracovatelský průmysl (645 tis. případů) a</w:t>
      </w:r>
      <w:r w:rsidR="00F547BE">
        <w:rPr>
          <w:rFonts w:cs="Arial"/>
        </w:rPr>
        <w:t> </w:t>
      </w:r>
      <w:r>
        <w:rPr>
          <w:rFonts w:cs="Arial"/>
        </w:rPr>
        <w:t>Velkoobchod a maloobchod, opravy a údržba motorových vozidel (237 tis. případů). Naopak nejméně bylo v absolutních číslech hlášeno v odvětvové sekci Těžba a dobývání (10,4 tis.) a Výroba a rozvod elektřiny a</w:t>
      </w:r>
      <w:r w:rsidR="00F547BE">
        <w:rPr>
          <w:rFonts w:cs="Arial"/>
        </w:rPr>
        <w:t> </w:t>
      </w:r>
      <w:r>
        <w:rPr>
          <w:rFonts w:cs="Arial"/>
        </w:rPr>
        <w:t>jiných energií (10,9 tis.). Absolutní počty nově hlášených případů jsou ovšem ovlivněny odvětvovou strukturou národního hospodářství a zaměstnaností v jednotlivých odvětvích. Z toho důvodu má vyšší vypovídací schopnost již zmíněný relativní ukazatel – počet nově hlášených případů na 100 pojištěnců v daném odvětví.</w:t>
      </w:r>
    </w:p>
    <w:p w14:paraId="5C5F36CC" w14:textId="53F5144B" w:rsidR="000A65CA" w:rsidRPr="00390287" w:rsidRDefault="000A65CA" w:rsidP="008A7BFD">
      <w:pPr>
        <w:jc w:val="both"/>
        <w:rPr>
          <w:rFonts w:cs="Arial"/>
        </w:rPr>
      </w:pPr>
      <w:r>
        <w:rPr>
          <w:rFonts w:cs="Arial"/>
        </w:rPr>
        <w:t xml:space="preserve">Nejvíce případů dočasné pracovní neschopnosti </w:t>
      </w:r>
      <w:r w:rsidRPr="00722773">
        <w:rPr>
          <w:rFonts w:cs="Arial"/>
          <w:b/>
        </w:rPr>
        <w:t>na 100 pojištěnců</w:t>
      </w:r>
      <w:r>
        <w:rPr>
          <w:rFonts w:cs="Arial"/>
        </w:rPr>
        <w:t xml:space="preserve"> bylo zaznamenáno ve Zpracovatelském průmyslu (51,8), následovala oblast Administrativní a podpůrné činnosti (48,6). </w:t>
      </w:r>
      <w:r w:rsidRPr="00BD29D2">
        <w:rPr>
          <w:rFonts w:cs="Arial"/>
        </w:rPr>
        <w:t>Nejméně dočasných pracovních neschopností v přepočtu na 100 pojištěnců bylo evidováno v odvětví Činnosti v oblasti nemovitostí (17,4).</w:t>
      </w:r>
      <w:r>
        <w:rPr>
          <w:rFonts w:cs="Arial"/>
        </w:rPr>
        <w:t xml:space="preserve"> Celorepublikový průměr bez ohledu na ekonomické odvětví činil 39 případů na</w:t>
      </w:r>
      <w:r w:rsidR="00F547BE">
        <w:rPr>
          <w:rFonts w:cs="Arial"/>
        </w:rPr>
        <w:t> </w:t>
      </w:r>
      <w:r>
        <w:rPr>
          <w:rFonts w:cs="Arial"/>
        </w:rPr>
        <w:t>100</w:t>
      </w:r>
      <w:r w:rsidR="00F547BE">
        <w:rPr>
          <w:rFonts w:cs="Arial"/>
        </w:rPr>
        <w:t> </w:t>
      </w:r>
      <w:r>
        <w:rPr>
          <w:rFonts w:cs="Arial"/>
        </w:rPr>
        <w:t>nemocensky pojištěných osob.</w:t>
      </w:r>
    </w:p>
    <w:p w14:paraId="57E41441" w14:textId="1ACC70BA" w:rsidR="008A7BFD" w:rsidRPr="008A7BFD" w:rsidRDefault="008A7BFD" w:rsidP="008A7BFD">
      <w:pPr>
        <w:pStyle w:val="Titulek"/>
        <w:keepNext/>
        <w:rPr>
          <w:b/>
          <w:i w:val="0"/>
          <w:color w:val="auto"/>
          <w:sz w:val="20"/>
        </w:rPr>
      </w:pPr>
      <w:r w:rsidRPr="008A7BFD">
        <w:rPr>
          <w:b/>
          <w:i w:val="0"/>
          <w:color w:val="auto"/>
          <w:sz w:val="20"/>
        </w:rPr>
        <w:lastRenderedPageBreak/>
        <w:t xml:space="preserve">Graf 2.2: Nově hlášené případy dočasné pracovní neschopnosti </w:t>
      </w:r>
      <w:r w:rsidR="002A76E1">
        <w:rPr>
          <w:b/>
          <w:i w:val="0"/>
          <w:color w:val="auto"/>
          <w:sz w:val="20"/>
        </w:rPr>
        <w:t>na 100 pojištěnců</w:t>
      </w:r>
      <w:r w:rsidRPr="008A7BFD">
        <w:rPr>
          <w:b/>
          <w:i w:val="0"/>
          <w:color w:val="auto"/>
          <w:sz w:val="20"/>
        </w:rPr>
        <w:t xml:space="preserve"> v letech </w:t>
      </w:r>
      <w:r w:rsidRPr="009B08CF">
        <w:rPr>
          <w:b/>
          <w:i w:val="0"/>
          <w:color w:val="auto"/>
          <w:sz w:val="20"/>
        </w:rPr>
        <w:t>200</w:t>
      </w:r>
      <w:r w:rsidR="009B08CF" w:rsidRPr="009B08CF">
        <w:rPr>
          <w:b/>
          <w:i w:val="0"/>
          <w:color w:val="auto"/>
          <w:sz w:val="20"/>
        </w:rPr>
        <w:t>8</w:t>
      </w:r>
      <w:r w:rsidR="002A76E1">
        <w:rPr>
          <w:b/>
          <w:i w:val="0"/>
          <w:color w:val="auto"/>
          <w:sz w:val="20"/>
        </w:rPr>
        <w:t>–2018</w:t>
      </w:r>
    </w:p>
    <w:p w14:paraId="39B78B2E" w14:textId="047BED74" w:rsidR="009C37BE" w:rsidRDefault="00230496" w:rsidP="00A84595">
      <w:pPr>
        <w:spacing w:after="0"/>
        <w:rPr>
          <w:sz w:val="18"/>
        </w:rPr>
      </w:pPr>
      <w:r>
        <w:rPr>
          <w:noProof/>
        </w:rPr>
        <w:drawing>
          <wp:inline distT="0" distB="0" distL="0" distR="0" wp14:anchorId="21513B82" wp14:editId="3073136F">
            <wp:extent cx="6153150" cy="2619375"/>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7D774B" w14:textId="77777777" w:rsidR="008A7BFD" w:rsidRDefault="008A7BFD" w:rsidP="008A7BFD">
      <w:pPr>
        <w:spacing w:after="0"/>
        <w:rPr>
          <w:sz w:val="18"/>
        </w:rPr>
      </w:pPr>
      <w:r w:rsidRPr="00BC3FF5">
        <w:rPr>
          <w:sz w:val="18"/>
        </w:rPr>
        <w:t>Zdroj: ČSÚ</w:t>
      </w:r>
    </w:p>
    <w:p w14:paraId="793FB2B6" w14:textId="60D1D8CB" w:rsidR="00A84595" w:rsidRDefault="00A84595" w:rsidP="00D112A7">
      <w:pPr>
        <w:jc w:val="both"/>
      </w:pPr>
    </w:p>
    <w:p w14:paraId="2736A882" w14:textId="24D4AF86" w:rsidR="00E63915" w:rsidRPr="00E63915" w:rsidRDefault="00CC4CD9" w:rsidP="00E63915">
      <w:pPr>
        <w:pStyle w:val="Titulek"/>
        <w:keepNext/>
        <w:jc w:val="both"/>
        <w:rPr>
          <w:b/>
          <w:i w:val="0"/>
          <w:color w:val="auto"/>
          <w:sz w:val="20"/>
        </w:rPr>
      </w:pPr>
      <w:r>
        <w:rPr>
          <w:b/>
          <w:i w:val="0"/>
          <w:color w:val="auto"/>
          <w:sz w:val="20"/>
        </w:rPr>
        <w:t xml:space="preserve">Graf </w:t>
      </w:r>
      <w:r w:rsidR="00E63915" w:rsidRPr="00E63915">
        <w:rPr>
          <w:b/>
          <w:i w:val="0"/>
          <w:color w:val="auto"/>
          <w:sz w:val="20"/>
        </w:rPr>
        <w:t>2.</w:t>
      </w:r>
      <w:r w:rsidR="00E63915" w:rsidRPr="00E63915">
        <w:rPr>
          <w:b/>
          <w:i w:val="0"/>
          <w:color w:val="auto"/>
          <w:sz w:val="20"/>
        </w:rPr>
        <w:fldChar w:fldCharType="begin"/>
      </w:r>
      <w:r w:rsidR="00E63915" w:rsidRPr="00E63915">
        <w:rPr>
          <w:b/>
          <w:i w:val="0"/>
          <w:color w:val="auto"/>
          <w:sz w:val="20"/>
        </w:rPr>
        <w:instrText xml:space="preserve"> SEQ Graf \* ARABIC </w:instrText>
      </w:r>
      <w:r w:rsidR="00E63915" w:rsidRPr="00E63915">
        <w:rPr>
          <w:b/>
          <w:i w:val="0"/>
          <w:color w:val="auto"/>
          <w:sz w:val="20"/>
        </w:rPr>
        <w:fldChar w:fldCharType="separate"/>
      </w:r>
      <w:r w:rsidR="004426F5">
        <w:rPr>
          <w:b/>
          <w:i w:val="0"/>
          <w:noProof/>
          <w:color w:val="auto"/>
          <w:sz w:val="20"/>
        </w:rPr>
        <w:t>3</w:t>
      </w:r>
      <w:r w:rsidR="00E63915" w:rsidRPr="00E63915">
        <w:rPr>
          <w:b/>
          <w:i w:val="0"/>
          <w:color w:val="auto"/>
          <w:sz w:val="20"/>
        </w:rPr>
        <w:fldChar w:fldCharType="end"/>
      </w:r>
      <w:r w:rsidR="00E63915" w:rsidRPr="00E63915">
        <w:rPr>
          <w:b/>
          <w:i w:val="0"/>
          <w:color w:val="auto"/>
          <w:sz w:val="20"/>
        </w:rPr>
        <w:t>: Nově hlášené případy dočasné pracovní neschopnosti na 100 pojištěnců dle odvětví ekonomické činnosti (sekcí CZ-NACE) v roce 2018</w:t>
      </w:r>
    </w:p>
    <w:p w14:paraId="088848C1" w14:textId="06CD1836" w:rsidR="00442D9E" w:rsidRDefault="00BD29D2" w:rsidP="00390287">
      <w:pPr>
        <w:jc w:val="both"/>
        <w:rPr>
          <w:rFonts w:cs="Arial"/>
        </w:rPr>
      </w:pPr>
      <w:r>
        <w:rPr>
          <w:noProof/>
        </w:rPr>
        <w:drawing>
          <wp:inline distT="0" distB="0" distL="0" distR="0" wp14:anchorId="05267FF3" wp14:editId="5274B298">
            <wp:extent cx="6134100" cy="339090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9D3E47" w14:textId="77777777" w:rsidR="00EF1CFD" w:rsidRDefault="00EF1CFD" w:rsidP="00EF1CFD">
      <w:pPr>
        <w:spacing w:after="0"/>
        <w:rPr>
          <w:sz w:val="18"/>
        </w:rPr>
      </w:pPr>
      <w:r w:rsidRPr="00BC3FF5">
        <w:rPr>
          <w:sz w:val="18"/>
        </w:rPr>
        <w:t>Zdroj: ČSÚ</w:t>
      </w:r>
    </w:p>
    <w:p w14:paraId="5723AD6F" w14:textId="77777777" w:rsidR="00C11C1F" w:rsidRDefault="00C11C1F" w:rsidP="00EF1CFD">
      <w:pPr>
        <w:jc w:val="both"/>
        <w:rPr>
          <w:rFonts w:cs="Arial"/>
        </w:rPr>
      </w:pPr>
    </w:p>
    <w:p w14:paraId="5B81F6DD" w14:textId="7455AACC" w:rsidR="00EF1CFD" w:rsidRPr="00EF1CFD" w:rsidRDefault="00EF1CFD" w:rsidP="00EF1CFD">
      <w:pPr>
        <w:jc w:val="both"/>
        <w:rPr>
          <w:rFonts w:cs="Arial"/>
        </w:rPr>
      </w:pPr>
      <w:r>
        <w:rPr>
          <w:rFonts w:cs="Arial"/>
        </w:rPr>
        <w:t xml:space="preserve">Nejvíce případů dočasné pracovní neschopnosti na 100 pojištěnců </w:t>
      </w:r>
      <w:r w:rsidRPr="00722773">
        <w:rPr>
          <w:rFonts w:cs="Arial"/>
          <w:b/>
        </w:rPr>
        <w:t>pro pracovní úraz</w:t>
      </w:r>
      <w:r>
        <w:rPr>
          <w:rFonts w:cs="Arial"/>
        </w:rPr>
        <w:t>, což je možné chápat jako ukazatel vyjadřující „stupeň rizikovosti“ daného odvětví, bylo evidováno u oblasti Zemědělství, lesnictví a rybářství (2,4), následováno oblastí Zásobování vodou, činnosti související s odpadními vodami, odpady a</w:t>
      </w:r>
      <w:r w:rsidR="00F547BE">
        <w:rPr>
          <w:rFonts w:cs="Arial"/>
        </w:rPr>
        <w:t> </w:t>
      </w:r>
      <w:r>
        <w:rPr>
          <w:rFonts w:cs="Arial"/>
        </w:rPr>
        <w:t>sanacemi (1,8) a oblastí Těžba a dobývání (1,7).</w:t>
      </w:r>
      <w:r w:rsidR="0070066F">
        <w:rPr>
          <w:rFonts w:cs="Arial"/>
        </w:rPr>
        <w:t xml:space="preserve"> Naproti tomu nejméně pracovních úrazů bylo zaznamenáno v Peněžnictví a pojišťovnictví a u Informačních a komunikačních činností (obojí 0,1). Průměrně za všechna odvětví připadal na 100 pojištěnců 1 pracovní úraz.</w:t>
      </w:r>
    </w:p>
    <w:p w14:paraId="7312DAF6" w14:textId="51EA68F0" w:rsidR="00EF1CFD" w:rsidRDefault="00EF1CFD" w:rsidP="00EF1CFD">
      <w:pPr>
        <w:jc w:val="both"/>
        <w:rPr>
          <w:rFonts w:cs="Arial"/>
        </w:rPr>
      </w:pPr>
      <w:r w:rsidRPr="000879D5">
        <w:rPr>
          <w:rFonts w:cs="Arial"/>
        </w:rPr>
        <w:lastRenderedPageBreak/>
        <w:t>Vývoj hodnot ukazatele počet případů pracovní neschopnosti na 100 pojištěnců v jednotlivých odvětvích je zřejmý z tabulky 2.2</w:t>
      </w:r>
      <w:r w:rsidR="008847E1">
        <w:rPr>
          <w:rFonts w:cs="Arial"/>
        </w:rPr>
        <w:t xml:space="preserve">. </w:t>
      </w:r>
      <w:r w:rsidR="00722773">
        <w:rPr>
          <w:rFonts w:cs="Arial"/>
        </w:rPr>
        <w:t xml:space="preserve">V posledních deseti letech </w:t>
      </w:r>
      <w:r w:rsidR="008847E1">
        <w:rPr>
          <w:rFonts w:cs="Arial"/>
        </w:rPr>
        <w:t>došlo k nárůstu počtu hlášených případů v přepočtu na</w:t>
      </w:r>
      <w:r w:rsidR="00F547BE">
        <w:rPr>
          <w:rFonts w:cs="Arial"/>
        </w:rPr>
        <w:t> </w:t>
      </w:r>
      <w:r w:rsidR="008847E1">
        <w:rPr>
          <w:rFonts w:cs="Arial"/>
        </w:rPr>
        <w:t>100</w:t>
      </w:r>
      <w:r w:rsidR="00F547BE">
        <w:rPr>
          <w:rFonts w:cs="Arial"/>
        </w:rPr>
        <w:t> </w:t>
      </w:r>
      <w:r w:rsidR="008847E1">
        <w:rPr>
          <w:rFonts w:cs="Arial"/>
        </w:rPr>
        <w:t xml:space="preserve">pojištěnců ze 34 případů </w:t>
      </w:r>
      <w:r w:rsidR="00722773">
        <w:rPr>
          <w:rFonts w:cs="Arial"/>
        </w:rPr>
        <w:t xml:space="preserve">v roce 2009 </w:t>
      </w:r>
      <w:r w:rsidR="008847E1">
        <w:rPr>
          <w:rFonts w:cs="Arial"/>
        </w:rPr>
        <w:t>na 39 v roce 2018. N</w:t>
      </w:r>
      <w:r w:rsidRPr="000879D5">
        <w:rPr>
          <w:rFonts w:cs="Arial"/>
        </w:rPr>
        <w:t>ej</w:t>
      </w:r>
      <w:r w:rsidR="008D2084" w:rsidRPr="000879D5">
        <w:rPr>
          <w:rFonts w:cs="Arial"/>
        </w:rPr>
        <w:t>dynamičtější</w:t>
      </w:r>
      <w:r w:rsidRPr="000879D5">
        <w:rPr>
          <w:rFonts w:cs="Arial"/>
        </w:rPr>
        <w:t xml:space="preserve"> nárůst</w:t>
      </w:r>
      <w:r w:rsidR="000E27AF" w:rsidRPr="000879D5">
        <w:rPr>
          <w:rFonts w:cs="Arial"/>
        </w:rPr>
        <w:t xml:space="preserve"> mezi </w:t>
      </w:r>
      <w:r w:rsidR="008847E1">
        <w:rPr>
          <w:rFonts w:cs="Arial"/>
        </w:rPr>
        <w:t>lety</w:t>
      </w:r>
      <w:r w:rsidR="000E27AF" w:rsidRPr="000879D5">
        <w:rPr>
          <w:rFonts w:cs="Arial"/>
        </w:rPr>
        <w:t xml:space="preserve"> </w:t>
      </w:r>
      <w:r w:rsidR="00E252E5">
        <w:rPr>
          <w:rFonts w:cs="Arial"/>
        </w:rPr>
        <w:br/>
      </w:r>
      <w:r w:rsidR="000E27AF" w:rsidRPr="000879D5">
        <w:rPr>
          <w:rFonts w:cs="Arial"/>
        </w:rPr>
        <w:t>2009–2018</w:t>
      </w:r>
      <w:r w:rsidRPr="000879D5">
        <w:rPr>
          <w:rFonts w:cs="Arial"/>
        </w:rPr>
        <w:t xml:space="preserve"> </w:t>
      </w:r>
      <w:r w:rsidR="008D2084" w:rsidRPr="000879D5">
        <w:rPr>
          <w:rFonts w:cs="Arial"/>
        </w:rPr>
        <w:t>je patrný</w:t>
      </w:r>
      <w:r w:rsidRPr="000879D5">
        <w:rPr>
          <w:rFonts w:cs="Arial"/>
        </w:rPr>
        <w:t xml:space="preserve"> v odvětví </w:t>
      </w:r>
      <w:r w:rsidR="000E27AF" w:rsidRPr="000879D5">
        <w:rPr>
          <w:rFonts w:cs="Arial"/>
        </w:rPr>
        <w:t>Výroba a rozvod elektřiny, plynu, tepl</w:t>
      </w:r>
      <w:r w:rsidR="000879D5" w:rsidRPr="000879D5">
        <w:rPr>
          <w:rFonts w:cs="Arial"/>
        </w:rPr>
        <w:t>a a klimatizovaného vzduchu (ze</w:t>
      </w:r>
      <w:r w:rsidR="00E252E5">
        <w:rPr>
          <w:rFonts w:cs="Arial"/>
        </w:rPr>
        <w:t> </w:t>
      </w:r>
      <w:r w:rsidR="000E27AF" w:rsidRPr="000879D5">
        <w:rPr>
          <w:rFonts w:cs="Arial"/>
        </w:rPr>
        <w:t>20,9</w:t>
      </w:r>
      <w:r w:rsidR="00E252E5">
        <w:rPr>
          <w:rFonts w:cs="Arial"/>
        </w:rPr>
        <w:t> </w:t>
      </w:r>
      <w:r w:rsidR="000E27AF" w:rsidRPr="000879D5">
        <w:rPr>
          <w:rFonts w:cs="Arial"/>
        </w:rPr>
        <w:t>případů na</w:t>
      </w:r>
      <w:r w:rsidR="00F547BE">
        <w:rPr>
          <w:rFonts w:cs="Arial"/>
        </w:rPr>
        <w:t> </w:t>
      </w:r>
      <w:r w:rsidR="000E27AF" w:rsidRPr="000879D5">
        <w:rPr>
          <w:rFonts w:cs="Arial"/>
        </w:rPr>
        <w:t>100</w:t>
      </w:r>
      <w:r w:rsidR="00F547BE">
        <w:rPr>
          <w:rFonts w:cs="Arial"/>
        </w:rPr>
        <w:t> </w:t>
      </w:r>
      <w:r w:rsidR="000E27AF" w:rsidRPr="000879D5">
        <w:rPr>
          <w:rFonts w:cs="Arial"/>
        </w:rPr>
        <w:t>pojištěnců na začátku sledovaného období na 29 případů v roce 2018 – tj. nárůst o</w:t>
      </w:r>
      <w:r w:rsidR="00E252E5">
        <w:rPr>
          <w:rFonts w:cs="Arial"/>
        </w:rPr>
        <w:t> </w:t>
      </w:r>
      <w:r w:rsidR="000E27AF" w:rsidRPr="000879D5">
        <w:rPr>
          <w:rFonts w:cs="Arial"/>
        </w:rPr>
        <w:t xml:space="preserve">39 %). </w:t>
      </w:r>
      <w:r w:rsidR="00676681" w:rsidRPr="000879D5">
        <w:rPr>
          <w:rFonts w:cs="Arial"/>
        </w:rPr>
        <w:t xml:space="preserve">Přibylo </w:t>
      </w:r>
      <w:r w:rsidR="000879D5" w:rsidRPr="000879D5">
        <w:rPr>
          <w:rFonts w:cs="Arial"/>
        </w:rPr>
        <w:t xml:space="preserve">také </w:t>
      </w:r>
      <w:r w:rsidR="00676681" w:rsidRPr="000879D5">
        <w:rPr>
          <w:rFonts w:cs="Arial"/>
        </w:rPr>
        <w:t>pracovníků</w:t>
      </w:r>
      <w:r w:rsidR="000879D5" w:rsidRPr="000879D5">
        <w:rPr>
          <w:rFonts w:cs="Arial"/>
        </w:rPr>
        <w:t xml:space="preserve"> dočasně práce neschopných v odvětví </w:t>
      </w:r>
      <w:r w:rsidRPr="000879D5">
        <w:rPr>
          <w:rFonts w:cs="Arial"/>
        </w:rPr>
        <w:t>Administrativní a podpůrné činnosti (z 37,7</w:t>
      </w:r>
      <w:r w:rsidR="00E252E5">
        <w:rPr>
          <w:rFonts w:cs="Arial"/>
        </w:rPr>
        <w:t> </w:t>
      </w:r>
      <w:r w:rsidRPr="000879D5">
        <w:rPr>
          <w:rFonts w:cs="Arial"/>
        </w:rPr>
        <w:t>případů na 100 pojištěnců v roce 2009 na 48,6 případů v roce 201</w:t>
      </w:r>
      <w:r w:rsidR="000E27AF" w:rsidRPr="000879D5">
        <w:rPr>
          <w:rFonts w:cs="Arial"/>
        </w:rPr>
        <w:t>8</w:t>
      </w:r>
      <w:r w:rsidRPr="000879D5">
        <w:rPr>
          <w:rFonts w:cs="Arial"/>
        </w:rPr>
        <w:t>) a v odvětví Zpracovatelský průmysl (ze</w:t>
      </w:r>
      <w:r w:rsidR="00F547BE">
        <w:rPr>
          <w:rFonts w:cs="Arial"/>
        </w:rPr>
        <w:t> </w:t>
      </w:r>
      <w:r w:rsidRPr="000879D5">
        <w:rPr>
          <w:rFonts w:cs="Arial"/>
        </w:rPr>
        <w:t>40,2</w:t>
      </w:r>
      <w:r w:rsidR="00F547BE">
        <w:rPr>
          <w:rFonts w:cs="Arial"/>
        </w:rPr>
        <w:t> </w:t>
      </w:r>
      <w:r w:rsidRPr="000879D5">
        <w:rPr>
          <w:rFonts w:cs="Arial"/>
        </w:rPr>
        <w:t xml:space="preserve">případů na 100 pojištěnců v roce 2009 na </w:t>
      </w:r>
      <w:r w:rsidR="000E27AF" w:rsidRPr="000879D5">
        <w:rPr>
          <w:rFonts w:cs="Arial"/>
        </w:rPr>
        <w:t>51,8</w:t>
      </w:r>
      <w:r w:rsidRPr="000879D5">
        <w:rPr>
          <w:rFonts w:cs="Arial"/>
        </w:rPr>
        <w:t xml:space="preserve"> případů v roce 201</w:t>
      </w:r>
      <w:r w:rsidR="000E27AF" w:rsidRPr="000879D5">
        <w:rPr>
          <w:rFonts w:cs="Arial"/>
        </w:rPr>
        <w:t>8</w:t>
      </w:r>
      <w:r w:rsidR="000879D5" w:rsidRPr="000879D5">
        <w:rPr>
          <w:rFonts w:cs="Arial"/>
        </w:rPr>
        <w:t xml:space="preserve"> – v obou odvětvích shodně o</w:t>
      </w:r>
      <w:r w:rsidR="00F547BE">
        <w:rPr>
          <w:rFonts w:cs="Arial"/>
        </w:rPr>
        <w:t> </w:t>
      </w:r>
      <w:r w:rsidR="000879D5" w:rsidRPr="000879D5">
        <w:rPr>
          <w:rFonts w:cs="Arial"/>
        </w:rPr>
        <w:t>29</w:t>
      </w:r>
      <w:r w:rsidR="00F547BE">
        <w:rPr>
          <w:rFonts w:cs="Arial"/>
        </w:rPr>
        <w:t> </w:t>
      </w:r>
      <w:r w:rsidR="000879D5" w:rsidRPr="000879D5">
        <w:rPr>
          <w:rFonts w:cs="Arial"/>
        </w:rPr>
        <w:t>% více hlášení). N</w:t>
      </w:r>
      <w:r w:rsidRPr="000879D5">
        <w:rPr>
          <w:rFonts w:cs="Arial"/>
        </w:rPr>
        <w:t xml:space="preserve">aopak největší pokles </w:t>
      </w:r>
      <w:r w:rsidR="000879D5" w:rsidRPr="000879D5">
        <w:rPr>
          <w:rFonts w:cs="Arial"/>
        </w:rPr>
        <w:t xml:space="preserve">byl zaznamenán </w:t>
      </w:r>
      <w:r w:rsidRPr="000879D5">
        <w:rPr>
          <w:rFonts w:cs="Arial"/>
        </w:rPr>
        <w:t>v odvětví Činnosti v oblasti nemovitostí (z</w:t>
      </w:r>
      <w:r w:rsidR="00F547BE">
        <w:rPr>
          <w:rFonts w:cs="Arial"/>
        </w:rPr>
        <w:t> </w:t>
      </w:r>
      <w:r w:rsidRPr="000879D5">
        <w:rPr>
          <w:rFonts w:cs="Arial"/>
        </w:rPr>
        <w:t>23,6 případů na 1</w:t>
      </w:r>
      <w:r w:rsidR="000879D5" w:rsidRPr="000879D5">
        <w:rPr>
          <w:rFonts w:cs="Arial"/>
        </w:rPr>
        <w:t>00 pojištěnců v roce 2009 na 1</w:t>
      </w:r>
      <w:r w:rsidRPr="000879D5">
        <w:rPr>
          <w:rFonts w:cs="Arial"/>
        </w:rPr>
        <w:t>7</w:t>
      </w:r>
      <w:r w:rsidR="000879D5" w:rsidRPr="000879D5">
        <w:rPr>
          <w:rFonts w:cs="Arial"/>
        </w:rPr>
        <w:t>,4</w:t>
      </w:r>
      <w:r w:rsidRPr="000879D5">
        <w:rPr>
          <w:rFonts w:cs="Arial"/>
        </w:rPr>
        <w:t xml:space="preserve"> případů v roce 201</w:t>
      </w:r>
      <w:r w:rsidR="000879D5" w:rsidRPr="000879D5">
        <w:rPr>
          <w:rFonts w:cs="Arial"/>
        </w:rPr>
        <w:t>8, tj. pokles o 27 %</w:t>
      </w:r>
      <w:r w:rsidRPr="000879D5">
        <w:rPr>
          <w:rFonts w:cs="Arial"/>
        </w:rPr>
        <w:t xml:space="preserve">), </w:t>
      </w:r>
      <w:r w:rsidR="000879D5" w:rsidRPr="000879D5">
        <w:rPr>
          <w:rFonts w:cs="Arial"/>
        </w:rPr>
        <w:t>Informační a</w:t>
      </w:r>
      <w:r w:rsidR="00F547BE">
        <w:rPr>
          <w:rFonts w:cs="Arial"/>
        </w:rPr>
        <w:t> </w:t>
      </w:r>
      <w:r w:rsidR="000879D5" w:rsidRPr="000879D5">
        <w:rPr>
          <w:rFonts w:cs="Arial"/>
        </w:rPr>
        <w:t xml:space="preserve">komunikační činnosti (z 30,2 případů na 100 pojištěnců v roce 2009 na 25,7 případů v roce 2018, tj. 15% úbytek za sledované období). </w:t>
      </w:r>
      <w:r w:rsidRPr="000879D5">
        <w:rPr>
          <w:rFonts w:cs="Arial"/>
        </w:rPr>
        <w:t>Peněžnictví a pojišťovnictví (z 34,3 případů na 100 pojištěnců v roce 2009 na</w:t>
      </w:r>
      <w:r w:rsidR="00F547BE">
        <w:rPr>
          <w:rFonts w:cs="Arial"/>
        </w:rPr>
        <w:t> </w:t>
      </w:r>
      <w:r w:rsidR="000879D5" w:rsidRPr="000879D5">
        <w:rPr>
          <w:rFonts w:cs="Arial"/>
        </w:rPr>
        <w:t>29,4</w:t>
      </w:r>
      <w:r w:rsidRPr="000879D5">
        <w:rPr>
          <w:rFonts w:cs="Arial"/>
        </w:rPr>
        <w:t xml:space="preserve"> případů v roce 201</w:t>
      </w:r>
      <w:r w:rsidR="000879D5" w:rsidRPr="000879D5">
        <w:rPr>
          <w:rFonts w:cs="Arial"/>
        </w:rPr>
        <w:t>8, o 14 % případů méně).</w:t>
      </w:r>
    </w:p>
    <w:p w14:paraId="0D6B68FF" w14:textId="0B5669A0" w:rsidR="008D2084" w:rsidRPr="008D2084" w:rsidRDefault="008D2084" w:rsidP="008D2084">
      <w:pPr>
        <w:pStyle w:val="Titulek"/>
        <w:keepNext/>
        <w:rPr>
          <w:b/>
          <w:i w:val="0"/>
          <w:color w:val="auto"/>
          <w:sz w:val="20"/>
        </w:rPr>
      </w:pPr>
      <w:r w:rsidRPr="008D2084">
        <w:rPr>
          <w:b/>
          <w:i w:val="0"/>
          <w:color w:val="auto"/>
          <w:sz w:val="20"/>
        </w:rPr>
        <w:t>Tab</w:t>
      </w:r>
      <w:r w:rsidR="00381067">
        <w:rPr>
          <w:b/>
          <w:i w:val="0"/>
          <w:color w:val="auto"/>
          <w:sz w:val="20"/>
        </w:rPr>
        <w:t>.</w:t>
      </w:r>
      <w:r w:rsidR="00162BC5">
        <w:rPr>
          <w:b/>
          <w:i w:val="0"/>
          <w:color w:val="auto"/>
          <w:sz w:val="20"/>
        </w:rPr>
        <w:t xml:space="preserve"> 2.</w:t>
      </w:r>
      <w:r w:rsidRPr="008D2084">
        <w:rPr>
          <w:b/>
          <w:i w:val="0"/>
          <w:color w:val="auto"/>
          <w:sz w:val="20"/>
        </w:rPr>
        <w:t>2: Nově hlášené případy dočasné pracovní neschopnosti na 100 pojištěnců dle odvětví ekonomické činnosti v letech 200</w:t>
      </w:r>
      <w:r w:rsidR="00BB700A">
        <w:rPr>
          <w:b/>
          <w:i w:val="0"/>
          <w:color w:val="auto"/>
          <w:sz w:val="20"/>
        </w:rPr>
        <w:t>8</w:t>
      </w:r>
      <w:r w:rsidRPr="008D2084">
        <w:rPr>
          <w:b/>
          <w:i w:val="0"/>
          <w:color w:val="auto"/>
          <w:sz w:val="20"/>
        </w:rPr>
        <w:t>–2018</w:t>
      </w:r>
    </w:p>
    <w:tbl>
      <w:tblPr>
        <w:tblW w:w="9708" w:type="dxa"/>
        <w:tblInd w:w="70" w:type="dxa"/>
        <w:tblCellMar>
          <w:left w:w="70" w:type="dxa"/>
          <w:right w:w="70" w:type="dxa"/>
        </w:tblCellMar>
        <w:tblLook w:val="04A0" w:firstRow="1" w:lastRow="0" w:firstColumn="1" w:lastColumn="0" w:noHBand="0" w:noVBand="1"/>
      </w:tblPr>
      <w:tblGrid>
        <w:gridCol w:w="2645"/>
        <w:gridCol w:w="541"/>
        <w:gridCol w:w="541"/>
        <w:gridCol w:w="664"/>
        <w:gridCol w:w="664"/>
        <w:gridCol w:w="664"/>
        <w:gridCol w:w="664"/>
        <w:gridCol w:w="664"/>
        <w:gridCol w:w="664"/>
        <w:gridCol w:w="664"/>
        <w:gridCol w:w="664"/>
        <w:gridCol w:w="669"/>
      </w:tblGrid>
      <w:tr w:rsidR="00C11C1F" w:rsidRPr="008D2084" w14:paraId="7D4F2794" w14:textId="77777777" w:rsidTr="006B2560">
        <w:trPr>
          <w:trHeight w:val="301"/>
        </w:trPr>
        <w:tc>
          <w:tcPr>
            <w:tcW w:w="2722" w:type="dxa"/>
            <w:vMerge w:val="restart"/>
            <w:tcBorders>
              <w:top w:val="nil"/>
              <w:left w:val="nil"/>
              <w:bottom w:val="single" w:sz="8" w:space="0" w:color="000000"/>
              <w:right w:val="nil"/>
            </w:tcBorders>
            <w:shd w:val="clear" w:color="000000" w:fill="F5DADD"/>
            <w:vAlign w:val="center"/>
            <w:hideMark/>
          </w:tcPr>
          <w:p w14:paraId="1A736BD8"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Sekce CZ-NACE</w:t>
            </w:r>
          </w:p>
        </w:tc>
        <w:tc>
          <w:tcPr>
            <w:tcW w:w="6986" w:type="dxa"/>
            <w:gridSpan w:val="11"/>
            <w:tcBorders>
              <w:top w:val="nil"/>
              <w:left w:val="single" w:sz="4" w:space="0" w:color="auto"/>
              <w:bottom w:val="single" w:sz="4" w:space="0" w:color="auto"/>
            </w:tcBorders>
            <w:shd w:val="clear" w:color="000000" w:fill="F5DADD"/>
            <w:vAlign w:val="center"/>
          </w:tcPr>
          <w:p w14:paraId="58FD0254" w14:textId="5EDC9DFE" w:rsidR="00C11C1F" w:rsidRPr="008D2084" w:rsidRDefault="00C11C1F" w:rsidP="006B2560">
            <w:pPr>
              <w:spacing w:after="0" w:line="240" w:lineRule="auto"/>
              <w:jc w:val="center"/>
              <w:rPr>
                <w:rFonts w:ascii="Arial CE" w:hAnsi="Arial CE" w:cs="Arial CE"/>
                <w:sz w:val="16"/>
                <w:szCs w:val="16"/>
              </w:rPr>
            </w:pPr>
            <w:r w:rsidRPr="008D2084">
              <w:rPr>
                <w:rFonts w:ascii="Arial CE" w:hAnsi="Arial CE" w:cs="Arial CE"/>
                <w:sz w:val="16"/>
                <w:szCs w:val="16"/>
              </w:rPr>
              <w:t xml:space="preserve">Počet nově hlášených případů </w:t>
            </w:r>
            <w:r>
              <w:rPr>
                <w:rFonts w:ascii="Arial CE" w:hAnsi="Arial CE" w:cs="Arial CE"/>
                <w:sz w:val="16"/>
                <w:szCs w:val="16"/>
              </w:rPr>
              <w:t>DPN</w:t>
            </w:r>
            <w:r w:rsidRPr="008D2084">
              <w:rPr>
                <w:rFonts w:ascii="Arial CE" w:hAnsi="Arial CE" w:cs="Arial CE"/>
                <w:sz w:val="16"/>
                <w:szCs w:val="16"/>
              </w:rPr>
              <w:t xml:space="preserve"> na 100 pojištěnců</w:t>
            </w:r>
          </w:p>
        </w:tc>
      </w:tr>
      <w:tr w:rsidR="00C11C1F" w:rsidRPr="008D2084" w14:paraId="7BD05769" w14:textId="77777777" w:rsidTr="006B2560">
        <w:trPr>
          <w:trHeight w:val="316"/>
        </w:trPr>
        <w:tc>
          <w:tcPr>
            <w:tcW w:w="2722" w:type="dxa"/>
            <w:vMerge/>
            <w:tcBorders>
              <w:top w:val="nil"/>
              <w:left w:val="nil"/>
              <w:bottom w:val="single" w:sz="8" w:space="0" w:color="000000"/>
              <w:right w:val="nil"/>
            </w:tcBorders>
            <w:vAlign w:val="center"/>
            <w:hideMark/>
          </w:tcPr>
          <w:p w14:paraId="60AE5B84" w14:textId="77777777" w:rsidR="00C11C1F" w:rsidRPr="008D2084" w:rsidRDefault="00C11C1F" w:rsidP="008D2084">
            <w:pPr>
              <w:spacing w:after="0" w:line="240" w:lineRule="auto"/>
              <w:rPr>
                <w:rFonts w:ascii="Arial CE" w:hAnsi="Arial CE" w:cs="Arial CE"/>
                <w:sz w:val="16"/>
                <w:szCs w:val="16"/>
              </w:rPr>
            </w:pPr>
          </w:p>
        </w:tc>
        <w:tc>
          <w:tcPr>
            <w:tcW w:w="464" w:type="dxa"/>
            <w:tcBorders>
              <w:top w:val="nil"/>
              <w:left w:val="single" w:sz="4" w:space="0" w:color="auto"/>
              <w:bottom w:val="single" w:sz="8" w:space="0" w:color="auto"/>
            </w:tcBorders>
            <w:shd w:val="clear" w:color="000000" w:fill="F5DADD"/>
            <w:vAlign w:val="bottom"/>
          </w:tcPr>
          <w:p w14:paraId="15A55D5D" w14:textId="2C4E7499" w:rsidR="00C11C1F" w:rsidRPr="008D2084" w:rsidRDefault="006B2560" w:rsidP="006B2560">
            <w:pPr>
              <w:spacing w:after="0" w:line="240" w:lineRule="auto"/>
              <w:jc w:val="center"/>
              <w:rPr>
                <w:rFonts w:ascii="Arial CE" w:hAnsi="Arial CE" w:cs="Arial CE"/>
                <w:sz w:val="16"/>
                <w:szCs w:val="16"/>
              </w:rPr>
            </w:pPr>
            <w:r>
              <w:rPr>
                <w:rFonts w:ascii="Arial CE" w:hAnsi="Arial CE" w:cs="Arial CE"/>
                <w:sz w:val="16"/>
                <w:szCs w:val="16"/>
              </w:rPr>
              <w:t>2008</w:t>
            </w:r>
          </w:p>
        </w:tc>
        <w:tc>
          <w:tcPr>
            <w:tcW w:w="541" w:type="dxa"/>
            <w:tcBorders>
              <w:top w:val="nil"/>
              <w:left w:val="nil"/>
              <w:bottom w:val="single" w:sz="8" w:space="0" w:color="auto"/>
              <w:right w:val="nil"/>
            </w:tcBorders>
            <w:shd w:val="clear" w:color="000000" w:fill="F5DADD"/>
            <w:noWrap/>
            <w:vAlign w:val="bottom"/>
            <w:hideMark/>
          </w:tcPr>
          <w:p w14:paraId="1BF9AF72" w14:textId="0DF89CD5"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2009</w:t>
            </w:r>
          </w:p>
        </w:tc>
        <w:tc>
          <w:tcPr>
            <w:tcW w:w="664" w:type="dxa"/>
            <w:tcBorders>
              <w:top w:val="nil"/>
              <w:left w:val="nil"/>
              <w:bottom w:val="single" w:sz="8" w:space="0" w:color="auto"/>
              <w:right w:val="nil"/>
            </w:tcBorders>
            <w:shd w:val="clear" w:color="000000" w:fill="F5DADD"/>
            <w:noWrap/>
            <w:vAlign w:val="bottom"/>
            <w:hideMark/>
          </w:tcPr>
          <w:p w14:paraId="54CC6FBF"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2010</w:t>
            </w:r>
          </w:p>
        </w:tc>
        <w:tc>
          <w:tcPr>
            <w:tcW w:w="664" w:type="dxa"/>
            <w:tcBorders>
              <w:top w:val="nil"/>
              <w:left w:val="nil"/>
              <w:bottom w:val="single" w:sz="8" w:space="0" w:color="auto"/>
              <w:right w:val="nil"/>
            </w:tcBorders>
            <w:shd w:val="clear" w:color="000000" w:fill="F5DADD"/>
            <w:noWrap/>
            <w:vAlign w:val="bottom"/>
            <w:hideMark/>
          </w:tcPr>
          <w:p w14:paraId="41E7C93B"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2011</w:t>
            </w:r>
          </w:p>
        </w:tc>
        <w:tc>
          <w:tcPr>
            <w:tcW w:w="664" w:type="dxa"/>
            <w:tcBorders>
              <w:top w:val="nil"/>
              <w:left w:val="nil"/>
              <w:bottom w:val="single" w:sz="8" w:space="0" w:color="auto"/>
              <w:right w:val="nil"/>
            </w:tcBorders>
            <w:shd w:val="clear" w:color="000000" w:fill="F5DADD"/>
            <w:noWrap/>
            <w:vAlign w:val="bottom"/>
            <w:hideMark/>
          </w:tcPr>
          <w:p w14:paraId="741FA3EA"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2012</w:t>
            </w:r>
          </w:p>
        </w:tc>
        <w:tc>
          <w:tcPr>
            <w:tcW w:w="664" w:type="dxa"/>
            <w:tcBorders>
              <w:top w:val="nil"/>
              <w:left w:val="nil"/>
              <w:bottom w:val="single" w:sz="8" w:space="0" w:color="auto"/>
              <w:right w:val="nil"/>
            </w:tcBorders>
            <w:shd w:val="clear" w:color="000000" w:fill="F5DADD"/>
            <w:noWrap/>
            <w:vAlign w:val="bottom"/>
            <w:hideMark/>
          </w:tcPr>
          <w:p w14:paraId="7CE02CC8"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2013</w:t>
            </w:r>
          </w:p>
        </w:tc>
        <w:tc>
          <w:tcPr>
            <w:tcW w:w="664" w:type="dxa"/>
            <w:tcBorders>
              <w:top w:val="nil"/>
              <w:left w:val="nil"/>
              <w:bottom w:val="single" w:sz="8" w:space="0" w:color="auto"/>
              <w:right w:val="nil"/>
            </w:tcBorders>
            <w:shd w:val="clear" w:color="000000" w:fill="F5DADD"/>
            <w:noWrap/>
            <w:vAlign w:val="bottom"/>
            <w:hideMark/>
          </w:tcPr>
          <w:p w14:paraId="3F2300B3"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2014</w:t>
            </w:r>
          </w:p>
        </w:tc>
        <w:tc>
          <w:tcPr>
            <w:tcW w:w="664" w:type="dxa"/>
            <w:tcBorders>
              <w:top w:val="nil"/>
              <w:left w:val="nil"/>
              <w:bottom w:val="single" w:sz="8" w:space="0" w:color="auto"/>
              <w:right w:val="nil"/>
            </w:tcBorders>
            <w:shd w:val="clear" w:color="000000" w:fill="F5DADD"/>
            <w:noWrap/>
            <w:vAlign w:val="bottom"/>
            <w:hideMark/>
          </w:tcPr>
          <w:p w14:paraId="3CDE993C"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2015</w:t>
            </w:r>
          </w:p>
        </w:tc>
        <w:tc>
          <w:tcPr>
            <w:tcW w:w="664" w:type="dxa"/>
            <w:tcBorders>
              <w:top w:val="nil"/>
              <w:left w:val="nil"/>
              <w:bottom w:val="single" w:sz="8" w:space="0" w:color="auto"/>
              <w:right w:val="nil"/>
            </w:tcBorders>
            <w:shd w:val="clear" w:color="000000" w:fill="F5DADD"/>
            <w:noWrap/>
            <w:vAlign w:val="bottom"/>
            <w:hideMark/>
          </w:tcPr>
          <w:p w14:paraId="42A97434"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2016</w:t>
            </w:r>
          </w:p>
        </w:tc>
        <w:tc>
          <w:tcPr>
            <w:tcW w:w="664" w:type="dxa"/>
            <w:tcBorders>
              <w:top w:val="nil"/>
              <w:left w:val="nil"/>
              <w:bottom w:val="single" w:sz="8" w:space="0" w:color="auto"/>
              <w:right w:val="nil"/>
            </w:tcBorders>
            <w:shd w:val="clear" w:color="000000" w:fill="F5DADD"/>
            <w:noWrap/>
            <w:vAlign w:val="bottom"/>
            <w:hideMark/>
          </w:tcPr>
          <w:p w14:paraId="79DBCDD2"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2017</w:t>
            </w:r>
          </w:p>
        </w:tc>
        <w:tc>
          <w:tcPr>
            <w:tcW w:w="669" w:type="dxa"/>
            <w:tcBorders>
              <w:top w:val="nil"/>
              <w:left w:val="nil"/>
              <w:bottom w:val="single" w:sz="8" w:space="0" w:color="auto"/>
              <w:right w:val="nil"/>
            </w:tcBorders>
            <w:shd w:val="clear" w:color="000000" w:fill="F5DADD"/>
            <w:noWrap/>
            <w:vAlign w:val="bottom"/>
            <w:hideMark/>
          </w:tcPr>
          <w:p w14:paraId="0073F6D1" w14:textId="77777777" w:rsidR="00C11C1F" w:rsidRPr="008D2084" w:rsidRDefault="00C11C1F" w:rsidP="008D2084">
            <w:pPr>
              <w:spacing w:after="0" w:line="240" w:lineRule="auto"/>
              <w:jc w:val="center"/>
              <w:rPr>
                <w:rFonts w:ascii="Arial CE" w:hAnsi="Arial CE" w:cs="Arial CE"/>
                <w:sz w:val="16"/>
                <w:szCs w:val="16"/>
              </w:rPr>
            </w:pPr>
            <w:r w:rsidRPr="008D2084">
              <w:rPr>
                <w:rFonts w:ascii="Arial CE" w:hAnsi="Arial CE" w:cs="Arial CE"/>
                <w:sz w:val="16"/>
                <w:szCs w:val="16"/>
              </w:rPr>
              <w:t>2018</w:t>
            </w:r>
          </w:p>
        </w:tc>
      </w:tr>
      <w:tr w:rsidR="00C11C1F" w:rsidRPr="008D2084" w14:paraId="5E12830F" w14:textId="77777777" w:rsidTr="006B2560">
        <w:trPr>
          <w:trHeight w:val="301"/>
        </w:trPr>
        <w:tc>
          <w:tcPr>
            <w:tcW w:w="2722" w:type="dxa"/>
            <w:tcBorders>
              <w:top w:val="nil"/>
              <w:left w:val="nil"/>
              <w:bottom w:val="nil"/>
              <w:right w:val="nil"/>
            </w:tcBorders>
            <w:shd w:val="clear" w:color="auto" w:fill="auto"/>
            <w:vAlign w:val="center"/>
            <w:hideMark/>
          </w:tcPr>
          <w:p w14:paraId="02B64CCA" w14:textId="59F8BE42" w:rsidR="00C11C1F" w:rsidRPr="008D2084" w:rsidRDefault="00C11C1F" w:rsidP="00AD626C">
            <w:pPr>
              <w:spacing w:after="0" w:line="240" w:lineRule="auto"/>
              <w:rPr>
                <w:rFonts w:ascii="Arial CE" w:hAnsi="Arial CE" w:cs="Arial CE"/>
                <w:b/>
                <w:bCs/>
                <w:sz w:val="16"/>
                <w:szCs w:val="16"/>
              </w:rPr>
            </w:pPr>
            <w:r w:rsidRPr="008D2084">
              <w:rPr>
                <w:rFonts w:ascii="Arial CE" w:hAnsi="Arial CE" w:cs="Arial CE"/>
                <w:b/>
                <w:bCs/>
                <w:sz w:val="16"/>
                <w:szCs w:val="16"/>
              </w:rPr>
              <w:t xml:space="preserve">Celkem </w:t>
            </w:r>
          </w:p>
        </w:tc>
        <w:tc>
          <w:tcPr>
            <w:tcW w:w="464" w:type="dxa"/>
            <w:tcBorders>
              <w:top w:val="nil"/>
              <w:left w:val="single" w:sz="4" w:space="0" w:color="auto"/>
              <w:bottom w:val="nil"/>
            </w:tcBorders>
            <w:vAlign w:val="center"/>
          </w:tcPr>
          <w:p w14:paraId="63352CD1" w14:textId="173AAF69" w:rsidR="00C11C1F" w:rsidRPr="008D2084" w:rsidRDefault="006B2560" w:rsidP="006B2560">
            <w:pPr>
              <w:spacing w:after="0" w:line="240" w:lineRule="auto"/>
              <w:jc w:val="right"/>
              <w:rPr>
                <w:rFonts w:ascii="Arial CE" w:hAnsi="Arial CE" w:cs="Arial CE"/>
                <w:b/>
                <w:bCs/>
                <w:sz w:val="16"/>
                <w:szCs w:val="16"/>
              </w:rPr>
            </w:pPr>
            <w:r>
              <w:rPr>
                <w:rFonts w:ascii="Arial CE" w:hAnsi="Arial CE" w:cs="Arial CE"/>
                <w:b/>
                <w:bCs/>
                <w:sz w:val="16"/>
                <w:szCs w:val="16"/>
              </w:rPr>
              <w:t>48,59</w:t>
            </w:r>
          </w:p>
        </w:tc>
        <w:tc>
          <w:tcPr>
            <w:tcW w:w="541" w:type="dxa"/>
            <w:tcBorders>
              <w:top w:val="nil"/>
              <w:left w:val="nil"/>
              <w:bottom w:val="nil"/>
              <w:right w:val="nil"/>
            </w:tcBorders>
            <w:shd w:val="clear" w:color="auto" w:fill="auto"/>
            <w:noWrap/>
            <w:vAlign w:val="center"/>
            <w:hideMark/>
          </w:tcPr>
          <w:p w14:paraId="26AC80C8" w14:textId="03FB854A"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33,89</w:t>
            </w:r>
          </w:p>
        </w:tc>
        <w:tc>
          <w:tcPr>
            <w:tcW w:w="664" w:type="dxa"/>
            <w:tcBorders>
              <w:top w:val="nil"/>
              <w:left w:val="nil"/>
              <w:bottom w:val="nil"/>
              <w:right w:val="nil"/>
            </w:tcBorders>
            <w:shd w:val="clear" w:color="auto" w:fill="auto"/>
            <w:noWrap/>
            <w:vAlign w:val="center"/>
            <w:hideMark/>
          </w:tcPr>
          <w:p w14:paraId="42D53041"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30,73</w:t>
            </w:r>
          </w:p>
        </w:tc>
        <w:tc>
          <w:tcPr>
            <w:tcW w:w="664" w:type="dxa"/>
            <w:tcBorders>
              <w:top w:val="nil"/>
              <w:left w:val="nil"/>
              <w:bottom w:val="nil"/>
              <w:right w:val="nil"/>
            </w:tcBorders>
            <w:shd w:val="clear" w:color="auto" w:fill="auto"/>
            <w:noWrap/>
            <w:vAlign w:val="center"/>
            <w:hideMark/>
          </w:tcPr>
          <w:p w14:paraId="07A915EB"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30,13</w:t>
            </w:r>
          </w:p>
        </w:tc>
        <w:tc>
          <w:tcPr>
            <w:tcW w:w="664" w:type="dxa"/>
            <w:tcBorders>
              <w:top w:val="nil"/>
              <w:left w:val="nil"/>
              <w:bottom w:val="nil"/>
              <w:right w:val="nil"/>
            </w:tcBorders>
            <w:shd w:val="clear" w:color="auto" w:fill="auto"/>
            <w:noWrap/>
            <w:vAlign w:val="center"/>
            <w:hideMark/>
          </w:tcPr>
          <w:p w14:paraId="7CBA85D9"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27,44</w:t>
            </w:r>
          </w:p>
        </w:tc>
        <w:tc>
          <w:tcPr>
            <w:tcW w:w="664" w:type="dxa"/>
            <w:tcBorders>
              <w:top w:val="nil"/>
              <w:left w:val="nil"/>
              <w:bottom w:val="nil"/>
              <w:right w:val="nil"/>
            </w:tcBorders>
            <w:shd w:val="clear" w:color="auto" w:fill="auto"/>
            <w:noWrap/>
            <w:vAlign w:val="center"/>
            <w:hideMark/>
          </w:tcPr>
          <w:p w14:paraId="1AADDFDA"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29,99</w:t>
            </w:r>
          </w:p>
        </w:tc>
        <w:tc>
          <w:tcPr>
            <w:tcW w:w="664" w:type="dxa"/>
            <w:tcBorders>
              <w:top w:val="nil"/>
              <w:left w:val="nil"/>
              <w:bottom w:val="nil"/>
              <w:right w:val="nil"/>
            </w:tcBorders>
            <w:shd w:val="clear" w:color="auto" w:fill="auto"/>
            <w:noWrap/>
            <w:vAlign w:val="center"/>
            <w:hideMark/>
          </w:tcPr>
          <w:p w14:paraId="1B717827"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29,45</w:t>
            </w:r>
          </w:p>
        </w:tc>
        <w:tc>
          <w:tcPr>
            <w:tcW w:w="664" w:type="dxa"/>
            <w:tcBorders>
              <w:top w:val="nil"/>
              <w:left w:val="nil"/>
              <w:bottom w:val="nil"/>
              <w:right w:val="nil"/>
            </w:tcBorders>
            <w:shd w:val="clear" w:color="auto" w:fill="auto"/>
            <w:noWrap/>
            <w:vAlign w:val="center"/>
            <w:hideMark/>
          </w:tcPr>
          <w:p w14:paraId="6B1B2E5B"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34,69</w:t>
            </w:r>
          </w:p>
        </w:tc>
        <w:tc>
          <w:tcPr>
            <w:tcW w:w="664" w:type="dxa"/>
            <w:tcBorders>
              <w:top w:val="nil"/>
              <w:left w:val="nil"/>
              <w:bottom w:val="nil"/>
              <w:right w:val="nil"/>
            </w:tcBorders>
            <w:shd w:val="clear" w:color="auto" w:fill="auto"/>
            <w:noWrap/>
            <w:vAlign w:val="center"/>
            <w:hideMark/>
          </w:tcPr>
          <w:p w14:paraId="0CCE5020"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35,73</w:t>
            </w:r>
          </w:p>
        </w:tc>
        <w:tc>
          <w:tcPr>
            <w:tcW w:w="664" w:type="dxa"/>
            <w:tcBorders>
              <w:top w:val="nil"/>
              <w:left w:val="nil"/>
              <w:bottom w:val="nil"/>
              <w:right w:val="nil"/>
            </w:tcBorders>
            <w:shd w:val="clear" w:color="auto" w:fill="auto"/>
            <w:noWrap/>
            <w:vAlign w:val="center"/>
            <w:hideMark/>
          </w:tcPr>
          <w:p w14:paraId="61E480DD"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36,55</w:t>
            </w:r>
          </w:p>
        </w:tc>
        <w:tc>
          <w:tcPr>
            <w:tcW w:w="669" w:type="dxa"/>
            <w:tcBorders>
              <w:top w:val="nil"/>
              <w:left w:val="nil"/>
              <w:bottom w:val="nil"/>
              <w:right w:val="nil"/>
            </w:tcBorders>
            <w:shd w:val="clear" w:color="auto" w:fill="auto"/>
            <w:noWrap/>
            <w:vAlign w:val="center"/>
            <w:hideMark/>
          </w:tcPr>
          <w:p w14:paraId="163082B1" w14:textId="77777777" w:rsidR="00C11C1F" w:rsidRPr="008D2084" w:rsidRDefault="00C11C1F" w:rsidP="004D02A3">
            <w:pPr>
              <w:spacing w:after="0" w:line="240" w:lineRule="auto"/>
              <w:jc w:val="right"/>
              <w:rPr>
                <w:rFonts w:ascii="Arial CE" w:hAnsi="Arial CE" w:cs="Arial CE"/>
                <w:b/>
                <w:bCs/>
                <w:sz w:val="16"/>
                <w:szCs w:val="16"/>
              </w:rPr>
            </w:pPr>
            <w:r w:rsidRPr="008D2084">
              <w:rPr>
                <w:rFonts w:ascii="Arial CE" w:hAnsi="Arial CE" w:cs="Arial CE"/>
                <w:b/>
                <w:bCs/>
                <w:sz w:val="16"/>
                <w:szCs w:val="16"/>
              </w:rPr>
              <w:t>39,08</w:t>
            </w:r>
          </w:p>
        </w:tc>
      </w:tr>
      <w:tr w:rsidR="00C11C1F" w:rsidRPr="008D2084" w14:paraId="6DA5706A" w14:textId="77777777" w:rsidTr="006B2560">
        <w:trPr>
          <w:trHeight w:val="301"/>
        </w:trPr>
        <w:tc>
          <w:tcPr>
            <w:tcW w:w="2722" w:type="dxa"/>
            <w:tcBorders>
              <w:top w:val="nil"/>
              <w:left w:val="nil"/>
              <w:bottom w:val="nil"/>
              <w:right w:val="nil"/>
            </w:tcBorders>
            <w:shd w:val="clear" w:color="auto" w:fill="auto"/>
            <w:vAlign w:val="center"/>
            <w:hideMark/>
          </w:tcPr>
          <w:p w14:paraId="54F7A257" w14:textId="77777777" w:rsidR="00BB700A"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A </w:t>
            </w:r>
            <w:r>
              <w:rPr>
                <w:rFonts w:ascii="Arial CE" w:hAnsi="Arial CE" w:cs="Arial CE"/>
                <w:sz w:val="16"/>
                <w:szCs w:val="16"/>
              </w:rPr>
              <w:t>–</w:t>
            </w:r>
            <w:r w:rsidRPr="008D2084">
              <w:rPr>
                <w:rFonts w:ascii="Arial CE" w:hAnsi="Arial CE" w:cs="Arial CE"/>
                <w:sz w:val="16"/>
                <w:szCs w:val="16"/>
              </w:rPr>
              <w:t xml:space="preserve"> Zemědělství, lesnictví </w:t>
            </w:r>
          </w:p>
          <w:p w14:paraId="073AD096" w14:textId="724D6DC0" w:rsidR="00C11C1F" w:rsidRPr="008D2084" w:rsidRDefault="00BB700A" w:rsidP="00BB700A">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a</w:t>
            </w:r>
            <w:r w:rsidR="006B2560">
              <w:rPr>
                <w:rFonts w:ascii="Arial CE" w:hAnsi="Arial CE" w:cs="Arial CE"/>
                <w:sz w:val="16"/>
                <w:szCs w:val="16"/>
              </w:rPr>
              <w:t xml:space="preserve"> </w:t>
            </w:r>
            <w:r w:rsidR="00C11C1F" w:rsidRPr="008D2084">
              <w:rPr>
                <w:rFonts w:ascii="Arial CE" w:hAnsi="Arial CE" w:cs="Arial CE"/>
                <w:sz w:val="16"/>
                <w:szCs w:val="16"/>
              </w:rPr>
              <w:t>rybářství</w:t>
            </w:r>
          </w:p>
        </w:tc>
        <w:tc>
          <w:tcPr>
            <w:tcW w:w="464" w:type="dxa"/>
            <w:tcBorders>
              <w:top w:val="nil"/>
              <w:left w:val="single" w:sz="4" w:space="0" w:color="auto"/>
              <w:bottom w:val="nil"/>
            </w:tcBorders>
            <w:vAlign w:val="center"/>
          </w:tcPr>
          <w:p w14:paraId="037454A3" w14:textId="6ED30E92"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45,79</w:t>
            </w:r>
          </w:p>
        </w:tc>
        <w:tc>
          <w:tcPr>
            <w:tcW w:w="541" w:type="dxa"/>
            <w:tcBorders>
              <w:top w:val="nil"/>
              <w:left w:val="nil"/>
              <w:bottom w:val="nil"/>
              <w:right w:val="nil"/>
            </w:tcBorders>
            <w:shd w:val="clear" w:color="auto" w:fill="auto"/>
            <w:noWrap/>
            <w:vAlign w:val="center"/>
            <w:hideMark/>
          </w:tcPr>
          <w:p w14:paraId="7660C0D0" w14:textId="0A052BF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31,35</w:t>
            </w:r>
          </w:p>
        </w:tc>
        <w:tc>
          <w:tcPr>
            <w:tcW w:w="664" w:type="dxa"/>
            <w:tcBorders>
              <w:top w:val="nil"/>
              <w:left w:val="nil"/>
              <w:bottom w:val="nil"/>
              <w:right w:val="nil"/>
            </w:tcBorders>
            <w:shd w:val="clear" w:color="auto" w:fill="auto"/>
            <w:noWrap/>
            <w:vAlign w:val="center"/>
            <w:hideMark/>
          </w:tcPr>
          <w:p w14:paraId="78D1DFD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29,84</w:t>
            </w:r>
          </w:p>
        </w:tc>
        <w:tc>
          <w:tcPr>
            <w:tcW w:w="664" w:type="dxa"/>
            <w:tcBorders>
              <w:top w:val="nil"/>
              <w:left w:val="nil"/>
              <w:bottom w:val="nil"/>
              <w:right w:val="nil"/>
            </w:tcBorders>
            <w:shd w:val="clear" w:color="auto" w:fill="auto"/>
            <w:noWrap/>
            <w:vAlign w:val="center"/>
            <w:hideMark/>
          </w:tcPr>
          <w:p w14:paraId="2685847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26,87</w:t>
            </w:r>
          </w:p>
        </w:tc>
        <w:tc>
          <w:tcPr>
            <w:tcW w:w="664" w:type="dxa"/>
            <w:tcBorders>
              <w:top w:val="nil"/>
              <w:left w:val="nil"/>
              <w:bottom w:val="nil"/>
              <w:right w:val="nil"/>
            </w:tcBorders>
            <w:shd w:val="clear" w:color="auto" w:fill="auto"/>
            <w:noWrap/>
            <w:vAlign w:val="center"/>
            <w:hideMark/>
          </w:tcPr>
          <w:p w14:paraId="6B36993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24,39</w:t>
            </w:r>
          </w:p>
        </w:tc>
        <w:tc>
          <w:tcPr>
            <w:tcW w:w="664" w:type="dxa"/>
            <w:tcBorders>
              <w:top w:val="nil"/>
              <w:left w:val="nil"/>
              <w:bottom w:val="nil"/>
              <w:right w:val="nil"/>
            </w:tcBorders>
            <w:shd w:val="clear" w:color="auto" w:fill="auto"/>
            <w:noWrap/>
            <w:vAlign w:val="center"/>
            <w:hideMark/>
          </w:tcPr>
          <w:p w14:paraId="28A1061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27,38</w:t>
            </w:r>
          </w:p>
        </w:tc>
        <w:tc>
          <w:tcPr>
            <w:tcW w:w="664" w:type="dxa"/>
            <w:tcBorders>
              <w:top w:val="nil"/>
              <w:left w:val="nil"/>
              <w:bottom w:val="nil"/>
              <w:right w:val="nil"/>
            </w:tcBorders>
            <w:shd w:val="clear" w:color="auto" w:fill="auto"/>
            <w:noWrap/>
            <w:vAlign w:val="center"/>
            <w:hideMark/>
          </w:tcPr>
          <w:p w14:paraId="44724C1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26,45</w:t>
            </w:r>
          </w:p>
        </w:tc>
        <w:tc>
          <w:tcPr>
            <w:tcW w:w="664" w:type="dxa"/>
            <w:tcBorders>
              <w:top w:val="nil"/>
              <w:left w:val="nil"/>
              <w:bottom w:val="nil"/>
              <w:right w:val="nil"/>
            </w:tcBorders>
            <w:shd w:val="clear" w:color="auto" w:fill="auto"/>
            <w:noWrap/>
            <w:vAlign w:val="center"/>
            <w:hideMark/>
          </w:tcPr>
          <w:p w14:paraId="6FDDAB4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30,63</w:t>
            </w:r>
          </w:p>
        </w:tc>
        <w:tc>
          <w:tcPr>
            <w:tcW w:w="664" w:type="dxa"/>
            <w:tcBorders>
              <w:top w:val="nil"/>
              <w:left w:val="nil"/>
              <w:bottom w:val="nil"/>
              <w:right w:val="nil"/>
            </w:tcBorders>
            <w:shd w:val="clear" w:color="auto" w:fill="auto"/>
            <w:noWrap/>
            <w:vAlign w:val="center"/>
            <w:hideMark/>
          </w:tcPr>
          <w:p w14:paraId="2600A0FB"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30,93</w:t>
            </w:r>
          </w:p>
        </w:tc>
        <w:tc>
          <w:tcPr>
            <w:tcW w:w="664" w:type="dxa"/>
            <w:tcBorders>
              <w:top w:val="nil"/>
              <w:left w:val="nil"/>
              <w:bottom w:val="nil"/>
              <w:right w:val="nil"/>
            </w:tcBorders>
            <w:shd w:val="clear" w:color="auto" w:fill="auto"/>
            <w:noWrap/>
            <w:vAlign w:val="center"/>
            <w:hideMark/>
          </w:tcPr>
          <w:p w14:paraId="012C7D1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32,40</w:t>
            </w:r>
          </w:p>
        </w:tc>
        <w:tc>
          <w:tcPr>
            <w:tcW w:w="669" w:type="dxa"/>
            <w:tcBorders>
              <w:top w:val="nil"/>
              <w:left w:val="nil"/>
              <w:bottom w:val="nil"/>
              <w:right w:val="nil"/>
            </w:tcBorders>
            <w:shd w:val="clear" w:color="auto" w:fill="auto"/>
            <w:noWrap/>
            <w:vAlign w:val="center"/>
            <w:hideMark/>
          </w:tcPr>
          <w:p w14:paraId="22C7FF9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34,39</w:t>
            </w:r>
          </w:p>
        </w:tc>
      </w:tr>
      <w:tr w:rsidR="00C11C1F" w:rsidRPr="008D2084" w14:paraId="594992FF" w14:textId="77777777" w:rsidTr="006B2560">
        <w:trPr>
          <w:trHeight w:val="301"/>
        </w:trPr>
        <w:tc>
          <w:tcPr>
            <w:tcW w:w="2722" w:type="dxa"/>
            <w:tcBorders>
              <w:top w:val="nil"/>
              <w:left w:val="nil"/>
              <w:bottom w:val="nil"/>
              <w:right w:val="nil"/>
            </w:tcBorders>
            <w:shd w:val="clear" w:color="auto" w:fill="auto"/>
            <w:vAlign w:val="center"/>
            <w:hideMark/>
          </w:tcPr>
          <w:p w14:paraId="7ED6840F" w14:textId="58F8587E"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B </w:t>
            </w:r>
            <w:r>
              <w:rPr>
                <w:rFonts w:ascii="Arial CE" w:hAnsi="Arial CE" w:cs="Arial CE"/>
                <w:sz w:val="16"/>
                <w:szCs w:val="16"/>
              </w:rPr>
              <w:t>–</w:t>
            </w:r>
            <w:r w:rsidRPr="008D2084">
              <w:rPr>
                <w:rFonts w:ascii="Arial CE" w:hAnsi="Arial CE" w:cs="Arial CE"/>
                <w:sz w:val="16"/>
                <w:szCs w:val="16"/>
              </w:rPr>
              <w:t xml:space="preserve"> Těžba a dobývání</w:t>
            </w:r>
          </w:p>
        </w:tc>
        <w:tc>
          <w:tcPr>
            <w:tcW w:w="464" w:type="dxa"/>
            <w:tcBorders>
              <w:top w:val="nil"/>
              <w:left w:val="single" w:sz="4" w:space="0" w:color="auto"/>
              <w:bottom w:val="nil"/>
            </w:tcBorders>
            <w:vAlign w:val="center"/>
          </w:tcPr>
          <w:p w14:paraId="3E95ADC9" w14:textId="69950D4F"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59,79</w:t>
            </w:r>
          </w:p>
        </w:tc>
        <w:tc>
          <w:tcPr>
            <w:tcW w:w="541" w:type="dxa"/>
            <w:tcBorders>
              <w:top w:val="nil"/>
              <w:left w:val="nil"/>
              <w:bottom w:val="nil"/>
              <w:right w:val="nil"/>
            </w:tcBorders>
            <w:shd w:val="clear" w:color="auto" w:fill="auto"/>
            <w:noWrap/>
            <w:vAlign w:val="center"/>
            <w:hideMark/>
          </w:tcPr>
          <w:p w14:paraId="06952B1D" w14:textId="20DFA3A5"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39,16</w:t>
            </w:r>
          </w:p>
        </w:tc>
        <w:tc>
          <w:tcPr>
            <w:tcW w:w="664" w:type="dxa"/>
            <w:tcBorders>
              <w:top w:val="nil"/>
              <w:left w:val="nil"/>
              <w:bottom w:val="nil"/>
              <w:right w:val="nil"/>
            </w:tcBorders>
            <w:shd w:val="clear" w:color="auto" w:fill="auto"/>
            <w:noWrap/>
            <w:vAlign w:val="center"/>
            <w:hideMark/>
          </w:tcPr>
          <w:p w14:paraId="23A3AE2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39,97</w:t>
            </w:r>
          </w:p>
        </w:tc>
        <w:tc>
          <w:tcPr>
            <w:tcW w:w="664" w:type="dxa"/>
            <w:tcBorders>
              <w:top w:val="nil"/>
              <w:left w:val="nil"/>
              <w:bottom w:val="nil"/>
              <w:right w:val="nil"/>
            </w:tcBorders>
            <w:shd w:val="clear" w:color="auto" w:fill="auto"/>
            <w:noWrap/>
            <w:vAlign w:val="center"/>
            <w:hideMark/>
          </w:tcPr>
          <w:p w14:paraId="595D1E5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39,05</w:t>
            </w:r>
          </w:p>
        </w:tc>
        <w:tc>
          <w:tcPr>
            <w:tcW w:w="664" w:type="dxa"/>
            <w:tcBorders>
              <w:top w:val="nil"/>
              <w:left w:val="nil"/>
              <w:bottom w:val="nil"/>
              <w:right w:val="nil"/>
            </w:tcBorders>
            <w:shd w:val="clear" w:color="auto" w:fill="auto"/>
            <w:noWrap/>
            <w:vAlign w:val="center"/>
            <w:hideMark/>
          </w:tcPr>
          <w:p w14:paraId="646168A3"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36,46</w:t>
            </w:r>
          </w:p>
        </w:tc>
        <w:tc>
          <w:tcPr>
            <w:tcW w:w="664" w:type="dxa"/>
            <w:tcBorders>
              <w:top w:val="nil"/>
              <w:left w:val="nil"/>
              <w:bottom w:val="nil"/>
              <w:right w:val="nil"/>
            </w:tcBorders>
            <w:shd w:val="clear" w:color="auto" w:fill="auto"/>
            <w:noWrap/>
            <w:vAlign w:val="center"/>
            <w:hideMark/>
          </w:tcPr>
          <w:p w14:paraId="07F8132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38,88</w:t>
            </w:r>
          </w:p>
        </w:tc>
        <w:tc>
          <w:tcPr>
            <w:tcW w:w="664" w:type="dxa"/>
            <w:tcBorders>
              <w:top w:val="nil"/>
              <w:left w:val="nil"/>
              <w:bottom w:val="nil"/>
              <w:right w:val="nil"/>
            </w:tcBorders>
            <w:shd w:val="clear" w:color="auto" w:fill="auto"/>
            <w:noWrap/>
            <w:vAlign w:val="center"/>
            <w:hideMark/>
          </w:tcPr>
          <w:p w14:paraId="530476A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35,96</w:t>
            </w:r>
          </w:p>
        </w:tc>
        <w:tc>
          <w:tcPr>
            <w:tcW w:w="664" w:type="dxa"/>
            <w:tcBorders>
              <w:top w:val="nil"/>
              <w:left w:val="nil"/>
              <w:bottom w:val="nil"/>
              <w:right w:val="nil"/>
            </w:tcBorders>
            <w:shd w:val="clear" w:color="auto" w:fill="auto"/>
            <w:noWrap/>
            <w:vAlign w:val="center"/>
            <w:hideMark/>
          </w:tcPr>
          <w:p w14:paraId="6D4874D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39,68</w:t>
            </w:r>
          </w:p>
        </w:tc>
        <w:tc>
          <w:tcPr>
            <w:tcW w:w="664" w:type="dxa"/>
            <w:tcBorders>
              <w:top w:val="nil"/>
              <w:left w:val="nil"/>
              <w:bottom w:val="nil"/>
              <w:right w:val="nil"/>
            </w:tcBorders>
            <w:shd w:val="clear" w:color="auto" w:fill="auto"/>
            <w:noWrap/>
            <w:vAlign w:val="center"/>
            <w:hideMark/>
          </w:tcPr>
          <w:p w14:paraId="0FB7B20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39,71</w:t>
            </w:r>
          </w:p>
        </w:tc>
        <w:tc>
          <w:tcPr>
            <w:tcW w:w="664" w:type="dxa"/>
            <w:tcBorders>
              <w:top w:val="nil"/>
              <w:left w:val="nil"/>
              <w:bottom w:val="nil"/>
              <w:right w:val="nil"/>
            </w:tcBorders>
            <w:shd w:val="clear" w:color="auto" w:fill="auto"/>
            <w:noWrap/>
            <w:vAlign w:val="center"/>
            <w:hideMark/>
          </w:tcPr>
          <w:p w14:paraId="1535808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39,52</w:t>
            </w:r>
          </w:p>
        </w:tc>
        <w:tc>
          <w:tcPr>
            <w:tcW w:w="669" w:type="dxa"/>
            <w:tcBorders>
              <w:top w:val="nil"/>
              <w:left w:val="nil"/>
              <w:bottom w:val="nil"/>
              <w:right w:val="nil"/>
            </w:tcBorders>
            <w:shd w:val="clear" w:color="auto" w:fill="auto"/>
            <w:noWrap/>
            <w:vAlign w:val="center"/>
            <w:hideMark/>
          </w:tcPr>
          <w:p w14:paraId="408F6CB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42,67</w:t>
            </w:r>
          </w:p>
        </w:tc>
      </w:tr>
      <w:tr w:rsidR="00C11C1F" w:rsidRPr="008D2084" w14:paraId="1B40CEB0" w14:textId="77777777" w:rsidTr="006B2560">
        <w:trPr>
          <w:trHeight w:val="301"/>
        </w:trPr>
        <w:tc>
          <w:tcPr>
            <w:tcW w:w="2722" w:type="dxa"/>
            <w:tcBorders>
              <w:top w:val="nil"/>
              <w:left w:val="nil"/>
              <w:bottom w:val="nil"/>
              <w:right w:val="nil"/>
            </w:tcBorders>
            <w:shd w:val="clear" w:color="auto" w:fill="auto"/>
            <w:vAlign w:val="center"/>
            <w:hideMark/>
          </w:tcPr>
          <w:p w14:paraId="76993286" w14:textId="24405634"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C </w:t>
            </w:r>
            <w:r>
              <w:rPr>
                <w:rFonts w:ascii="Arial CE" w:hAnsi="Arial CE" w:cs="Arial CE"/>
                <w:sz w:val="16"/>
                <w:szCs w:val="16"/>
              </w:rPr>
              <w:t>–</w:t>
            </w:r>
            <w:r w:rsidRPr="008D2084">
              <w:rPr>
                <w:rFonts w:ascii="Arial CE" w:hAnsi="Arial CE" w:cs="Arial CE"/>
                <w:sz w:val="16"/>
                <w:szCs w:val="16"/>
              </w:rPr>
              <w:t xml:space="preserve"> Zpracovatelský průmysl</w:t>
            </w:r>
          </w:p>
        </w:tc>
        <w:tc>
          <w:tcPr>
            <w:tcW w:w="464" w:type="dxa"/>
            <w:tcBorders>
              <w:top w:val="nil"/>
              <w:left w:val="single" w:sz="4" w:space="0" w:color="auto"/>
              <w:bottom w:val="nil"/>
            </w:tcBorders>
            <w:vAlign w:val="center"/>
          </w:tcPr>
          <w:p w14:paraId="0EEC5839" w14:textId="55827D84"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62,49</w:t>
            </w:r>
          </w:p>
        </w:tc>
        <w:tc>
          <w:tcPr>
            <w:tcW w:w="541" w:type="dxa"/>
            <w:tcBorders>
              <w:top w:val="nil"/>
              <w:left w:val="nil"/>
              <w:bottom w:val="nil"/>
              <w:right w:val="nil"/>
            </w:tcBorders>
            <w:shd w:val="clear" w:color="auto" w:fill="auto"/>
            <w:noWrap/>
            <w:vAlign w:val="center"/>
            <w:hideMark/>
          </w:tcPr>
          <w:p w14:paraId="6E34427A" w14:textId="0F38BE61"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40,17</w:t>
            </w:r>
          </w:p>
        </w:tc>
        <w:tc>
          <w:tcPr>
            <w:tcW w:w="664" w:type="dxa"/>
            <w:tcBorders>
              <w:top w:val="nil"/>
              <w:left w:val="nil"/>
              <w:bottom w:val="nil"/>
              <w:right w:val="nil"/>
            </w:tcBorders>
            <w:shd w:val="clear" w:color="auto" w:fill="auto"/>
            <w:noWrap/>
            <w:vAlign w:val="center"/>
            <w:hideMark/>
          </w:tcPr>
          <w:p w14:paraId="65E72FA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36,77</w:t>
            </w:r>
          </w:p>
        </w:tc>
        <w:tc>
          <w:tcPr>
            <w:tcW w:w="664" w:type="dxa"/>
            <w:tcBorders>
              <w:top w:val="nil"/>
              <w:left w:val="nil"/>
              <w:bottom w:val="nil"/>
              <w:right w:val="nil"/>
            </w:tcBorders>
            <w:shd w:val="clear" w:color="auto" w:fill="auto"/>
            <w:noWrap/>
            <w:vAlign w:val="center"/>
            <w:hideMark/>
          </w:tcPr>
          <w:p w14:paraId="711B810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37,50</w:t>
            </w:r>
          </w:p>
        </w:tc>
        <w:tc>
          <w:tcPr>
            <w:tcW w:w="664" w:type="dxa"/>
            <w:tcBorders>
              <w:top w:val="nil"/>
              <w:left w:val="nil"/>
              <w:bottom w:val="nil"/>
              <w:right w:val="nil"/>
            </w:tcBorders>
            <w:shd w:val="clear" w:color="auto" w:fill="auto"/>
            <w:noWrap/>
            <w:vAlign w:val="center"/>
            <w:hideMark/>
          </w:tcPr>
          <w:p w14:paraId="47315982"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33,87</w:t>
            </w:r>
          </w:p>
        </w:tc>
        <w:tc>
          <w:tcPr>
            <w:tcW w:w="664" w:type="dxa"/>
            <w:tcBorders>
              <w:top w:val="nil"/>
              <w:left w:val="nil"/>
              <w:bottom w:val="nil"/>
              <w:right w:val="nil"/>
            </w:tcBorders>
            <w:shd w:val="clear" w:color="auto" w:fill="auto"/>
            <w:noWrap/>
            <w:vAlign w:val="center"/>
            <w:hideMark/>
          </w:tcPr>
          <w:p w14:paraId="4B43AF2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37,62</w:t>
            </w:r>
          </w:p>
        </w:tc>
        <w:tc>
          <w:tcPr>
            <w:tcW w:w="664" w:type="dxa"/>
            <w:tcBorders>
              <w:top w:val="nil"/>
              <w:left w:val="nil"/>
              <w:bottom w:val="nil"/>
              <w:right w:val="nil"/>
            </w:tcBorders>
            <w:shd w:val="clear" w:color="auto" w:fill="auto"/>
            <w:noWrap/>
            <w:vAlign w:val="center"/>
            <w:hideMark/>
          </w:tcPr>
          <w:p w14:paraId="7EA3970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37,69</w:t>
            </w:r>
          </w:p>
        </w:tc>
        <w:tc>
          <w:tcPr>
            <w:tcW w:w="664" w:type="dxa"/>
            <w:tcBorders>
              <w:top w:val="nil"/>
              <w:left w:val="nil"/>
              <w:bottom w:val="nil"/>
              <w:right w:val="nil"/>
            </w:tcBorders>
            <w:shd w:val="clear" w:color="auto" w:fill="auto"/>
            <w:noWrap/>
            <w:vAlign w:val="center"/>
            <w:hideMark/>
          </w:tcPr>
          <w:p w14:paraId="64E6C1C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45,05</w:t>
            </w:r>
          </w:p>
        </w:tc>
        <w:tc>
          <w:tcPr>
            <w:tcW w:w="664" w:type="dxa"/>
            <w:tcBorders>
              <w:top w:val="nil"/>
              <w:left w:val="nil"/>
              <w:bottom w:val="nil"/>
              <w:right w:val="nil"/>
            </w:tcBorders>
            <w:shd w:val="clear" w:color="auto" w:fill="auto"/>
            <w:noWrap/>
            <w:vAlign w:val="center"/>
            <w:hideMark/>
          </w:tcPr>
          <w:p w14:paraId="03A523C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47,18</w:t>
            </w:r>
          </w:p>
        </w:tc>
        <w:tc>
          <w:tcPr>
            <w:tcW w:w="664" w:type="dxa"/>
            <w:tcBorders>
              <w:top w:val="nil"/>
              <w:left w:val="nil"/>
              <w:bottom w:val="nil"/>
              <w:right w:val="nil"/>
            </w:tcBorders>
            <w:shd w:val="clear" w:color="auto" w:fill="auto"/>
            <w:noWrap/>
            <w:vAlign w:val="center"/>
            <w:hideMark/>
          </w:tcPr>
          <w:p w14:paraId="715B128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48,17</w:t>
            </w:r>
          </w:p>
        </w:tc>
        <w:tc>
          <w:tcPr>
            <w:tcW w:w="669" w:type="dxa"/>
            <w:tcBorders>
              <w:top w:val="nil"/>
              <w:left w:val="nil"/>
              <w:bottom w:val="nil"/>
              <w:right w:val="nil"/>
            </w:tcBorders>
            <w:shd w:val="clear" w:color="auto" w:fill="auto"/>
            <w:noWrap/>
            <w:vAlign w:val="center"/>
            <w:hideMark/>
          </w:tcPr>
          <w:p w14:paraId="4DE3124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51,81</w:t>
            </w:r>
          </w:p>
        </w:tc>
      </w:tr>
      <w:tr w:rsidR="00C11C1F" w:rsidRPr="008D2084" w14:paraId="7F0BF0EA" w14:textId="77777777" w:rsidTr="006B2560">
        <w:trPr>
          <w:trHeight w:val="451"/>
        </w:trPr>
        <w:tc>
          <w:tcPr>
            <w:tcW w:w="2722" w:type="dxa"/>
            <w:tcBorders>
              <w:top w:val="nil"/>
              <w:left w:val="nil"/>
              <w:bottom w:val="nil"/>
              <w:right w:val="nil"/>
            </w:tcBorders>
            <w:shd w:val="clear" w:color="auto" w:fill="auto"/>
            <w:vAlign w:val="center"/>
            <w:hideMark/>
          </w:tcPr>
          <w:p w14:paraId="2E1D65BC" w14:textId="77777777" w:rsidR="006B2560" w:rsidRDefault="00C11C1F" w:rsidP="008D2084">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D </w:t>
            </w:r>
            <w:r>
              <w:rPr>
                <w:rFonts w:ascii="Arial CE" w:hAnsi="Arial CE" w:cs="Arial CE"/>
                <w:sz w:val="16"/>
                <w:szCs w:val="16"/>
              </w:rPr>
              <w:t>–</w:t>
            </w:r>
            <w:r w:rsidRPr="008D2084">
              <w:rPr>
                <w:rFonts w:ascii="Arial CE" w:hAnsi="Arial CE" w:cs="Arial CE"/>
                <w:sz w:val="16"/>
                <w:szCs w:val="16"/>
              </w:rPr>
              <w:t xml:space="preserve"> Výroba a rozvod elektřiny, </w:t>
            </w:r>
          </w:p>
          <w:p w14:paraId="74150BB0" w14:textId="77777777" w:rsidR="006B2560" w:rsidRDefault="006B2560" w:rsidP="006B2560">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 xml:space="preserve">plynu, tepla a </w:t>
            </w:r>
            <w:r>
              <w:rPr>
                <w:rFonts w:ascii="Arial CE" w:hAnsi="Arial CE" w:cs="Arial CE"/>
                <w:sz w:val="16"/>
                <w:szCs w:val="16"/>
              </w:rPr>
              <w:t>k</w:t>
            </w:r>
            <w:r w:rsidR="00C11C1F" w:rsidRPr="008D2084">
              <w:rPr>
                <w:rFonts w:ascii="Arial CE" w:hAnsi="Arial CE" w:cs="Arial CE"/>
                <w:sz w:val="16"/>
                <w:szCs w:val="16"/>
              </w:rPr>
              <w:t>limatiz</w:t>
            </w:r>
            <w:r>
              <w:rPr>
                <w:rFonts w:ascii="Arial CE" w:hAnsi="Arial CE" w:cs="Arial CE"/>
                <w:sz w:val="16"/>
                <w:szCs w:val="16"/>
              </w:rPr>
              <w:t>.</w:t>
            </w:r>
            <w:r w:rsidR="00C11C1F" w:rsidRPr="008D2084">
              <w:rPr>
                <w:rFonts w:ascii="Arial CE" w:hAnsi="Arial CE" w:cs="Arial CE"/>
                <w:sz w:val="16"/>
                <w:szCs w:val="16"/>
              </w:rPr>
              <w:t xml:space="preserve"> </w:t>
            </w:r>
          </w:p>
          <w:p w14:paraId="204605D0" w14:textId="505BDCF4" w:rsidR="00C11C1F" w:rsidRPr="008D2084" w:rsidRDefault="006B2560" w:rsidP="006B2560">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vzduchu</w:t>
            </w:r>
          </w:p>
        </w:tc>
        <w:tc>
          <w:tcPr>
            <w:tcW w:w="464" w:type="dxa"/>
            <w:tcBorders>
              <w:top w:val="nil"/>
              <w:left w:val="single" w:sz="4" w:space="0" w:color="auto"/>
              <w:bottom w:val="nil"/>
            </w:tcBorders>
            <w:vAlign w:val="center"/>
          </w:tcPr>
          <w:p w14:paraId="750FC02D" w14:textId="4FA7676A"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3959C82A" w14:textId="1C01330A"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20,91</w:t>
            </w:r>
          </w:p>
        </w:tc>
        <w:tc>
          <w:tcPr>
            <w:tcW w:w="664" w:type="dxa"/>
            <w:tcBorders>
              <w:top w:val="nil"/>
              <w:left w:val="nil"/>
              <w:bottom w:val="nil"/>
              <w:right w:val="nil"/>
            </w:tcBorders>
            <w:shd w:val="clear" w:color="auto" w:fill="auto"/>
            <w:noWrap/>
            <w:vAlign w:val="center"/>
            <w:hideMark/>
          </w:tcPr>
          <w:p w14:paraId="4460D7A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20,08</w:t>
            </w:r>
          </w:p>
        </w:tc>
        <w:tc>
          <w:tcPr>
            <w:tcW w:w="664" w:type="dxa"/>
            <w:tcBorders>
              <w:top w:val="nil"/>
              <w:left w:val="nil"/>
              <w:bottom w:val="nil"/>
              <w:right w:val="nil"/>
            </w:tcBorders>
            <w:shd w:val="clear" w:color="auto" w:fill="auto"/>
            <w:noWrap/>
            <w:vAlign w:val="center"/>
            <w:hideMark/>
          </w:tcPr>
          <w:p w14:paraId="523E578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19,25</w:t>
            </w:r>
          </w:p>
        </w:tc>
        <w:tc>
          <w:tcPr>
            <w:tcW w:w="664" w:type="dxa"/>
            <w:tcBorders>
              <w:top w:val="nil"/>
              <w:left w:val="nil"/>
              <w:bottom w:val="nil"/>
              <w:right w:val="nil"/>
            </w:tcBorders>
            <w:shd w:val="clear" w:color="auto" w:fill="auto"/>
            <w:noWrap/>
            <w:vAlign w:val="center"/>
            <w:hideMark/>
          </w:tcPr>
          <w:p w14:paraId="3CB05D1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16,72</w:t>
            </w:r>
          </w:p>
        </w:tc>
        <w:tc>
          <w:tcPr>
            <w:tcW w:w="664" w:type="dxa"/>
            <w:tcBorders>
              <w:top w:val="nil"/>
              <w:left w:val="nil"/>
              <w:bottom w:val="nil"/>
              <w:right w:val="nil"/>
            </w:tcBorders>
            <w:shd w:val="clear" w:color="auto" w:fill="auto"/>
            <w:noWrap/>
            <w:vAlign w:val="center"/>
            <w:hideMark/>
          </w:tcPr>
          <w:p w14:paraId="54EFF1A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20,19</w:t>
            </w:r>
          </w:p>
        </w:tc>
        <w:tc>
          <w:tcPr>
            <w:tcW w:w="664" w:type="dxa"/>
            <w:tcBorders>
              <w:top w:val="nil"/>
              <w:left w:val="nil"/>
              <w:bottom w:val="nil"/>
              <w:right w:val="nil"/>
            </w:tcBorders>
            <w:shd w:val="clear" w:color="auto" w:fill="auto"/>
            <w:noWrap/>
            <w:vAlign w:val="center"/>
            <w:hideMark/>
          </w:tcPr>
          <w:p w14:paraId="14176E2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19,69</w:t>
            </w:r>
          </w:p>
        </w:tc>
        <w:tc>
          <w:tcPr>
            <w:tcW w:w="664" w:type="dxa"/>
            <w:tcBorders>
              <w:top w:val="nil"/>
              <w:left w:val="nil"/>
              <w:bottom w:val="nil"/>
              <w:right w:val="nil"/>
            </w:tcBorders>
            <w:shd w:val="clear" w:color="auto" w:fill="auto"/>
            <w:noWrap/>
            <w:vAlign w:val="center"/>
            <w:hideMark/>
          </w:tcPr>
          <w:p w14:paraId="61E90AF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22,98</w:t>
            </w:r>
          </w:p>
        </w:tc>
        <w:tc>
          <w:tcPr>
            <w:tcW w:w="664" w:type="dxa"/>
            <w:tcBorders>
              <w:top w:val="nil"/>
              <w:left w:val="nil"/>
              <w:bottom w:val="nil"/>
              <w:right w:val="nil"/>
            </w:tcBorders>
            <w:shd w:val="clear" w:color="auto" w:fill="auto"/>
            <w:noWrap/>
            <w:vAlign w:val="center"/>
            <w:hideMark/>
          </w:tcPr>
          <w:p w14:paraId="4456357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23,53</w:t>
            </w:r>
          </w:p>
        </w:tc>
        <w:tc>
          <w:tcPr>
            <w:tcW w:w="664" w:type="dxa"/>
            <w:tcBorders>
              <w:top w:val="nil"/>
              <w:left w:val="nil"/>
              <w:bottom w:val="nil"/>
              <w:right w:val="nil"/>
            </w:tcBorders>
            <w:shd w:val="clear" w:color="auto" w:fill="auto"/>
            <w:noWrap/>
            <w:vAlign w:val="center"/>
            <w:hideMark/>
          </w:tcPr>
          <w:p w14:paraId="3A4DF59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25,27</w:t>
            </w:r>
          </w:p>
        </w:tc>
        <w:tc>
          <w:tcPr>
            <w:tcW w:w="669" w:type="dxa"/>
            <w:tcBorders>
              <w:top w:val="nil"/>
              <w:left w:val="nil"/>
              <w:bottom w:val="nil"/>
              <w:right w:val="nil"/>
            </w:tcBorders>
            <w:shd w:val="clear" w:color="auto" w:fill="auto"/>
            <w:noWrap/>
            <w:vAlign w:val="center"/>
            <w:hideMark/>
          </w:tcPr>
          <w:p w14:paraId="5BD46AA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29,04</w:t>
            </w:r>
          </w:p>
        </w:tc>
      </w:tr>
      <w:tr w:rsidR="00C11C1F" w:rsidRPr="008D2084" w14:paraId="0CAAFCF1" w14:textId="77777777" w:rsidTr="006B2560">
        <w:trPr>
          <w:trHeight w:val="677"/>
        </w:trPr>
        <w:tc>
          <w:tcPr>
            <w:tcW w:w="2722" w:type="dxa"/>
            <w:tcBorders>
              <w:top w:val="nil"/>
              <w:left w:val="nil"/>
              <w:bottom w:val="nil"/>
              <w:right w:val="nil"/>
            </w:tcBorders>
            <w:shd w:val="clear" w:color="auto" w:fill="auto"/>
            <w:vAlign w:val="center"/>
            <w:hideMark/>
          </w:tcPr>
          <w:p w14:paraId="4393EB58" w14:textId="4B4E9513" w:rsidR="00C11C1F" w:rsidRDefault="00C11C1F" w:rsidP="008D2084">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E </w:t>
            </w:r>
            <w:r>
              <w:rPr>
                <w:rFonts w:ascii="Arial CE" w:hAnsi="Arial CE" w:cs="Arial CE"/>
                <w:sz w:val="16"/>
                <w:szCs w:val="16"/>
              </w:rPr>
              <w:t>–</w:t>
            </w:r>
            <w:r w:rsidRPr="008D2084">
              <w:rPr>
                <w:rFonts w:ascii="Arial CE" w:hAnsi="Arial CE" w:cs="Arial CE"/>
                <w:sz w:val="16"/>
                <w:szCs w:val="16"/>
              </w:rPr>
              <w:t xml:space="preserve"> Zásobování vodou; činnosti</w:t>
            </w:r>
          </w:p>
          <w:p w14:paraId="211380B2" w14:textId="77777777" w:rsidR="006B2560" w:rsidRDefault="00C11C1F" w:rsidP="008D2084">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 xml:space="preserve"> </w:t>
            </w:r>
            <w:r>
              <w:rPr>
                <w:rFonts w:ascii="Arial CE" w:hAnsi="Arial CE" w:cs="Arial CE"/>
                <w:sz w:val="16"/>
                <w:szCs w:val="16"/>
              </w:rPr>
              <w:t xml:space="preserve"> </w:t>
            </w:r>
            <w:r w:rsidRPr="008D2084">
              <w:rPr>
                <w:rFonts w:ascii="Arial CE" w:hAnsi="Arial CE" w:cs="Arial CE"/>
                <w:sz w:val="16"/>
                <w:szCs w:val="16"/>
              </w:rPr>
              <w:t xml:space="preserve">související s odpadními </w:t>
            </w:r>
          </w:p>
          <w:p w14:paraId="08262AF6" w14:textId="23178C0A" w:rsidR="00C11C1F" w:rsidRPr="008D2084" w:rsidRDefault="006B2560" w:rsidP="006B2560">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vodami, odpady a sanacemi</w:t>
            </w:r>
          </w:p>
        </w:tc>
        <w:tc>
          <w:tcPr>
            <w:tcW w:w="464" w:type="dxa"/>
            <w:tcBorders>
              <w:top w:val="nil"/>
              <w:left w:val="single" w:sz="4" w:space="0" w:color="auto"/>
              <w:bottom w:val="nil"/>
            </w:tcBorders>
            <w:vAlign w:val="center"/>
          </w:tcPr>
          <w:p w14:paraId="26BFDA14" w14:textId="2983854A"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3B4ACCD9" w14:textId="784C6B5D"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33,64</w:t>
            </w:r>
          </w:p>
        </w:tc>
        <w:tc>
          <w:tcPr>
            <w:tcW w:w="664" w:type="dxa"/>
            <w:tcBorders>
              <w:top w:val="nil"/>
              <w:left w:val="nil"/>
              <w:bottom w:val="nil"/>
              <w:right w:val="nil"/>
            </w:tcBorders>
            <w:shd w:val="clear" w:color="auto" w:fill="auto"/>
            <w:noWrap/>
            <w:vAlign w:val="center"/>
            <w:hideMark/>
          </w:tcPr>
          <w:p w14:paraId="3FA1847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30,74</w:t>
            </w:r>
          </w:p>
        </w:tc>
        <w:tc>
          <w:tcPr>
            <w:tcW w:w="664" w:type="dxa"/>
            <w:tcBorders>
              <w:top w:val="nil"/>
              <w:left w:val="nil"/>
              <w:bottom w:val="nil"/>
              <w:right w:val="nil"/>
            </w:tcBorders>
            <w:shd w:val="clear" w:color="auto" w:fill="auto"/>
            <w:noWrap/>
            <w:vAlign w:val="center"/>
            <w:hideMark/>
          </w:tcPr>
          <w:p w14:paraId="3264793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29,43</w:t>
            </w:r>
          </w:p>
        </w:tc>
        <w:tc>
          <w:tcPr>
            <w:tcW w:w="664" w:type="dxa"/>
            <w:tcBorders>
              <w:top w:val="nil"/>
              <w:left w:val="nil"/>
              <w:bottom w:val="nil"/>
              <w:right w:val="nil"/>
            </w:tcBorders>
            <w:shd w:val="clear" w:color="auto" w:fill="auto"/>
            <w:noWrap/>
            <w:vAlign w:val="center"/>
            <w:hideMark/>
          </w:tcPr>
          <w:p w14:paraId="538B099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25,64</w:t>
            </w:r>
          </w:p>
        </w:tc>
        <w:tc>
          <w:tcPr>
            <w:tcW w:w="664" w:type="dxa"/>
            <w:tcBorders>
              <w:top w:val="nil"/>
              <w:left w:val="nil"/>
              <w:bottom w:val="nil"/>
              <w:right w:val="nil"/>
            </w:tcBorders>
            <w:shd w:val="clear" w:color="auto" w:fill="auto"/>
            <w:noWrap/>
            <w:vAlign w:val="center"/>
            <w:hideMark/>
          </w:tcPr>
          <w:p w14:paraId="17FC0B8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29,81</w:t>
            </w:r>
          </w:p>
        </w:tc>
        <w:tc>
          <w:tcPr>
            <w:tcW w:w="664" w:type="dxa"/>
            <w:tcBorders>
              <w:top w:val="nil"/>
              <w:left w:val="nil"/>
              <w:bottom w:val="nil"/>
              <w:right w:val="nil"/>
            </w:tcBorders>
            <w:shd w:val="clear" w:color="auto" w:fill="auto"/>
            <w:noWrap/>
            <w:vAlign w:val="center"/>
            <w:hideMark/>
          </w:tcPr>
          <w:p w14:paraId="3B52DE7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29,72</w:t>
            </w:r>
          </w:p>
        </w:tc>
        <w:tc>
          <w:tcPr>
            <w:tcW w:w="664" w:type="dxa"/>
            <w:tcBorders>
              <w:top w:val="nil"/>
              <w:left w:val="nil"/>
              <w:bottom w:val="nil"/>
              <w:right w:val="nil"/>
            </w:tcBorders>
            <w:shd w:val="clear" w:color="auto" w:fill="auto"/>
            <w:noWrap/>
            <w:vAlign w:val="center"/>
            <w:hideMark/>
          </w:tcPr>
          <w:p w14:paraId="752D12FB"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34,45</w:t>
            </w:r>
          </w:p>
        </w:tc>
        <w:tc>
          <w:tcPr>
            <w:tcW w:w="664" w:type="dxa"/>
            <w:tcBorders>
              <w:top w:val="nil"/>
              <w:left w:val="nil"/>
              <w:bottom w:val="nil"/>
              <w:right w:val="nil"/>
            </w:tcBorders>
            <w:shd w:val="clear" w:color="auto" w:fill="auto"/>
            <w:noWrap/>
            <w:vAlign w:val="center"/>
            <w:hideMark/>
          </w:tcPr>
          <w:p w14:paraId="5D3E174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36,10</w:t>
            </w:r>
          </w:p>
        </w:tc>
        <w:tc>
          <w:tcPr>
            <w:tcW w:w="664" w:type="dxa"/>
            <w:tcBorders>
              <w:top w:val="nil"/>
              <w:left w:val="nil"/>
              <w:bottom w:val="nil"/>
              <w:right w:val="nil"/>
            </w:tcBorders>
            <w:shd w:val="clear" w:color="auto" w:fill="auto"/>
            <w:noWrap/>
            <w:vAlign w:val="center"/>
            <w:hideMark/>
          </w:tcPr>
          <w:p w14:paraId="320FCE7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37,65</w:t>
            </w:r>
          </w:p>
        </w:tc>
        <w:tc>
          <w:tcPr>
            <w:tcW w:w="669" w:type="dxa"/>
            <w:tcBorders>
              <w:top w:val="nil"/>
              <w:left w:val="nil"/>
              <w:bottom w:val="nil"/>
              <w:right w:val="nil"/>
            </w:tcBorders>
            <w:shd w:val="clear" w:color="auto" w:fill="auto"/>
            <w:noWrap/>
            <w:vAlign w:val="center"/>
            <w:hideMark/>
          </w:tcPr>
          <w:p w14:paraId="236FA21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40,85</w:t>
            </w:r>
          </w:p>
        </w:tc>
      </w:tr>
      <w:tr w:rsidR="00C11C1F" w:rsidRPr="008D2084" w14:paraId="24196EEC" w14:textId="77777777" w:rsidTr="006B2560">
        <w:trPr>
          <w:trHeight w:val="301"/>
        </w:trPr>
        <w:tc>
          <w:tcPr>
            <w:tcW w:w="2722" w:type="dxa"/>
            <w:tcBorders>
              <w:top w:val="nil"/>
              <w:left w:val="nil"/>
              <w:bottom w:val="nil"/>
              <w:right w:val="nil"/>
            </w:tcBorders>
            <w:shd w:val="clear" w:color="auto" w:fill="auto"/>
            <w:vAlign w:val="center"/>
            <w:hideMark/>
          </w:tcPr>
          <w:p w14:paraId="16B66B31" w14:textId="28269907" w:rsidR="00C11C1F" w:rsidRPr="008D2084" w:rsidRDefault="00C11C1F" w:rsidP="008D2084">
            <w:pPr>
              <w:spacing w:after="0" w:line="240" w:lineRule="auto"/>
              <w:ind w:firstLineChars="100" w:firstLine="160"/>
              <w:rPr>
                <w:rFonts w:ascii="Arial CE" w:hAnsi="Arial CE" w:cs="Arial CE"/>
                <w:sz w:val="16"/>
                <w:szCs w:val="16"/>
              </w:rPr>
            </w:pPr>
            <w:r>
              <w:rPr>
                <w:rFonts w:ascii="Arial CE" w:hAnsi="Arial CE" w:cs="Arial CE"/>
                <w:sz w:val="16"/>
                <w:szCs w:val="16"/>
              </w:rPr>
              <w:t>F –</w:t>
            </w:r>
            <w:r w:rsidRPr="008D2084">
              <w:rPr>
                <w:rFonts w:ascii="Arial CE" w:hAnsi="Arial CE" w:cs="Arial CE"/>
                <w:sz w:val="16"/>
                <w:szCs w:val="16"/>
              </w:rPr>
              <w:t xml:space="preserve"> Stavebnictví</w:t>
            </w:r>
          </w:p>
        </w:tc>
        <w:tc>
          <w:tcPr>
            <w:tcW w:w="464" w:type="dxa"/>
            <w:tcBorders>
              <w:top w:val="nil"/>
              <w:left w:val="single" w:sz="4" w:space="0" w:color="auto"/>
              <w:bottom w:val="nil"/>
            </w:tcBorders>
            <w:vAlign w:val="center"/>
          </w:tcPr>
          <w:p w14:paraId="7EB9F234" w14:textId="755BADAB"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49,46</w:t>
            </w:r>
          </w:p>
        </w:tc>
        <w:tc>
          <w:tcPr>
            <w:tcW w:w="541" w:type="dxa"/>
            <w:tcBorders>
              <w:top w:val="nil"/>
              <w:left w:val="nil"/>
              <w:bottom w:val="nil"/>
              <w:right w:val="nil"/>
            </w:tcBorders>
            <w:shd w:val="clear" w:color="auto" w:fill="auto"/>
            <w:noWrap/>
            <w:vAlign w:val="center"/>
            <w:hideMark/>
          </w:tcPr>
          <w:p w14:paraId="6F3AEEC5" w14:textId="291DFE85"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34,77</w:t>
            </w:r>
          </w:p>
        </w:tc>
        <w:tc>
          <w:tcPr>
            <w:tcW w:w="664" w:type="dxa"/>
            <w:tcBorders>
              <w:top w:val="nil"/>
              <w:left w:val="nil"/>
              <w:bottom w:val="nil"/>
              <w:right w:val="nil"/>
            </w:tcBorders>
            <w:shd w:val="clear" w:color="auto" w:fill="auto"/>
            <w:noWrap/>
            <w:vAlign w:val="center"/>
            <w:hideMark/>
          </w:tcPr>
          <w:p w14:paraId="42E6EFB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33,12</w:t>
            </w:r>
          </w:p>
        </w:tc>
        <w:tc>
          <w:tcPr>
            <w:tcW w:w="664" w:type="dxa"/>
            <w:tcBorders>
              <w:top w:val="nil"/>
              <w:left w:val="nil"/>
              <w:bottom w:val="nil"/>
              <w:right w:val="nil"/>
            </w:tcBorders>
            <w:shd w:val="clear" w:color="auto" w:fill="auto"/>
            <w:noWrap/>
            <w:vAlign w:val="center"/>
            <w:hideMark/>
          </w:tcPr>
          <w:p w14:paraId="3086BB3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28,90</w:t>
            </w:r>
          </w:p>
        </w:tc>
        <w:tc>
          <w:tcPr>
            <w:tcW w:w="664" w:type="dxa"/>
            <w:tcBorders>
              <w:top w:val="nil"/>
              <w:left w:val="nil"/>
              <w:bottom w:val="nil"/>
              <w:right w:val="nil"/>
            </w:tcBorders>
            <w:shd w:val="clear" w:color="auto" w:fill="auto"/>
            <w:noWrap/>
            <w:vAlign w:val="center"/>
            <w:hideMark/>
          </w:tcPr>
          <w:p w14:paraId="3BC8D2E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26,65</w:t>
            </w:r>
          </w:p>
        </w:tc>
        <w:tc>
          <w:tcPr>
            <w:tcW w:w="664" w:type="dxa"/>
            <w:tcBorders>
              <w:top w:val="nil"/>
              <w:left w:val="nil"/>
              <w:bottom w:val="nil"/>
              <w:right w:val="nil"/>
            </w:tcBorders>
            <w:shd w:val="clear" w:color="auto" w:fill="auto"/>
            <w:noWrap/>
            <w:vAlign w:val="center"/>
            <w:hideMark/>
          </w:tcPr>
          <w:p w14:paraId="224F719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28,86</w:t>
            </w:r>
          </w:p>
        </w:tc>
        <w:tc>
          <w:tcPr>
            <w:tcW w:w="664" w:type="dxa"/>
            <w:tcBorders>
              <w:top w:val="nil"/>
              <w:left w:val="nil"/>
              <w:bottom w:val="nil"/>
              <w:right w:val="nil"/>
            </w:tcBorders>
            <w:shd w:val="clear" w:color="auto" w:fill="auto"/>
            <w:noWrap/>
            <w:vAlign w:val="center"/>
            <w:hideMark/>
          </w:tcPr>
          <w:p w14:paraId="5CC54B8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26,98</w:t>
            </w:r>
          </w:p>
        </w:tc>
        <w:tc>
          <w:tcPr>
            <w:tcW w:w="664" w:type="dxa"/>
            <w:tcBorders>
              <w:top w:val="nil"/>
              <w:left w:val="nil"/>
              <w:bottom w:val="nil"/>
              <w:right w:val="nil"/>
            </w:tcBorders>
            <w:shd w:val="clear" w:color="auto" w:fill="auto"/>
            <w:noWrap/>
            <w:vAlign w:val="center"/>
            <w:hideMark/>
          </w:tcPr>
          <w:p w14:paraId="17EF513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30,85</w:t>
            </w:r>
          </w:p>
        </w:tc>
        <w:tc>
          <w:tcPr>
            <w:tcW w:w="664" w:type="dxa"/>
            <w:tcBorders>
              <w:top w:val="nil"/>
              <w:left w:val="nil"/>
              <w:bottom w:val="nil"/>
              <w:right w:val="nil"/>
            </w:tcBorders>
            <w:shd w:val="clear" w:color="auto" w:fill="auto"/>
            <w:noWrap/>
            <w:vAlign w:val="center"/>
            <w:hideMark/>
          </w:tcPr>
          <w:p w14:paraId="530A5B6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31,17</w:t>
            </w:r>
          </w:p>
        </w:tc>
        <w:tc>
          <w:tcPr>
            <w:tcW w:w="664" w:type="dxa"/>
            <w:tcBorders>
              <w:top w:val="nil"/>
              <w:left w:val="nil"/>
              <w:bottom w:val="nil"/>
              <w:right w:val="nil"/>
            </w:tcBorders>
            <w:shd w:val="clear" w:color="auto" w:fill="auto"/>
            <w:noWrap/>
            <w:vAlign w:val="center"/>
            <w:hideMark/>
          </w:tcPr>
          <w:p w14:paraId="4F625F4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31,63</w:t>
            </w:r>
          </w:p>
        </w:tc>
        <w:tc>
          <w:tcPr>
            <w:tcW w:w="669" w:type="dxa"/>
            <w:tcBorders>
              <w:top w:val="nil"/>
              <w:left w:val="nil"/>
              <w:bottom w:val="nil"/>
              <w:right w:val="nil"/>
            </w:tcBorders>
            <w:shd w:val="clear" w:color="auto" w:fill="auto"/>
            <w:noWrap/>
            <w:vAlign w:val="center"/>
            <w:hideMark/>
          </w:tcPr>
          <w:p w14:paraId="0BED27B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32,70</w:t>
            </w:r>
          </w:p>
        </w:tc>
      </w:tr>
      <w:tr w:rsidR="00C11C1F" w:rsidRPr="008D2084" w14:paraId="43C08DF3" w14:textId="77777777" w:rsidTr="006B2560">
        <w:trPr>
          <w:trHeight w:val="451"/>
        </w:trPr>
        <w:tc>
          <w:tcPr>
            <w:tcW w:w="2722" w:type="dxa"/>
            <w:tcBorders>
              <w:top w:val="nil"/>
              <w:left w:val="nil"/>
              <w:bottom w:val="nil"/>
              <w:right w:val="nil"/>
            </w:tcBorders>
            <w:shd w:val="clear" w:color="auto" w:fill="auto"/>
            <w:vAlign w:val="center"/>
            <w:hideMark/>
          </w:tcPr>
          <w:p w14:paraId="02EC2C58" w14:textId="6EA40428" w:rsidR="00C11C1F" w:rsidRDefault="00C11C1F" w:rsidP="008D2084">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G </w:t>
            </w:r>
            <w:r>
              <w:rPr>
                <w:rFonts w:ascii="Arial CE" w:hAnsi="Arial CE" w:cs="Arial CE"/>
                <w:sz w:val="16"/>
                <w:szCs w:val="16"/>
              </w:rPr>
              <w:t>–</w:t>
            </w:r>
            <w:r w:rsidRPr="008D2084">
              <w:rPr>
                <w:rFonts w:ascii="Arial CE" w:hAnsi="Arial CE" w:cs="Arial CE"/>
                <w:sz w:val="16"/>
                <w:szCs w:val="16"/>
              </w:rPr>
              <w:t xml:space="preserve"> Velkoobchod</w:t>
            </w:r>
            <w:r>
              <w:rPr>
                <w:rFonts w:ascii="Arial CE" w:hAnsi="Arial CE" w:cs="Arial CE"/>
                <w:sz w:val="16"/>
                <w:szCs w:val="16"/>
              </w:rPr>
              <w:t xml:space="preserve"> a maloobchod; </w:t>
            </w:r>
          </w:p>
          <w:p w14:paraId="5B629535" w14:textId="2D35BD5E" w:rsidR="00C11C1F" w:rsidRDefault="00C11C1F" w:rsidP="008D2084">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opravy a údržba </w:t>
            </w:r>
            <w:r w:rsidRPr="008D2084">
              <w:rPr>
                <w:rFonts w:ascii="Arial CE" w:hAnsi="Arial CE" w:cs="Arial CE"/>
                <w:sz w:val="16"/>
                <w:szCs w:val="16"/>
              </w:rPr>
              <w:t>motorových</w:t>
            </w:r>
          </w:p>
          <w:p w14:paraId="7EC12C99" w14:textId="1D9D09F2" w:rsidR="00C11C1F" w:rsidRPr="008D2084" w:rsidRDefault="00C11C1F" w:rsidP="008D2084">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 xml:space="preserve"> </w:t>
            </w:r>
            <w:r>
              <w:rPr>
                <w:rFonts w:ascii="Arial CE" w:hAnsi="Arial CE" w:cs="Arial CE"/>
                <w:sz w:val="16"/>
                <w:szCs w:val="16"/>
              </w:rPr>
              <w:t xml:space="preserve"> </w:t>
            </w:r>
            <w:r w:rsidRPr="008D2084">
              <w:rPr>
                <w:rFonts w:ascii="Arial CE" w:hAnsi="Arial CE" w:cs="Arial CE"/>
                <w:sz w:val="16"/>
                <w:szCs w:val="16"/>
              </w:rPr>
              <w:t>vozidel</w:t>
            </w:r>
          </w:p>
        </w:tc>
        <w:tc>
          <w:tcPr>
            <w:tcW w:w="464" w:type="dxa"/>
            <w:tcBorders>
              <w:top w:val="nil"/>
              <w:left w:val="single" w:sz="4" w:space="0" w:color="auto"/>
              <w:bottom w:val="nil"/>
            </w:tcBorders>
            <w:vAlign w:val="center"/>
          </w:tcPr>
          <w:p w14:paraId="5D9CE923" w14:textId="0C410B28"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45,89</w:t>
            </w:r>
          </w:p>
        </w:tc>
        <w:tc>
          <w:tcPr>
            <w:tcW w:w="541" w:type="dxa"/>
            <w:tcBorders>
              <w:top w:val="nil"/>
              <w:left w:val="nil"/>
              <w:bottom w:val="nil"/>
              <w:right w:val="nil"/>
            </w:tcBorders>
            <w:shd w:val="clear" w:color="auto" w:fill="auto"/>
            <w:noWrap/>
            <w:vAlign w:val="center"/>
            <w:hideMark/>
          </w:tcPr>
          <w:p w14:paraId="53D8D3C1" w14:textId="3E8DB671"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33,32</w:t>
            </w:r>
          </w:p>
        </w:tc>
        <w:tc>
          <w:tcPr>
            <w:tcW w:w="664" w:type="dxa"/>
            <w:tcBorders>
              <w:top w:val="nil"/>
              <w:left w:val="nil"/>
              <w:bottom w:val="nil"/>
              <w:right w:val="nil"/>
            </w:tcBorders>
            <w:shd w:val="clear" w:color="auto" w:fill="auto"/>
            <w:noWrap/>
            <w:vAlign w:val="center"/>
            <w:hideMark/>
          </w:tcPr>
          <w:p w14:paraId="40407BC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29,06</w:t>
            </w:r>
          </w:p>
        </w:tc>
        <w:tc>
          <w:tcPr>
            <w:tcW w:w="664" w:type="dxa"/>
            <w:tcBorders>
              <w:top w:val="nil"/>
              <w:left w:val="nil"/>
              <w:bottom w:val="nil"/>
              <w:right w:val="nil"/>
            </w:tcBorders>
            <w:shd w:val="clear" w:color="auto" w:fill="auto"/>
            <w:noWrap/>
            <w:vAlign w:val="center"/>
            <w:hideMark/>
          </w:tcPr>
          <w:p w14:paraId="04D9C4B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27,27</w:t>
            </w:r>
          </w:p>
        </w:tc>
        <w:tc>
          <w:tcPr>
            <w:tcW w:w="664" w:type="dxa"/>
            <w:tcBorders>
              <w:top w:val="nil"/>
              <w:left w:val="nil"/>
              <w:bottom w:val="nil"/>
              <w:right w:val="nil"/>
            </w:tcBorders>
            <w:shd w:val="clear" w:color="auto" w:fill="auto"/>
            <w:noWrap/>
            <w:vAlign w:val="center"/>
            <w:hideMark/>
          </w:tcPr>
          <w:p w14:paraId="315C22C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24,10</w:t>
            </w:r>
          </w:p>
        </w:tc>
        <w:tc>
          <w:tcPr>
            <w:tcW w:w="664" w:type="dxa"/>
            <w:tcBorders>
              <w:top w:val="nil"/>
              <w:left w:val="nil"/>
              <w:bottom w:val="nil"/>
              <w:right w:val="nil"/>
            </w:tcBorders>
            <w:shd w:val="clear" w:color="auto" w:fill="auto"/>
            <w:noWrap/>
            <w:vAlign w:val="center"/>
            <w:hideMark/>
          </w:tcPr>
          <w:p w14:paraId="36B0048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26,56</w:t>
            </w:r>
          </w:p>
        </w:tc>
        <w:tc>
          <w:tcPr>
            <w:tcW w:w="664" w:type="dxa"/>
            <w:tcBorders>
              <w:top w:val="nil"/>
              <w:left w:val="nil"/>
              <w:bottom w:val="nil"/>
              <w:right w:val="nil"/>
            </w:tcBorders>
            <w:shd w:val="clear" w:color="auto" w:fill="auto"/>
            <w:noWrap/>
            <w:vAlign w:val="center"/>
            <w:hideMark/>
          </w:tcPr>
          <w:p w14:paraId="19AA00F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26,32</w:t>
            </w:r>
          </w:p>
        </w:tc>
        <w:tc>
          <w:tcPr>
            <w:tcW w:w="664" w:type="dxa"/>
            <w:tcBorders>
              <w:top w:val="nil"/>
              <w:left w:val="nil"/>
              <w:bottom w:val="nil"/>
              <w:right w:val="nil"/>
            </w:tcBorders>
            <w:shd w:val="clear" w:color="auto" w:fill="auto"/>
            <w:noWrap/>
            <w:vAlign w:val="center"/>
            <w:hideMark/>
          </w:tcPr>
          <w:p w14:paraId="29F3C25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30,29</w:t>
            </w:r>
          </w:p>
        </w:tc>
        <w:tc>
          <w:tcPr>
            <w:tcW w:w="664" w:type="dxa"/>
            <w:tcBorders>
              <w:top w:val="nil"/>
              <w:left w:val="nil"/>
              <w:bottom w:val="nil"/>
              <w:right w:val="nil"/>
            </w:tcBorders>
            <w:shd w:val="clear" w:color="auto" w:fill="auto"/>
            <w:noWrap/>
            <w:vAlign w:val="center"/>
            <w:hideMark/>
          </w:tcPr>
          <w:p w14:paraId="07748AA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33,80</w:t>
            </w:r>
          </w:p>
        </w:tc>
        <w:tc>
          <w:tcPr>
            <w:tcW w:w="664" w:type="dxa"/>
            <w:tcBorders>
              <w:top w:val="nil"/>
              <w:left w:val="nil"/>
              <w:bottom w:val="nil"/>
              <w:right w:val="nil"/>
            </w:tcBorders>
            <w:shd w:val="clear" w:color="auto" w:fill="auto"/>
            <w:noWrap/>
            <w:vAlign w:val="center"/>
            <w:hideMark/>
          </w:tcPr>
          <w:p w14:paraId="1CF82833"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34,54</w:t>
            </w:r>
          </w:p>
        </w:tc>
        <w:tc>
          <w:tcPr>
            <w:tcW w:w="669" w:type="dxa"/>
            <w:tcBorders>
              <w:top w:val="nil"/>
              <w:left w:val="nil"/>
              <w:bottom w:val="nil"/>
              <w:right w:val="nil"/>
            </w:tcBorders>
            <w:shd w:val="clear" w:color="auto" w:fill="auto"/>
            <w:noWrap/>
            <w:vAlign w:val="center"/>
            <w:hideMark/>
          </w:tcPr>
          <w:p w14:paraId="772AE5D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37,61</w:t>
            </w:r>
          </w:p>
        </w:tc>
      </w:tr>
      <w:tr w:rsidR="00C11C1F" w:rsidRPr="008D2084" w14:paraId="4060BB3C" w14:textId="77777777" w:rsidTr="006B2560">
        <w:trPr>
          <w:trHeight w:val="301"/>
        </w:trPr>
        <w:tc>
          <w:tcPr>
            <w:tcW w:w="2722" w:type="dxa"/>
            <w:tcBorders>
              <w:top w:val="nil"/>
              <w:left w:val="nil"/>
              <w:bottom w:val="nil"/>
              <w:right w:val="nil"/>
            </w:tcBorders>
            <w:shd w:val="clear" w:color="auto" w:fill="auto"/>
            <w:vAlign w:val="center"/>
            <w:hideMark/>
          </w:tcPr>
          <w:p w14:paraId="4D126E21" w14:textId="118F59CE"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H </w:t>
            </w:r>
            <w:r>
              <w:rPr>
                <w:rFonts w:ascii="Arial CE" w:hAnsi="Arial CE" w:cs="Arial CE"/>
                <w:sz w:val="16"/>
                <w:szCs w:val="16"/>
              </w:rPr>
              <w:t>–</w:t>
            </w:r>
            <w:r w:rsidRPr="008D2084">
              <w:rPr>
                <w:rFonts w:ascii="Arial CE" w:hAnsi="Arial CE" w:cs="Arial CE"/>
                <w:sz w:val="16"/>
                <w:szCs w:val="16"/>
              </w:rPr>
              <w:t xml:space="preserve"> Doprava a skladování</w:t>
            </w:r>
          </w:p>
        </w:tc>
        <w:tc>
          <w:tcPr>
            <w:tcW w:w="464" w:type="dxa"/>
            <w:tcBorders>
              <w:top w:val="nil"/>
              <w:left w:val="single" w:sz="4" w:space="0" w:color="auto"/>
              <w:bottom w:val="nil"/>
            </w:tcBorders>
            <w:vAlign w:val="center"/>
          </w:tcPr>
          <w:p w14:paraId="50D8929C" w14:textId="229BFCD9"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5717D36F" w14:textId="67A8C69E"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30,74</w:t>
            </w:r>
          </w:p>
        </w:tc>
        <w:tc>
          <w:tcPr>
            <w:tcW w:w="664" w:type="dxa"/>
            <w:tcBorders>
              <w:top w:val="nil"/>
              <w:left w:val="nil"/>
              <w:bottom w:val="nil"/>
              <w:right w:val="nil"/>
            </w:tcBorders>
            <w:shd w:val="clear" w:color="auto" w:fill="auto"/>
            <w:noWrap/>
            <w:vAlign w:val="center"/>
            <w:hideMark/>
          </w:tcPr>
          <w:p w14:paraId="4817354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29,76</w:t>
            </w:r>
          </w:p>
        </w:tc>
        <w:tc>
          <w:tcPr>
            <w:tcW w:w="664" w:type="dxa"/>
            <w:tcBorders>
              <w:top w:val="nil"/>
              <w:left w:val="nil"/>
              <w:bottom w:val="nil"/>
              <w:right w:val="nil"/>
            </w:tcBorders>
            <w:shd w:val="clear" w:color="auto" w:fill="auto"/>
            <w:noWrap/>
            <w:vAlign w:val="center"/>
            <w:hideMark/>
          </w:tcPr>
          <w:p w14:paraId="3D6474A2"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28,23</w:t>
            </w:r>
          </w:p>
        </w:tc>
        <w:tc>
          <w:tcPr>
            <w:tcW w:w="664" w:type="dxa"/>
            <w:tcBorders>
              <w:top w:val="nil"/>
              <w:left w:val="nil"/>
              <w:bottom w:val="nil"/>
              <w:right w:val="nil"/>
            </w:tcBorders>
            <w:shd w:val="clear" w:color="auto" w:fill="auto"/>
            <w:noWrap/>
            <w:vAlign w:val="center"/>
            <w:hideMark/>
          </w:tcPr>
          <w:p w14:paraId="51DB446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24,79</w:t>
            </w:r>
          </w:p>
        </w:tc>
        <w:tc>
          <w:tcPr>
            <w:tcW w:w="664" w:type="dxa"/>
            <w:tcBorders>
              <w:top w:val="nil"/>
              <w:left w:val="nil"/>
              <w:bottom w:val="nil"/>
              <w:right w:val="nil"/>
            </w:tcBorders>
            <w:shd w:val="clear" w:color="auto" w:fill="auto"/>
            <w:noWrap/>
            <w:vAlign w:val="center"/>
            <w:hideMark/>
          </w:tcPr>
          <w:p w14:paraId="63DB8C7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27,54</w:t>
            </w:r>
          </w:p>
        </w:tc>
        <w:tc>
          <w:tcPr>
            <w:tcW w:w="664" w:type="dxa"/>
            <w:tcBorders>
              <w:top w:val="nil"/>
              <w:left w:val="nil"/>
              <w:bottom w:val="nil"/>
              <w:right w:val="nil"/>
            </w:tcBorders>
            <w:shd w:val="clear" w:color="auto" w:fill="auto"/>
            <w:noWrap/>
            <w:vAlign w:val="center"/>
            <w:hideMark/>
          </w:tcPr>
          <w:p w14:paraId="78A9814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27,27</w:t>
            </w:r>
          </w:p>
        </w:tc>
        <w:tc>
          <w:tcPr>
            <w:tcW w:w="664" w:type="dxa"/>
            <w:tcBorders>
              <w:top w:val="nil"/>
              <w:left w:val="nil"/>
              <w:bottom w:val="nil"/>
              <w:right w:val="nil"/>
            </w:tcBorders>
            <w:shd w:val="clear" w:color="auto" w:fill="auto"/>
            <w:noWrap/>
            <w:vAlign w:val="center"/>
            <w:hideMark/>
          </w:tcPr>
          <w:p w14:paraId="19D19A4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32,47</w:t>
            </w:r>
          </w:p>
        </w:tc>
        <w:tc>
          <w:tcPr>
            <w:tcW w:w="664" w:type="dxa"/>
            <w:tcBorders>
              <w:top w:val="nil"/>
              <w:left w:val="nil"/>
              <w:bottom w:val="nil"/>
              <w:right w:val="nil"/>
            </w:tcBorders>
            <w:shd w:val="clear" w:color="auto" w:fill="auto"/>
            <w:noWrap/>
            <w:vAlign w:val="center"/>
            <w:hideMark/>
          </w:tcPr>
          <w:p w14:paraId="19173CB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33,60</w:t>
            </w:r>
          </w:p>
        </w:tc>
        <w:tc>
          <w:tcPr>
            <w:tcW w:w="664" w:type="dxa"/>
            <w:tcBorders>
              <w:top w:val="nil"/>
              <w:left w:val="nil"/>
              <w:bottom w:val="nil"/>
              <w:right w:val="nil"/>
            </w:tcBorders>
            <w:shd w:val="clear" w:color="auto" w:fill="auto"/>
            <w:noWrap/>
            <w:vAlign w:val="center"/>
            <w:hideMark/>
          </w:tcPr>
          <w:p w14:paraId="2B817D3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36,37</w:t>
            </w:r>
          </w:p>
        </w:tc>
        <w:tc>
          <w:tcPr>
            <w:tcW w:w="669" w:type="dxa"/>
            <w:tcBorders>
              <w:top w:val="nil"/>
              <w:left w:val="nil"/>
              <w:bottom w:val="nil"/>
              <w:right w:val="nil"/>
            </w:tcBorders>
            <w:shd w:val="clear" w:color="auto" w:fill="auto"/>
            <w:noWrap/>
            <w:vAlign w:val="center"/>
            <w:hideMark/>
          </w:tcPr>
          <w:p w14:paraId="21AE8CE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39,22</w:t>
            </w:r>
          </w:p>
        </w:tc>
      </w:tr>
      <w:tr w:rsidR="00C11C1F" w:rsidRPr="008D2084" w14:paraId="619E4013" w14:textId="77777777" w:rsidTr="006B2560">
        <w:trPr>
          <w:trHeight w:val="451"/>
        </w:trPr>
        <w:tc>
          <w:tcPr>
            <w:tcW w:w="2722" w:type="dxa"/>
            <w:tcBorders>
              <w:top w:val="nil"/>
              <w:left w:val="nil"/>
              <w:bottom w:val="nil"/>
              <w:right w:val="nil"/>
            </w:tcBorders>
            <w:shd w:val="clear" w:color="auto" w:fill="auto"/>
            <w:vAlign w:val="center"/>
            <w:hideMark/>
          </w:tcPr>
          <w:p w14:paraId="28795AE7" w14:textId="77777777" w:rsidR="00BB700A"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I </w:t>
            </w:r>
            <w:r>
              <w:rPr>
                <w:rFonts w:ascii="Arial CE" w:hAnsi="Arial CE" w:cs="Arial CE"/>
                <w:sz w:val="16"/>
                <w:szCs w:val="16"/>
              </w:rPr>
              <w:t>–</w:t>
            </w:r>
            <w:r w:rsidRPr="008D2084">
              <w:rPr>
                <w:rFonts w:ascii="Arial CE" w:hAnsi="Arial CE" w:cs="Arial CE"/>
                <w:sz w:val="16"/>
                <w:szCs w:val="16"/>
              </w:rPr>
              <w:t xml:space="preserve"> Ubytování, stravování </w:t>
            </w:r>
          </w:p>
          <w:p w14:paraId="59FBB88C" w14:textId="027FE893" w:rsidR="00C11C1F" w:rsidRPr="008D2084" w:rsidRDefault="00BB700A" w:rsidP="00776E3B">
            <w:pPr>
              <w:spacing w:after="0" w:line="240" w:lineRule="auto"/>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a</w:t>
            </w:r>
            <w:r w:rsidR="00C11C1F">
              <w:rPr>
                <w:rFonts w:ascii="Arial CE" w:hAnsi="Arial CE" w:cs="Arial CE"/>
                <w:sz w:val="16"/>
                <w:szCs w:val="16"/>
              </w:rPr>
              <w:t xml:space="preserve"> </w:t>
            </w:r>
            <w:r w:rsidR="00C11C1F" w:rsidRPr="008D2084">
              <w:rPr>
                <w:rFonts w:ascii="Arial CE" w:hAnsi="Arial CE" w:cs="Arial CE"/>
                <w:sz w:val="16"/>
                <w:szCs w:val="16"/>
              </w:rPr>
              <w:t>pohostinství</w:t>
            </w:r>
          </w:p>
        </w:tc>
        <w:tc>
          <w:tcPr>
            <w:tcW w:w="464" w:type="dxa"/>
            <w:tcBorders>
              <w:top w:val="nil"/>
              <w:left w:val="single" w:sz="4" w:space="0" w:color="auto"/>
              <w:bottom w:val="nil"/>
            </w:tcBorders>
            <w:vAlign w:val="center"/>
          </w:tcPr>
          <w:p w14:paraId="23ABC7E9" w14:textId="01354D72"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46,12</w:t>
            </w:r>
          </w:p>
        </w:tc>
        <w:tc>
          <w:tcPr>
            <w:tcW w:w="541" w:type="dxa"/>
            <w:tcBorders>
              <w:top w:val="nil"/>
              <w:left w:val="nil"/>
              <w:bottom w:val="nil"/>
              <w:right w:val="nil"/>
            </w:tcBorders>
            <w:shd w:val="clear" w:color="auto" w:fill="auto"/>
            <w:noWrap/>
            <w:vAlign w:val="center"/>
            <w:hideMark/>
          </w:tcPr>
          <w:p w14:paraId="28E3C534" w14:textId="1F7D4423"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32,22</w:t>
            </w:r>
          </w:p>
        </w:tc>
        <w:tc>
          <w:tcPr>
            <w:tcW w:w="664" w:type="dxa"/>
            <w:tcBorders>
              <w:top w:val="nil"/>
              <w:left w:val="nil"/>
              <w:bottom w:val="nil"/>
              <w:right w:val="nil"/>
            </w:tcBorders>
            <w:shd w:val="clear" w:color="auto" w:fill="auto"/>
            <w:noWrap/>
            <w:vAlign w:val="center"/>
            <w:hideMark/>
          </w:tcPr>
          <w:p w14:paraId="4511166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27,28</w:t>
            </w:r>
          </w:p>
        </w:tc>
        <w:tc>
          <w:tcPr>
            <w:tcW w:w="664" w:type="dxa"/>
            <w:tcBorders>
              <w:top w:val="nil"/>
              <w:left w:val="nil"/>
              <w:bottom w:val="nil"/>
              <w:right w:val="nil"/>
            </w:tcBorders>
            <w:shd w:val="clear" w:color="auto" w:fill="auto"/>
            <w:noWrap/>
            <w:vAlign w:val="center"/>
            <w:hideMark/>
          </w:tcPr>
          <w:p w14:paraId="3B958EA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25,19</w:t>
            </w:r>
          </w:p>
        </w:tc>
        <w:tc>
          <w:tcPr>
            <w:tcW w:w="664" w:type="dxa"/>
            <w:tcBorders>
              <w:top w:val="nil"/>
              <w:left w:val="nil"/>
              <w:bottom w:val="nil"/>
              <w:right w:val="nil"/>
            </w:tcBorders>
            <w:shd w:val="clear" w:color="auto" w:fill="auto"/>
            <w:noWrap/>
            <w:vAlign w:val="center"/>
            <w:hideMark/>
          </w:tcPr>
          <w:p w14:paraId="738EE56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22,58</w:t>
            </w:r>
          </w:p>
        </w:tc>
        <w:tc>
          <w:tcPr>
            <w:tcW w:w="664" w:type="dxa"/>
            <w:tcBorders>
              <w:top w:val="nil"/>
              <w:left w:val="nil"/>
              <w:bottom w:val="nil"/>
              <w:right w:val="nil"/>
            </w:tcBorders>
            <w:shd w:val="clear" w:color="auto" w:fill="auto"/>
            <w:noWrap/>
            <w:vAlign w:val="center"/>
            <w:hideMark/>
          </w:tcPr>
          <w:p w14:paraId="4C036B7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23,72</w:t>
            </w:r>
          </w:p>
        </w:tc>
        <w:tc>
          <w:tcPr>
            <w:tcW w:w="664" w:type="dxa"/>
            <w:tcBorders>
              <w:top w:val="nil"/>
              <w:left w:val="nil"/>
              <w:bottom w:val="nil"/>
              <w:right w:val="nil"/>
            </w:tcBorders>
            <w:shd w:val="clear" w:color="auto" w:fill="auto"/>
            <w:noWrap/>
            <w:vAlign w:val="center"/>
            <w:hideMark/>
          </w:tcPr>
          <w:p w14:paraId="3A3FC14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23,65</w:t>
            </w:r>
          </w:p>
        </w:tc>
        <w:tc>
          <w:tcPr>
            <w:tcW w:w="664" w:type="dxa"/>
            <w:tcBorders>
              <w:top w:val="nil"/>
              <w:left w:val="nil"/>
              <w:bottom w:val="nil"/>
              <w:right w:val="nil"/>
            </w:tcBorders>
            <w:shd w:val="clear" w:color="auto" w:fill="auto"/>
            <w:noWrap/>
            <w:vAlign w:val="center"/>
            <w:hideMark/>
          </w:tcPr>
          <w:p w14:paraId="3AE687F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26,92</w:t>
            </w:r>
          </w:p>
        </w:tc>
        <w:tc>
          <w:tcPr>
            <w:tcW w:w="664" w:type="dxa"/>
            <w:tcBorders>
              <w:top w:val="nil"/>
              <w:left w:val="nil"/>
              <w:bottom w:val="nil"/>
              <w:right w:val="nil"/>
            </w:tcBorders>
            <w:shd w:val="clear" w:color="auto" w:fill="auto"/>
            <w:noWrap/>
            <w:vAlign w:val="center"/>
            <w:hideMark/>
          </w:tcPr>
          <w:p w14:paraId="38FB4AB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27,98</w:t>
            </w:r>
          </w:p>
        </w:tc>
        <w:tc>
          <w:tcPr>
            <w:tcW w:w="664" w:type="dxa"/>
            <w:tcBorders>
              <w:top w:val="nil"/>
              <w:left w:val="nil"/>
              <w:bottom w:val="nil"/>
              <w:right w:val="nil"/>
            </w:tcBorders>
            <w:shd w:val="clear" w:color="auto" w:fill="auto"/>
            <w:noWrap/>
            <w:vAlign w:val="center"/>
            <w:hideMark/>
          </w:tcPr>
          <w:p w14:paraId="1B6E914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27,94</w:t>
            </w:r>
          </w:p>
        </w:tc>
        <w:tc>
          <w:tcPr>
            <w:tcW w:w="669" w:type="dxa"/>
            <w:tcBorders>
              <w:top w:val="nil"/>
              <w:left w:val="nil"/>
              <w:bottom w:val="nil"/>
              <w:right w:val="nil"/>
            </w:tcBorders>
            <w:shd w:val="clear" w:color="auto" w:fill="auto"/>
            <w:noWrap/>
            <w:vAlign w:val="center"/>
            <w:hideMark/>
          </w:tcPr>
          <w:p w14:paraId="7BC8CE46"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29,93</w:t>
            </w:r>
          </w:p>
        </w:tc>
      </w:tr>
      <w:tr w:rsidR="00C11C1F" w:rsidRPr="008D2084" w14:paraId="17004287" w14:textId="77777777" w:rsidTr="006B2560">
        <w:trPr>
          <w:trHeight w:val="301"/>
        </w:trPr>
        <w:tc>
          <w:tcPr>
            <w:tcW w:w="2722" w:type="dxa"/>
            <w:tcBorders>
              <w:top w:val="nil"/>
              <w:left w:val="nil"/>
              <w:bottom w:val="nil"/>
              <w:right w:val="nil"/>
            </w:tcBorders>
            <w:shd w:val="clear" w:color="auto" w:fill="auto"/>
            <w:vAlign w:val="center"/>
            <w:hideMark/>
          </w:tcPr>
          <w:p w14:paraId="044F2F96" w14:textId="77777777" w:rsidR="006B2560"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J </w:t>
            </w:r>
            <w:r>
              <w:rPr>
                <w:rFonts w:ascii="Arial CE" w:hAnsi="Arial CE" w:cs="Arial CE"/>
                <w:sz w:val="16"/>
                <w:szCs w:val="16"/>
              </w:rPr>
              <w:t>–</w:t>
            </w:r>
            <w:r w:rsidRPr="008D2084">
              <w:rPr>
                <w:rFonts w:ascii="Arial CE" w:hAnsi="Arial CE" w:cs="Arial CE"/>
                <w:sz w:val="16"/>
                <w:szCs w:val="16"/>
              </w:rPr>
              <w:t xml:space="preserve"> Informační a komunikační </w:t>
            </w:r>
          </w:p>
          <w:p w14:paraId="0F0D016E" w14:textId="28B8B690" w:rsidR="00C11C1F" w:rsidRPr="008D2084" w:rsidRDefault="006B2560" w:rsidP="00AD626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5CA15925" w14:textId="42EE6244"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00FC9B5A" w14:textId="1020FD4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30,20</w:t>
            </w:r>
          </w:p>
        </w:tc>
        <w:tc>
          <w:tcPr>
            <w:tcW w:w="664" w:type="dxa"/>
            <w:tcBorders>
              <w:top w:val="nil"/>
              <w:left w:val="nil"/>
              <w:bottom w:val="nil"/>
              <w:right w:val="nil"/>
            </w:tcBorders>
            <w:shd w:val="clear" w:color="auto" w:fill="auto"/>
            <w:noWrap/>
            <w:vAlign w:val="center"/>
            <w:hideMark/>
          </w:tcPr>
          <w:p w14:paraId="75E07C9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26,32</w:t>
            </w:r>
          </w:p>
        </w:tc>
        <w:tc>
          <w:tcPr>
            <w:tcW w:w="664" w:type="dxa"/>
            <w:tcBorders>
              <w:top w:val="nil"/>
              <w:left w:val="nil"/>
              <w:bottom w:val="nil"/>
              <w:right w:val="nil"/>
            </w:tcBorders>
            <w:shd w:val="clear" w:color="auto" w:fill="auto"/>
            <w:noWrap/>
            <w:vAlign w:val="center"/>
            <w:hideMark/>
          </w:tcPr>
          <w:p w14:paraId="4019D10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26,13</w:t>
            </w:r>
          </w:p>
        </w:tc>
        <w:tc>
          <w:tcPr>
            <w:tcW w:w="664" w:type="dxa"/>
            <w:tcBorders>
              <w:top w:val="nil"/>
              <w:left w:val="nil"/>
              <w:bottom w:val="nil"/>
              <w:right w:val="nil"/>
            </w:tcBorders>
            <w:shd w:val="clear" w:color="auto" w:fill="auto"/>
            <w:noWrap/>
            <w:vAlign w:val="center"/>
            <w:hideMark/>
          </w:tcPr>
          <w:p w14:paraId="3975DDA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21,28</w:t>
            </w:r>
          </w:p>
        </w:tc>
        <w:tc>
          <w:tcPr>
            <w:tcW w:w="664" w:type="dxa"/>
            <w:tcBorders>
              <w:top w:val="nil"/>
              <w:left w:val="nil"/>
              <w:bottom w:val="nil"/>
              <w:right w:val="nil"/>
            </w:tcBorders>
            <w:shd w:val="clear" w:color="auto" w:fill="auto"/>
            <w:noWrap/>
            <w:vAlign w:val="center"/>
            <w:hideMark/>
          </w:tcPr>
          <w:p w14:paraId="79C61CA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23,01</w:t>
            </w:r>
          </w:p>
        </w:tc>
        <w:tc>
          <w:tcPr>
            <w:tcW w:w="664" w:type="dxa"/>
            <w:tcBorders>
              <w:top w:val="nil"/>
              <w:left w:val="nil"/>
              <w:bottom w:val="nil"/>
              <w:right w:val="nil"/>
            </w:tcBorders>
            <w:shd w:val="clear" w:color="auto" w:fill="auto"/>
            <w:noWrap/>
            <w:vAlign w:val="center"/>
            <w:hideMark/>
          </w:tcPr>
          <w:p w14:paraId="4045EE3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21,70</w:t>
            </w:r>
          </w:p>
        </w:tc>
        <w:tc>
          <w:tcPr>
            <w:tcW w:w="664" w:type="dxa"/>
            <w:tcBorders>
              <w:top w:val="nil"/>
              <w:left w:val="nil"/>
              <w:bottom w:val="nil"/>
              <w:right w:val="nil"/>
            </w:tcBorders>
            <w:shd w:val="clear" w:color="auto" w:fill="auto"/>
            <w:noWrap/>
            <w:vAlign w:val="center"/>
            <w:hideMark/>
          </w:tcPr>
          <w:p w14:paraId="55D15D3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23,12</w:t>
            </w:r>
          </w:p>
        </w:tc>
        <w:tc>
          <w:tcPr>
            <w:tcW w:w="664" w:type="dxa"/>
            <w:tcBorders>
              <w:top w:val="nil"/>
              <w:left w:val="nil"/>
              <w:bottom w:val="nil"/>
              <w:right w:val="nil"/>
            </w:tcBorders>
            <w:shd w:val="clear" w:color="auto" w:fill="auto"/>
            <w:noWrap/>
            <w:vAlign w:val="center"/>
            <w:hideMark/>
          </w:tcPr>
          <w:p w14:paraId="5BF21CF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23,80</w:t>
            </w:r>
          </w:p>
        </w:tc>
        <w:tc>
          <w:tcPr>
            <w:tcW w:w="664" w:type="dxa"/>
            <w:tcBorders>
              <w:top w:val="nil"/>
              <w:left w:val="nil"/>
              <w:bottom w:val="nil"/>
              <w:right w:val="nil"/>
            </w:tcBorders>
            <w:shd w:val="clear" w:color="auto" w:fill="auto"/>
            <w:noWrap/>
            <w:vAlign w:val="center"/>
            <w:hideMark/>
          </w:tcPr>
          <w:p w14:paraId="724EE21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24,70</w:t>
            </w:r>
          </w:p>
        </w:tc>
        <w:tc>
          <w:tcPr>
            <w:tcW w:w="669" w:type="dxa"/>
            <w:tcBorders>
              <w:top w:val="nil"/>
              <w:left w:val="nil"/>
              <w:bottom w:val="nil"/>
              <w:right w:val="nil"/>
            </w:tcBorders>
            <w:shd w:val="clear" w:color="auto" w:fill="auto"/>
            <w:noWrap/>
            <w:vAlign w:val="center"/>
            <w:hideMark/>
          </w:tcPr>
          <w:p w14:paraId="574541F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25,70</w:t>
            </w:r>
          </w:p>
        </w:tc>
      </w:tr>
      <w:tr w:rsidR="00C11C1F" w:rsidRPr="008D2084" w14:paraId="750F87E7" w14:textId="77777777" w:rsidTr="006B2560">
        <w:trPr>
          <w:trHeight w:val="301"/>
        </w:trPr>
        <w:tc>
          <w:tcPr>
            <w:tcW w:w="2722" w:type="dxa"/>
            <w:tcBorders>
              <w:top w:val="nil"/>
              <w:left w:val="nil"/>
              <w:bottom w:val="nil"/>
              <w:right w:val="nil"/>
            </w:tcBorders>
            <w:shd w:val="clear" w:color="auto" w:fill="auto"/>
            <w:vAlign w:val="center"/>
            <w:hideMark/>
          </w:tcPr>
          <w:p w14:paraId="0004E573" w14:textId="3D399548"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K </w:t>
            </w:r>
            <w:r>
              <w:rPr>
                <w:rFonts w:ascii="Arial CE" w:hAnsi="Arial CE" w:cs="Arial CE"/>
                <w:sz w:val="16"/>
                <w:szCs w:val="16"/>
              </w:rPr>
              <w:t>–</w:t>
            </w:r>
            <w:r w:rsidRPr="008D2084">
              <w:rPr>
                <w:rFonts w:ascii="Arial CE" w:hAnsi="Arial CE" w:cs="Arial CE"/>
                <w:sz w:val="16"/>
                <w:szCs w:val="16"/>
              </w:rPr>
              <w:t xml:space="preserve"> Peněžnictví a pojišťovnictví</w:t>
            </w:r>
          </w:p>
        </w:tc>
        <w:tc>
          <w:tcPr>
            <w:tcW w:w="464" w:type="dxa"/>
            <w:tcBorders>
              <w:top w:val="nil"/>
              <w:left w:val="single" w:sz="4" w:space="0" w:color="auto"/>
              <w:bottom w:val="nil"/>
            </w:tcBorders>
            <w:vAlign w:val="center"/>
          </w:tcPr>
          <w:p w14:paraId="6CAF47BF" w14:textId="01256DF2"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56E32D4A" w14:textId="34E5BDCE"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34,31</w:t>
            </w:r>
          </w:p>
        </w:tc>
        <w:tc>
          <w:tcPr>
            <w:tcW w:w="664" w:type="dxa"/>
            <w:tcBorders>
              <w:top w:val="nil"/>
              <w:left w:val="nil"/>
              <w:bottom w:val="nil"/>
              <w:right w:val="nil"/>
            </w:tcBorders>
            <w:shd w:val="clear" w:color="auto" w:fill="auto"/>
            <w:noWrap/>
            <w:vAlign w:val="center"/>
            <w:hideMark/>
          </w:tcPr>
          <w:p w14:paraId="644D58C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30,47</w:t>
            </w:r>
          </w:p>
        </w:tc>
        <w:tc>
          <w:tcPr>
            <w:tcW w:w="664" w:type="dxa"/>
            <w:tcBorders>
              <w:top w:val="nil"/>
              <w:left w:val="nil"/>
              <w:bottom w:val="nil"/>
              <w:right w:val="nil"/>
            </w:tcBorders>
            <w:shd w:val="clear" w:color="auto" w:fill="auto"/>
            <w:noWrap/>
            <w:vAlign w:val="center"/>
            <w:hideMark/>
          </w:tcPr>
          <w:p w14:paraId="0653E3C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29,61</w:t>
            </w:r>
          </w:p>
        </w:tc>
        <w:tc>
          <w:tcPr>
            <w:tcW w:w="664" w:type="dxa"/>
            <w:tcBorders>
              <w:top w:val="nil"/>
              <w:left w:val="nil"/>
              <w:bottom w:val="nil"/>
              <w:right w:val="nil"/>
            </w:tcBorders>
            <w:shd w:val="clear" w:color="auto" w:fill="auto"/>
            <w:noWrap/>
            <w:vAlign w:val="center"/>
            <w:hideMark/>
          </w:tcPr>
          <w:p w14:paraId="5B54F03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23,69</w:t>
            </w:r>
          </w:p>
        </w:tc>
        <w:tc>
          <w:tcPr>
            <w:tcW w:w="664" w:type="dxa"/>
            <w:tcBorders>
              <w:top w:val="nil"/>
              <w:left w:val="nil"/>
              <w:bottom w:val="nil"/>
              <w:right w:val="nil"/>
            </w:tcBorders>
            <w:shd w:val="clear" w:color="auto" w:fill="auto"/>
            <w:noWrap/>
            <w:vAlign w:val="center"/>
            <w:hideMark/>
          </w:tcPr>
          <w:p w14:paraId="6490B2B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26,58</w:t>
            </w:r>
          </w:p>
        </w:tc>
        <w:tc>
          <w:tcPr>
            <w:tcW w:w="664" w:type="dxa"/>
            <w:tcBorders>
              <w:top w:val="nil"/>
              <w:left w:val="nil"/>
              <w:bottom w:val="nil"/>
              <w:right w:val="nil"/>
            </w:tcBorders>
            <w:shd w:val="clear" w:color="auto" w:fill="auto"/>
            <w:noWrap/>
            <w:vAlign w:val="center"/>
            <w:hideMark/>
          </w:tcPr>
          <w:p w14:paraId="1E25FC6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25,24</w:t>
            </w:r>
          </w:p>
        </w:tc>
        <w:tc>
          <w:tcPr>
            <w:tcW w:w="664" w:type="dxa"/>
            <w:tcBorders>
              <w:top w:val="nil"/>
              <w:left w:val="nil"/>
              <w:bottom w:val="nil"/>
              <w:right w:val="nil"/>
            </w:tcBorders>
            <w:shd w:val="clear" w:color="auto" w:fill="auto"/>
            <w:noWrap/>
            <w:vAlign w:val="center"/>
            <w:hideMark/>
          </w:tcPr>
          <w:p w14:paraId="32513CB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28,32</w:t>
            </w:r>
          </w:p>
        </w:tc>
        <w:tc>
          <w:tcPr>
            <w:tcW w:w="664" w:type="dxa"/>
            <w:tcBorders>
              <w:top w:val="nil"/>
              <w:left w:val="nil"/>
              <w:bottom w:val="nil"/>
              <w:right w:val="nil"/>
            </w:tcBorders>
            <w:shd w:val="clear" w:color="auto" w:fill="auto"/>
            <w:noWrap/>
            <w:vAlign w:val="center"/>
            <w:hideMark/>
          </w:tcPr>
          <w:p w14:paraId="7193C40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27,77</w:t>
            </w:r>
          </w:p>
        </w:tc>
        <w:tc>
          <w:tcPr>
            <w:tcW w:w="664" w:type="dxa"/>
            <w:tcBorders>
              <w:top w:val="nil"/>
              <w:left w:val="nil"/>
              <w:bottom w:val="nil"/>
              <w:right w:val="nil"/>
            </w:tcBorders>
            <w:shd w:val="clear" w:color="auto" w:fill="auto"/>
            <w:noWrap/>
            <w:vAlign w:val="center"/>
            <w:hideMark/>
          </w:tcPr>
          <w:p w14:paraId="4CD4F2B3"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27,32</w:t>
            </w:r>
          </w:p>
        </w:tc>
        <w:tc>
          <w:tcPr>
            <w:tcW w:w="669" w:type="dxa"/>
            <w:tcBorders>
              <w:top w:val="nil"/>
              <w:left w:val="nil"/>
              <w:bottom w:val="nil"/>
              <w:right w:val="nil"/>
            </w:tcBorders>
            <w:shd w:val="clear" w:color="auto" w:fill="auto"/>
            <w:noWrap/>
            <w:vAlign w:val="center"/>
            <w:hideMark/>
          </w:tcPr>
          <w:p w14:paraId="206F9E1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29,41</w:t>
            </w:r>
          </w:p>
        </w:tc>
      </w:tr>
      <w:tr w:rsidR="00C11C1F" w:rsidRPr="008D2084" w14:paraId="48708CA5" w14:textId="77777777" w:rsidTr="006B2560">
        <w:trPr>
          <w:trHeight w:val="301"/>
        </w:trPr>
        <w:tc>
          <w:tcPr>
            <w:tcW w:w="2722" w:type="dxa"/>
            <w:tcBorders>
              <w:top w:val="nil"/>
              <w:left w:val="nil"/>
              <w:bottom w:val="nil"/>
              <w:right w:val="nil"/>
            </w:tcBorders>
            <w:shd w:val="clear" w:color="auto" w:fill="auto"/>
            <w:vAlign w:val="center"/>
            <w:hideMark/>
          </w:tcPr>
          <w:p w14:paraId="6FDD9CAE" w14:textId="4A1F4349"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L </w:t>
            </w:r>
            <w:r>
              <w:rPr>
                <w:rFonts w:ascii="Arial CE" w:hAnsi="Arial CE" w:cs="Arial CE"/>
                <w:sz w:val="16"/>
                <w:szCs w:val="16"/>
              </w:rPr>
              <w:t>–</w:t>
            </w:r>
            <w:r w:rsidRPr="008D2084">
              <w:rPr>
                <w:rFonts w:ascii="Arial CE" w:hAnsi="Arial CE" w:cs="Arial CE"/>
                <w:sz w:val="16"/>
                <w:szCs w:val="16"/>
              </w:rPr>
              <w:t xml:space="preserve"> Činnosti v oblasti nemovitostí</w:t>
            </w:r>
          </w:p>
        </w:tc>
        <w:tc>
          <w:tcPr>
            <w:tcW w:w="464" w:type="dxa"/>
            <w:tcBorders>
              <w:top w:val="nil"/>
              <w:left w:val="single" w:sz="4" w:space="0" w:color="auto"/>
              <w:bottom w:val="nil"/>
            </w:tcBorders>
            <w:vAlign w:val="center"/>
          </w:tcPr>
          <w:p w14:paraId="5C8CD889" w14:textId="5738F2D3"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23D0B17B" w14:textId="1B606845"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23,63</w:t>
            </w:r>
          </w:p>
        </w:tc>
        <w:tc>
          <w:tcPr>
            <w:tcW w:w="664" w:type="dxa"/>
            <w:tcBorders>
              <w:top w:val="nil"/>
              <w:left w:val="nil"/>
              <w:bottom w:val="nil"/>
              <w:right w:val="nil"/>
            </w:tcBorders>
            <w:shd w:val="clear" w:color="auto" w:fill="auto"/>
            <w:noWrap/>
            <w:vAlign w:val="center"/>
            <w:hideMark/>
          </w:tcPr>
          <w:p w14:paraId="18356F5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20,30</w:t>
            </w:r>
          </w:p>
        </w:tc>
        <w:tc>
          <w:tcPr>
            <w:tcW w:w="664" w:type="dxa"/>
            <w:tcBorders>
              <w:top w:val="nil"/>
              <w:left w:val="nil"/>
              <w:bottom w:val="nil"/>
              <w:right w:val="nil"/>
            </w:tcBorders>
            <w:shd w:val="clear" w:color="auto" w:fill="auto"/>
            <w:noWrap/>
            <w:vAlign w:val="center"/>
            <w:hideMark/>
          </w:tcPr>
          <w:p w14:paraId="54FC094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20,10</w:t>
            </w:r>
          </w:p>
        </w:tc>
        <w:tc>
          <w:tcPr>
            <w:tcW w:w="664" w:type="dxa"/>
            <w:tcBorders>
              <w:top w:val="nil"/>
              <w:left w:val="nil"/>
              <w:bottom w:val="nil"/>
              <w:right w:val="nil"/>
            </w:tcBorders>
            <w:shd w:val="clear" w:color="auto" w:fill="auto"/>
            <w:noWrap/>
            <w:vAlign w:val="center"/>
            <w:hideMark/>
          </w:tcPr>
          <w:p w14:paraId="63FDECD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13,85</w:t>
            </w:r>
          </w:p>
        </w:tc>
        <w:tc>
          <w:tcPr>
            <w:tcW w:w="664" w:type="dxa"/>
            <w:tcBorders>
              <w:top w:val="nil"/>
              <w:left w:val="nil"/>
              <w:bottom w:val="nil"/>
              <w:right w:val="nil"/>
            </w:tcBorders>
            <w:shd w:val="clear" w:color="auto" w:fill="auto"/>
            <w:noWrap/>
            <w:vAlign w:val="center"/>
            <w:hideMark/>
          </w:tcPr>
          <w:p w14:paraId="1F740FC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14,70</w:t>
            </w:r>
          </w:p>
        </w:tc>
        <w:tc>
          <w:tcPr>
            <w:tcW w:w="664" w:type="dxa"/>
            <w:tcBorders>
              <w:top w:val="nil"/>
              <w:left w:val="nil"/>
              <w:bottom w:val="nil"/>
              <w:right w:val="nil"/>
            </w:tcBorders>
            <w:shd w:val="clear" w:color="auto" w:fill="auto"/>
            <w:noWrap/>
            <w:vAlign w:val="center"/>
            <w:hideMark/>
          </w:tcPr>
          <w:p w14:paraId="428F3CE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13,97</w:t>
            </w:r>
          </w:p>
        </w:tc>
        <w:tc>
          <w:tcPr>
            <w:tcW w:w="664" w:type="dxa"/>
            <w:tcBorders>
              <w:top w:val="nil"/>
              <w:left w:val="nil"/>
              <w:bottom w:val="nil"/>
              <w:right w:val="nil"/>
            </w:tcBorders>
            <w:shd w:val="clear" w:color="auto" w:fill="auto"/>
            <w:noWrap/>
            <w:vAlign w:val="center"/>
            <w:hideMark/>
          </w:tcPr>
          <w:p w14:paraId="0C207FC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16,33</w:t>
            </w:r>
          </w:p>
        </w:tc>
        <w:tc>
          <w:tcPr>
            <w:tcW w:w="664" w:type="dxa"/>
            <w:tcBorders>
              <w:top w:val="nil"/>
              <w:left w:val="nil"/>
              <w:bottom w:val="nil"/>
              <w:right w:val="nil"/>
            </w:tcBorders>
            <w:shd w:val="clear" w:color="auto" w:fill="auto"/>
            <w:noWrap/>
            <w:vAlign w:val="center"/>
            <w:hideMark/>
          </w:tcPr>
          <w:p w14:paraId="55D2B38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16,50</w:t>
            </w:r>
          </w:p>
        </w:tc>
        <w:tc>
          <w:tcPr>
            <w:tcW w:w="664" w:type="dxa"/>
            <w:tcBorders>
              <w:top w:val="nil"/>
              <w:left w:val="nil"/>
              <w:bottom w:val="nil"/>
              <w:right w:val="nil"/>
            </w:tcBorders>
            <w:shd w:val="clear" w:color="auto" w:fill="auto"/>
            <w:noWrap/>
            <w:vAlign w:val="center"/>
            <w:hideMark/>
          </w:tcPr>
          <w:p w14:paraId="0F3F4C9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15,72</w:t>
            </w:r>
          </w:p>
        </w:tc>
        <w:tc>
          <w:tcPr>
            <w:tcW w:w="669" w:type="dxa"/>
            <w:tcBorders>
              <w:top w:val="nil"/>
              <w:left w:val="nil"/>
              <w:bottom w:val="nil"/>
              <w:right w:val="nil"/>
            </w:tcBorders>
            <w:shd w:val="clear" w:color="auto" w:fill="auto"/>
            <w:noWrap/>
            <w:vAlign w:val="center"/>
            <w:hideMark/>
          </w:tcPr>
          <w:p w14:paraId="0A6B10C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17,36</w:t>
            </w:r>
          </w:p>
        </w:tc>
      </w:tr>
      <w:tr w:rsidR="00C11C1F" w:rsidRPr="008D2084" w14:paraId="01A4F2B6" w14:textId="77777777" w:rsidTr="006B2560">
        <w:trPr>
          <w:trHeight w:val="451"/>
        </w:trPr>
        <w:tc>
          <w:tcPr>
            <w:tcW w:w="2722" w:type="dxa"/>
            <w:tcBorders>
              <w:top w:val="nil"/>
              <w:left w:val="nil"/>
              <w:bottom w:val="nil"/>
              <w:right w:val="nil"/>
            </w:tcBorders>
            <w:shd w:val="clear" w:color="auto" w:fill="auto"/>
            <w:vAlign w:val="center"/>
            <w:hideMark/>
          </w:tcPr>
          <w:p w14:paraId="28C2B64B" w14:textId="77777777" w:rsidR="006B2560" w:rsidRDefault="00C11C1F" w:rsidP="008D2084">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M </w:t>
            </w:r>
            <w:r>
              <w:rPr>
                <w:rFonts w:ascii="Arial CE" w:hAnsi="Arial CE" w:cs="Arial CE"/>
                <w:sz w:val="16"/>
                <w:szCs w:val="16"/>
              </w:rPr>
              <w:t>–</w:t>
            </w:r>
            <w:r w:rsidRPr="008D2084">
              <w:rPr>
                <w:rFonts w:ascii="Arial CE" w:hAnsi="Arial CE" w:cs="Arial CE"/>
                <w:sz w:val="16"/>
                <w:szCs w:val="16"/>
              </w:rPr>
              <w:t xml:space="preserve"> Profesní, vědecké </w:t>
            </w:r>
          </w:p>
          <w:p w14:paraId="20D07FAB" w14:textId="7F6C9090" w:rsidR="00C11C1F" w:rsidRPr="008D2084" w:rsidRDefault="006B2560" w:rsidP="006B2560">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a technické</w:t>
            </w:r>
            <w:r>
              <w:rPr>
                <w:rFonts w:ascii="Arial CE" w:hAnsi="Arial CE" w:cs="Arial CE"/>
                <w:sz w:val="16"/>
                <w:szCs w:val="16"/>
              </w:rPr>
              <w:t xml:space="preserve"> </w:t>
            </w:r>
            <w:r w:rsidR="00C11C1F"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3A8C9244" w14:textId="12B0BF9E"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79BE81E8" w14:textId="225BE5D3"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25,17</w:t>
            </w:r>
          </w:p>
        </w:tc>
        <w:tc>
          <w:tcPr>
            <w:tcW w:w="664" w:type="dxa"/>
            <w:tcBorders>
              <w:top w:val="nil"/>
              <w:left w:val="nil"/>
              <w:bottom w:val="nil"/>
              <w:right w:val="nil"/>
            </w:tcBorders>
            <w:shd w:val="clear" w:color="auto" w:fill="auto"/>
            <w:noWrap/>
            <w:vAlign w:val="center"/>
            <w:hideMark/>
          </w:tcPr>
          <w:p w14:paraId="1C8AA9B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21,84</w:t>
            </w:r>
          </w:p>
        </w:tc>
        <w:tc>
          <w:tcPr>
            <w:tcW w:w="664" w:type="dxa"/>
            <w:tcBorders>
              <w:top w:val="nil"/>
              <w:left w:val="nil"/>
              <w:bottom w:val="nil"/>
              <w:right w:val="nil"/>
            </w:tcBorders>
            <w:shd w:val="clear" w:color="auto" w:fill="auto"/>
            <w:noWrap/>
            <w:vAlign w:val="center"/>
            <w:hideMark/>
          </w:tcPr>
          <w:p w14:paraId="0E9E1592"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20,23</w:t>
            </w:r>
          </w:p>
        </w:tc>
        <w:tc>
          <w:tcPr>
            <w:tcW w:w="664" w:type="dxa"/>
            <w:tcBorders>
              <w:top w:val="nil"/>
              <w:left w:val="nil"/>
              <w:bottom w:val="nil"/>
              <w:right w:val="nil"/>
            </w:tcBorders>
            <w:shd w:val="clear" w:color="auto" w:fill="auto"/>
            <w:noWrap/>
            <w:vAlign w:val="center"/>
            <w:hideMark/>
          </w:tcPr>
          <w:p w14:paraId="61AE4313"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17,84</w:t>
            </w:r>
          </w:p>
        </w:tc>
        <w:tc>
          <w:tcPr>
            <w:tcW w:w="664" w:type="dxa"/>
            <w:tcBorders>
              <w:top w:val="nil"/>
              <w:left w:val="nil"/>
              <w:bottom w:val="nil"/>
              <w:right w:val="nil"/>
            </w:tcBorders>
            <w:shd w:val="clear" w:color="auto" w:fill="auto"/>
            <w:noWrap/>
            <w:vAlign w:val="center"/>
            <w:hideMark/>
          </w:tcPr>
          <w:p w14:paraId="7550233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19,38</w:t>
            </w:r>
          </w:p>
        </w:tc>
        <w:tc>
          <w:tcPr>
            <w:tcW w:w="664" w:type="dxa"/>
            <w:tcBorders>
              <w:top w:val="nil"/>
              <w:left w:val="nil"/>
              <w:bottom w:val="nil"/>
              <w:right w:val="nil"/>
            </w:tcBorders>
            <w:shd w:val="clear" w:color="auto" w:fill="auto"/>
            <w:noWrap/>
            <w:vAlign w:val="center"/>
            <w:hideMark/>
          </w:tcPr>
          <w:p w14:paraId="1E63E3B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18,33</w:t>
            </w:r>
          </w:p>
        </w:tc>
        <w:tc>
          <w:tcPr>
            <w:tcW w:w="664" w:type="dxa"/>
            <w:tcBorders>
              <w:top w:val="nil"/>
              <w:left w:val="nil"/>
              <w:bottom w:val="nil"/>
              <w:right w:val="nil"/>
            </w:tcBorders>
            <w:shd w:val="clear" w:color="auto" w:fill="auto"/>
            <w:noWrap/>
            <w:vAlign w:val="center"/>
            <w:hideMark/>
          </w:tcPr>
          <w:p w14:paraId="79241C0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21,09</w:t>
            </w:r>
          </w:p>
        </w:tc>
        <w:tc>
          <w:tcPr>
            <w:tcW w:w="664" w:type="dxa"/>
            <w:tcBorders>
              <w:top w:val="nil"/>
              <w:left w:val="nil"/>
              <w:bottom w:val="nil"/>
              <w:right w:val="nil"/>
            </w:tcBorders>
            <w:shd w:val="clear" w:color="auto" w:fill="auto"/>
            <w:noWrap/>
            <w:vAlign w:val="center"/>
            <w:hideMark/>
          </w:tcPr>
          <w:p w14:paraId="795420F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21,29</w:t>
            </w:r>
          </w:p>
        </w:tc>
        <w:tc>
          <w:tcPr>
            <w:tcW w:w="664" w:type="dxa"/>
            <w:tcBorders>
              <w:top w:val="nil"/>
              <w:left w:val="nil"/>
              <w:bottom w:val="nil"/>
              <w:right w:val="nil"/>
            </w:tcBorders>
            <w:shd w:val="clear" w:color="auto" w:fill="auto"/>
            <w:noWrap/>
            <w:vAlign w:val="center"/>
            <w:hideMark/>
          </w:tcPr>
          <w:p w14:paraId="2B82923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21,76</w:t>
            </w:r>
          </w:p>
        </w:tc>
        <w:tc>
          <w:tcPr>
            <w:tcW w:w="669" w:type="dxa"/>
            <w:tcBorders>
              <w:top w:val="nil"/>
              <w:left w:val="nil"/>
              <w:bottom w:val="nil"/>
              <w:right w:val="nil"/>
            </w:tcBorders>
            <w:shd w:val="clear" w:color="auto" w:fill="auto"/>
            <w:noWrap/>
            <w:vAlign w:val="center"/>
            <w:hideMark/>
          </w:tcPr>
          <w:p w14:paraId="4B2FBE5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22,54</w:t>
            </w:r>
          </w:p>
        </w:tc>
      </w:tr>
      <w:tr w:rsidR="00C11C1F" w:rsidRPr="008D2084" w14:paraId="140F7518" w14:textId="77777777" w:rsidTr="006B2560">
        <w:trPr>
          <w:trHeight w:val="301"/>
        </w:trPr>
        <w:tc>
          <w:tcPr>
            <w:tcW w:w="2722" w:type="dxa"/>
            <w:tcBorders>
              <w:top w:val="nil"/>
              <w:left w:val="nil"/>
              <w:bottom w:val="nil"/>
              <w:right w:val="nil"/>
            </w:tcBorders>
            <w:shd w:val="clear" w:color="auto" w:fill="auto"/>
            <w:vAlign w:val="center"/>
            <w:hideMark/>
          </w:tcPr>
          <w:p w14:paraId="16234728" w14:textId="77777777" w:rsidR="00C11C1F"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N </w:t>
            </w:r>
            <w:r>
              <w:rPr>
                <w:rFonts w:ascii="Arial CE" w:hAnsi="Arial CE" w:cs="Arial CE"/>
                <w:sz w:val="16"/>
                <w:szCs w:val="16"/>
              </w:rPr>
              <w:t>–</w:t>
            </w:r>
            <w:r w:rsidRPr="008D2084">
              <w:rPr>
                <w:rFonts w:ascii="Arial CE" w:hAnsi="Arial CE" w:cs="Arial CE"/>
                <w:sz w:val="16"/>
                <w:szCs w:val="16"/>
              </w:rPr>
              <w:t xml:space="preserve"> Administrativní a podpůrné </w:t>
            </w:r>
          </w:p>
          <w:p w14:paraId="2FFFD5F5" w14:textId="30BAC6F8" w:rsidR="00C11C1F" w:rsidRPr="008D2084" w:rsidRDefault="00C11C1F" w:rsidP="00AD626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09256CB4" w14:textId="42B113F8"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04BFE76F" w14:textId="3DD40089"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37,69</w:t>
            </w:r>
          </w:p>
        </w:tc>
        <w:tc>
          <w:tcPr>
            <w:tcW w:w="664" w:type="dxa"/>
            <w:tcBorders>
              <w:top w:val="nil"/>
              <w:left w:val="nil"/>
              <w:bottom w:val="nil"/>
              <w:right w:val="nil"/>
            </w:tcBorders>
            <w:shd w:val="clear" w:color="auto" w:fill="auto"/>
            <w:noWrap/>
            <w:vAlign w:val="center"/>
            <w:hideMark/>
          </w:tcPr>
          <w:p w14:paraId="511E3A9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37,84</w:t>
            </w:r>
          </w:p>
        </w:tc>
        <w:tc>
          <w:tcPr>
            <w:tcW w:w="664" w:type="dxa"/>
            <w:tcBorders>
              <w:top w:val="nil"/>
              <w:left w:val="nil"/>
              <w:bottom w:val="nil"/>
              <w:right w:val="nil"/>
            </w:tcBorders>
            <w:shd w:val="clear" w:color="auto" w:fill="auto"/>
            <w:noWrap/>
            <w:vAlign w:val="center"/>
            <w:hideMark/>
          </w:tcPr>
          <w:p w14:paraId="0FBBA4D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39,55</w:t>
            </w:r>
          </w:p>
        </w:tc>
        <w:tc>
          <w:tcPr>
            <w:tcW w:w="664" w:type="dxa"/>
            <w:tcBorders>
              <w:top w:val="nil"/>
              <w:left w:val="nil"/>
              <w:bottom w:val="nil"/>
              <w:right w:val="nil"/>
            </w:tcBorders>
            <w:shd w:val="clear" w:color="auto" w:fill="auto"/>
            <w:noWrap/>
            <w:vAlign w:val="center"/>
            <w:hideMark/>
          </w:tcPr>
          <w:p w14:paraId="2CAEA6D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31,05</w:t>
            </w:r>
          </w:p>
        </w:tc>
        <w:tc>
          <w:tcPr>
            <w:tcW w:w="664" w:type="dxa"/>
            <w:tcBorders>
              <w:top w:val="nil"/>
              <w:left w:val="nil"/>
              <w:bottom w:val="nil"/>
              <w:right w:val="nil"/>
            </w:tcBorders>
            <w:shd w:val="clear" w:color="auto" w:fill="auto"/>
            <w:noWrap/>
            <w:vAlign w:val="center"/>
            <w:hideMark/>
          </w:tcPr>
          <w:p w14:paraId="43425EF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36,05</w:t>
            </w:r>
          </w:p>
        </w:tc>
        <w:tc>
          <w:tcPr>
            <w:tcW w:w="664" w:type="dxa"/>
            <w:tcBorders>
              <w:top w:val="nil"/>
              <w:left w:val="nil"/>
              <w:bottom w:val="nil"/>
              <w:right w:val="nil"/>
            </w:tcBorders>
            <w:shd w:val="clear" w:color="auto" w:fill="auto"/>
            <w:noWrap/>
            <w:vAlign w:val="center"/>
            <w:hideMark/>
          </w:tcPr>
          <w:p w14:paraId="6441142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40,30</w:t>
            </w:r>
          </w:p>
        </w:tc>
        <w:tc>
          <w:tcPr>
            <w:tcW w:w="664" w:type="dxa"/>
            <w:tcBorders>
              <w:top w:val="nil"/>
              <w:left w:val="nil"/>
              <w:bottom w:val="nil"/>
              <w:right w:val="nil"/>
            </w:tcBorders>
            <w:shd w:val="clear" w:color="auto" w:fill="auto"/>
            <w:noWrap/>
            <w:vAlign w:val="center"/>
            <w:hideMark/>
          </w:tcPr>
          <w:p w14:paraId="2FAFC6E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48,19</w:t>
            </w:r>
          </w:p>
        </w:tc>
        <w:tc>
          <w:tcPr>
            <w:tcW w:w="664" w:type="dxa"/>
            <w:tcBorders>
              <w:top w:val="nil"/>
              <w:left w:val="nil"/>
              <w:bottom w:val="nil"/>
              <w:right w:val="nil"/>
            </w:tcBorders>
            <w:shd w:val="clear" w:color="auto" w:fill="auto"/>
            <w:noWrap/>
            <w:vAlign w:val="center"/>
            <w:hideMark/>
          </w:tcPr>
          <w:p w14:paraId="056E93D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49,40</w:t>
            </w:r>
          </w:p>
        </w:tc>
        <w:tc>
          <w:tcPr>
            <w:tcW w:w="664" w:type="dxa"/>
            <w:tcBorders>
              <w:top w:val="nil"/>
              <w:left w:val="nil"/>
              <w:bottom w:val="nil"/>
              <w:right w:val="nil"/>
            </w:tcBorders>
            <w:shd w:val="clear" w:color="auto" w:fill="auto"/>
            <w:noWrap/>
            <w:vAlign w:val="center"/>
            <w:hideMark/>
          </w:tcPr>
          <w:p w14:paraId="7E2A659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48,57</w:t>
            </w:r>
          </w:p>
        </w:tc>
        <w:tc>
          <w:tcPr>
            <w:tcW w:w="669" w:type="dxa"/>
            <w:tcBorders>
              <w:top w:val="nil"/>
              <w:left w:val="nil"/>
              <w:bottom w:val="nil"/>
              <w:right w:val="nil"/>
            </w:tcBorders>
            <w:shd w:val="clear" w:color="auto" w:fill="auto"/>
            <w:noWrap/>
            <w:vAlign w:val="center"/>
            <w:hideMark/>
          </w:tcPr>
          <w:p w14:paraId="3B890EF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48,62</w:t>
            </w:r>
          </w:p>
        </w:tc>
      </w:tr>
      <w:tr w:rsidR="00C11C1F" w:rsidRPr="008D2084" w14:paraId="301DB973" w14:textId="77777777" w:rsidTr="006B2560">
        <w:trPr>
          <w:trHeight w:val="451"/>
        </w:trPr>
        <w:tc>
          <w:tcPr>
            <w:tcW w:w="2722" w:type="dxa"/>
            <w:tcBorders>
              <w:top w:val="nil"/>
              <w:left w:val="nil"/>
              <w:bottom w:val="nil"/>
              <w:right w:val="nil"/>
            </w:tcBorders>
            <w:shd w:val="clear" w:color="auto" w:fill="auto"/>
            <w:vAlign w:val="center"/>
            <w:hideMark/>
          </w:tcPr>
          <w:p w14:paraId="734A2642" w14:textId="77777777" w:rsidR="00BB700A" w:rsidRDefault="00C11C1F" w:rsidP="008D2084">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O </w:t>
            </w:r>
            <w:r>
              <w:rPr>
                <w:rFonts w:ascii="Arial CE" w:hAnsi="Arial CE" w:cs="Arial CE"/>
                <w:sz w:val="16"/>
                <w:szCs w:val="16"/>
              </w:rPr>
              <w:t>–</w:t>
            </w:r>
            <w:r w:rsidRPr="008D2084">
              <w:rPr>
                <w:rFonts w:ascii="Arial CE" w:hAnsi="Arial CE" w:cs="Arial CE"/>
                <w:sz w:val="16"/>
                <w:szCs w:val="16"/>
              </w:rPr>
              <w:t xml:space="preserve"> Veřejná správa a obrana; </w:t>
            </w:r>
          </w:p>
          <w:p w14:paraId="2B022B48" w14:textId="77777777" w:rsidR="00BB700A" w:rsidRDefault="00BB700A" w:rsidP="00BB700A">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p</w:t>
            </w:r>
            <w:r w:rsidR="00C11C1F" w:rsidRPr="008D2084">
              <w:rPr>
                <w:rFonts w:ascii="Arial CE" w:hAnsi="Arial CE" w:cs="Arial CE"/>
                <w:sz w:val="16"/>
                <w:szCs w:val="16"/>
              </w:rPr>
              <w:t>ovinné</w:t>
            </w:r>
            <w:r>
              <w:rPr>
                <w:rFonts w:ascii="Arial CE" w:hAnsi="Arial CE" w:cs="Arial CE"/>
                <w:sz w:val="16"/>
                <w:szCs w:val="16"/>
              </w:rPr>
              <w:t xml:space="preserve"> </w:t>
            </w:r>
            <w:r w:rsidR="00C11C1F" w:rsidRPr="008D2084">
              <w:rPr>
                <w:rFonts w:ascii="Arial CE" w:hAnsi="Arial CE" w:cs="Arial CE"/>
                <w:sz w:val="16"/>
                <w:szCs w:val="16"/>
              </w:rPr>
              <w:t xml:space="preserve">sociální </w:t>
            </w:r>
          </w:p>
          <w:p w14:paraId="300BD404" w14:textId="1635E73E" w:rsidR="00C11C1F" w:rsidRPr="008D2084" w:rsidRDefault="00BB700A" w:rsidP="00BB700A">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C11C1F" w:rsidRPr="008D2084">
              <w:rPr>
                <w:rFonts w:ascii="Arial CE" w:hAnsi="Arial CE" w:cs="Arial CE"/>
                <w:sz w:val="16"/>
                <w:szCs w:val="16"/>
              </w:rPr>
              <w:t>zabezpečení</w:t>
            </w:r>
          </w:p>
        </w:tc>
        <w:tc>
          <w:tcPr>
            <w:tcW w:w="464" w:type="dxa"/>
            <w:tcBorders>
              <w:top w:val="nil"/>
              <w:left w:val="single" w:sz="4" w:space="0" w:color="auto"/>
              <w:bottom w:val="nil"/>
            </w:tcBorders>
            <w:vAlign w:val="center"/>
          </w:tcPr>
          <w:p w14:paraId="3D57942D" w14:textId="7BA60449"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43,86</w:t>
            </w:r>
          </w:p>
        </w:tc>
        <w:tc>
          <w:tcPr>
            <w:tcW w:w="541" w:type="dxa"/>
            <w:tcBorders>
              <w:top w:val="nil"/>
              <w:left w:val="nil"/>
              <w:bottom w:val="nil"/>
              <w:right w:val="nil"/>
            </w:tcBorders>
            <w:shd w:val="clear" w:color="auto" w:fill="auto"/>
            <w:noWrap/>
            <w:vAlign w:val="center"/>
            <w:hideMark/>
          </w:tcPr>
          <w:p w14:paraId="50D15D11" w14:textId="7BC7DC33"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34,03</w:t>
            </w:r>
          </w:p>
        </w:tc>
        <w:tc>
          <w:tcPr>
            <w:tcW w:w="664" w:type="dxa"/>
            <w:tcBorders>
              <w:top w:val="nil"/>
              <w:left w:val="nil"/>
              <w:bottom w:val="nil"/>
              <w:right w:val="nil"/>
            </w:tcBorders>
            <w:shd w:val="clear" w:color="auto" w:fill="auto"/>
            <w:noWrap/>
            <w:vAlign w:val="center"/>
            <w:hideMark/>
          </w:tcPr>
          <w:p w14:paraId="0AEC373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29,70</w:t>
            </w:r>
          </w:p>
        </w:tc>
        <w:tc>
          <w:tcPr>
            <w:tcW w:w="664" w:type="dxa"/>
            <w:tcBorders>
              <w:top w:val="nil"/>
              <w:left w:val="nil"/>
              <w:bottom w:val="nil"/>
              <w:right w:val="nil"/>
            </w:tcBorders>
            <w:shd w:val="clear" w:color="auto" w:fill="auto"/>
            <w:noWrap/>
            <w:vAlign w:val="center"/>
            <w:hideMark/>
          </w:tcPr>
          <w:p w14:paraId="230DD00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29,52</w:t>
            </w:r>
          </w:p>
        </w:tc>
        <w:tc>
          <w:tcPr>
            <w:tcW w:w="664" w:type="dxa"/>
            <w:tcBorders>
              <w:top w:val="nil"/>
              <w:left w:val="nil"/>
              <w:bottom w:val="nil"/>
              <w:right w:val="nil"/>
            </w:tcBorders>
            <w:shd w:val="clear" w:color="auto" w:fill="auto"/>
            <w:noWrap/>
            <w:vAlign w:val="center"/>
            <w:hideMark/>
          </w:tcPr>
          <w:p w14:paraId="63F2811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24,49</w:t>
            </w:r>
          </w:p>
        </w:tc>
        <w:tc>
          <w:tcPr>
            <w:tcW w:w="664" w:type="dxa"/>
            <w:tcBorders>
              <w:top w:val="nil"/>
              <w:left w:val="nil"/>
              <w:bottom w:val="nil"/>
              <w:right w:val="nil"/>
            </w:tcBorders>
            <w:shd w:val="clear" w:color="auto" w:fill="auto"/>
            <w:noWrap/>
            <w:vAlign w:val="center"/>
            <w:hideMark/>
          </w:tcPr>
          <w:p w14:paraId="694F6CC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28,14</w:t>
            </w:r>
          </w:p>
        </w:tc>
        <w:tc>
          <w:tcPr>
            <w:tcW w:w="664" w:type="dxa"/>
            <w:tcBorders>
              <w:top w:val="nil"/>
              <w:left w:val="nil"/>
              <w:bottom w:val="nil"/>
              <w:right w:val="nil"/>
            </w:tcBorders>
            <w:shd w:val="clear" w:color="auto" w:fill="auto"/>
            <w:noWrap/>
            <w:vAlign w:val="center"/>
            <w:hideMark/>
          </w:tcPr>
          <w:p w14:paraId="270D003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26,28</w:t>
            </w:r>
          </w:p>
        </w:tc>
        <w:tc>
          <w:tcPr>
            <w:tcW w:w="664" w:type="dxa"/>
            <w:tcBorders>
              <w:top w:val="nil"/>
              <w:left w:val="nil"/>
              <w:bottom w:val="nil"/>
              <w:right w:val="nil"/>
            </w:tcBorders>
            <w:shd w:val="clear" w:color="auto" w:fill="auto"/>
            <w:noWrap/>
            <w:vAlign w:val="center"/>
            <w:hideMark/>
          </w:tcPr>
          <w:p w14:paraId="38CCE883"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31,48</w:t>
            </w:r>
          </w:p>
        </w:tc>
        <w:tc>
          <w:tcPr>
            <w:tcW w:w="664" w:type="dxa"/>
            <w:tcBorders>
              <w:top w:val="nil"/>
              <w:left w:val="nil"/>
              <w:bottom w:val="nil"/>
              <w:right w:val="nil"/>
            </w:tcBorders>
            <w:shd w:val="clear" w:color="auto" w:fill="auto"/>
            <w:noWrap/>
            <w:vAlign w:val="center"/>
            <w:hideMark/>
          </w:tcPr>
          <w:p w14:paraId="2800B07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30,70</w:t>
            </w:r>
          </w:p>
        </w:tc>
        <w:tc>
          <w:tcPr>
            <w:tcW w:w="664" w:type="dxa"/>
            <w:tcBorders>
              <w:top w:val="nil"/>
              <w:left w:val="nil"/>
              <w:bottom w:val="nil"/>
              <w:right w:val="nil"/>
            </w:tcBorders>
            <w:shd w:val="clear" w:color="auto" w:fill="auto"/>
            <w:noWrap/>
            <w:vAlign w:val="center"/>
            <w:hideMark/>
          </w:tcPr>
          <w:p w14:paraId="3D7EE55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31,26</w:t>
            </w:r>
          </w:p>
        </w:tc>
        <w:tc>
          <w:tcPr>
            <w:tcW w:w="669" w:type="dxa"/>
            <w:tcBorders>
              <w:top w:val="nil"/>
              <w:left w:val="nil"/>
              <w:bottom w:val="nil"/>
              <w:right w:val="nil"/>
            </w:tcBorders>
            <w:shd w:val="clear" w:color="auto" w:fill="auto"/>
            <w:noWrap/>
            <w:vAlign w:val="center"/>
            <w:hideMark/>
          </w:tcPr>
          <w:p w14:paraId="48318DE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33,99</w:t>
            </w:r>
          </w:p>
        </w:tc>
      </w:tr>
      <w:tr w:rsidR="00C11C1F" w:rsidRPr="008D2084" w14:paraId="0B414ACD" w14:textId="77777777" w:rsidTr="006B2560">
        <w:trPr>
          <w:trHeight w:val="301"/>
        </w:trPr>
        <w:tc>
          <w:tcPr>
            <w:tcW w:w="2722" w:type="dxa"/>
            <w:tcBorders>
              <w:top w:val="nil"/>
              <w:left w:val="nil"/>
              <w:bottom w:val="nil"/>
              <w:right w:val="nil"/>
            </w:tcBorders>
            <w:shd w:val="clear" w:color="auto" w:fill="auto"/>
            <w:vAlign w:val="center"/>
            <w:hideMark/>
          </w:tcPr>
          <w:p w14:paraId="7F604525" w14:textId="4E3B3979"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P </w:t>
            </w:r>
            <w:r>
              <w:rPr>
                <w:rFonts w:ascii="Arial CE" w:hAnsi="Arial CE" w:cs="Arial CE"/>
                <w:sz w:val="16"/>
                <w:szCs w:val="16"/>
              </w:rPr>
              <w:t>–</w:t>
            </w:r>
            <w:r w:rsidRPr="008D2084">
              <w:rPr>
                <w:rFonts w:ascii="Arial CE" w:hAnsi="Arial CE" w:cs="Arial CE"/>
                <w:sz w:val="16"/>
                <w:szCs w:val="16"/>
              </w:rPr>
              <w:t xml:space="preserve"> Vzdělávání</w:t>
            </w:r>
          </w:p>
        </w:tc>
        <w:tc>
          <w:tcPr>
            <w:tcW w:w="464" w:type="dxa"/>
            <w:tcBorders>
              <w:top w:val="nil"/>
              <w:left w:val="single" w:sz="4" w:space="0" w:color="auto"/>
              <w:bottom w:val="nil"/>
            </w:tcBorders>
            <w:vAlign w:val="center"/>
          </w:tcPr>
          <w:p w14:paraId="189E258B" w14:textId="3DF30A8B"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37,45</w:t>
            </w:r>
          </w:p>
        </w:tc>
        <w:tc>
          <w:tcPr>
            <w:tcW w:w="541" w:type="dxa"/>
            <w:tcBorders>
              <w:top w:val="nil"/>
              <w:left w:val="nil"/>
              <w:bottom w:val="nil"/>
              <w:right w:val="nil"/>
            </w:tcBorders>
            <w:shd w:val="clear" w:color="auto" w:fill="auto"/>
            <w:noWrap/>
            <w:vAlign w:val="center"/>
            <w:hideMark/>
          </w:tcPr>
          <w:p w14:paraId="2B498A83" w14:textId="63DC61BB"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31,03</w:t>
            </w:r>
          </w:p>
        </w:tc>
        <w:tc>
          <w:tcPr>
            <w:tcW w:w="664" w:type="dxa"/>
            <w:tcBorders>
              <w:top w:val="nil"/>
              <w:left w:val="nil"/>
              <w:bottom w:val="nil"/>
              <w:right w:val="nil"/>
            </w:tcBorders>
            <w:shd w:val="clear" w:color="auto" w:fill="auto"/>
            <w:noWrap/>
            <w:vAlign w:val="center"/>
            <w:hideMark/>
          </w:tcPr>
          <w:p w14:paraId="3F5396F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27,13</w:t>
            </w:r>
          </w:p>
        </w:tc>
        <w:tc>
          <w:tcPr>
            <w:tcW w:w="664" w:type="dxa"/>
            <w:tcBorders>
              <w:top w:val="nil"/>
              <w:left w:val="nil"/>
              <w:bottom w:val="nil"/>
              <w:right w:val="nil"/>
            </w:tcBorders>
            <w:shd w:val="clear" w:color="auto" w:fill="auto"/>
            <w:noWrap/>
            <w:vAlign w:val="center"/>
            <w:hideMark/>
          </w:tcPr>
          <w:p w14:paraId="04D421C2"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27,26</w:t>
            </w:r>
          </w:p>
        </w:tc>
        <w:tc>
          <w:tcPr>
            <w:tcW w:w="664" w:type="dxa"/>
            <w:tcBorders>
              <w:top w:val="nil"/>
              <w:left w:val="nil"/>
              <w:bottom w:val="nil"/>
              <w:right w:val="nil"/>
            </w:tcBorders>
            <w:shd w:val="clear" w:color="auto" w:fill="auto"/>
            <w:noWrap/>
            <w:vAlign w:val="center"/>
            <w:hideMark/>
          </w:tcPr>
          <w:p w14:paraId="591FCBA5"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21,72</w:t>
            </w:r>
          </w:p>
        </w:tc>
        <w:tc>
          <w:tcPr>
            <w:tcW w:w="664" w:type="dxa"/>
            <w:tcBorders>
              <w:top w:val="nil"/>
              <w:left w:val="nil"/>
              <w:bottom w:val="nil"/>
              <w:right w:val="nil"/>
            </w:tcBorders>
            <w:shd w:val="clear" w:color="auto" w:fill="auto"/>
            <w:noWrap/>
            <w:vAlign w:val="center"/>
            <w:hideMark/>
          </w:tcPr>
          <w:p w14:paraId="33D44D5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25,24</w:t>
            </w:r>
          </w:p>
        </w:tc>
        <w:tc>
          <w:tcPr>
            <w:tcW w:w="664" w:type="dxa"/>
            <w:tcBorders>
              <w:top w:val="nil"/>
              <w:left w:val="nil"/>
              <w:bottom w:val="nil"/>
              <w:right w:val="nil"/>
            </w:tcBorders>
            <w:shd w:val="clear" w:color="auto" w:fill="auto"/>
            <w:noWrap/>
            <w:vAlign w:val="center"/>
            <w:hideMark/>
          </w:tcPr>
          <w:p w14:paraId="72A6BDC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24,37</w:t>
            </w:r>
          </w:p>
        </w:tc>
        <w:tc>
          <w:tcPr>
            <w:tcW w:w="664" w:type="dxa"/>
            <w:tcBorders>
              <w:top w:val="nil"/>
              <w:left w:val="nil"/>
              <w:bottom w:val="nil"/>
              <w:right w:val="nil"/>
            </w:tcBorders>
            <w:shd w:val="clear" w:color="auto" w:fill="auto"/>
            <w:noWrap/>
            <w:vAlign w:val="center"/>
            <w:hideMark/>
          </w:tcPr>
          <w:p w14:paraId="01CB01E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30,46</w:t>
            </w:r>
          </w:p>
        </w:tc>
        <w:tc>
          <w:tcPr>
            <w:tcW w:w="664" w:type="dxa"/>
            <w:tcBorders>
              <w:top w:val="nil"/>
              <w:left w:val="nil"/>
              <w:bottom w:val="nil"/>
              <w:right w:val="nil"/>
            </w:tcBorders>
            <w:shd w:val="clear" w:color="auto" w:fill="auto"/>
            <w:noWrap/>
            <w:vAlign w:val="center"/>
            <w:hideMark/>
          </w:tcPr>
          <w:p w14:paraId="64143AB4"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30,50</w:t>
            </w:r>
          </w:p>
        </w:tc>
        <w:tc>
          <w:tcPr>
            <w:tcW w:w="664" w:type="dxa"/>
            <w:tcBorders>
              <w:top w:val="nil"/>
              <w:left w:val="nil"/>
              <w:bottom w:val="nil"/>
              <w:right w:val="nil"/>
            </w:tcBorders>
            <w:shd w:val="clear" w:color="auto" w:fill="auto"/>
            <w:noWrap/>
            <w:vAlign w:val="center"/>
            <w:hideMark/>
          </w:tcPr>
          <w:p w14:paraId="771CF20B"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32,61</w:t>
            </w:r>
          </w:p>
        </w:tc>
        <w:tc>
          <w:tcPr>
            <w:tcW w:w="669" w:type="dxa"/>
            <w:tcBorders>
              <w:top w:val="nil"/>
              <w:left w:val="nil"/>
              <w:bottom w:val="nil"/>
              <w:right w:val="nil"/>
            </w:tcBorders>
            <w:shd w:val="clear" w:color="auto" w:fill="auto"/>
            <w:noWrap/>
            <w:vAlign w:val="center"/>
            <w:hideMark/>
          </w:tcPr>
          <w:p w14:paraId="2C7E7AFF"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35,94</w:t>
            </w:r>
          </w:p>
        </w:tc>
      </w:tr>
      <w:tr w:rsidR="00C11C1F" w:rsidRPr="008D2084" w14:paraId="0239D1E8" w14:textId="77777777" w:rsidTr="006B2560">
        <w:trPr>
          <w:trHeight w:val="301"/>
        </w:trPr>
        <w:tc>
          <w:tcPr>
            <w:tcW w:w="2722" w:type="dxa"/>
            <w:tcBorders>
              <w:top w:val="nil"/>
              <w:left w:val="nil"/>
              <w:bottom w:val="nil"/>
              <w:right w:val="nil"/>
            </w:tcBorders>
            <w:shd w:val="clear" w:color="auto" w:fill="auto"/>
            <w:vAlign w:val="center"/>
            <w:hideMark/>
          </w:tcPr>
          <w:p w14:paraId="62DF5CDB" w14:textId="4B0DC54E"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Q </w:t>
            </w:r>
            <w:r>
              <w:rPr>
                <w:rFonts w:ascii="Arial CE" w:hAnsi="Arial CE" w:cs="Arial CE"/>
                <w:sz w:val="16"/>
                <w:szCs w:val="16"/>
              </w:rPr>
              <w:t>–</w:t>
            </w:r>
            <w:r w:rsidRPr="008D2084">
              <w:rPr>
                <w:rFonts w:ascii="Arial CE" w:hAnsi="Arial CE" w:cs="Arial CE"/>
                <w:sz w:val="16"/>
                <w:szCs w:val="16"/>
              </w:rPr>
              <w:t xml:space="preserve"> Zdravotní a sociální péče</w:t>
            </w:r>
          </w:p>
        </w:tc>
        <w:tc>
          <w:tcPr>
            <w:tcW w:w="464" w:type="dxa"/>
            <w:tcBorders>
              <w:top w:val="nil"/>
              <w:left w:val="single" w:sz="4" w:space="0" w:color="auto"/>
              <w:bottom w:val="nil"/>
            </w:tcBorders>
            <w:vAlign w:val="center"/>
          </w:tcPr>
          <w:p w14:paraId="211FB78B" w14:textId="02692698"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38,93</w:t>
            </w:r>
          </w:p>
        </w:tc>
        <w:tc>
          <w:tcPr>
            <w:tcW w:w="541" w:type="dxa"/>
            <w:tcBorders>
              <w:top w:val="nil"/>
              <w:left w:val="nil"/>
              <w:bottom w:val="nil"/>
              <w:right w:val="nil"/>
            </w:tcBorders>
            <w:shd w:val="clear" w:color="auto" w:fill="auto"/>
            <w:noWrap/>
            <w:vAlign w:val="center"/>
            <w:hideMark/>
          </w:tcPr>
          <w:p w14:paraId="2DFA3B37" w14:textId="0612FA79"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28,42</w:t>
            </w:r>
          </w:p>
        </w:tc>
        <w:tc>
          <w:tcPr>
            <w:tcW w:w="664" w:type="dxa"/>
            <w:tcBorders>
              <w:top w:val="nil"/>
              <w:left w:val="nil"/>
              <w:bottom w:val="nil"/>
              <w:right w:val="nil"/>
            </w:tcBorders>
            <w:shd w:val="clear" w:color="auto" w:fill="auto"/>
            <w:noWrap/>
            <w:vAlign w:val="center"/>
            <w:hideMark/>
          </w:tcPr>
          <w:p w14:paraId="73BE77E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25,89</w:t>
            </w:r>
          </w:p>
        </w:tc>
        <w:tc>
          <w:tcPr>
            <w:tcW w:w="664" w:type="dxa"/>
            <w:tcBorders>
              <w:top w:val="nil"/>
              <w:left w:val="nil"/>
              <w:bottom w:val="nil"/>
              <w:right w:val="nil"/>
            </w:tcBorders>
            <w:shd w:val="clear" w:color="auto" w:fill="auto"/>
            <w:noWrap/>
            <w:vAlign w:val="center"/>
            <w:hideMark/>
          </w:tcPr>
          <w:p w14:paraId="6D0AF1B2"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26,08</w:t>
            </w:r>
          </w:p>
        </w:tc>
        <w:tc>
          <w:tcPr>
            <w:tcW w:w="664" w:type="dxa"/>
            <w:tcBorders>
              <w:top w:val="nil"/>
              <w:left w:val="nil"/>
              <w:bottom w:val="nil"/>
              <w:right w:val="nil"/>
            </w:tcBorders>
            <w:shd w:val="clear" w:color="auto" w:fill="auto"/>
            <w:noWrap/>
            <w:vAlign w:val="center"/>
            <w:hideMark/>
          </w:tcPr>
          <w:p w14:paraId="57E7219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22,32</w:t>
            </w:r>
          </w:p>
        </w:tc>
        <w:tc>
          <w:tcPr>
            <w:tcW w:w="664" w:type="dxa"/>
            <w:tcBorders>
              <w:top w:val="nil"/>
              <w:left w:val="nil"/>
              <w:bottom w:val="nil"/>
              <w:right w:val="nil"/>
            </w:tcBorders>
            <w:shd w:val="clear" w:color="auto" w:fill="auto"/>
            <w:noWrap/>
            <w:vAlign w:val="center"/>
            <w:hideMark/>
          </w:tcPr>
          <w:p w14:paraId="5900754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25,51</w:t>
            </w:r>
          </w:p>
        </w:tc>
        <w:tc>
          <w:tcPr>
            <w:tcW w:w="664" w:type="dxa"/>
            <w:tcBorders>
              <w:top w:val="nil"/>
              <w:left w:val="nil"/>
              <w:bottom w:val="nil"/>
              <w:right w:val="nil"/>
            </w:tcBorders>
            <w:shd w:val="clear" w:color="auto" w:fill="auto"/>
            <w:noWrap/>
            <w:vAlign w:val="center"/>
            <w:hideMark/>
          </w:tcPr>
          <w:p w14:paraId="01A0BD7A"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25,44</w:t>
            </w:r>
          </w:p>
        </w:tc>
        <w:tc>
          <w:tcPr>
            <w:tcW w:w="664" w:type="dxa"/>
            <w:tcBorders>
              <w:top w:val="nil"/>
              <w:left w:val="nil"/>
              <w:bottom w:val="nil"/>
              <w:right w:val="nil"/>
            </w:tcBorders>
            <w:shd w:val="clear" w:color="auto" w:fill="auto"/>
            <w:noWrap/>
            <w:vAlign w:val="center"/>
            <w:hideMark/>
          </w:tcPr>
          <w:p w14:paraId="0E91B522"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29,66</w:t>
            </w:r>
          </w:p>
        </w:tc>
        <w:tc>
          <w:tcPr>
            <w:tcW w:w="664" w:type="dxa"/>
            <w:tcBorders>
              <w:top w:val="nil"/>
              <w:left w:val="nil"/>
              <w:bottom w:val="nil"/>
              <w:right w:val="nil"/>
            </w:tcBorders>
            <w:shd w:val="clear" w:color="auto" w:fill="auto"/>
            <w:noWrap/>
            <w:vAlign w:val="center"/>
            <w:hideMark/>
          </w:tcPr>
          <w:p w14:paraId="06DE9B9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30,42</w:t>
            </w:r>
          </w:p>
        </w:tc>
        <w:tc>
          <w:tcPr>
            <w:tcW w:w="664" w:type="dxa"/>
            <w:tcBorders>
              <w:top w:val="nil"/>
              <w:left w:val="nil"/>
              <w:bottom w:val="nil"/>
              <w:right w:val="nil"/>
            </w:tcBorders>
            <w:shd w:val="clear" w:color="auto" w:fill="auto"/>
            <w:noWrap/>
            <w:vAlign w:val="center"/>
            <w:hideMark/>
          </w:tcPr>
          <w:p w14:paraId="2503C4B7"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31,26</w:t>
            </w:r>
          </w:p>
        </w:tc>
        <w:tc>
          <w:tcPr>
            <w:tcW w:w="669" w:type="dxa"/>
            <w:tcBorders>
              <w:top w:val="nil"/>
              <w:left w:val="nil"/>
              <w:bottom w:val="nil"/>
              <w:right w:val="nil"/>
            </w:tcBorders>
            <w:shd w:val="clear" w:color="auto" w:fill="auto"/>
            <w:noWrap/>
            <w:vAlign w:val="center"/>
            <w:hideMark/>
          </w:tcPr>
          <w:p w14:paraId="1C9E5BF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33,70</w:t>
            </w:r>
          </w:p>
        </w:tc>
      </w:tr>
      <w:tr w:rsidR="00C11C1F" w:rsidRPr="008D2084" w14:paraId="4E55BF50" w14:textId="77777777" w:rsidTr="006B2560">
        <w:trPr>
          <w:trHeight w:val="451"/>
        </w:trPr>
        <w:tc>
          <w:tcPr>
            <w:tcW w:w="2722" w:type="dxa"/>
            <w:tcBorders>
              <w:top w:val="nil"/>
              <w:left w:val="nil"/>
              <w:bottom w:val="nil"/>
              <w:right w:val="nil"/>
            </w:tcBorders>
            <w:shd w:val="clear" w:color="auto" w:fill="auto"/>
            <w:vAlign w:val="center"/>
            <w:hideMark/>
          </w:tcPr>
          <w:p w14:paraId="76C6FBB8" w14:textId="540F0674" w:rsidR="00C11C1F" w:rsidRDefault="00C11C1F" w:rsidP="008D2084">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R </w:t>
            </w:r>
            <w:r>
              <w:rPr>
                <w:rFonts w:ascii="Arial CE" w:hAnsi="Arial CE" w:cs="Arial CE"/>
                <w:sz w:val="16"/>
                <w:szCs w:val="16"/>
              </w:rPr>
              <w:t>–</w:t>
            </w:r>
            <w:r w:rsidRPr="008D2084">
              <w:rPr>
                <w:rFonts w:ascii="Arial CE" w:hAnsi="Arial CE" w:cs="Arial CE"/>
                <w:sz w:val="16"/>
                <w:szCs w:val="16"/>
              </w:rPr>
              <w:t xml:space="preserve"> Kulturní, zábavní a rekreační </w:t>
            </w:r>
          </w:p>
          <w:p w14:paraId="7F366697" w14:textId="735AA8ED" w:rsidR="00C11C1F" w:rsidRPr="008D2084" w:rsidRDefault="00C11C1F" w:rsidP="008D2084">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6A3FE484" w14:textId="7B52348F"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650AA4FB" w14:textId="58D12331"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27,36</w:t>
            </w:r>
          </w:p>
        </w:tc>
        <w:tc>
          <w:tcPr>
            <w:tcW w:w="664" w:type="dxa"/>
            <w:tcBorders>
              <w:top w:val="nil"/>
              <w:left w:val="nil"/>
              <w:bottom w:val="nil"/>
              <w:right w:val="nil"/>
            </w:tcBorders>
            <w:shd w:val="clear" w:color="auto" w:fill="auto"/>
            <w:noWrap/>
            <w:vAlign w:val="center"/>
            <w:hideMark/>
          </w:tcPr>
          <w:p w14:paraId="64681C8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23,87</w:t>
            </w:r>
          </w:p>
        </w:tc>
        <w:tc>
          <w:tcPr>
            <w:tcW w:w="664" w:type="dxa"/>
            <w:tcBorders>
              <w:top w:val="nil"/>
              <w:left w:val="nil"/>
              <w:bottom w:val="nil"/>
              <w:right w:val="nil"/>
            </w:tcBorders>
            <w:shd w:val="clear" w:color="auto" w:fill="auto"/>
            <w:noWrap/>
            <w:vAlign w:val="center"/>
            <w:hideMark/>
          </w:tcPr>
          <w:p w14:paraId="091C589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22,67</w:t>
            </w:r>
          </w:p>
        </w:tc>
        <w:tc>
          <w:tcPr>
            <w:tcW w:w="664" w:type="dxa"/>
            <w:tcBorders>
              <w:top w:val="nil"/>
              <w:left w:val="nil"/>
              <w:bottom w:val="nil"/>
              <w:right w:val="nil"/>
            </w:tcBorders>
            <w:shd w:val="clear" w:color="auto" w:fill="auto"/>
            <w:noWrap/>
            <w:vAlign w:val="center"/>
            <w:hideMark/>
          </w:tcPr>
          <w:p w14:paraId="1F7F6D0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18,35</w:t>
            </w:r>
          </w:p>
        </w:tc>
        <w:tc>
          <w:tcPr>
            <w:tcW w:w="664" w:type="dxa"/>
            <w:tcBorders>
              <w:top w:val="nil"/>
              <w:left w:val="nil"/>
              <w:bottom w:val="nil"/>
              <w:right w:val="nil"/>
            </w:tcBorders>
            <w:shd w:val="clear" w:color="auto" w:fill="auto"/>
            <w:noWrap/>
            <w:vAlign w:val="center"/>
            <w:hideMark/>
          </w:tcPr>
          <w:p w14:paraId="76857229"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20,94</w:t>
            </w:r>
          </w:p>
        </w:tc>
        <w:tc>
          <w:tcPr>
            <w:tcW w:w="664" w:type="dxa"/>
            <w:tcBorders>
              <w:top w:val="nil"/>
              <w:left w:val="nil"/>
              <w:bottom w:val="nil"/>
              <w:right w:val="nil"/>
            </w:tcBorders>
            <w:shd w:val="clear" w:color="auto" w:fill="auto"/>
            <w:noWrap/>
            <w:vAlign w:val="center"/>
            <w:hideMark/>
          </w:tcPr>
          <w:p w14:paraId="787994F0"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20,54</w:t>
            </w:r>
          </w:p>
        </w:tc>
        <w:tc>
          <w:tcPr>
            <w:tcW w:w="664" w:type="dxa"/>
            <w:tcBorders>
              <w:top w:val="nil"/>
              <w:left w:val="nil"/>
              <w:bottom w:val="nil"/>
              <w:right w:val="nil"/>
            </w:tcBorders>
            <w:shd w:val="clear" w:color="auto" w:fill="auto"/>
            <w:noWrap/>
            <w:vAlign w:val="center"/>
            <w:hideMark/>
          </w:tcPr>
          <w:p w14:paraId="6B53B9B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24,09</w:t>
            </w:r>
          </w:p>
        </w:tc>
        <w:tc>
          <w:tcPr>
            <w:tcW w:w="664" w:type="dxa"/>
            <w:tcBorders>
              <w:top w:val="nil"/>
              <w:left w:val="nil"/>
              <w:bottom w:val="nil"/>
              <w:right w:val="nil"/>
            </w:tcBorders>
            <w:shd w:val="clear" w:color="auto" w:fill="auto"/>
            <w:noWrap/>
            <w:vAlign w:val="center"/>
            <w:hideMark/>
          </w:tcPr>
          <w:p w14:paraId="06097FE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24,60</w:t>
            </w:r>
          </w:p>
        </w:tc>
        <w:tc>
          <w:tcPr>
            <w:tcW w:w="664" w:type="dxa"/>
            <w:tcBorders>
              <w:top w:val="nil"/>
              <w:left w:val="nil"/>
              <w:bottom w:val="nil"/>
              <w:right w:val="nil"/>
            </w:tcBorders>
            <w:shd w:val="clear" w:color="auto" w:fill="auto"/>
            <w:noWrap/>
            <w:vAlign w:val="center"/>
            <w:hideMark/>
          </w:tcPr>
          <w:p w14:paraId="357D48B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24,38</w:t>
            </w:r>
          </w:p>
        </w:tc>
        <w:tc>
          <w:tcPr>
            <w:tcW w:w="669" w:type="dxa"/>
            <w:tcBorders>
              <w:top w:val="nil"/>
              <w:left w:val="nil"/>
              <w:bottom w:val="nil"/>
              <w:right w:val="nil"/>
            </w:tcBorders>
            <w:shd w:val="clear" w:color="auto" w:fill="auto"/>
            <w:noWrap/>
            <w:vAlign w:val="center"/>
            <w:hideMark/>
          </w:tcPr>
          <w:p w14:paraId="225C69DB"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26,84</w:t>
            </w:r>
          </w:p>
        </w:tc>
      </w:tr>
      <w:tr w:rsidR="00C11C1F" w:rsidRPr="008D2084" w14:paraId="7B8EBCD0" w14:textId="77777777" w:rsidTr="006B2560">
        <w:trPr>
          <w:trHeight w:val="301"/>
        </w:trPr>
        <w:tc>
          <w:tcPr>
            <w:tcW w:w="2722" w:type="dxa"/>
            <w:tcBorders>
              <w:top w:val="nil"/>
              <w:left w:val="nil"/>
              <w:bottom w:val="nil"/>
              <w:right w:val="nil"/>
            </w:tcBorders>
            <w:shd w:val="clear" w:color="auto" w:fill="auto"/>
            <w:vAlign w:val="center"/>
            <w:hideMark/>
          </w:tcPr>
          <w:p w14:paraId="4A994836" w14:textId="33588DD4" w:rsidR="00C11C1F" w:rsidRPr="008D2084" w:rsidRDefault="00C11C1F" w:rsidP="00AD626C">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S </w:t>
            </w:r>
            <w:r>
              <w:rPr>
                <w:rFonts w:ascii="Arial CE" w:hAnsi="Arial CE" w:cs="Arial CE"/>
                <w:sz w:val="16"/>
                <w:szCs w:val="16"/>
              </w:rPr>
              <w:t>–</w:t>
            </w:r>
            <w:r w:rsidRPr="008D2084">
              <w:rPr>
                <w:rFonts w:ascii="Arial CE" w:hAnsi="Arial CE" w:cs="Arial CE"/>
                <w:sz w:val="16"/>
                <w:szCs w:val="16"/>
              </w:rPr>
              <w:t xml:space="preserve"> Ostatní činnosti</w:t>
            </w:r>
          </w:p>
        </w:tc>
        <w:tc>
          <w:tcPr>
            <w:tcW w:w="464" w:type="dxa"/>
            <w:tcBorders>
              <w:top w:val="nil"/>
              <w:left w:val="single" w:sz="4" w:space="0" w:color="auto"/>
              <w:bottom w:val="nil"/>
            </w:tcBorders>
            <w:vAlign w:val="center"/>
          </w:tcPr>
          <w:p w14:paraId="05FE89A8" w14:textId="5F019B22" w:rsidR="00C11C1F" w:rsidRPr="008D2084" w:rsidRDefault="006B2560" w:rsidP="006B2560">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75742BE3" w14:textId="302E945D"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28,07</w:t>
            </w:r>
          </w:p>
        </w:tc>
        <w:tc>
          <w:tcPr>
            <w:tcW w:w="664" w:type="dxa"/>
            <w:tcBorders>
              <w:top w:val="nil"/>
              <w:left w:val="nil"/>
              <w:bottom w:val="nil"/>
              <w:right w:val="nil"/>
            </w:tcBorders>
            <w:shd w:val="clear" w:color="auto" w:fill="auto"/>
            <w:noWrap/>
            <w:vAlign w:val="center"/>
            <w:hideMark/>
          </w:tcPr>
          <w:p w14:paraId="04C48F5E"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25,35</w:t>
            </w:r>
          </w:p>
        </w:tc>
        <w:tc>
          <w:tcPr>
            <w:tcW w:w="664" w:type="dxa"/>
            <w:tcBorders>
              <w:top w:val="nil"/>
              <w:left w:val="nil"/>
              <w:bottom w:val="nil"/>
              <w:right w:val="nil"/>
            </w:tcBorders>
            <w:shd w:val="clear" w:color="auto" w:fill="auto"/>
            <w:noWrap/>
            <w:vAlign w:val="center"/>
            <w:hideMark/>
          </w:tcPr>
          <w:p w14:paraId="03BCABD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23,93</w:t>
            </w:r>
          </w:p>
        </w:tc>
        <w:tc>
          <w:tcPr>
            <w:tcW w:w="664" w:type="dxa"/>
            <w:tcBorders>
              <w:top w:val="nil"/>
              <w:left w:val="nil"/>
              <w:bottom w:val="nil"/>
              <w:right w:val="nil"/>
            </w:tcBorders>
            <w:shd w:val="clear" w:color="auto" w:fill="auto"/>
            <w:noWrap/>
            <w:vAlign w:val="center"/>
            <w:hideMark/>
          </w:tcPr>
          <w:p w14:paraId="781934C3"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21,26</w:t>
            </w:r>
          </w:p>
        </w:tc>
        <w:tc>
          <w:tcPr>
            <w:tcW w:w="664" w:type="dxa"/>
            <w:tcBorders>
              <w:top w:val="nil"/>
              <w:left w:val="nil"/>
              <w:bottom w:val="nil"/>
              <w:right w:val="nil"/>
            </w:tcBorders>
            <w:shd w:val="clear" w:color="auto" w:fill="auto"/>
            <w:noWrap/>
            <w:vAlign w:val="center"/>
            <w:hideMark/>
          </w:tcPr>
          <w:p w14:paraId="7A0A1EF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23,46</w:t>
            </w:r>
          </w:p>
        </w:tc>
        <w:tc>
          <w:tcPr>
            <w:tcW w:w="664" w:type="dxa"/>
            <w:tcBorders>
              <w:top w:val="nil"/>
              <w:left w:val="nil"/>
              <w:bottom w:val="nil"/>
              <w:right w:val="nil"/>
            </w:tcBorders>
            <w:shd w:val="clear" w:color="auto" w:fill="auto"/>
            <w:noWrap/>
            <w:vAlign w:val="center"/>
            <w:hideMark/>
          </w:tcPr>
          <w:p w14:paraId="7153BD61"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23,54</w:t>
            </w:r>
          </w:p>
        </w:tc>
        <w:tc>
          <w:tcPr>
            <w:tcW w:w="664" w:type="dxa"/>
            <w:tcBorders>
              <w:top w:val="nil"/>
              <w:left w:val="nil"/>
              <w:bottom w:val="nil"/>
              <w:right w:val="nil"/>
            </w:tcBorders>
            <w:shd w:val="clear" w:color="auto" w:fill="auto"/>
            <w:noWrap/>
            <w:vAlign w:val="center"/>
            <w:hideMark/>
          </w:tcPr>
          <w:p w14:paraId="34951A9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27,49</w:t>
            </w:r>
          </w:p>
        </w:tc>
        <w:tc>
          <w:tcPr>
            <w:tcW w:w="664" w:type="dxa"/>
            <w:tcBorders>
              <w:top w:val="nil"/>
              <w:left w:val="nil"/>
              <w:bottom w:val="nil"/>
              <w:right w:val="nil"/>
            </w:tcBorders>
            <w:shd w:val="clear" w:color="auto" w:fill="auto"/>
            <w:noWrap/>
            <w:vAlign w:val="center"/>
            <w:hideMark/>
          </w:tcPr>
          <w:p w14:paraId="572AD3EC"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28,10</w:t>
            </w:r>
          </w:p>
        </w:tc>
        <w:tc>
          <w:tcPr>
            <w:tcW w:w="664" w:type="dxa"/>
            <w:tcBorders>
              <w:top w:val="nil"/>
              <w:left w:val="nil"/>
              <w:bottom w:val="nil"/>
              <w:right w:val="nil"/>
            </w:tcBorders>
            <w:shd w:val="clear" w:color="auto" w:fill="auto"/>
            <w:noWrap/>
            <w:vAlign w:val="center"/>
            <w:hideMark/>
          </w:tcPr>
          <w:p w14:paraId="2110EB3D"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27,83</w:t>
            </w:r>
          </w:p>
        </w:tc>
        <w:tc>
          <w:tcPr>
            <w:tcW w:w="669" w:type="dxa"/>
            <w:tcBorders>
              <w:top w:val="nil"/>
              <w:left w:val="nil"/>
              <w:bottom w:val="nil"/>
              <w:right w:val="nil"/>
            </w:tcBorders>
            <w:shd w:val="clear" w:color="auto" w:fill="auto"/>
            <w:noWrap/>
            <w:vAlign w:val="center"/>
            <w:hideMark/>
          </w:tcPr>
          <w:p w14:paraId="211D4938" w14:textId="77777777" w:rsidR="00C11C1F" w:rsidRPr="008D2084" w:rsidRDefault="00C11C1F" w:rsidP="004D02A3">
            <w:pPr>
              <w:spacing w:after="0" w:line="240" w:lineRule="auto"/>
              <w:jc w:val="right"/>
              <w:rPr>
                <w:rFonts w:ascii="Arial CE" w:hAnsi="Arial CE" w:cs="Arial CE"/>
                <w:sz w:val="16"/>
                <w:szCs w:val="16"/>
              </w:rPr>
            </w:pPr>
            <w:r w:rsidRPr="008D2084">
              <w:rPr>
                <w:rFonts w:ascii="Arial CE" w:hAnsi="Arial CE" w:cs="Arial CE"/>
                <w:sz w:val="16"/>
                <w:szCs w:val="16"/>
              </w:rPr>
              <w:t>29,83</w:t>
            </w:r>
          </w:p>
        </w:tc>
      </w:tr>
    </w:tbl>
    <w:p w14:paraId="08E2C26F" w14:textId="77777777" w:rsidR="0070066F" w:rsidRDefault="0070066F" w:rsidP="00EF1CFD">
      <w:pPr>
        <w:jc w:val="both"/>
        <w:rPr>
          <w:rFonts w:cs="Arial"/>
        </w:rPr>
      </w:pPr>
    </w:p>
    <w:p w14:paraId="5754EA30" w14:textId="77777777" w:rsidR="00024095" w:rsidRDefault="00024095" w:rsidP="00024095">
      <w:pPr>
        <w:spacing w:after="0"/>
        <w:rPr>
          <w:sz w:val="18"/>
        </w:rPr>
      </w:pPr>
      <w:r w:rsidRPr="00BC3FF5">
        <w:rPr>
          <w:sz w:val="18"/>
        </w:rPr>
        <w:t>Zdroj: ČSÚ</w:t>
      </w:r>
    </w:p>
    <w:p w14:paraId="6DB7E5B6" w14:textId="77777777" w:rsidR="00776E3B" w:rsidRDefault="00776E3B" w:rsidP="00024095">
      <w:pPr>
        <w:jc w:val="both"/>
        <w:rPr>
          <w:rFonts w:cs="Arial"/>
        </w:rPr>
      </w:pPr>
    </w:p>
    <w:p w14:paraId="7F10041F" w14:textId="7BF8FBE5" w:rsidR="00024095" w:rsidRPr="0071250D" w:rsidRDefault="00024095" w:rsidP="00024095">
      <w:pPr>
        <w:jc w:val="both"/>
        <w:rPr>
          <w:rFonts w:cs="Arial"/>
        </w:rPr>
      </w:pPr>
      <w:r w:rsidRPr="0071250D">
        <w:rPr>
          <w:rFonts w:cs="Arial"/>
        </w:rPr>
        <w:lastRenderedPageBreak/>
        <w:t xml:space="preserve">Z pohledu </w:t>
      </w:r>
      <w:r w:rsidRPr="00722773">
        <w:rPr>
          <w:rFonts w:cs="Arial"/>
          <w:b/>
        </w:rPr>
        <w:t>územního členění</w:t>
      </w:r>
      <w:r w:rsidRPr="0071250D">
        <w:rPr>
          <w:rFonts w:cs="Arial"/>
        </w:rPr>
        <w:t xml:space="preserve"> bylo v roce 201</w:t>
      </w:r>
      <w:r w:rsidR="004D02A3" w:rsidRPr="0071250D">
        <w:rPr>
          <w:rFonts w:cs="Arial"/>
        </w:rPr>
        <w:t>8</w:t>
      </w:r>
      <w:r w:rsidRPr="0071250D">
        <w:rPr>
          <w:rFonts w:cs="Arial"/>
        </w:rPr>
        <w:t xml:space="preserve"> nejvíce případů pracovní neschopnosti na 100 pojištěnců hlášeno v Libereckém kraji (</w:t>
      </w:r>
      <w:r w:rsidR="004D02A3" w:rsidRPr="0071250D">
        <w:rPr>
          <w:rFonts w:cs="Arial"/>
        </w:rPr>
        <w:t>48</w:t>
      </w:r>
      <w:r w:rsidR="004C701A" w:rsidRPr="0071250D">
        <w:rPr>
          <w:rFonts w:cs="Arial"/>
        </w:rPr>
        <w:t>,1</w:t>
      </w:r>
      <w:r w:rsidRPr="0071250D">
        <w:rPr>
          <w:rFonts w:cs="Arial"/>
        </w:rPr>
        <w:t>) a Plzeňském kraji (</w:t>
      </w:r>
      <w:r w:rsidR="004C701A" w:rsidRPr="0071250D">
        <w:rPr>
          <w:rFonts w:cs="Arial"/>
        </w:rPr>
        <w:t>46,1</w:t>
      </w:r>
      <w:r w:rsidRPr="0071250D">
        <w:rPr>
          <w:rFonts w:cs="Arial"/>
        </w:rPr>
        <w:t xml:space="preserve">). </w:t>
      </w:r>
      <w:r w:rsidR="004C701A" w:rsidRPr="0071250D">
        <w:rPr>
          <w:rFonts w:cs="Arial"/>
        </w:rPr>
        <w:t>Průměr za Českou republiku činil 39</w:t>
      </w:r>
      <w:r w:rsidR="0071250D">
        <w:rPr>
          <w:rFonts w:cs="Arial"/>
        </w:rPr>
        <w:t>,1</w:t>
      </w:r>
      <w:r w:rsidR="004C701A" w:rsidRPr="0071250D">
        <w:rPr>
          <w:rFonts w:cs="Arial"/>
        </w:rPr>
        <w:t xml:space="preserve"> případů, přičemž podprůměrné hodnoty vykazovaly následující 3 kraje. </w:t>
      </w:r>
      <w:r w:rsidRPr="0071250D">
        <w:rPr>
          <w:rFonts w:cs="Arial"/>
        </w:rPr>
        <w:t>Nejméně případů bylo hlášeno v Hlavním městě Praze (</w:t>
      </w:r>
      <w:r w:rsidR="004C701A" w:rsidRPr="0071250D">
        <w:rPr>
          <w:rFonts w:cs="Arial"/>
        </w:rPr>
        <w:t>3</w:t>
      </w:r>
      <w:r w:rsidR="0071250D">
        <w:rPr>
          <w:rFonts w:cs="Arial"/>
        </w:rPr>
        <w:t>1,9</w:t>
      </w:r>
      <w:r w:rsidRPr="0071250D">
        <w:rPr>
          <w:rFonts w:cs="Arial"/>
        </w:rPr>
        <w:t>), Olomouckém kraji (3</w:t>
      </w:r>
      <w:r w:rsidR="004C701A" w:rsidRPr="0071250D">
        <w:rPr>
          <w:rFonts w:cs="Arial"/>
        </w:rPr>
        <w:t>7,</w:t>
      </w:r>
      <w:r w:rsidRPr="0071250D">
        <w:rPr>
          <w:rFonts w:cs="Arial"/>
        </w:rPr>
        <w:t>5) a Jihomoravském kraji (</w:t>
      </w:r>
      <w:r w:rsidR="004C701A" w:rsidRPr="0071250D">
        <w:rPr>
          <w:rFonts w:cs="Arial"/>
        </w:rPr>
        <w:t>37,8</w:t>
      </w:r>
      <w:r w:rsidRPr="0071250D">
        <w:rPr>
          <w:rFonts w:cs="Arial"/>
        </w:rPr>
        <w:t xml:space="preserve">). </w:t>
      </w:r>
      <w:r w:rsidR="008C2001" w:rsidRPr="0071250D">
        <w:rPr>
          <w:rFonts w:cs="Arial"/>
        </w:rPr>
        <w:t>Rozdíl dvou extrémních krajů představoval 16 případů pracovní neschopnosti na 100 pojištěnců.</w:t>
      </w:r>
      <w:r w:rsidRPr="0071250D">
        <w:rPr>
          <w:rFonts w:cs="Arial"/>
        </w:rPr>
        <w:t xml:space="preserve"> Hodnoty tohoto s</w:t>
      </w:r>
      <w:r w:rsidR="0071250D" w:rsidRPr="0071250D">
        <w:rPr>
          <w:rFonts w:cs="Arial"/>
        </w:rPr>
        <w:t>ledovaného ukazatele v roce 2018</w:t>
      </w:r>
      <w:r w:rsidRPr="0071250D">
        <w:rPr>
          <w:rFonts w:cs="Arial"/>
        </w:rPr>
        <w:t xml:space="preserve"> meziročně vzrostly ve všech krajích</w:t>
      </w:r>
      <w:r w:rsidR="0071250D" w:rsidRPr="0071250D">
        <w:rPr>
          <w:rFonts w:cs="Arial"/>
        </w:rPr>
        <w:t xml:space="preserve">, nejvíce v </w:t>
      </w:r>
      <w:r w:rsidRPr="0071250D">
        <w:rPr>
          <w:rFonts w:cs="Arial"/>
        </w:rPr>
        <w:t>Karlovarské</w:t>
      </w:r>
      <w:r w:rsidR="0071250D" w:rsidRPr="0071250D">
        <w:rPr>
          <w:rFonts w:cs="Arial"/>
        </w:rPr>
        <w:t>m kraji</w:t>
      </w:r>
      <w:r w:rsidRPr="0071250D">
        <w:rPr>
          <w:rFonts w:cs="Arial"/>
        </w:rPr>
        <w:t>, kde došlo k</w:t>
      </w:r>
      <w:r w:rsidR="0071250D" w:rsidRPr="0071250D">
        <w:rPr>
          <w:rFonts w:cs="Arial"/>
        </w:rPr>
        <w:t> nárůstu o téměř 4</w:t>
      </w:r>
      <w:r w:rsidR="00F547BE">
        <w:rPr>
          <w:rFonts w:cs="Arial"/>
        </w:rPr>
        <w:t> </w:t>
      </w:r>
      <w:r w:rsidR="0071250D" w:rsidRPr="0071250D">
        <w:rPr>
          <w:rFonts w:cs="Arial"/>
        </w:rPr>
        <w:t>případy</w:t>
      </w:r>
      <w:r w:rsidRPr="0071250D">
        <w:rPr>
          <w:rFonts w:cs="Arial"/>
        </w:rPr>
        <w:t>.</w:t>
      </w:r>
      <w:r w:rsidR="0071250D" w:rsidRPr="0071250D">
        <w:rPr>
          <w:rFonts w:cs="Arial"/>
        </w:rPr>
        <w:t xml:space="preserve"> Naopak nejméně vzrostl</w:t>
      </w:r>
      <w:r w:rsidR="0071250D">
        <w:rPr>
          <w:rFonts w:cs="Arial"/>
        </w:rPr>
        <w:t xml:space="preserve"> počet</w:t>
      </w:r>
      <w:r w:rsidR="0071250D" w:rsidRPr="0071250D">
        <w:rPr>
          <w:rFonts w:cs="Arial"/>
        </w:rPr>
        <w:t xml:space="preserve"> </w:t>
      </w:r>
      <w:r w:rsidR="00AD626C">
        <w:rPr>
          <w:rFonts w:cs="Arial"/>
        </w:rPr>
        <w:t xml:space="preserve">oproti roku 2017 </w:t>
      </w:r>
      <w:r w:rsidR="0071250D" w:rsidRPr="0071250D">
        <w:rPr>
          <w:rFonts w:cs="Arial"/>
        </w:rPr>
        <w:t>ve Zlínském kraji o 1,5 případů na 100 pojištěnců.</w:t>
      </w:r>
      <w:r w:rsidRPr="0071250D">
        <w:rPr>
          <w:rFonts w:cs="Arial"/>
        </w:rPr>
        <w:t xml:space="preserve"> </w:t>
      </w:r>
    </w:p>
    <w:p w14:paraId="247B02C3" w14:textId="1FACB40E" w:rsidR="00024095" w:rsidRDefault="00024095" w:rsidP="00024095">
      <w:pPr>
        <w:jc w:val="both"/>
        <w:rPr>
          <w:rFonts w:cs="Arial"/>
          <w:szCs w:val="20"/>
        </w:rPr>
      </w:pPr>
      <w:r w:rsidRPr="00CD4A23">
        <w:rPr>
          <w:rFonts w:cs="Arial"/>
        </w:rPr>
        <w:t>Rozdíly výskytu dočasné pracovní neschopnosti dle územního členění jsou značně ovlivněny strukturou zaměstnanosti, charakterem převažující ekonomické činnosti a mírou nezaměstnanosti v daném regionu</w:t>
      </w:r>
      <w:r w:rsidRPr="00F547BE">
        <w:rPr>
          <w:rFonts w:cs="Arial"/>
        </w:rPr>
        <w:t>.</w:t>
      </w:r>
      <w:r w:rsidRPr="00CD4A23">
        <w:rPr>
          <w:rFonts w:cs="Arial"/>
          <w:b/>
        </w:rPr>
        <w:t xml:space="preserve"> </w:t>
      </w:r>
      <w:r w:rsidRPr="00CD4A23">
        <w:rPr>
          <w:rFonts w:cs="Arial"/>
        </w:rPr>
        <w:t xml:space="preserve">Je nutno zohlednit též </w:t>
      </w:r>
      <w:r w:rsidRPr="00CD4A23">
        <w:rPr>
          <w:rFonts w:cs="Arial"/>
          <w:b/>
        </w:rPr>
        <w:t>metodiku zpracování dat, kdy r</w:t>
      </w:r>
      <w:r w:rsidRPr="00CD4A23">
        <w:rPr>
          <w:rFonts w:cs="Arial"/>
          <w:b/>
          <w:szCs w:val="20"/>
        </w:rPr>
        <w:t>ozlišení dle krajů a okresů vychází z údaje o sídle útvaru</w:t>
      </w:r>
      <w:r w:rsidRPr="00CD4A23">
        <w:rPr>
          <w:rFonts w:cs="Arial"/>
          <w:szCs w:val="20"/>
        </w:rPr>
        <w:t>, který vede evidenci mezd u zaměstnavatele osoby, která je v pracovní neschopnosti.</w:t>
      </w:r>
    </w:p>
    <w:p w14:paraId="4E79BD2A" w14:textId="51EBAE48" w:rsidR="00C43A78" w:rsidRPr="00C43A78" w:rsidRDefault="00162BC5" w:rsidP="00C43A78">
      <w:pPr>
        <w:pStyle w:val="Titulek"/>
        <w:keepNext/>
        <w:jc w:val="both"/>
        <w:rPr>
          <w:b/>
          <w:i w:val="0"/>
          <w:color w:val="auto"/>
          <w:sz w:val="20"/>
        </w:rPr>
      </w:pPr>
      <w:r>
        <w:rPr>
          <w:b/>
          <w:i w:val="0"/>
          <w:color w:val="auto"/>
          <w:sz w:val="20"/>
        </w:rPr>
        <w:t>Graf 2.</w:t>
      </w:r>
      <w:r w:rsidR="00C43A78" w:rsidRPr="00C43A78">
        <w:rPr>
          <w:b/>
          <w:i w:val="0"/>
          <w:color w:val="auto"/>
          <w:sz w:val="20"/>
        </w:rPr>
        <w:t>4: Nově hlášené případy dočasné pracovní neschopnosti na 100 pojištěnců podle krajů ČR v roce 2018</w:t>
      </w:r>
    </w:p>
    <w:p w14:paraId="3F8444DE" w14:textId="10A20E13" w:rsidR="00024095" w:rsidRPr="00DA5EBB" w:rsidRDefault="00AD626C" w:rsidP="00024095">
      <w:pPr>
        <w:jc w:val="both"/>
        <w:rPr>
          <w:rFonts w:cs="Arial"/>
          <w:b/>
        </w:rPr>
      </w:pPr>
      <w:r>
        <w:rPr>
          <w:noProof/>
        </w:rPr>
        <w:drawing>
          <wp:inline distT="0" distB="0" distL="0" distR="0" wp14:anchorId="34029EEF" wp14:editId="0B710242">
            <wp:extent cx="6067425" cy="3000375"/>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177594" w14:textId="5ACD49A3" w:rsidR="00894E45" w:rsidRDefault="00C43A78" w:rsidP="00C43A78">
      <w:pPr>
        <w:spacing w:after="0"/>
        <w:rPr>
          <w:sz w:val="18"/>
        </w:rPr>
      </w:pPr>
      <w:r w:rsidRPr="00BC3FF5">
        <w:rPr>
          <w:sz w:val="18"/>
        </w:rPr>
        <w:t>Zdroj: ČSÚ</w:t>
      </w:r>
    </w:p>
    <w:p w14:paraId="38960467" w14:textId="77777777" w:rsidR="00894E45" w:rsidRDefault="00894E45" w:rsidP="00894E45">
      <w:pPr>
        <w:jc w:val="both"/>
        <w:rPr>
          <w:rFonts w:cs="Arial"/>
        </w:rPr>
      </w:pPr>
    </w:p>
    <w:p w14:paraId="0778AF7D" w14:textId="2FFFD924" w:rsidR="00894E45" w:rsidRDefault="00894E45" w:rsidP="00894E45">
      <w:pPr>
        <w:jc w:val="both"/>
        <w:rPr>
          <w:rFonts w:cs="Arial"/>
        </w:rPr>
      </w:pPr>
      <w:r>
        <w:rPr>
          <w:rFonts w:cs="Arial"/>
        </w:rPr>
        <w:t xml:space="preserve">Z hlediska </w:t>
      </w:r>
      <w:r w:rsidRPr="00722773">
        <w:rPr>
          <w:rFonts w:cs="Arial"/>
          <w:b/>
        </w:rPr>
        <w:t>velikosti podniku</w:t>
      </w:r>
      <w:r>
        <w:rPr>
          <w:rFonts w:cs="Arial"/>
        </w:rPr>
        <w:t xml:space="preserve"> bylo v roce 2018 nejvíce případů pracovní neschopnosti evidováno u</w:t>
      </w:r>
      <w:r w:rsidR="00E252E5">
        <w:rPr>
          <w:rFonts w:cs="Arial"/>
        </w:rPr>
        <w:t> </w:t>
      </w:r>
      <w:r>
        <w:rPr>
          <w:rFonts w:cs="Arial"/>
        </w:rPr>
        <w:t>největších firem s 500 a více zaměstnanci, které zaznamenaly 678 tis. případů pracovní neschopnosti, což představuje 37% podíl na republikové hodnotě. Hned za nimi se však umístily firmy s méně než 50</w:t>
      </w:r>
      <w:r w:rsidR="00E252E5">
        <w:rPr>
          <w:rFonts w:cs="Arial"/>
        </w:rPr>
        <w:t> </w:t>
      </w:r>
      <w:r>
        <w:rPr>
          <w:rFonts w:cs="Arial"/>
        </w:rPr>
        <w:t>zaměstnanci, které nahlásily 468 tis. případů a tvořily tak čtvrtinu všech nahlášených případů. V relativním pojetí při přepočtu na</w:t>
      </w:r>
      <w:r w:rsidR="00F547BE">
        <w:rPr>
          <w:rFonts w:cs="Arial"/>
        </w:rPr>
        <w:t> </w:t>
      </w:r>
      <w:r>
        <w:rPr>
          <w:rFonts w:cs="Arial"/>
        </w:rPr>
        <w:t xml:space="preserve">100 pojištěnců dominovaly středně velké firmy zaměstnávající </w:t>
      </w:r>
      <w:r w:rsidR="00E252E5">
        <w:rPr>
          <w:rFonts w:cs="Arial"/>
        </w:rPr>
        <w:br/>
      </w:r>
      <w:r>
        <w:rPr>
          <w:rFonts w:cs="Arial"/>
        </w:rPr>
        <w:t>100–249</w:t>
      </w:r>
      <w:r w:rsidR="00E252E5">
        <w:rPr>
          <w:rFonts w:cs="Arial"/>
        </w:rPr>
        <w:t> </w:t>
      </w:r>
      <w:r>
        <w:rPr>
          <w:rFonts w:cs="Arial"/>
        </w:rPr>
        <w:t>osob s 45 nově hlášenými případy. V závěsu za nimi se nacházely podniky mající </w:t>
      </w:r>
      <w:r w:rsidR="00E252E5">
        <w:rPr>
          <w:rFonts w:cs="Arial"/>
        </w:rPr>
        <w:br/>
      </w:r>
      <w:r>
        <w:rPr>
          <w:rFonts w:cs="Arial"/>
        </w:rPr>
        <w:t>250–499 zaměstnanců s 44,4 pracovními neschopnostmi. Daleko méně případů pracovní neschopnosti vykázaly nejmenší firmy do 50 zaměstnanců, kde na 100 pojištěnců připadlo 31 hlášení. A zcela nejméně případů bylo zaznamenáno u OSVČ, a sice 14</w:t>
      </w:r>
      <w:r w:rsidR="00F547BE">
        <w:rPr>
          <w:rFonts w:cs="Arial"/>
        </w:rPr>
        <w:t> </w:t>
      </w:r>
      <w:r>
        <w:rPr>
          <w:rFonts w:cs="Arial"/>
        </w:rPr>
        <w:t>na 100 nemocensky pojištěných OSVČ.</w:t>
      </w:r>
    </w:p>
    <w:p w14:paraId="108ECA2F" w14:textId="77777777" w:rsidR="00894E45" w:rsidRDefault="00894E45" w:rsidP="00C43A78">
      <w:pPr>
        <w:spacing w:after="0"/>
        <w:rPr>
          <w:sz w:val="18"/>
        </w:rPr>
      </w:pPr>
    </w:p>
    <w:p w14:paraId="1976F215" w14:textId="77777777" w:rsidR="00894E45" w:rsidRDefault="00894E45">
      <w:pPr>
        <w:spacing w:after="0" w:line="240" w:lineRule="auto"/>
        <w:rPr>
          <w:sz w:val="18"/>
        </w:rPr>
      </w:pPr>
      <w:r>
        <w:rPr>
          <w:sz w:val="18"/>
        </w:rPr>
        <w:br w:type="page"/>
      </w:r>
    </w:p>
    <w:p w14:paraId="755D0BAD" w14:textId="513BDAE2" w:rsidR="0071250D" w:rsidRPr="0071250D" w:rsidRDefault="0071250D" w:rsidP="0071250D">
      <w:pPr>
        <w:pStyle w:val="Titulek"/>
        <w:keepNext/>
        <w:rPr>
          <w:b/>
          <w:i w:val="0"/>
          <w:color w:val="auto"/>
          <w:sz w:val="20"/>
        </w:rPr>
      </w:pPr>
      <w:bookmarkStart w:id="10" w:name="_Toc10112621"/>
      <w:r w:rsidRPr="0071250D">
        <w:rPr>
          <w:b/>
          <w:i w:val="0"/>
          <w:color w:val="auto"/>
          <w:sz w:val="20"/>
        </w:rPr>
        <w:lastRenderedPageBreak/>
        <w:t>Tab</w:t>
      </w:r>
      <w:r w:rsidR="00381067">
        <w:rPr>
          <w:b/>
          <w:i w:val="0"/>
          <w:color w:val="auto"/>
          <w:sz w:val="20"/>
        </w:rPr>
        <w:t>.</w:t>
      </w:r>
      <w:r w:rsidR="00162BC5">
        <w:rPr>
          <w:b/>
          <w:i w:val="0"/>
          <w:color w:val="auto"/>
          <w:sz w:val="20"/>
        </w:rPr>
        <w:t xml:space="preserve"> 2.</w:t>
      </w:r>
      <w:r w:rsidRPr="0071250D">
        <w:rPr>
          <w:b/>
          <w:i w:val="0"/>
          <w:color w:val="auto"/>
          <w:sz w:val="20"/>
        </w:rPr>
        <w:fldChar w:fldCharType="begin"/>
      </w:r>
      <w:r w:rsidRPr="0071250D">
        <w:rPr>
          <w:b/>
          <w:i w:val="0"/>
          <w:color w:val="auto"/>
          <w:sz w:val="20"/>
        </w:rPr>
        <w:instrText xml:space="preserve"> SEQ Tabulka \* ARABIC </w:instrText>
      </w:r>
      <w:r w:rsidRPr="0071250D">
        <w:rPr>
          <w:b/>
          <w:i w:val="0"/>
          <w:color w:val="auto"/>
          <w:sz w:val="20"/>
        </w:rPr>
        <w:fldChar w:fldCharType="separate"/>
      </w:r>
      <w:r w:rsidR="004426F5">
        <w:rPr>
          <w:b/>
          <w:i w:val="0"/>
          <w:noProof/>
          <w:color w:val="auto"/>
          <w:sz w:val="20"/>
        </w:rPr>
        <w:t>3</w:t>
      </w:r>
      <w:r w:rsidRPr="0071250D">
        <w:rPr>
          <w:b/>
          <w:i w:val="0"/>
          <w:color w:val="auto"/>
          <w:sz w:val="20"/>
        </w:rPr>
        <w:fldChar w:fldCharType="end"/>
      </w:r>
      <w:r w:rsidRPr="0071250D">
        <w:rPr>
          <w:b/>
          <w:i w:val="0"/>
          <w:color w:val="auto"/>
          <w:sz w:val="20"/>
        </w:rPr>
        <w:t>: Nově hlášené případy dočasné pracovní neschopnosti na 100 pojištěnců podle krajů ČR v letech 2008–2018</w:t>
      </w:r>
      <w:bookmarkEnd w:id="10"/>
    </w:p>
    <w:tbl>
      <w:tblPr>
        <w:tblW w:w="9540" w:type="dxa"/>
        <w:tblInd w:w="70" w:type="dxa"/>
        <w:tblCellMar>
          <w:left w:w="70" w:type="dxa"/>
          <w:right w:w="70" w:type="dxa"/>
        </w:tblCellMar>
        <w:tblLook w:val="04A0" w:firstRow="1" w:lastRow="0" w:firstColumn="1" w:lastColumn="0" w:noHBand="0" w:noVBand="1"/>
      </w:tblPr>
      <w:tblGrid>
        <w:gridCol w:w="1831"/>
        <w:gridCol w:w="709"/>
        <w:gridCol w:w="700"/>
        <w:gridCol w:w="700"/>
        <w:gridCol w:w="700"/>
        <w:gridCol w:w="700"/>
        <w:gridCol w:w="700"/>
        <w:gridCol w:w="700"/>
        <w:gridCol w:w="700"/>
        <w:gridCol w:w="700"/>
        <w:gridCol w:w="700"/>
        <w:gridCol w:w="700"/>
      </w:tblGrid>
      <w:tr w:rsidR="008C2001" w:rsidRPr="008C2001" w14:paraId="41FFF7A5" w14:textId="77777777" w:rsidTr="008C2001">
        <w:trPr>
          <w:trHeight w:val="300"/>
        </w:trPr>
        <w:tc>
          <w:tcPr>
            <w:tcW w:w="1831" w:type="dxa"/>
            <w:vMerge w:val="restart"/>
            <w:tcBorders>
              <w:top w:val="nil"/>
              <w:left w:val="nil"/>
              <w:bottom w:val="single" w:sz="8" w:space="0" w:color="000000"/>
              <w:right w:val="single" w:sz="4" w:space="0" w:color="auto"/>
            </w:tcBorders>
            <w:shd w:val="clear" w:color="000000" w:fill="F5DADD"/>
            <w:vAlign w:val="center"/>
            <w:hideMark/>
          </w:tcPr>
          <w:p w14:paraId="1AE7363B" w14:textId="77777777" w:rsidR="008C2001" w:rsidRPr="008C2001" w:rsidRDefault="008C2001" w:rsidP="008C2001">
            <w:pPr>
              <w:spacing w:after="0" w:line="240" w:lineRule="auto"/>
              <w:jc w:val="center"/>
              <w:rPr>
                <w:rFonts w:cs="Arial"/>
                <w:sz w:val="16"/>
                <w:szCs w:val="16"/>
              </w:rPr>
            </w:pPr>
            <w:r w:rsidRPr="008C2001">
              <w:rPr>
                <w:rFonts w:cs="Arial"/>
                <w:sz w:val="16"/>
                <w:szCs w:val="16"/>
              </w:rPr>
              <w:t>Kraj ČR</w:t>
            </w:r>
          </w:p>
        </w:tc>
        <w:tc>
          <w:tcPr>
            <w:tcW w:w="7709" w:type="dxa"/>
            <w:gridSpan w:val="11"/>
            <w:tcBorders>
              <w:top w:val="nil"/>
              <w:left w:val="nil"/>
              <w:bottom w:val="single" w:sz="4" w:space="0" w:color="auto"/>
              <w:right w:val="nil"/>
            </w:tcBorders>
            <w:shd w:val="clear" w:color="000000" w:fill="F5DADD"/>
            <w:noWrap/>
            <w:vAlign w:val="bottom"/>
            <w:hideMark/>
          </w:tcPr>
          <w:p w14:paraId="33183041" w14:textId="578E817A" w:rsidR="008C2001" w:rsidRPr="008C2001" w:rsidRDefault="008C2001" w:rsidP="00AD626C">
            <w:pPr>
              <w:spacing w:after="0" w:line="240" w:lineRule="auto"/>
              <w:jc w:val="center"/>
              <w:rPr>
                <w:rFonts w:cs="Arial"/>
                <w:sz w:val="16"/>
                <w:szCs w:val="16"/>
              </w:rPr>
            </w:pPr>
            <w:r w:rsidRPr="008C2001">
              <w:rPr>
                <w:rFonts w:cs="Arial"/>
                <w:sz w:val="16"/>
                <w:szCs w:val="16"/>
              </w:rPr>
              <w:t xml:space="preserve">Počet nově hlášených případů </w:t>
            </w:r>
            <w:r w:rsidR="00AD626C">
              <w:rPr>
                <w:rFonts w:cs="Arial"/>
                <w:sz w:val="16"/>
                <w:szCs w:val="16"/>
              </w:rPr>
              <w:t>DPN</w:t>
            </w:r>
            <w:r w:rsidRPr="008C2001">
              <w:rPr>
                <w:rFonts w:cs="Arial"/>
                <w:sz w:val="16"/>
                <w:szCs w:val="16"/>
              </w:rPr>
              <w:t xml:space="preserve"> na 100 pojištěnců</w:t>
            </w:r>
          </w:p>
        </w:tc>
      </w:tr>
      <w:tr w:rsidR="008C2001" w:rsidRPr="008C2001" w14:paraId="247E6B77" w14:textId="77777777" w:rsidTr="008C2001">
        <w:trPr>
          <w:trHeight w:val="315"/>
        </w:trPr>
        <w:tc>
          <w:tcPr>
            <w:tcW w:w="1831" w:type="dxa"/>
            <w:vMerge/>
            <w:tcBorders>
              <w:top w:val="nil"/>
              <w:left w:val="nil"/>
              <w:bottom w:val="single" w:sz="8" w:space="0" w:color="000000"/>
              <w:right w:val="single" w:sz="4" w:space="0" w:color="auto"/>
            </w:tcBorders>
            <w:vAlign w:val="center"/>
            <w:hideMark/>
          </w:tcPr>
          <w:p w14:paraId="13CC3A1A" w14:textId="77777777" w:rsidR="008C2001" w:rsidRPr="008C2001" w:rsidRDefault="008C2001" w:rsidP="008C2001">
            <w:pPr>
              <w:spacing w:after="0" w:line="240" w:lineRule="auto"/>
              <w:rPr>
                <w:rFonts w:cs="Arial"/>
                <w:sz w:val="16"/>
                <w:szCs w:val="16"/>
              </w:rPr>
            </w:pPr>
          </w:p>
        </w:tc>
        <w:tc>
          <w:tcPr>
            <w:tcW w:w="709" w:type="dxa"/>
            <w:tcBorders>
              <w:top w:val="nil"/>
              <w:left w:val="nil"/>
              <w:bottom w:val="single" w:sz="8" w:space="0" w:color="auto"/>
              <w:right w:val="nil"/>
            </w:tcBorders>
            <w:shd w:val="clear" w:color="000000" w:fill="F5DADD"/>
            <w:noWrap/>
            <w:vAlign w:val="bottom"/>
            <w:hideMark/>
          </w:tcPr>
          <w:p w14:paraId="1CDDC406" w14:textId="77777777" w:rsidR="008C2001" w:rsidRPr="008C2001" w:rsidRDefault="008C2001" w:rsidP="008C2001">
            <w:pPr>
              <w:spacing w:after="0" w:line="240" w:lineRule="auto"/>
              <w:jc w:val="center"/>
              <w:rPr>
                <w:rFonts w:cs="Arial"/>
                <w:sz w:val="16"/>
                <w:szCs w:val="16"/>
              </w:rPr>
            </w:pPr>
            <w:r w:rsidRPr="008C2001">
              <w:rPr>
                <w:rFonts w:cs="Arial"/>
                <w:sz w:val="16"/>
                <w:szCs w:val="16"/>
              </w:rPr>
              <w:t>2008</w:t>
            </w:r>
          </w:p>
        </w:tc>
        <w:tc>
          <w:tcPr>
            <w:tcW w:w="700" w:type="dxa"/>
            <w:tcBorders>
              <w:top w:val="nil"/>
              <w:left w:val="nil"/>
              <w:bottom w:val="single" w:sz="8" w:space="0" w:color="auto"/>
              <w:right w:val="nil"/>
            </w:tcBorders>
            <w:shd w:val="clear" w:color="000000" w:fill="F5DADD"/>
            <w:noWrap/>
            <w:vAlign w:val="bottom"/>
            <w:hideMark/>
          </w:tcPr>
          <w:p w14:paraId="02B5E616" w14:textId="77777777" w:rsidR="008C2001" w:rsidRPr="008C2001" w:rsidRDefault="008C2001" w:rsidP="008C2001">
            <w:pPr>
              <w:spacing w:after="0" w:line="240" w:lineRule="auto"/>
              <w:jc w:val="center"/>
              <w:rPr>
                <w:rFonts w:cs="Arial"/>
                <w:sz w:val="16"/>
                <w:szCs w:val="16"/>
              </w:rPr>
            </w:pPr>
            <w:r w:rsidRPr="008C2001">
              <w:rPr>
                <w:rFonts w:cs="Arial"/>
                <w:sz w:val="16"/>
                <w:szCs w:val="16"/>
              </w:rPr>
              <w:t>2009</w:t>
            </w:r>
          </w:p>
        </w:tc>
        <w:tc>
          <w:tcPr>
            <w:tcW w:w="700" w:type="dxa"/>
            <w:tcBorders>
              <w:top w:val="nil"/>
              <w:left w:val="nil"/>
              <w:bottom w:val="single" w:sz="8" w:space="0" w:color="auto"/>
              <w:right w:val="nil"/>
            </w:tcBorders>
            <w:shd w:val="clear" w:color="000000" w:fill="F5DADD"/>
            <w:noWrap/>
            <w:vAlign w:val="bottom"/>
            <w:hideMark/>
          </w:tcPr>
          <w:p w14:paraId="17488D8C"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2010</w:t>
            </w:r>
          </w:p>
        </w:tc>
        <w:tc>
          <w:tcPr>
            <w:tcW w:w="700" w:type="dxa"/>
            <w:tcBorders>
              <w:top w:val="nil"/>
              <w:left w:val="nil"/>
              <w:bottom w:val="single" w:sz="8" w:space="0" w:color="auto"/>
              <w:right w:val="nil"/>
            </w:tcBorders>
            <w:shd w:val="clear" w:color="000000" w:fill="F5DADD"/>
            <w:noWrap/>
            <w:vAlign w:val="bottom"/>
            <w:hideMark/>
          </w:tcPr>
          <w:p w14:paraId="556AE623"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2011</w:t>
            </w:r>
          </w:p>
        </w:tc>
        <w:tc>
          <w:tcPr>
            <w:tcW w:w="700" w:type="dxa"/>
            <w:tcBorders>
              <w:top w:val="nil"/>
              <w:left w:val="nil"/>
              <w:bottom w:val="single" w:sz="8" w:space="0" w:color="auto"/>
              <w:right w:val="nil"/>
            </w:tcBorders>
            <w:shd w:val="clear" w:color="000000" w:fill="F5DADD"/>
            <w:noWrap/>
            <w:vAlign w:val="bottom"/>
            <w:hideMark/>
          </w:tcPr>
          <w:p w14:paraId="010BB8FE"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2012</w:t>
            </w:r>
          </w:p>
        </w:tc>
        <w:tc>
          <w:tcPr>
            <w:tcW w:w="700" w:type="dxa"/>
            <w:tcBorders>
              <w:top w:val="nil"/>
              <w:left w:val="nil"/>
              <w:bottom w:val="single" w:sz="8" w:space="0" w:color="auto"/>
              <w:right w:val="nil"/>
            </w:tcBorders>
            <w:shd w:val="clear" w:color="000000" w:fill="F5DADD"/>
            <w:noWrap/>
            <w:vAlign w:val="bottom"/>
            <w:hideMark/>
          </w:tcPr>
          <w:p w14:paraId="39C48772"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2013</w:t>
            </w:r>
          </w:p>
        </w:tc>
        <w:tc>
          <w:tcPr>
            <w:tcW w:w="700" w:type="dxa"/>
            <w:tcBorders>
              <w:top w:val="nil"/>
              <w:left w:val="nil"/>
              <w:bottom w:val="single" w:sz="8" w:space="0" w:color="auto"/>
              <w:right w:val="nil"/>
            </w:tcBorders>
            <w:shd w:val="clear" w:color="000000" w:fill="F5DADD"/>
            <w:noWrap/>
            <w:vAlign w:val="bottom"/>
            <w:hideMark/>
          </w:tcPr>
          <w:p w14:paraId="438CE978"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2014</w:t>
            </w:r>
          </w:p>
        </w:tc>
        <w:tc>
          <w:tcPr>
            <w:tcW w:w="700" w:type="dxa"/>
            <w:tcBorders>
              <w:top w:val="nil"/>
              <w:left w:val="nil"/>
              <w:bottom w:val="single" w:sz="8" w:space="0" w:color="auto"/>
              <w:right w:val="nil"/>
            </w:tcBorders>
            <w:shd w:val="clear" w:color="000000" w:fill="F5DADD"/>
            <w:noWrap/>
            <w:vAlign w:val="bottom"/>
            <w:hideMark/>
          </w:tcPr>
          <w:p w14:paraId="0FE589B9"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2015</w:t>
            </w:r>
          </w:p>
        </w:tc>
        <w:tc>
          <w:tcPr>
            <w:tcW w:w="700" w:type="dxa"/>
            <w:tcBorders>
              <w:top w:val="nil"/>
              <w:left w:val="nil"/>
              <w:bottom w:val="single" w:sz="8" w:space="0" w:color="auto"/>
              <w:right w:val="nil"/>
            </w:tcBorders>
            <w:shd w:val="clear" w:color="000000" w:fill="F5DADD"/>
            <w:noWrap/>
            <w:vAlign w:val="bottom"/>
            <w:hideMark/>
          </w:tcPr>
          <w:p w14:paraId="73E12B9C"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2016</w:t>
            </w:r>
          </w:p>
        </w:tc>
        <w:tc>
          <w:tcPr>
            <w:tcW w:w="700" w:type="dxa"/>
            <w:tcBorders>
              <w:top w:val="nil"/>
              <w:left w:val="nil"/>
              <w:bottom w:val="single" w:sz="8" w:space="0" w:color="auto"/>
              <w:right w:val="nil"/>
            </w:tcBorders>
            <w:shd w:val="clear" w:color="000000" w:fill="F5DADD"/>
            <w:noWrap/>
            <w:vAlign w:val="bottom"/>
            <w:hideMark/>
          </w:tcPr>
          <w:p w14:paraId="205302B9"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2017</w:t>
            </w:r>
          </w:p>
        </w:tc>
        <w:tc>
          <w:tcPr>
            <w:tcW w:w="700" w:type="dxa"/>
            <w:tcBorders>
              <w:top w:val="nil"/>
              <w:left w:val="nil"/>
              <w:bottom w:val="nil"/>
              <w:right w:val="nil"/>
            </w:tcBorders>
            <w:shd w:val="clear" w:color="000000" w:fill="F5DADD"/>
            <w:noWrap/>
            <w:vAlign w:val="bottom"/>
            <w:hideMark/>
          </w:tcPr>
          <w:p w14:paraId="2B9C4135" w14:textId="77777777" w:rsidR="008C2001" w:rsidRPr="008C2001" w:rsidRDefault="008C2001" w:rsidP="008C2001">
            <w:pPr>
              <w:spacing w:after="0" w:line="240" w:lineRule="auto"/>
              <w:jc w:val="center"/>
              <w:rPr>
                <w:rFonts w:cs="Arial"/>
                <w:sz w:val="16"/>
                <w:szCs w:val="16"/>
              </w:rPr>
            </w:pPr>
            <w:r w:rsidRPr="008C2001">
              <w:rPr>
                <w:rFonts w:cs="Arial"/>
                <w:sz w:val="16"/>
                <w:szCs w:val="16"/>
              </w:rPr>
              <w:t>2018</w:t>
            </w:r>
          </w:p>
        </w:tc>
      </w:tr>
      <w:tr w:rsidR="008C2001" w:rsidRPr="008C2001" w14:paraId="05F51CF0"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20ED8C93" w14:textId="77777777" w:rsidR="008C2001" w:rsidRPr="008C2001" w:rsidRDefault="008C2001" w:rsidP="0071250D">
            <w:pPr>
              <w:spacing w:after="0" w:line="240" w:lineRule="auto"/>
              <w:rPr>
                <w:rFonts w:cs="Arial"/>
                <w:b/>
                <w:bCs/>
                <w:sz w:val="16"/>
                <w:szCs w:val="16"/>
              </w:rPr>
            </w:pPr>
            <w:r w:rsidRPr="008C2001">
              <w:rPr>
                <w:rFonts w:cs="Arial"/>
                <w:b/>
                <w:bCs/>
                <w:sz w:val="16"/>
                <w:szCs w:val="16"/>
              </w:rPr>
              <w:t>ČR celkem</w:t>
            </w:r>
          </w:p>
        </w:tc>
        <w:tc>
          <w:tcPr>
            <w:tcW w:w="709" w:type="dxa"/>
            <w:tcBorders>
              <w:top w:val="nil"/>
              <w:left w:val="nil"/>
              <w:bottom w:val="nil"/>
              <w:right w:val="nil"/>
            </w:tcBorders>
            <w:shd w:val="clear" w:color="auto" w:fill="auto"/>
            <w:noWrap/>
            <w:vAlign w:val="center"/>
            <w:hideMark/>
          </w:tcPr>
          <w:p w14:paraId="54369CCC"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48,59</w:t>
            </w:r>
          </w:p>
        </w:tc>
        <w:tc>
          <w:tcPr>
            <w:tcW w:w="700" w:type="dxa"/>
            <w:tcBorders>
              <w:top w:val="nil"/>
              <w:left w:val="nil"/>
              <w:bottom w:val="nil"/>
              <w:right w:val="nil"/>
            </w:tcBorders>
            <w:shd w:val="clear" w:color="auto" w:fill="auto"/>
            <w:noWrap/>
            <w:vAlign w:val="center"/>
            <w:hideMark/>
          </w:tcPr>
          <w:p w14:paraId="4E2A1D31"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33,89</w:t>
            </w:r>
          </w:p>
        </w:tc>
        <w:tc>
          <w:tcPr>
            <w:tcW w:w="700" w:type="dxa"/>
            <w:tcBorders>
              <w:top w:val="nil"/>
              <w:left w:val="nil"/>
              <w:bottom w:val="nil"/>
              <w:right w:val="nil"/>
            </w:tcBorders>
            <w:shd w:val="clear" w:color="auto" w:fill="auto"/>
            <w:noWrap/>
            <w:vAlign w:val="center"/>
            <w:hideMark/>
          </w:tcPr>
          <w:p w14:paraId="40AECDE6"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30,73</w:t>
            </w:r>
          </w:p>
        </w:tc>
        <w:tc>
          <w:tcPr>
            <w:tcW w:w="700" w:type="dxa"/>
            <w:tcBorders>
              <w:top w:val="nil"/>
              <w:left w:val="nil"/>
              <w:bottom w:val="nil"/>
              <w:right w:val="nil"/>
            </w:tcBorders>
            <w:shd w:val="clear" w:color="auto" w:fill="auto"/>
            <w:noWrap/>
            <w:vAlign w:val="center"/>
            <w:hideMark/>
          </w:tcPr>
          <w:p w14:paraId="0D1DB604"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30,13</w:t>
            </w:r>
          </w:p>
        </w:tc>
        <w:tc>
          <w:tcPr>
            <w:tcW w:w="700" w:type="dxa"/>
            <w:tcBorders>
              <w:top w:val="nil"/>
              <w:left w:val="nil"/>
              <w:bottom w:val="nil"/>
              <w:right w:val="nil"/>
            </w:tcBorders>
            <w:shd w:val="clear" w:color="auto" w:fill="auto"/>
            <w:noWrap/>
            <w:vAlign w:val="center"/>
            <w:hideMark/>
          </w:tcPr>
          <w:p w14:paraId="47DC798A"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27,44</w:t>
            </w:r>
          </w:p>
        </w:tc>
        <w:tc>
          <w:tcPr>
            <w:tcW w:w="700" w:type="dxa"/>
            <w:tcBorders>
              <w:top w:val="nil"/>
              <w:left w:val="nil"/>
              <w:bottom w:val="nil"/>
              <w:right w:val="nil"/>
            </w:tcBorders>
            <w:shd w:val="clear" w:color="auto" w:fill="auto"/>
            <w:noWrap/>
            <w:vAlign w:val="center"/>
            <w:hideMark/>
          </w:tcPr>
          <w:p w14:paraId="702F84E9"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29,99</w:t>
            </w:r>
          </w:p>
        </w:tc>
        <w:tc>
          <w:tcPr>
            <w:tcW w:w="700" w:type="dxa"/>
            <w:tcBorders>
              <w:top w:val="nil"/>
              <w:left w:val="nil"/>
              <w:bottom w:val="nil"/>
              <w:right w:val="nil"/>
            </w:tcBorders>
            <w:shd w:val="clear" w:color="auto" w:fill="auto"/>
            <w:noWrap/>
            <w:vAlign w:val="center"/>
            <w:hideMark/>
          </w:tcPr>
          <w:p w14:paraId="6A0AE06B"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29,45</w:t>
            </w:r>
          </w:p>
        </w:tc>
        <w:tc>
          <w:tcPr>
            <w:tcW w:w="700" w:type="dxa"/>
            <w:tcBorders>
              <w:top w:val="nil"/>
              <w:left w:val="nil"/>
              <w:bottom w:val="nil"/>
              <w:right w:val="nil"/>
            </w:tcBorders>
            <w:shd w:val="clear" w:color="auto" w:fill="auto"/>
            <w:noWrap/>
            <w:vAlign w:val="center"/>
            <w:hideMark/>
          </w:tcPr>
          <w:p w14:paraId="3E5059CA"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34,69</w:t>
            </w:r>
          </w:p>
        </w:tc>
        <w:tc>
          <w:tcPr>
            <w:tcW w:w="700" w:type="dxa"/>
            <w:tcBorders>
              <w:top w:val="nil"/>
              <w:left w:val="nil"/>
              <w:bottom w:val="nil"/>
              <w:right w:val="nil"/>
            </w:tcBorders>
            <w:shd w:val="clear" w:color="auto" w:fill="auto"/>
            <w:noWrap/>
            <w:vAlign w:val="center"/>
            <w:hideMark/>
          </w:tcPr>
          <w:p w14:paraId="2B9169F5"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35,73</w:t>
            </w:r>
          </w:p>
        </w:tc>
        <w:tc>
          <w:tcPr>
            <w:tcW w:w="700" w:type="dxa"/>
            <w:tcBorders>
              <w:top w:val="nil"/>
              <w:left w:val="nil"/>
              <w:bottom w:val="nil"/>
              <w:right w:val="nil"/>
            </w:tcBorders>
            <w:shd w:val="clear" w:color="auto" w:fill="auto"/>
            <w:noWrap/>
            <w:vAlign w:val="center"/>
            <w:hideMark/>
          </w:tcPr>
          <w:p w14:paraId="049AB21A"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36,55</w:t>
            </w:r>
          </w:p>
        </w:tc>
        <w:tc>
          <w:tcPr>
            <w:tcW w:w="700" w:type="dxa"/>
            <w:tcBorders>
              <w:top w:val="single" w:sz="8" w:space="0" w:color="auto"/>
              <w:left w:val="nil"/>
              <w:bottom w:val="nil"/>
              <w:right w:val="nil"/>
            </w:tcBorders>
            <w:shd w:val="clear" w:color="auto" w:fill="auto"/>
            <w:noWrap/>
            <w:vAlign w:val="center"/>
            <w:hideMark/>
          </w:tcPr>
          <w:p w14:paraId="3DAF379B" w14:textId="77777777" w:rsidR="008C2001" w:rsidRPr="008C2001" w:rsidRDefault="008C2001" w:rsidP="0071250D">
            <w:pPr>
              <w:spacing w:after="0" w:line="240" w:lineRule="auto"/>
              <w:jc w:val="right"/>
              <w:rPr>
                <w:rFonts w:cs="Arial"/>
                <w:b/>
                <w:bCs/>
                <w:sz w:val="16"/>
                <w:szCs w:val="16"/>
              </w:rPr>
            </w:pPr>
            <w:r w:rsidRPr="008C2001">
              <w:rPr>
                <w:rFonts w:cs="Arial"/>
                <w:b/>
                <w:bCs/>
                <w:sz w:val="16"/>
                <w:szCs w:val="16"/>
              </w:rPr>
              <w:t>39,08</w:t>
            </w:r>
          </w:p>
        </w:tc>
      </w:tr>
      <w:tr w:rsidR="008C2001" w:rsidRPr="008C2001" w14:paraId="4E27F166"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2763DEAF"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Hl. m. Praha</w:t>
            </w:r>
          </w:p>
        </w:tc>
        <w:tc>
          <w:tcPr>
            <w:tcW w:w="709" w:type="dxa"/>
            <w:tcBorders>
              <w:top w:val="nil"/>
              <w:left w:val="nil"/>
              <w:bottom w:val="nil"/>
              <w:right w:val="nil"/>
            </w:tcBorders>
            <w:shd w:val="clear" w:color="auto" w:fill="auto"/>
            <w:noWrap/>
            <w:vAlign w:val="center"/>
            <w:hideMark/>
          </w:tcPr>
          <w:p w14:paraId="3D629B98" w14:textId="77777777" w:rsidR="008C2001" w:rsidRPr="008C2001" w:rsidRDefault="008C2001" w:rsidP="0071250D">
            <w:pPr>
              <w:spacing w:after="0" w:line="240" w:lineRule="auto"/>
              <w:jc w:val="right"/>
              <w:rPr>
                <w:rFonts w:cs="Arial"/>
                <w:sz w:val="16"/>
                <w:szCs w:val="16"/>
              </w:rPr>
            </w:pPr>
            <w:r w:rsidRPr="008C2001">
              <w:rPr>
                <w:rFonts w:cs="Arial"/>
                <w:sz w:val="16"/>
                <w:szCs w:val="16"/>
              </w:rPr>
              <w:t>42,21</w:t>
            </w:r>
          </w:p>
        </w:tc>
        <w:tc>
          <w:tcPr>
            <w:tcW w:w="700" w:type="dxa"/>
            <w:tcBorders>
              <w:top w:val="nil"/>
              <w:left w:val="nil"/>
              <w:bottom w:val="nil"/>
              <w:right w:val="nil"/>
            </w:tcBorders>
            <w:shd w:val="clear" w:color="auto" w:fill="auto"/>
            <w:noWrap/>
            <w:vAlign w:val="center"/>
            <w:hideMark/>
          </w:tcPr>
          <w:p w14:paraId="0AF7DCA8" w14:textId="77777777" w:rsidR="008C2001" w:rsidRPr="008C2001" w:rsidRDefault="008C2001" w:rsidP="0071250D">
            <w:pPr>
              <w:spacing w:after="0" w:line="240" w:lineRule="auto"/>
              <w:jc w:val="right"/>
              <w:rPr>
                <w:rFonts w:cs="Arial"/>
                <w:sz w:val="16"/>
                <w:szCs w:val="16"/>
              </w:rPr>
            </w:pPr>
            <w:r w:rsidRPr="008C2001">
              <w:rPr>
                <w:rFonts w:cs="Arial"/>
                <w:sz w:val="16"/>
                <w:szCs w:val="16"/>
              </w:rPr>
              <w:t>32,70</w:t>
            </w:r>
          </w:p>
        </w:tc>
        <w:tc>
          <w:tcPr>
            <w:tcW w:w="700" w:type="dxa"/>
            <w:tcBorders>
              <w:top w:val="nil"/>
              <w:left w:val="nil"/>
              <w:bottom w:val="nil"/>
              <w:right w:val="nil"/>
            </w:tcBorders>
            <w:shd w:val="clear" w:color="auto" w:fill="auto"/>
            <w:noWrap/>
            <w:vAlign w:val="center"/>
            <w:hideMark/>
          </w:tcPr>
          <w:p w14:paraId="61D8C29D" w14:textId="77777777" w:rsidR="008C2001" w:rsidRPr="008C2001" w:rsidRDefault="008C2001" w:rsidP="0071250D">
            <w:pPr>
              <w:spacing w:after="0" w:line="240" w:lineRule="auto"/>
              <w:jc w:val="right"/>
              <w:rPr>
                <w:rFonts w:cs="Arial"/>
                <w:sz w:val="16"/>
                <w:szCs w:val="16"/>
              </w:rPr>
            </w:pPr>
            <w:r w:rsidRPr="008C2001">
              <w:rPr>
                <w:rFonts w:cs="Arial"/>
                <w:sz w:val="16"/>
                <w:szCs w:val="16"/>
              </w:rPr>
              <w:t>29,19</w:t>
            </w:r>
          </w:p>
        </w:tc>
        <w:tc>
          <w:tcPr>
            <w:tcW w:w="700" w:type="dxa"/>
            <w:tcBorders>
              <w:top w:val="nil"/>
              <w:left w:val="nil"/>
              <w:bottom w:val="nil"/>
              <w:right w:val="nil"/>
            </w:tcBorders>
            <w:shd w:val="clear" w:color="auto" w:fill="auto"/>
            <w:noWrap/>
            <w:vAlign w:val="center"/>
            <w:hideMark/>
          </w:tcPr>
          <w:p w14:paraId="53AEF9F8" w14:textId="77777777" w:rsidR="008C2001" w:rsidRPr="008C2001" w:rsidRDefault="008C2001" w:rsidP="0071250D">
            <w:pPr>
              <w:spacing w:after="0" w:line="240" w:lineRule="auto"/>
              <w:jc w:val="right"/>
              <w:rPr>
                <w:rFonts w:cs="Arial"/>
                <w:sz w:val="16"/>
                <w:szCs w:val="16"/>
              </w:rPr>
            </w:pPr>
            <w:r w:rsidRPr="008C2001">
              <w:rPr>
                <w:rFonts w:cs="Arial"/>
                <w:sz w:val="16"/>
                <w:szCs w:val="16"/>
              </w:rPr>
              <w:t>28,42</w:t>
            </w:r>
          </w:p>
        </w:tc>
        <w:tc>
          <w:tcPr>
            <w:tcW w:w="700" w:type="dxa"/>
            <w:tcBorders>
              <w:top w:val="nil"/>
              <w:left w:val="nil"/>
              <w:bottom w:val="nil"/>
              <w:right w:val="nil"/>
            </w:tcBorders>
            <w:shd w:val="clear" w:color="auto" w:fill="auto"/>
            <w:noWrap/>
            <w:vAlign w:val="center"/>
            <w:hideMark/>
          </w:tcPr>
          <w:p w14:paraId="7AB87F60" w14:textId="77777777" w:rsidR="008C2001" w:rsidRPr="008C2001" w:rsidRDefault="008C2001" w:rsidP="0071250D">
            <w:pPr>
              <w:spacing w:after="0" w:line="240" w:lineRule="auto"/>
              <w:jc w:val="right"/>
              <w:rPr>
                <w:rFonts w:cs="Arial"/>
                <w:sz w:val="16"/>
                <w:szCs w:val="16"/>
              </w:rPr>
            </w:pPr>
            <w:r w:rsidRPr="008C2001">
              <w:rPr>
                <w:rFonts w:cs="Arial"/>
                <w:sz w:val="16"/>
                <w:szCs w:val="16"/>
              </w:rPr>
              <w:t>23,77</w:t>
            </w:r>
          </w:p>
        </w:tc>
        <w:tc>
          <w:tcPr>
            <w:tcW w:w="700" w:type="dxa"/>
            <w:tcBorders>
              <w:top w:val="nil"/>
              <w:left w:val="nil"/>
              <w:bottom w:val="nil"/>
              <w:right w:val="nil"/>
            </w:tcBorders>
            <w:shd w:val="clear" w:color="auto" w:fill="auto"/>
            <w:noWrap/>
            <w:vAlign w:val="center"/>
            <w:hideMark/>
          </w:tcPr>
          <w:p w14:paraId="12FB6F61" w14:textId="77777777" w:rsidR="008C2001" w:rsidRPr="008C2001" w:rsidRDefault="008C2001" w:rsidP="0071250D">
            <w:pPr>
              <w:spacing w:after="0" w:line="240" w:lineRule="auto"/>
              <w:jc w:val="right"/>
              <w:rPr>
                <w:rFonts w:cs="Arial"/>
                <w:sz w:val="16"/>
                <w:szCs w:val="16"/>
              </w:rPr>
            </w:pPr>
            <w:r w:rsidRPr="008C2001">
              <w:rPr>
                <w:rFonts w:cs="Arial"/>
                <w:sz w:val="16"/>
                <w:szCs w:val="16"/>
              </w:rPr>
              <w:t>25,70</w:t>
            </w:r>
          </w:p>
        </w:tc>
        <w:tc>
          <w:tcPr>
            <w:tcW w:w="700" w:type="dxa"/>
            <w:tcBorders>
              <w:top w:val="nil"/>
              <w:left w:val="nil"/>
              <w:bottom w:val="nil"/>
              <w:right w:val="nil"/>
            </w:tcBorders>
            <w:shd w:val="clear" w:color="auto" w:fill="auto"/>
            <w:noWrap/>
            <w:vAlign w:val="center"/>
            <w:hideMark/>
          </w:tcPr>
          <w:p w14:paraId="52EC861F" w14:textId="77777777" w:rsidR="008C2001" w:rsidRPr="008C2001" w:rsidRDefault="008C2001" w:rsidP="0071250D">
            <w:pPr>
              <w:spacing w:after="0" w:line="240" w:lineRule="auto"/>
              <w:jc w:val="right"/>
              <w:rPr>
                <w:rFonts w:cs="Arial"/>
                <w:sz w:val="16"/>
                <w:szCs w:val="16"/>
              </w:rPr>
            </w:pPr>
            <w:r w:rsidRPr="008C2001">
              <w:rPr>
                <w:rFonts w:cs="Arial"/>
                <w:sz w:val="16"/>
                <w:szCs w:val="16"/>
              </w:rPr>
              <w:t>25,76</w:t>
            </w:r>
          </w:p>
        </w:tc>
        <w:tc>
          <w:tcPr>
            <w:tcW w:w="700" w:type="dxa"/>
            <w:tcBorders>
              <w:top w:val="nil"/>
              <w:left w:val="nil"/>
              <w:bottom w:val="nil"/>
              <w:right w:val="nil"/>
            </w:tcBorders>
            <w:shd w:val="clear" w:color="auto" w:fill="auto"/>
            <w:noWrap/>
            <w:vAlign w:val="center"/>
            <w:hideMark/>
          </w:tcPr>
          <w:p w14:paraId="56E241B4" w14:textId="77777777" w:rsidR="008C2001" w:rsidRPr="008C2001" w:rsidRDefault="008C2001" w:rsidP="0071250D">
            <w:pPr>
              <w:spacing w:after="0" w:line="240" w:lineRule="auto"/>
              <w:jc w:val="right"/>
              <w:rPr>
                <w:rFonts w:cs="Arial"/>
                <w:sz w:val="16"/>
                <w:szCs w:val="16"/>
              </w:rPr>
            </w:pPr>
            <w:r w:rsidRPr="008C2001">
              <w:rPr>
                <w:rFonts w:cs="Arial"/>
                <w:sz w:val="16"/>
                <w:szCs w:val="16"/>
              </w:rPr>
              <w:t>29,44</w:t>
            </w:r>
          </w:p>
        </w:tc>
        <w:tc>
          <w:tcPr>
            <w:tcW w:w="700" w:type="dxa"/>
            <w:tcBorders>
              <w:top w:val="nil"/>
              <w:left w:val="nil"/>
              <w:bottom w:val="nil"/>
              <w:right w:val="nil"/>
            </w:tcBorders>
            <w:shd w:val="clear" w:color="auto" w:fill="auto"/>
            <w:noWrap/>
            <w:vAlign w:val="center"/>
            <w:hideMark/>
          </w:tcPr>
          <w:p w14:paraId="40FF8C8E" w14:textId="77777777" w:rsidR="008C2001" w:rsidRPr="008C2001" w:rsidRDefault="008C2001" w:rsidP="0071250D">
            <w:pPr>
              <w:spacing w:after="0" w:line="240" w:lineRule="auto"/>
              <w:jc w:val="right"/>
              <w:rPr>
                <w:rFonts w:cs="Arial"/>
                <w:sz w:val="16"/>
                <w:szCs w:val="16"/>
              </w:rPr>
            </w:pPr>
            <w:r w:rsidRPr="008C2001">
              <w:rPr>
                <w:rFonts w:cs="Arial"/>
                <w:sz w:val="16"/>
                <w:szCs w:val="16"/>
              </w:rPr>
              <w:t>30,11</w:t>
            </w:r>
          </w:p>
        </w:tc>
        <w:tc>
          <w:tcPr>
            <w:tcW w:w="700" w:type="dxa"/>
            <w:tcBorders>
              <w:top w:val="nil"/>
              <w:left w:val="nil"/>
              <w:bottom w:val="nil"/>
              <w:right w:val="nil"/>
            </w:tcBorders>
            <w:shd w:val="clear" w:color="auto" w:fill="auto"/>
            <w:noWrap/>
            <w:vAlign w:val="center"/>
            <w:hideMark/>
          </w:tcPr>
          <w:p w14:paraId="26BFE839"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30,26</w:t>
            </w:r>
          </w:p>
        </w:tc>
        <w:tc>
          <w:tcPr>
            <w:tcW w:w="700" w:type="dxa"/>
            <w:tcBorders>
              <w:top w:val="nil"/>
              <w:left w:val="nil"/>
              <w:bottom w:val="nil"/>
              <w:right w:val="nil"/>
            </w:tcBorders>
            <w:shd w:val="clear" w:color="auto" w:fill="auto"/>
            <w:noWrap/>
            <w:vAlign w:val="center"/>
            <w:hideMark/>
          </w:tcPr>
          <w:p w14:paraId="2B3C94DF" w14:textId="77777777" w:rsidR="008C2001" w:rsidRPr="008C2001" w:rsidRDefault="008C2001" w:rsidP="0071250D">
            <w:pPr>
              <w:spacing w:after="0" w:line="240" w:lineRule="auto"/>
              <w:jc w:val="right"/>
              <w:rPr>
                <w:rFonts w:cs="Arial"/>
                <w:sz w:val="16"/>
                <w:szCs w:val="16"/>
              </w:rPr>
            </w:pPr>
            <w:r w:rsidRPr="008C2001">
              <w:rPr>
                <w:rFonts w:cs="Arial"/>
                <w:sz w:val="16"/>
                <w:szCs w:val="16"/>
              </w:rPr>
              <w:t>31,91</w:t>
            </w:r>
          </w:p>
        </w:tc>
      </w:tr>
      <w:tr w:rsidR="008C2001" w:rsidRPr="008C2001" w14:paraId="081AB494"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6D64AD58"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Středočeský kraj</w:t>
            </w:r>
          </w:p>
        </w:tc>
        <w:tc>
          <w:tcPr>
            <w:tcW w:w="709" w:type="dxa"/>
            <w:tcBorders>
              <w:top w:val="nil"/>
              <w:left w:val="nil"/>
              <w:bottom w:val="nil"/>
              <w:right w:val="nil"/>
            </w:tcBorders>
            <w:shd w:val="clear" w:color="auto" w:fill="auto"/>
            <w:noWrap/>
            <w:vAlign w:val="center"/>
            <w:hideMark/>
          </w:tcPr>
          <w:p w14:paraId="4A5AFA43" w14:textId="77777777" w:rsidR="008C2001" w:rsidRPr="008C2001" w:rsidRDefault="008C2001" w:rsidP="0071250D">
            <w:pPr>
              <w:spacing w:after="0" w:line="240" w:lineRule="auto"/>
              <w:jc w:val="right"/>
              <w:rPr>
                <w:rFonts w:cs="Arial"/>
                <w:sz w:val="16"/>
                <w:szCs w:val="16"/>
              </w:rPr>
            </w:pPr>
            <w:r w:rsidRPr="008C2001">
              <w:rPr>
                <w:rFonts w:cs="Arial"/>
                <w:sz w:val="16"/>
                <w:szCs w:val="16"/>
              </w:rPr>
              <w:t>49,50</w:t>
            </w:r>
          </w:p>
        </w:tc>
        <w:tc>
          <w:tcPr>
            <w:tcW w:w="700" w:type="dxa"/>
            <w:tcBorders>
              <w:top w:val="nil"/>
              <w:left w:val="nil"/>
              <w:bottom w:val="nil"/>
              <w:right w:val="nil"/>
            </w:tcBorders>
            <w:shd w:val="clear" w:color="auto" w:fill="auto"/>
            <w:noWrap/>
            <w:vAlign w:val="center"/>
            <w:hideMark/>
          </w:tcPr>
          <w:p w14:paraId="1F3FA865" w14:textId="77777777" w:rsidR="008C2001" w:rsidRPr="008C2001" w:rsidRDefault="008C2001" w:rsidP="0071250D">
            <w:pPr>
              <w:spacing w:after="0" w:line="240" w:lineRule="auto"/>
              <w:jc w:val="right"/>
              <w:rPr>
                <w:rFonts w:cs="Arial"/>
                <w:sz w:val="16"/>
                <w:szCs w:val="16"/>
              </w:rPr>
            </w:pPr>
            <w:r w:rsidRPr="008C2001">
              <w:rPr>
                <w:rFonts w:cs="Arial"/>
                <w:sz w:val="16"/>
                <w:szCs w:val="16"/>
              </w:rPr>
              <w:t>36,28</w:t>
            </w:r>
          </w:p>
        </w:tc>
        <w:tc>
          <w:tcPr>
            <w:tcW w:w="700" w:type="dxa"/>
            <w:tcBorders>
              <w:top w:val="nil"/>
              <w:left w:val="nil"/>
              <w:bottom w:val="nil"/>
              <w:right w:val="nil"/>
            </w:tcBorders>
            <w:shd w:val="clear" w:color="auto" w:fill="auto"/>
            <w:noWrap/>
            <w:vAlign w:val="center"/>
            <w:hideMark/>
          </w:tcPr>
          <w:p w14:paraId="682BEC2D" w14:textId="77777777" w:rsidR="008C2001" w:rsidRPr="008C2001" w:rsidRDefault="008C2001" w:rsidP="0071250D">
            <w:pPr>
              <w:spacing w:after="0" w:line="240" w:lineRule="auto"/>
              <w:jc w:val="right"/>
              <w:rPr>
                <w:rFonts w:cs="Arial"/>
                <w:sz w:val="16"/>
                <w:szCs w:val="16"/>
              </w:rPr>
            </w:pPr>
            <w:r w:rsidRPr="008C2001">
              <w:rPr>
                <w:rFonts w:cs="Arial"/>
                <w:sz w:val="16"/>
                <w:szCs w:val="16"/>
              </w:rPr>
              <w:t>32,16</w:t>
            </w:r>
          </w:p>
        </w:tc>
        <w:tc>
          <w:tcPr>
            <w:tcW w:w="700" w:type="dxa"/>
            <w:tcBorders>
              <w:top w:val="nil"/>
              <w:left w:val="nil"/>
              <w:bottom w:val="nil"/>
              <w:right w:val="nil"/>
            </w:tcBorders>
            <w:shd w:val="clear" w:color="auto" w:fill="auto"/>
            <w:noWrap/>
            <w:vAlign w:val="center"/>
            <w:hideMark/>
          </w:tcPr>
          <w:p w14:paraId="7810711B" w14:textId="77777777" w:rsidR="008C2001" w:rsidRPr="008C2001" w:rsidRDefault="008C2001" w:rsidP="0071250D">
            <w:pPr>
              <w:spacing w:after="0" w:line="240" w:lineRule="auto"/>
              <w:jc w:val="right"/>
              <w:rPr>
                <w:rFonts w:cs="Arial"/>
                <w:sz w:val="16"/>
                <w:szCs w:val="16"/>
              </w:rPr>
            </w:pPr>
            <w:r w:rsidRPr="008C2001">
              <w:rPr>
                <w:rFonts w:cs="Arial"/>
                <w:sz w:val="16"/>
                <w:szCs w:val="16"/>
              </w:rPr>
              <w:t>31,38</w:t>
            </w:r>
          </w:p>
        </w:tc>
        <w:tc>
          <w:tcPr>
            <w:tcW w:w="700" w:type="dxa"/>
            <w:tcBorders>
              <w:top w:val="nil"/>
              <w:left w:val="nil"/>
              <w:bottom w:val="nil"/>
              <w:right w:val="nil"/>
            </w:tcBorders>
            <w:shd w:val="clear" w:color="auto" w:fill="auto"/>
            <w:noWrap/>
            <w:vAlign w:val="center"/>
            <w:hideMark/>
          </w:tcPr>
          <w:p w14:paraId="29D01531" w14:textId="77777777" w:rsidR="008C2001" w:rsidRPr="008C2001" w:rsidRDefault="008C2001" w:rsidP="0071250D">
            <w:pPr>
              <w:spacing w:after="0" w:line="240" w:lineRule="auto"/>
              <w:jc w:val="right"/>
              <w:rPr>
                <w:rFonts w:cs="Arial"/>
                <w:sz w:val="16"/>
                <w:szCs w:val="16"/>
              </w:rPr>
            </w:pPr>
            <w:r w:rsidRPr="008C2001">
              <w:rPr>
                <w:rFonts w:cs="Arial"/>
                <w:sz w:val="16"/>
                <w:szCs w:val="16"/>
              </w:rPr>
              <w:t>29,02</w:t>
            </w:r>
          </w:p>
        </w:tc>
        <w:tc>
          <w:tcPr>
            <w:tcW w:w="700" w:type="dxa"/>
            <w:tcBorders>
              <w:top w:val="nil"/>
              <w:left w:val="nil"/>
              <w:bottom w:val="nil"/>
              <w:right w:val="nil"/>
            </w:tcBorders>
            <w:shd w:val="clear" w:color="auto" w:fill="auto"/>
            <w:noWrap/>
            <w:vAlign w:val="center"/>
            <w:hideMark/>
          </w:tcPr>
          <w:p w14:paraId="2EC9C05C" w14:textId="77777777" w:rsidR="008C2001" w:rsidRPr="008C2001" w:rsidRDefault="008C2001" w:rsidP="0071250D">
            <w:pPr>
              <w:spacing w:after="0" w:line="240" w:lineRule="auto"/>
              <w:jc w:val="right"/>
              <w:rPr>
                <w:rFonts w:cs="Arial"/>
                <w:sz w:val="16"/>
                <w:szCs w:val="16"/>
              </w:rPr>
            </w:pPr>
            <w:r w:rsidRPr="008C2001">
              <w:rPr>
                <w:rFonts w:cs="Arial"/>
                <w:sz w:val="16"/>
                <w:szCs w:val="16"/>
              </w:rPr>
              <w:t>31,48</w:t>
            </w:r>
          </w:p>
        </w:tc>
        <w:tc>
          <w:tcPr>
            <w:tcW w:w="700" w:type="dxa"/>
            <w:tcBorders>
              <w:top w:val="nil"/>
              <w:left w:val="nil"/>
              <w:bottom w:val="nil"/>
              <w:right w:val="nil"/>
            </w:tcBorders>
            <w:shd w:val="clear" w:color="auto" w:fill="auto"/>
            <w:noWrap/>
            <w:vAlign w:val="center"/>
            <w:hideMark/>
          </w:tcPr>
          <w:p w14:paraId="0CE54ECF" w14:textId="77777777" w:rsidR="008C2001" w:rsidRPr="008C2001" w:rsidRDefault="008C2001" w:rsidP="0071250D">
            <w:pPr>
              <w:spacing w:after="0" w:line="240" w:lineRule="auto"/>
              <w:jc w:val="right"/>
              <w:rPr>
                <w:rFonts w:cs="Arial"/>
                <w:sz w:val="16"/>
                <w:szCs w:val="16"/>
              </w:rPr>
            </w:pPr>
            <w:r w:rsidRPr="008C2001">
              <w:rPr>
                <w:rFonts w:cs="Arial"/>
                <w:sz w:val="16"/>
                <w:szCs w:val="16"/>
              </w:rPr>
              <w:t>31,36</w:t>
            </w:r>
          </w:p>
        </w:tc>
        <w:tc>
          <w:tcPr>
            <w:tcW w:w="700" w:type="dxa"/>
            <w:tcBorders>
              <w:top w:val="nil"/>
              <w:left w:val="nil"/>
              <w:bottom w:val="nil"/>
              <w:right w:val="nil"/>
            </w:tcBorders>
            <w:shd w:val="clear" w:color="auto" w:fill="auto"/>
            <w:noWrap/>
            <w:vAlign w:val="center"/>
            <w:hideMark/>
          </w:tcPr>
          <w:p w14:paraId="540D1651" w14:textId="77777777" w:rsidR="008C2001" w:rsidRPr="008C2001" w:rsidRDefault="008C2001" w:rsidP="0071250D">
            <w:pPr>
              <w:spacing w:after="0" w:line="240" w:lineRule="auto"/>
              <w:jc w:val="right"/>
              <w:rPr>
                <w:rFonts w:cs="Arial"/>
                <w:sz w:val="16"/>
                <w:szCs w:val="16"/>
              </w:rPr>
            </w:pPr>
            <w:r w:rsidRPr="008C2001">
              <w:rPr>
                <w:rFonts w:cs="Arial"/>
                <w:sz w:val="16"/>
                <w:szCs w:val="16"/>
              </w:rPr>
              <w:t>36,59</w:t>
            </w:r>
          </w:p>
        </w:tc>
        <w:tc>
          <w:tcPr>
            <w:tcW w:w="700" w:type="dxa"/>
            <w:tcBorders>
              <w:top w:val="nil"/>
              <w:left w:val="nil"/>
              <w:bottom w:val="nil"/>
              <w:right w:val="nil"/>
            </w:tcBorders>
            <w:shd w:val="clear" w:color="auto" w:fill="auto"/>
            <w:noWrap/>
            <w:vAlign w:val="center"/>
            <w:hideMark/>
          </w:tcPr>
          <w:p w14:paraId="151E0755" w14:textId="77777777" w:rsidR="008C2001" w:rsidRPr="008C2001" w:rsidRDefault="008C2001" w:rsidP="0071250D">
            <w:pPr>
              <w:spacing w:after="0" w:line="240" w:lineRule="auto"/>
              <w:jc w:val="right"/>
              <w:rPr>
                <w:rFonts w:cs="Arial"/>
                <w:sz w:val="16"/>
                <w:szCs w:val="16"/>
              </w:rPr>
            </w:pPr>
            <w:r w:rsidRPr="008C2001">
              <w:rPr>
                <w:rFonts w:cs="Arial"/>
                <w:sz w:val="16"/>
                <w:szCs w:val="16"/>
              </w:rPr>
              <w:t>37,99</w:t>
            </w:r>
          </w:p>
        </w:tc>
        <w:tc>
          <w:tcPr>
            <w:tcW w:w="700" w:type="dxa"/>
            <w:tcBorders>
              <w:top w:val="nil"/>
              <w:left w:val="nil"/>
              <w:bottom w:val="nil"/>
              <w:right w:val="nil"/>
            </w:tcBorders>
            <w:shd w:val="clear" w:color="auto" w:fill="auto"/>
            <w:noWrap/>
            <w:vAlign w:val="center"/>
            <w:hideMark/>
          </w:tcPr>
          <w:p w14:paraId="3C0BFC8E" w14:textId="77777777" w:rsidR="008C2001" w:rsidRPr="008C2001" w:rsidRDefault="008C2001" w:rsidP="0071250D">
            <w:pPr>
              <w:spacing w:after="0" w:line="240" w:lineRule="auto"/>
              <w:jc w:val="right"/>
              <w:rPr>
                <w:rFonts w:cs="Arial"/>
                <w:sz w:val="16"/>
                <w:szCs w:val="16"/>
              </w:rPr>
            </w:pPr>
            <w:r w:rsidRPr="008C2001">
              <w:rPr>
                <w:rFonts w:cs="Arial"/>
                <w:sz w:val="16"/>
                <w:szCs w:val="16"/>
              </w:rPr>
              <w:t>39,21</w:t>
            </w:r>
          </w:p>
        </w:tc>
        <w:tc>
          <w:tcPr>
            <w:tcW w:w="700" w:type="dxa"/>
            <w:tcBorders>
              <w:top w:val="nil"/>
              <w:left w:val="nil"/>
              <w:bottom w:val="nil"/>
              <w:right w:val="nil"/>
            </w:tcBorders>
            <w:shd w:val="clear" w:color="auto" w:fill="auto"/>
            <w:noWrap/>
            <w:vAlign w:val="center"/>
            <w:hideMark/>
          </w:tcPr>
          <w:p w14:paraId="32E4A1AA"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42,10</w:t>
            </w:r>
          </w:p>
        </w:tc>
      </w:tr>
      <w:tr w:rsidR="008C2001" w:rsidRPr="008C2001" w14:paraId="04D42A73"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038E3FA0"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Jihočeský kraj</w:t>
            </w:r>
          </w:p>
        </w:tc>
        <w:tc>
          <w:tcPr>
            <w:tcW w:w="709" w:type="dxa"/>
            <w:tcBorders>
              <w:top w:val="nil"/>
              <w:left w:val="nil"/>
              <w:bottom w:val="nil"/>
              <w:right w:val="nil"/>
            </w:tcBorders>
            <w:shd w:val="clear" w:color="auto" w:fill="auto"/>
            <w:noWrap/>
            <w:vAlign w:val="center"/>
            <w:hideMark/>
          </w:tcPr>
          <w:p w14:paraId="032B96E6" w14:textId="77777777" w:rsidR="008C2001" w:rsidRPr="008C2001" w:rsidRDefault="008C2001" w:rsidP="0071250D">
            <w:pPr>
              <w:spacing w:after="0" w:line="240" w:lineRule="auto"/>
              <w:jc w:val="right"/>
              <w:rPr>
                <w:rFonts w:cs="Arial"/>
                <w:sz w:val="16"/>
                <w:szCs w:val="16"/>
              </w:rPr>
            </w:pPr>
            <w:r w:rsidRPr="008C2001">
              <w:rPr>
                <w:rFonts w:cs="Arial"/>
                <w:sz w:val="16"/>
                <w:szCs w:val="16"/>
              </w:rPr>
              <w:t>50,78</w:t>
            </w:r>
          </w:p>
        </w:tc>
        <w:tc>
          <w:tcPr>
            <w:tcW w:w="700" w:type="dxa"/>
            <w:tcBorders>
              <w:top w:val="nil"/>
              <w:left w:val="nil"/>
              <w:bottom w:val="nil"/>
              <w:right w:val="nil"/>
            </w:tcBorders>
            <w:shd w:val="clear" w:color="auto" w:fill="auto"/>
            <w:noWrap/>
            <w:vAlign w:val="center"/>
            <w:hideMark/>
          </w:tcPr>
          <w:p w14:paraId="3A48AAC1" w14:textId="77777777" w:rsidR="008C2001" w:rsidRPr="008C2001" w:rsidRDefault="008C2001" w:rsidP="0071250D">
            <w:pPr>
              <w:spacing w:after="0" w:line="240" w:lineRule="auto"/>
              <w:jc w:val="right"/>
              <w:rPr>
                <w:rFonts w:cs="Arial"/>
                <w:sz w:val="16"/>
                <w:szCs w:val="16"/>
              </w:rPr>
            </w:pPr>
            <w:r w:rsidRPr="008C2001">
              <w:rPr>
                <w:rFonts w:cs="Arial"/>
                <w:sz w:val="16"/>
                <w:szCs w:val="16"/>
              </w:rPr>
              <w:t>34,87</w:t>
            </w:r>
          </w:p>
        </w:tc>
        <w:tc>
          <w:tcPr>
            <w:tcW w:w="700" w:type="dxa"/>
            <w:tcBorders>
              <w:top w:val="nil"/>
              <w:left w:val="nil"/>
              <w:bottom w:val="nil"/>
              <w:right w:val="nil"/>
            </w:tcBorders>
            <w:shd w:val="clear" w:color="auto" w:fill="auto"/>
            <w:noWrap/>
            <w:vAlign w:val="center"/>
            <w:hideMark/>
          </w:tcPr>
          <w:p w14:paraId="10CB869C" w14:textId="77777777" w:rsidR="008C2001" w:rsidRPr="008C2001" w:rsidRDefault="008C2001" w:rsidP="0071250D">
            <w:pPr>
              <w:spacing w:after="0" w:line="240" w:lineRule="auto"/>
              <w:jc w:val="right"/>
              <w:rPr>
                <w:rFonts w:cs="Arial"/>
                <w:sz w:val="16"/>
                <w:szCs w:val="16"/>
              </w:rPr>
            </w:pPr>
            <w:r w:rsidRPr="008C2001">
              <w:rPr>
                <w:rFonts w:cs="Arial"/>
                <w:sz w:val="16"/>
                <w:szCs w:val="16"/>
              </w:rPr>
              <w:t>32,32</w:t>
            </w:r>
          </w:p>
        </w:tc>
        <w:tc>
          <w:tcPr>
            <w:tcW w:w="700" w:type="dxa"/>
            <w:tcBorders>
              <w:top w:val="nil"/>
              <w:left w:val="nil"/>
              <w:bottom w:val="nil"/>
              <w:right w:val="nil"/>
            </w:tcBorders>
            <w:shd w:val="clear" w:color="auto" w:fill="auto"/>
            <w:noWrap/>
            <w:vAlign w:val="center"/>
            <w:hideMark/>
          </w:tcPr>
          <w:p w14:paraId="6AF7C6A4" w14:textId="77777777" w:rsidR="008C2001" w:rsidRPr="008C2001" w:rsidRDefault="008C2001" w:rsidP="0071250D">
            <w:pPr>
              <w:spacing w:after="0" w:line="240" w:lineRule="auto"/>
              <w:jc w:val="right"/>
              <w:rPr>
                <w:rFonts w:cs="Arial"/>
                <w:sz w:val="16"/>
                <w:szCs w:val="16"/>
              </w:rPr>
            </w:pPr>
            <w:r w:rsidRPr="008C2001">
              <w:rPr>
                <w:rFonts w:cs="Arial"/>
                <w:sz w:val="16"/>
                <w:szCs w:val="16"/>
              </w:rPr>
              <w:t>31,52</w:t>
            </w:r>
          </w:p>
        </w:tc>
        <w:tc>
          <w:tcPr>
            <w:tcW w:w="700" w:type="dxa"/>
            <w:tcBorders>
              <w:top w:val="nil"/>
              <w:left w:val="nil"/>
              <w:bottom w:val="nil"/>
              <w:right w:val="nil"/>
            </w:tcBorders>
            <w:shd w:val="clear" w:color="auto" w:fill="auto"/>
            <w:noWrap/>
            <w:vAlign w:val="center"/>
            <w:hideMark/>
          </w:tcPr>
          <w:p w14:paraId="3E8C75B8" w14:textId="77777777" w:rsidR="008C2001" w:rsidRPr="008C2001" w:rsidRDefault="008C2001" w:rsidP="0071250D">
            <w:pPr>
              <w:spacing w:after="0" w:line="240" w:lineRule="auto"/>
              <w:jc w:val="right"/>
              <w:rPr>
                <w:rFonts w:cs="Arial"/>
                <w:sz w:val="16"/>
                <w:szCs w:val="16"/>
              </w:rPr>
            </w:pPr>
            <w:r w:rsidRPr="008C2001">
              <w:rPr>
                <w:rFonts w:cs="Arial"/>
                <w:sz w:val="16"/>
                <w:szCs w:val="16"/>
              </w:rPr>
              <w:t>30,39</w:t>
            </w:r>
          </w:p>
        </w:tc>
        <w:tc>
          <w:tcPr>
            <w:tcW w:w="700" w:type="dxa"/>
            <w:tcBorders>
              <w:top w:val="nil"/>
              <w:left w:val="nil"/>
              <w:bottom w:val="nil"/>
              <w:right w:val="nil"/>
            </w:tcBorders>
            <w:shd w:val="clear" w:color="auto" w:fill="auto"/>
            <w:noWrap/>
            <w:vAlign w:val="center"/>
            <w:hideMark/>
          </w:tcPr>
          <w:p w14:paraId="2D8CDC4D" w14:textId="77777777" w:rsidR="008C2001" w:rsidRPr="008C2001" w:rsidRDefault="008C2001" w:rsidP="0071250D">
            <w:pPr>
              <w:spacing w:after="0" w:line="240" w:lineRule="auto"/>
              <w:jc w:val="right"/>
              <w:rPr>
                <w:rFonts w:cs="Arial"/>
                <w:sz w:val="16"/>
                <w:szCs w:val="16"/>
              </w:rPr>
            </w:pPr>
            <w:r w:rsidRPr="008C2001">
              <w:rPr>
                <w:rFonts w:cs="Arial"/>
                <w:sz w:val="16"/>
                <w:szCs w:val="16"/>
              </w:rPr>
              <w:t>34,28</w:t>
            </w:r>
          </w:p>
        </w:tc>
        <w:tc>
          <w:tcPr>
            <w:tcW w:w="700" w:type="dxa"/>
            <w:tcBorders>
              <w:top w:val="nil"/>
              <w:left w:val="nil"/>
              <w:bottom w:val="nil"/>
              <w:right w:val="nil"/>
            </w:tcBorders>
            <w:shd w:val="clear" w:color="auto" w:fill="auto"/>
            <w:noWrap/>
            <w:vAlign w:val="center"/>
            <w:hideMark/>
          </w:tcPr>
          <w:p w14:paraId="0FEC4241" w14:textId="77777777" w:rsidR="008C2001" w:rsidRPr="008C2001" w:rsidRDefault="008C2001" w:rsidP="0071250D">
            <w:pPr>
              <w:spacing w:after="0" w:line="240" w:lineRule="auto"/>
              <w:jc w:val="right"/>
              <w:rPr>
                <w:rFonts w:cs="Arial"/>
                <w:sz w:val="16"/>
                <w:szCs w:val="16"/>
              </w:rPr>
            </w:pPr>
            <w:r w:rsidRPr="008C2001">
              <w:rPr>
                <w:rFonts w:cs="Arial"/>
                <w:sz w:val="16"/>
                <w:szCs w:val="16"/>
              </w:rPr>
              <w:t>32,98</w:t>
            </w:r>
          </w:p>
        </w:tc>
        <w:tc>
          <w:tcPr>
            <w:tcW w:w="700" w:type="dxa"/>
            <w:tcBorders>
              <w:top w:val="nil"/>
              <w:left w:val="nil"/>
              <w:bottom w:val="nil"/>
              <w:right w:val="nil"/>
            </w:tcBorders>
            <w:shd w:val="clear" w:color="auto" w:fill="auto"/>
            <w:noWrap/>
            <w:vAlign w:val="center"/>
            <w:hideMark/>
          </w:tcPr>
          <w:p w14:paraId="75B667A4" w14:textId="77777777" w:rsidR="008C2001" w:rsidRPr="008C2001" w:rsidRDefault="008C2001" w:rsidP="0071250D">
            <w:pPr>
              <w:spacing w:after="0" w:line="240" w:lineRule="auto"/>
              <w:jc w:val="right"/>
              <w:rPr>
                <w:rFonts w:cs="Arial"/>
                <w:sz w:val="16"/>
                <w:szCs w:val="16"/>
              </w:rPr>
            </w:pPr>
            <w:r w:rsidRPr="008C2001">
              <w:rPr>
                <w:rFonts w:cs="Arial"/>
                <w:sz w:val="16"/>
                <w:szCs w:val="16"/>
              </w:rPr>
              <w:t>39,31</w:t>
            </w:r>
          </w:p>
        </w:tc>
        <w:tc>
          <w:tcPr>
            <w:tcW w:w="700" w:type="dxa"/>
            <w:tcBorders>
              <w:top w:val="nil"/>
              <w:left w:val="nil"/>
              <w:bottom w:val="nil"/>
              <w:right w:val="nil"/>
            </w:tcBorders>
            <w:shd w:val="clear" w:color="auto" w:fill="auto"/>
            <w:noWrap/>
            <w:vAlign w:val="center"/>
            <w:hideMark/>
          </w:tcPr>
          <w:p w14:paraId="71B2E8F9" w14:textId="77777777" w:rsidR="008C2001" w:rsidRPr="008C2001" w:rsidRDefault="008C2001" w:rsidP="0071250D">
            <w:pPr>
              <w:spacing w:after="0" w:line="240" w:lineRule="auto"/>
              <w:jc w:val="right"/>
              <w:rPr>
                <w:rFonts w:cs="Arial"/>
                <w:sz w:val="16"/>
                <w:szCs w:val="16"/>
              </w:rPr>
            </w:pPr>
            <w:r w:rsidRPr="008C2001">
              <w:rPr>
                <w:rFonts w:cs="Arial"/>
                <w:sz w:val="16"/>
                <w:szCs w:val="16"/>
              </w:rPr>
              <w:t>40,35</w:t>
            </w:r>
          </w:p>
        </w:tc>
        <w:tc>
          <w:tcPr>
            <w:tcW w:w="700" w:type="dxa"/>
            <w:tcBorders>
              <w:top w:val="nil"/>
              <w:left w:val="nil"/>
              <w:bottom w:val="nil"/>
              <w:right w:val="nil"/>
            </w:tcBorders>
            <w:shd w:val="clear" w:color="auto" w:fill="auto"/>
            <w:noWrap/>
            <w:vAlign w:val="center"/>
            <w:hideMark/>
          </w:tcPr>
          <w:p w14:paraId="77A095F5"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41,07</w:t>
            </w:r>
          </w:p>
        </w:tc>
        <w:tc>
          <w:tcPr>
            <w:tcW w:w="700" w:type="dxa"/>
            <w:tcBorders>
              <w:top w:val="nil"/>
              <w:left w:val="nil"/>
              <w:bottom w:val="nil"/>
              <w:right w:val="nil"/>
            </w:tcBorders>
            <w:shd w:val="clear" w:color="auto" w:fill="auto"/>
            <w:noWrap/>
            <w:vAlign w:val="center"/>
            <w:hideMark/>
          </w:tcPr>
          <w:p w14:paraId="66A5E1CC" w14:textId="77777777" w:rsidR="008C2001" w:rsidRPr="008C2001" w:rsidRDefault="008C2001" w:rsidP="0071250D">
            <w:pPr>
              <w:spacing w:after="0" w:line="240" w:lineRule="auto"/>
              <w:jc w:val="right"/>
              <w:rPr>
                <w:rFonts w:cs="Arial"/>
                <w:sz w:val="16"/>
                <w:szCs w:val="16"/>
              </w:rPr>
            </w:pPr>
            <w:r w:rsidRPr="008C2001">
              <w:rPr>
                <w:rFonts w:cs="Arial"/>
                <w:sz w:val="16"/>
                <w:szCs w:val="16"/>
              </w:rPr>
              <w:t>43,32</w:t>
            </w:r>
          </w:p>
        </w:tc>
      </w:tr>
      <w:tr w:rsidR="008C2001" w:rsidRPr="008C2001" w14:paraId="22FAD3D5"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5A6D415D"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Plzeňský kraj</w:t>
            </w:r>
          </w:p>
        </w:tc>
        <w:tc>
          <w:tcPr>
            <w:tcW w:w="709" w:type="dxa"/>
            <w:tcBorders>
              <w:top w:val="nil"/>
              <w:left w:val="nil"/>
              <w:bottom w:val="nil"/>
              <w:right w:val="nil"/>
            </w:tcBorders>
            <w:shd w:val="clear" w:color="auto" w:fill="auto"/>
            <w:noWrap/>
            <w:vAlign w:val="center"/>
            <w:hideMark/>
          </w:tcPr>
          <w:p w14:paraId="2C71607B" w14:textId="77777777" w:rsidR="008C2001" w:rsidRPr="008C2001" w:rsidRDefault="008C2001" w:rsidP="0071250D">
            <w:pPr>
              <w:spacing w:after="0" w:line="240" w:lineRule="auto"/>
              <w:jc w:val="right"/>
              <w:rPr>
                <w:rFonts w:cs="Arial"/>
                <w:sz w:val="16"/>
                <w:szCs w:val="16"/>
              </w:rPr>
            </w:pPr>
            <w:r w:rsidRPr="008C2001">
              <w:rPr>
                <w:rFonts w:cs="Arial"/>
                <w:sz w:val="16"/>
                <w:szCs w:val="16"/>
              </w:rPr>
              <w:t>54,44</w:t>
            </w:r>
          </w:p>
        </w:tc>
        <w:tc>
          <w:tcPr>
            <w:tcW w:w="700" w:type="dxa"/>
            <w:tcBorders>
              <w:top w:val="nil"/>
              <w:left w:val="nil"/>
              <w:bottom w:val="nil"/>
              <w:right w:val="nil"/>
            </w:tcBorders>
            <w:shd w:val="clear" w:color="auto" w:fill="auto"/>
            <w:noWrap/>
            <w:vAlign w:val="center"/>
            <w:hideMark/>
          </w:tcPr>
          <w:p w14:paraId="148F2468" w14:textId="77777777" w:rsidR="008C2001" w:rsidRPr="008C2001" w:rsidRDefault="008C2001" w:rsidP="0071250D">
            <w:pPr>
              <w:spacing w:after="0" w:line="240" w:lineRule="auto"/>
              <w:jc w:val="right"/>
              <w:rPr>
                <w:rFonts w:cs="Arial"/>
                <w:sz w:val="16"/>
                <w:szCs w:val="16"/>
              </w:rPr>
            </w:pPr>
            <w:r w:rsidRPr="008C2001">
              <w:rPr>
                <w:rFonts w:cs="Arial"/>
                <w:sz w:val="16"/>
                <w:szCs w:val="16"/>
              </w:rPr>
              <w:t>37,34</w:t>
            </w:r>
          </w:p>
        </w:tc>
        <w:tc>
          <w:tcPr>
            <w:tcW w:w="700" w:type="dxa"/>
            <w:tcBorders>
              <w:top w:val="nil"/>
              <w:left w:val="nil"/>
              <w:bottom w:val="nil"/>
              <w:right w:val="nil"/>
            </w:tcBorders>
            <w:shd w:val="clear" w:color="auto" w:fill="auto"/>
            <w:noWrap/>
            <w:vAlign w:val="center"/>
            <w:hideMark/>
          </w:tcPr>
          <w:p w14:paraId="52745577" w14:textId="77777777" w:rsidR="008C2001" w:rsidRPr="008C2001" w:rsidRDefault="008C2001" w:rsidP="0071250D">
            <w:pPr>
              <w:spacing w:after="0" w:line="240" w:lineRule="auto"/>
              <w:jc w:val="right"/>
              <w:rPr>
                <w:rFonts w:cs="Arial"/>
                <w:sz w:val="16"/>
                <w:szCs w:val="16"/>
              </w:rPr>
            </w:pPr>
            <w:r w:rsidRPr="008C2001">
              <w:rPr>
                <w:rFonts w:cs="Arial"/>
                <w:sz w:val="16"/>
                <w:szCs w:val="16"/>
              </w:rPr>
              <w:t>33,80</w:t>
            </w:r>
          </w:p>
        </w:tc>
        <w:tc>
          <w:tcPr>
            <w:tcW w:w="700" w:type="dxa"/>
            <w:tcBorders>
              <w:top w:val="nil"/>
              <w:left w:val="nil"/>
              <w:bottom w:val="nil"/>
              <w:right w:val="nil"/>
            </w:tcBorders>
            <w:shd w:val="clear" w:color="auto" w:fill="auto"/>
            <w:noWrap/>
            <w:vAlign w:val="center"/>
            <w:hideMark/>
          </w:tcPr>
          <w:p w14:paraId="53FF8C19" w14:textId="77777777" w:rsidR="008C2001" w:rsidRPr="008C2001" w:rsidRDefault="008C2001" w:rsidP="0071250D">
            <w:pPr>
              <w:spacing w:after="0" w:line="240" w:lineRule="auto"/>
              <w:jc w:val="right"/>
              <w:rPr>
                <w:rFonts w:cs="Arial"/>
                <w:sz w:val="16"/>
                <w:szCs w:val="16"/>
              </w:rPr>
            </w:pPr>
            <w:r w:rsidRPr="008C2001">
              <w:rPr>
                <w:rFonts w:cs="Arial"/>
                <w:sz w:val="16"/>
                <w:szCs w:val="16"/>
              </w:rPr>
              <w:t>34,38</w:t>
            </w:r>
          </w:p>
        </w:tc>
        <w:tc>
          <w:tcPr>
            <w:tcW w:w="700" w:type="dxa"/>
            <w:tcBorders>
              <w:top w:val="nil"/>
              <w:left w:val="nil"/>
              <w:bottom w:val="nil"/>
              <w:right w:val="nil"/>
            </w:tcBorders>
            <w:shd w:val="clear" w:color="auto" w:fill="auto"/>
            <w:noWrap/>
            <w:vAlign w:val="center"/>
            <w:hideMark/>
          </w:tcPr>
          <w:p w14:paraId="0DAE7B12" w14:textId="77777777" w:rsidR="008C2001" w:rsidRPr="008C2001" w:rsidRDefault="008C2001" w:rsidP="0071250D">
            <w:pPr>
              <w:spacing w:after="0" w:line="240" w:lineRule="auto"/>
              <w:jc w:val="right"/>
              <w:rPr>
                <w:rFonts w:cs="Arial"/>
                <w:sz w:val="16"/>
                <w:szCs w:val="16"/>
              </w:rPr>
            </w:pPr>
            <w:r w:rsidRPr="008C2001">
              <w:rPr>
                <w:rFonts w:cs="Arial"/>
                <w:sz w:val="16"/>
                <w:szCs w:val="16"/>
              </w:rPr>
              <w:t>33,66</w:t>
            </w:r>
          </w:p>
        </w:tc>
        <w:tc>
          <w:tcPr>
            <w:tcW w:w="700" w:type="dxa"/>
            <w:tcBorders>
              <w:top w:val="nil"/>
              <w:left w:val="nil"/>
              <w:bottom w:val="nil"/>
              <w:right w:val="nil"/>
            </w:tcBorders>
            <w:shd w:val="clear" w:color="auto" w:fill="auto"/>
            <w:noWrap/>
            <w:vAlign w:val="center"/>
            <w:hideMark/>
          </w:tcPr>
          <w:p w14:paraId="79B408CC" w14:textId="77777777" w:rsidR="008C2001" w:rsidRPr="008C2001" w:rsidRDefault="008C2001" w:rsidP="0071250D">
            <w:pPr>
              <w:spacing w:after="0" w:line="240" w:lineRule="auto"/>
              <w:jc w:val="right"/>
              <w:rPr>
                <w:rFonts w:cs="Arial"/>
                <w:sz w:val="16"/>
                <w:szCs w:val="16"/>
              </w:rPr>
            </w:pPr>
            <w:r w:rsidRPr="008C2001">
              <w:rPr>
                <w:rFonts w:cs="Arial"/>
                <w:sz w:val="16"/>
                <w:szCs w:val="16"/>
              </w:rPr>
              <w:t>35,55</w:t>
            </w:r>
          </w:p>
        </w:tc>
        <w:tc>
          <w:tcPr>
            <w:tcW w:w="700" w:type="dxa"/>
            <w:tcBorders>
              <w:top w:val="nil"/>
              <w:left w:val="nil"/>
              <w:bottom w:val="nil"/>
              <w:right w:val="nil"/>
            </w:tcBorders>
            <w:shd w:val="clear" w:color="auto" w:fill="auto"/>
            <w:noWrap/>
            <w:vAlign w:val="center"/>
            <w:hideMark/>
          </w:tcPr>
          <w:p w14:paraId="0AC28135" w14:textId="77777777" w:rsidR="008C2001" w:rsidRPr="008C2001" w:rsidRDefault="008C2001" w:rsidP="0071250D">
            <w:pPr>
              <w:spacing w:after="0" w:line="240" w:lineRule="auto"/>
              <w:jc w:val="right"/>
              <w:rPr>
                <w:rFonts w:cs="Arial"/>
                <w:sz w:val="16"/>
                <w:szCs w:val="16"/>
              </w:rPr>
            </w:pPr>
            <w:r w:rsidRPr="008C2001">
              <w:rPr>
                <w:rFonts w:cs="Arial"/>
                <w:sz w:val="16"/>
                <w:szCs w:val="16"/>
              </w:rPr>
              <w:t>35,53</w:t>
            </w:r>
          </w:p>
        </w:tc>
        <w:tc>
          <w:tcPr>
            <w:tcW w:w="700" w:type="dxa"/>
            <w:tcBorders>
              <w:top w:val="nil"/>
              <w:left w:val="nil"/>
              <w:bottom w:val="nil"/>
              <w:right w:val="nil"/>
            </w:tcBorders>
            <w:shd w:val="clear" w:color="auto" w:fill="auto"/>
            <w:noWrap/>
            <w:vAlign w:val="center"/>
            <w:hideMark/>
          </w:tcPr>
          <w:p w14:paraId="62E394E9" w14:textId="77777777" w:rsidR="008C2001" w:rsidRPr="008C2001" w:rsidRDefault="008C2001" w:rsidP="0071250D">
            <w:pPr>
              <w:spacing w:after="0" w:line="240" w:lineRule="auto"/>
              <w:jc w:val="right"/>
              <w:rPr>
                <w:rFonts w:cs="Arial"/>
                <w:sz w:val="16"/>
                <w:szCs w:val="16"/>
              </w:rPr>
            </w:pPr>
            <w:r w:rsidRPr="008C2001">
              <w:rPr>
                <w:rFonts w:cs="Arial"/>
                <w:sz w:val="16"/>
                <w:szCs w:val="16"/>
              </w:rPr>
              <w:t>42,54</w:t>
            </w:r>
          </w:p>
        </w:tc>
        <w:tc>
          <w:tcPr>
            <w:tcW w:w="700" w:type="dxa"/>
            <w:tcBorders>
              <w:top w:val="nil"/>
              <w:left w:val="nil"/>
              <w:bottom w:val="nil"/>
              <w:right w:val="nil"/>
            </w:tcBorders>
            <w:shd w:val="clear" w:color="auto" w:fill="auto"/>
            <w:noWrap/>
            <w:vAlign w:val="center"/>
            <w:hideMark/>
          </w:tcPr>
          <w:p w14:paraId="4FD4937F" w14:textId="77777777" w:rsidR="008C2001" w:rsidRPr="008C2001" w:rsidRDefault="008C2001" w:rsidP="0071250D">
            <w:pPr>
              <w:spacing w:after="0" w:line="240" w:lineRule="auto"/>
              <w:jc w:val="right"/>
              <w:rPr>
                <w:rFonts w:cs="Arial"/>
                <w:sz w:val="16"/>
                <w:szCs w:val="16"/>
              </w:rPr>
            </w:pPr>
            <w:r w:rsidRPr="008C2001">
              <w:rPr>
                <w:rFonts w:cs="Arial"/>
                <w:sz w:val="16"/>
                <w:szCs w:val="16"/>
              </w:rPr>
              <w:t>42,80</w:t>
            </w:r>
          </w:p>
        </w:tc>
        <w:tc>
          <w:tcPr>
            <w:tcW w:w="700" w:type="dxa"/>
            <w:tcBorders>
              <w:top w:val="nil"/>
              <w:left w:val="nil"/>
              <w:bottom w:val="nil"/>
              <w:right w:val="nil"/>
            </w:tcBorders>
            <w:shd w:val="clear" w:color="auto" w:fill="auto"/>
            <w:noWrap/>
            <w:vAlign w:val="center"/>
            <w:hideMark/>
          </w:tcPr>
          <w:p w14:paraId="292B5BB6"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43,79</w:t>
            </w:r>
          </w:p>
        </w:tc>
        <w:tc>
          <w:tcPr>
            <w:tcW w:w="700" w:type="dxa"/>
            <w:tcBorders>
              <w:top w:val="nil"/>
              <w:left w:val="nil"/>
              <w:bottom w:val="nil"/>
              <w:right w:val="nil"/>
            </w:tcBorders>
            <w:shd w:val="clear" w:color="auto" w:fill="auto"/>
            <w:noWrap/>
            <w:vAlign w:val="center"/>
            <w:hideMark/>
          </w:tcPr>
          <w:p w14:paraId="7F6A1028"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46,06</w:t>
            </w:r>
          </w:p>
        </w:tc>
      </w:tr>
      <w:tr w:rsidR="008C2001" w:rsidRPr="008C2001" w14:paraId="78F57B0E"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0B9D4B41"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Karlovarský kraj</w:t>
            </w:r>
          </w:p>
        </w:tc>
        <w:tc>
          <w:tcPr>
            <w:tcW w:w="709" w:type="dxa"/>
            <w:tcBorders>
              <w:top w:val="nil"/>
              <w:left w:val="nil"/>
              <w:bottom w:val="nil"/>
              <w:right w:val="nil"/>
            </w:tcBorders>
            <w:shd w:val="clear" w:color="auto" w:fill="auto"/>
            <w:noWrap/>
            <w:vAlign w:val="center"/>
            <w:hideMark/>
          </w:tcPr>
          <w:p w14:paraId="2C5CAAEC" w14:textId="77777777" w:rsidR="008C2001" w:rsidRPr="008C2001" w:rsidRDefault="008C2001" w:rsidP="0071250D">
            <w:pPr>
              <w:spacing w:after="0" w:line="240" w:lineRule="auto"/>
              <w:jc w:val="right"/>
              <w:rPr>
                <w:rFonts w:cs="Arial"/>
                <w:sz w:val="16"/>
                <w:szCs w:val="16"/>
              </w:rPr>
            </w:pPr>
            <w:r w:rsidRPr="008C2001">
              <w:rPr>
                <w:rFonts w:cs="Arial"/>
                <w:sz w:val="16"/>
                <w:szCs w:val="16"/>
              </w:rPr>
              <w:t>53,13</w:t>
            </w:r>
          </w:p>
        </w:tc>
        <w:tc>
          <w:tcPr>
            <w:tcW w:w="700" w:type="dxa"/>
            <w:tcBorders>
              <w:top w:val="nil"/>
              <w:left w:val="nil"/>
              <w:bottom w:val="nil"/>
              <w:right w:val="nil"/>
            </w:tcBorders>
            <w:shd w:val="clear" w:color="auto" w:fill="auto"/>
            <w:noWrap/>
            <w:vAlign w:val="center"/>
            <w:hideMark/>
          </w:tcPr>
          <w:p w14:paraId="7A15DCF3" w14:textId="77777777" w:rsidR="008C2001" w:rsidRPr="008C2001" w:rsidRDefault="008C2001" w:rsidP="0071250D">
            <w:pPr>
              <w:spacing w:after="0" w:line="240" w:lineRule="auto"/>
              <w:jc w:val="right"/>
              <w:rPr>
                <w:rFonts w:cs="Arial"/>
                <w:sz w:val="16"/>
                <w:szCs w:val="16"/>
              </w:rPr>
            </w:pPr>
            <w:r w:rsidRPr="008C2001">
              <w:rPr>
                <w:rFonts w:cs="Arial"/>
                <w:sz w:val="16"/>
                <w:szCs w:val="16"/>
              </w:rPr>
              <w:t>34,91</w:t>
            </w:r>
          </w:p>
        </w:tc>
        <w:tc>
          <w:tcPr>
            <w:tcW w:w="700" w:type="dxa"/>
            <w:tcBorders>
              <w:top w:val="nil"/>
              <w:left w:val="nil"/>
              <w:bottom w:val="nil"/>
              <w:right w:val="nil"/>
            </w:tcBorders>
            <w:shd w:val="clear" w:color="auto" w:fill="auto"/>
            <w:noWrap/>
            <w:vAlign w:val="center"/>
            <w:hideMark/>
          </w:tcPr>
          <w:p w14:paraId="33CA3F7A" w14:textId="77777777" w:rsidR="008C2001" w:rsidRPr="008C2001" w:rsidRDefault="008C2001" w:rsidP="0071250D">
            <w:pPr>
              <w:spacing w:after="0" w:line="240" w:lineRule="auto"/>
              <w:jc w:val="right"/>
              <w:rPr>
                <w:rFonts w:cs="Arial"/>
                <w:sz w:val="16"/>
                <w:szCs w:val="16"/>
              </w:rPr>
            </w:pPr>
            <w:r w:rsidRPr="008C2001">
              <w:rPr>
                <w:rFonts w:cs="Arial"/>
                <w:sz w:val="16"/>
                <w:szCs w:val="16"/>
              </w:rPr>
              <w:t>32,27</w:t>
            </w:r>
          </w:p>
        </w:tc>
        <w:tc>
          <w:tcPr>
            <w:tcW w:w="700" w:type="dxa"/>
            <w:tcBorders>
              <w:top w:val="nil"/>
              <w:left w:val="nil"/>
              <w:bottom w:val="nil"/>
              <w:right w:val="nil"/>
            </w:tcBorders>
            <w:shd w:val="clear" w:color="auto" w:fill="auto"/>
            <w:noWrap/>
            <w:vAlign w:val="center"/>
            <w:hideMark/>
          </w:tcPr>
          <w:p w14:paraId="70F2060E" w14:textId="77777777" w:rsidR="008C2001" w:rsidRPr="008C2001" w:rsidRDefault="008C2001" w:rsidP="0071250D">
            <w:pPr>
              <w:spacing w:after="0" w:line="240" w:lineRule="auto"/>
              <w:jc w:val="right"/>
              <w:rPr>
                <w:rFonts w:cs="Arial"/>
                <w:sz w:val="16"/>
                <w:szCs w:val="16"/>
              </w:rPr>
            </w:pPr>
            <w:r w:rsidRPr="008C2001">
              <w:rPr>
                <w:rFonts w:cs="Arial"/>
                <w:sz w:val="16"/>
                <w:szCs w:val="16"/>
              </w:rPr>
              <w:t>32,31</w:t>
            </w:r>
          </w:p>
        </w:tc>
        <w:tc>
          <w:tcPr>
            <w:tcW w:w="700" w:type="dxa"/>
            <w:tcBorders>
              <w:top w:val="nil"/>
              <w:left w:val="nil"/>
              <w:bottom w:val="nil"/>
              <w:right w:val="nil"/>
            </w:tcBorders>
            <w:shd w:val="clear" w:color="auto" w:fill="auto"/>
            <w:noWrap/>
            <w:vAlign w:val="center"/>
            <w:hideMark/>
          </w:tcPr>
          <w:p w14:paraId="0FDF4605" w14:textId="77777777" w:rsidR="008C2001" w:rsidRPr="008C2001" w:rsidRDefault="008C2001" w:rsidP="0071250D">
            <w:pPr>
              <w:spacing w:after="0" w:line="240" w:lineRule="auto"/>
              <w:jc w:val="right"/>
              <w:rPr>
                <w:rFonts w:cs="Arial"/>
                <w:sz w:val="16"/>
                <w:szCs w:val="16"/>
              </w:rPr>
            </w:pPr>
            <w:r w:rsidRPr="008C2001">
              <w:rPr>
                <w:rFonts w:cs="Arial"/>
                <w:sz w:val="16"/>
                <w:szCs w:val="16"/>
              </w:rPr>
              <w:t>31,39</w:t>
            </w:r>
          </w:p>
        </w:tc>
        <w:tc>
          <w:tcPr>
            <w:tcW w:w="700" w:type="dxa"/>
            <w:tcBorders>
              <w:top w:val="nil"/>
              <w:left w:val="nil"/>
              <w:bottom w:val="nil"/>
              <w:right w:val="nil"/>
            </w:tcBorders>
            <w:shd w:val="clear" w:color="auto" w:fill="auto"/>
            <w:noWrap/>
            <w:vAlign w:val="center"/>
            <w:hideMark/>
          </w:tcPr>
          <w:p w14:paraId="038DD5E8" w14:textId="77777777" w:rsidR="008C2001" w:rsidRPr="008C2001" w:rsidRDefault="008C2001" w:rsidP="0071250D">
            <w:pPr>
              <w:spacing w:after="0" w:line="240" w:lineRule="auto"/>
              <w:jc w:val="right"/>
              <w:rPr>
                <w:rFonts w:cs="Arial"/>
                <w:sz w:val="16"/>
                <w:szCs w:val="16"/>
              </w:rPr>
            </w:pPr>
            <w:r w:rsidRPr="008C2001">
              <w:rPr>
                <w:rFonts w:cs="Arial"/>
                <w:sz w:val="16"/>
                <w:szCs w:val="16"/>
              </w:rPr>
              <w:t>33,43</w:t>
            </w:r>
          </w:p>
        </w:tc>
        <w:tc>
          <w:tcPr>
            <w:tcW w:w="700" w:type="dxa"/>
            <w:tcBorders>
              <w:top w:val="nil"/>
              <w:left w:val="nil"/>
              <w:bottom w:val="nil"/>
              <w:right w:val="nil"/>
            </w:tcBorders>
            <w:shd w:val="clear" w:color="auto" w:fill="auto"/>
            <w:noWrap/>
            <w:vAlign w:val="center"/>
            <w:hideMark/>
          </w:tcPr>
          <w:p w14:paraId="7353DF93" w14:textId="77777777" w:rsidR="008C2001" w:rsidRPr="008C2001" w:rsidRDefault="008C2001" w:rsidP="0071250D">
            <w:pPr>
              <w:spacing w:after="0" w:line="240" w:lineRule="auto"/>
              <w:jc w:val="right"/>
              <w:rPr>
                <w:rFonts w:cs="Arial"/>
                <w:sz w:val="16"/>
                <w:szCs w:val="16"/>
              </w:rPr>
            </w:pPr>
            <w:r w:rsidRPr="008C2001">
              <w:rPr>
                <w:rFonts w:cs="Arial"/>
                <w:sz w:val="16"/>
                <w:szCs w:val="16"/>
              </w:rPr>
              <w:t>34,34</w:t>
            </w:r>
          </w:p>
        </w:tc>
        <w:tc>
          <w:tcPr>
            <w:tcW w:w="700" w:type="dxa"/>
            <w:tcBorders>
              <w:top w:val="nil"/>
              <w:left w:val="nil"/>
              <w:bottom w:val="nil"/>
              <w:right w:val="nil"/>
            </w:tcBorders>
            <w:shd w:val="clear" w:color="auto" w:fill="auto"/>
            <w:noWrap/>
            <w:vAlign w:val="center"/>
            <w:hideMark/>
          </w:tcPr>
          <w:p w14:paraId="73B4F060" w14:textId="77777777" w:rsidR="008C2001" w:rsidRPr="008C2001" w:rsidRDefault="008C2001" w:rsidP="0071250D">
            <w:pPr>
              <w:spacing w:after="0" w:line="240" w:lineRule="auto"/>
              <w:jc w:val="right"/>
              <w:rPr>
                <w:rFonts w:cs="Arial"/>
                <w:sz w:val="16"/>
                <w:szCs w:val="16"/>
              </w:rPr>
            </w:pPr>
            <w:r w:rsidRPr="008C2001">
              <w:rPr>
                <w:rFonts w:cs="Arial"/>
                <w:sz w:val="16"/>
                <w:szCs w:val="16"/>
              </w:rPr>
              <w:t>41,29</w:t>
            </w:r>
          </w:p>
        </w:tc>
        <w:tc>
          <w:tcPr>
            <w:tcW w:w="700" w:type="dxa"/>
            <w:tcBorders>
              <w:top w:val="nil"/>
              <w:left w:val="nil"/>
              <w:bottom w:val="nil"/>
              <w:right w:val="nil"/>
            </w:tcBorders>
            <w:shd w:val="clear" w:color="auto" w:fill="auto"/>
            <w:noWrap/>
            <w:vAlign w:val="center"/>
            <w:hideMark/>
          </w:tcPr>
          <w:p w14:paraId="7F769B51" w14:textId="77777777" w:rsidR="008C2001" w:rsidRPr="008C2001" w:rsidRDefault="008C2001" w:rsidP="0071250D">
            <w:pPr>
              <w:spacing w:after="0" w:line="240" w:lineRule="auto"/>
              <w:jc w:val="right"/>
              <w:rPr>
                <w:rFonts w:cs="Arial"/>
                <w:sz w:val="16"/>
                <w:szCs w:val="16"/>
              </w:rPr>
            </w:pPr>
            <w:r w:rsidRPr="008C2001">
              <w:rPr>
                <w:rFonts w:cs="Arial"/>
                <w:sz w:val="16"/>
                <w:szCs w:val="16"/>
              </w:rPr>
              <w:t>40,80</w:t>
            </w:r>
          </w:p>
        </w:tc>
        <w:tc>
          <w:tcPr>
            <w:tcW w:w="700" w:type="dxa"/>
            <w:tcBorders>
              <w:top w:val="nil"/>
              <w:left w:val="nil"/>
              <w:bottom w:val="nil"/>
              <w:right w:val="nil"/>
            </w:tcBorders>
            <w:shd w:val="clear" w:color="auto" w:fill="auto"/>
            <w:noWrap/>
            <w:vAlign w:val="center"/>
            <w:hideMark/>
          </w:tcPr>
          <w:p w14:paraId="043169CA"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40,68</w:t>
            </w:r>
          </w:p>
        </w:tc>
        <w:tc>
          <w:tcPr>
            <w:tcW w:w="700" w:type="dxa"/>
            <w:tcBorders>
              <w:top w:val="nil"/>
              <w:left w:val="nil"/>
              <w:bottom w:val="nil"/>
              <w:right w:val="nil"/>
            </w:tcBorders>
            <w:shd w:val="clear" w:color="auto" w:fill="auto"/>
            <w:noWrap/>
            <w:vAlign w:val="center"/>
            <w:hideMark/>
          </w:tcPr>
          <w:p w14:paraId="76B42B7E"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44,65</w:t>
            </w:r>
          </w:p>
        </w:tc>
      </w:tr>
      <w:tr w:rsidR="008C2001" w:rsidRPr="008C2001" w14:paraId="732CEA5B"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7C7EB2B5"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Ústecký kraj</w:t>
            </w:r>
          </w:p>
        </w:tc>
        <w:tc>
          <w:tcPr>
            <w:tcW w:w="709" w:type="dxa"/>
            <w:tcBorders>
              <w:top w:val="nil"/>
              <w:left w:val="nil"/>
              <w:bottom w:val="nil"/>
              <w:right w:val="nil"/>
            </w:tcBorders>
            <w:shd w:val="clear" w:color="auto" w:fill="auto"/>
            <w:noWrap/>
            <w:vAlign w:val="center"/>
            <w:hideMark/>
          </w:tcPr>
          <w:p w14:paraId="239AB5E1" w14:textId="77777777" w:rsidR="008C2001" w:rsidRPr="008C2001" w:rsidRDefault="008C2001" w:rsidP="0071250D">
            <w:pPr>
              <w:spacing w:after="0" w:line="240" w:lineRule="auto"/>
              <w:jc w:val="right"/>
              <w:rPr>
                <w:rFonts w:cs="Arial"/>
                <w:sz w:val="16"/>
                <w:szCs w:val="16"/>
              </w:rPr>
            </w:pPr>
            <w:r w:rsidRPr="008C2001">
              <w:rPr>
                <w:rFonts w:cs="Arial"/>
                <w:sz w:val="16"/>
                <w:szCs w:val="16"/>
              </w:rPr>
              <w:t>48,84</w:t>
            </w:r>
          </w:p>
        </w:tc>
        <w:tc>
          <w:tcPr>
            <w:tcW w:w="700" w:type="dxa"/>
            <w:tcBorders>
              <w:top w:val="nil"/>
              <w:left w:val="nil"/>
              <w:bottom w:val="nil"/>
              <w:right w:val="nil"/>
            </w:tcBorders>
            <w:shd w:val="clear" w:color="auto" w:fill="auto"/>
            <w:noWrap/>
            <w:vAlign w:val="center"/>
            <w:hideMark/>
          </w:tcPr>
          <w:p w14:paraId="0140306A" w14:textId="77777777" w:rsidR="008C2001" w:rsidRPr="008C2001" w:rsidRDefault="008C2001" w:rsidP="0071250D">
            <w:pPr>
              <w:spacing w:after="0" w:line="240" w:lineRule="auto"/>
              <w:jc w:val="right"/>
              <w:rPr>
                <w:rFonts w:cs="Arial"/>
                <w:sz w:val="16"/>
                <w:szCs w:val="16"/>
              </w:rPr>
            </w:pPr>
            <w:r w:rsidRPr="008C2001">
              <w:rPr>
                <w:rFonts w:cs="Arial"/>
                <w:sz w:val="16"/>
                <w:szCs w:val="16"/>
              </w:rPr>
              <w:t>32,71</w:t>
            </w:r>
          </w:p>
        </w:tc>
        <w:tc>
          <w:tcPr>
            <w:tcW w:w="700" w:type="dxa"/>
            <w:tcBorders>
              <w:top w:val="nil"/>
              <w:left w:val="nil"/>
              <w:bottom w:val="nil"/>
              <w:right w:val="nil"/>
            </w:tcBorders>
            <w:shd w:val="clear" w:color="auto" w:fill="auto"/>
            <w:noWrap/>
            <w:vAlign w:val="center"/>
            <w:hideMark/>
          </w:tcPr>
          <w:p w14:paraId="168E046A" w14:textId="77777777" w:rsidR="008C2001" w:rsidRPr="008C2001" w:rsidRDefault="008C2001" w:rsidP="0071250D">
            <w:pPr>
              <w:spacing w:after="0" w:line="240" w:lineRule="auto"/>
              <w:jc w:val="right"/>
              <w:rPr>
                <w:rFonts w:cs="Arial"/>
                <w:sz w:val="16"/>
                <w:szCs w:val="16"/>
              </w:rPr>
            </w:pPr>
            <w:r w:rsidRPr="008C2001">
              <w:rPr>
                <w:rFonts w:cs="Arial"/>
                <w:sz w:val="16"/>
                <w:szCs w:val="16"/>
              </w:rPr>
              <w:t>29,99</w:t>
            </w:r>
          </w:p>
        </w:tc>
        <w:tc>
          <w:tcPr>
            <w:tcW w:w="700" w:type="dxa"/>
            <w:tcBorders>
              <w:top w:val="nil"/>
              <w:left w:val="nil"/>
              <w:bottom w:val="nil"/>
              <w:right w:val="nil"/>
            </w:tcBorders>
            <w:shd w:val="clear" w:color="auto" w:fill="auto"/>
            <w:noWrap/>
            <w:vAlign w:val="center"/>
            <w:hideMark/>
          </w:tcPr>
          <w:p w14:paraId="614C08EF" w14:textId="77777777" w:rsidR="008C2001" w:rsidRPr="008C2001" w:rsidRDefault="008C2001" w:rsidP="0071250D">
            <w:pPr>
              <w:spacing w:after="0" w:line="240" w:lineRule="auto"/>
              <w:jc w:val="right"/>
              <w:rPr>
                <w:rFonts w:cs="Arial"/>
                <w:sz w:val="16"/>
                <w:szCs w:val="16"/>
              </w:rPr>
            </w:pPr>
            <w:r w:rsidRPr="008C2001">
              <w:rPr>
                <w:rFonts w:cs="Arial"/>
                <w:sz w:val="16"/>
                <w:szCs w:val="16"/>
              </w:rPr>
              <w:t>29,93</w:t>
            </w:r>
          </w:p>
        </w:tc>
        <w:tc>
          <w:tcPr>
            <w:tcW w:w="700" w:type="dxa"/>
            <w:tcBorders>
              <w:top w:val="nil"/>
              <w:left w:val="nil"/>
              <w:bottom w:val="nil"/>
              <w:right w:val="nil"/>
            </w:tcBorders>
            <w:shd w:val="clear" w:color="auto" w:fill="auto"/>
            <w:noWrap/>
            <w:vAlign w:val="center"/>
            <w:hideMark/>
          </w:tcPr>
          <w:p w14:paraId="3CFFA788" w14:textId="77777777" w:rsidR="008C2001" w:rsidRPr="008C2001" w:rsidRDefault="008C2001" w:rsidP="0071250D">
            <w:pPr>
              <w:spacing w:after="0" w:line="240" w:lineRule="auto"/>
              <w:jc w:val="right"/>
              <w:rPr>
                <w:rFonts w:cs="Arial"/>
                <w:sz w:val="16"/>
                <w:szCs w:val="16"/>
              </w:rPr>
            </w:pPr>
            <w:r w:rsidRPr="008C2001">
              <w:rPr>
                <w:rFonts w:cs="Arial"/>
                <w:sz w:val="16"/>
                <w:szCs w:val="16"/>
              </w:rPr>
              <w:t>27,96</w:t>
            </w:r>
          </w:p>
        </w:tc>
        <w:tc>
          <w:tcPr>
            <w:tcW w:w="700" w:type="dxa"/>
            <w:tcBorders>
              <w:top w:val="nil"/>
              <w:left w:val="nil"/>
              <w:bottom w:val="nil"/>
              <w:right w:val="nil"/>
            </w:tcBorders>
            <w:shd w:val="clear" w:color="auto" w:fill="auto"/>
            <w:noWrap/>
            <w:vAlign w:val="center"/>
            <w:hideMark/>
          </w:tcPr>
          <w:p w14:paraId="36CAE160" w14:textId="77777777" w:rsidR="008C2001" w:rsidRPr="008C2001" w:rsidRDefault="008C2001" w:rsidP="0071250D">
            <w:pPr>
              <w:spacing w:after="0" w:line="240" w:lineRule="auto"/>
              <w:jc w:val="right"/>
              <w:rPr>
                <w:rFonts w:cs="Arial"/>
                <w:sz w:val="16"/>
                <w:szCs w:val="16"/>
              </w:rPr>
            </w:pPr>
            <w:r w:rsidRPr="008C2001">
              <w:rPr>
                <w:rFonts w:cs="Arial"/>
                <w:sz w:val="16"/>
                <w:szCs w:val="16"/>
              </w:rPr>
              <w:t>30,94</w:t>
            </w:r>
          </w:p>
        </w:tc>
        <w:tc>
          <w:tcPr>
            <w:tcW w:w="700" w:type="dxa"/>
            <w:tcBorders>
              <w:top w:val="nil"/>
              <w:left w:val="nil"/>
              <w:bottom w:val="nil"/>
              <w:right w:val="nil"/>
            </w:tcBorders>
            <w:shd w:val="clear" w:color="auto" w:fill="auto"/>
            <w:noWrap/>
            <w:vAlign w:val="center"/>
            <w:hideMark/>
          </w:tcPr>
          <w:p w14:paraId="2034F8F8" w14:textId="77777777" w:rsidR="008C2001" w:rsidRPr="008C2001" w:rsidRDefault="008C2001" w:rsidP="0071250D">
            <w:pPr>
              <w:spacing w:after="0" w:line="240" w:lineRule="auto"/>
              <w:jc w:val="right"/>
              <w:rPr>
                <w:rFonts w:cs="Arial"/>
                <w:sz w:val="16"/>
                <w:szCs w:val="16"/>
              </w:rPr>
            </w:pPr>
            <w:r w:rsidRPr="008C2001">
              <w:rPr>
                <w:rFonts w:cs="Arial"/>
                <w:sz w:val="16"/>
                <w:szCs w:val="16"/>
              </w:rPr>
              <w:t>30,49</w:t>
            </w:r>
          </w:p>
        </w:tc>
        <w:tc>
          <w:tcPr>
            <w:tcW w:w="700" w:type="dxa"/>
            <w:tcBorders>
              <w:top w:val="nil"/>
              <w:left w:val="nil"/>
              <w:bottom w:val="nil"/>
              <w:right w:val="nil"/>
            </w:tcBorders>
            <w:shd w:val="clear" w:color="auto" w:fill="auto"/>
            <w:noWrap/>
            <w:vAlign w:val="center"/>
            <w:hideMark/>
          </w:tcPr>
          <w:p w14:paraId="2B3FF472" w14:textId="77777777" w:rsidR="008C2001" w:rsidRPr="008C2001" w:rsidRDefault="008C2001" w:rsidP="0071250D">
            <w:pPr>
              <w:spacing w:after="0" w:line="240" w:lineRule="auto"/>
              <w:jc w:val="right"/>
              <w:rPr>
                <w:rFonts w:cs="Arial"/>
                <w:sz w:val="16"/>
                <w:szCs w:val="16"/>
              </w:rPr>
            </w:pPr>
            <w:r w:rsidRPr="008C2001">
              <w:rPr>
                <w:rFonts w:cs="Arial"/>
                <w:sz w:val="16"/>
                <w:szCs w:val="16"/>
              </w:rPr>
              <w:t>36,11</w:t>
            </w:r>
          </w:p>
        </w:tc>
        <w:tc>
          <w:tcPr>
            <w:tcW w:w="700" w:type="dxa"/>
            <w:tcBorders>
              <w:top w:val="nil"/>
              <w:left w:val="nil"/>
              <w:bottom w:val="nil"/>
              <w:right w:val="nil"/>
            </w:tcBorders>
            <w:shd w:val="clear" w:color="auto" w:fill="auto"/>
            <w:noWrap/>
            <w:vAlign w:val="center"/>
            <w:hideMark/>
          </w:tcPr>
          <w:p w14:paraId="4F9195A6" w14:textId="77777777" w:rsidR="008C2001" w:rsidRPr="008C2001" w:rsidRDefault="008C2001" w:rsidP="0071250D">
            <w:pPr>
              <w:spacing w:after="0" w:line="240" w:lineRule="auto"/>
              <w:jc w:val="right"/>
              <w:rPr>
                <w:rFonts w:cs="Arial"/>
                <w:sz w:val="16"/>
                <w:szCs w:val="16"/>
              </w:rPr>
            </w:pPr>
            <w:r w:rsidRPr="008C2001">
              <w:rPr>
                <w:rFonts w:cs="Arial"/>
                <w:sz w:val="16"/>
                <w:szCs w:val="16"/>
              </w:rPr>
              <w:t>38,22</w:t>
            </w:r>
          </w:p>
        </w:tc>
        <w:tc>
          <w:tcPr>
            <w:tcW w:w="700" w:type="dxa"/>
            <w:tcBorders>
              <w:top w:val="nil"/>
              <w:left w:val="nil"/>
              <w:bottom w:val="nil"/>
              <w:right w:val="nil"/>
            </w:tcBorders>
            <w:shd w:val="clear" w:color="auto" w:fill="auto"/>
            <w:noWrap/>
            <w:vAlign w:val="center"/>
            <w:hideMark/>
          </w:tcPr>
          <w:p w14:paraId="1F26F226" w14:textId="77777777" w:rsidR="008C2001" w:rsidRPr="008C2001" w:rsidRDefault="008C2001" w:rsidP="0071250D">
            <w:pPr>
              <w:spacing w:after="0" w:line="240" w:lineRule="auto"/>
              <w:jc w:val="right"/>
              <w:rPr>
                <w:rFonts w:cs="Arial"/>
                <w:sz w:val="16"/>
                <w:szCs w:val="16"/>
              </w:rPr>
            </w:pPr>
            <w:r w:rsidRPr="008C2001">
              <w:rPr>
                <w:rFonts w:cs="Arial"/>
                <w:sz w:val="16"/>
                <w:szCs w:val="16"/>
              </w:rPr>
              <w:t>39,09</w:t>
            </w:r>
          </w:p>
        </w:tc>
        <w:tc>
          <w:tcPr>
            <w:tcW w:w="700" w:type="dxa"/>
            <w:tcBorders>
              <w:top w:val="nil"/>
              <w:left w:val="nil"/>
              <w:bottom w:val="nil"/>
              <w:right w:val="nil"/>
            </w:tcBorders>
            <w:shd w:val="clear" w:color="auto" w:fill="auto"/>
            <w:noWrap/>
            <w:vAlign w:val="center"/>
            <w:hideMark/>
          </w:tcPr>
          <w:p w14:paraId="34246469"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42,75</w:t>
            </w:r>
          </w:p>
        </w:tc>
      </w:tr>
      <w:tr w:rsidR="008C2001" w:rsidRPr="008C2001" w14:paraId="4D4F73A1"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1D279993"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Liberecký kraj</w:t>
            </w:r>
          </w:p>
        </w:tc>
        <w:tc>
          <w:tcPr>
            <w:tcW w:w="709" w:type="dxa"/>
            <w:tcBorders>
              <w:top w:val="nil"/>
              <w:left w:val="nil"/>
              <w:bottom w:val="nil"/>
              <w:right w:val="nil"/>
            </w:tcBorders>
            <w:shd w:val="clear" w:color="auto" w:fill="auto"/>
            <w:noWrap/>
            <w:vAlign w:val="center"/>
            <w:hideMark/>
          </w:tcPr>
          <w:p w14:paraId="133B6144" w14:textId="77777777" w:rsidR="008C2001" w:rsidRPr="008C2001" w:rsidRDefault="008C2001" w:rsidP="0071250D">
            <w:pPr>
              <w:spacing w:after="0" w:line="240" w:lineRule="auto"/>
              <w:jc w:val="right"/>
              <w:rPr>
                <w:rFonts w:cs="Arial"/>
                <w:sz w:val="16"/>
                <w:szCs w:val="16"/>
              </w:rPr>
            </w:pPr>
            <w:r w:rsidRPr="008C2001">
              <w:rPr>
                <w:rFonts w:cs="Arial"/>
                <w:sz w:val="16"/>
                <w:szCs w:val="16"/>
              </w:rPr>
              <w:t>54,04</w:t>
            </w:r>
          </w:p>
        </w:tc>
        <w:tc>
          <w:tcPr>
            <w:tcW w:w="700" w:type="dxa"/>
            <w:tcBorders>
              <w:top w:val="nil"/>
              <w:left w:val="nil"/>
              <w:bottom w:val="nil"/>
              <w:right w:val="nil"/>
            </w:tcBorders>
            <w:shd w:val="clear" w:color="auto" w:fill="auto"/>
            <w:noWrap/>
            <w:vAlign w:val="center"/>
            <w:hideMark/>
          </w:tcPr>
          <w:p w14:paraId="680F1E68" w14:textId="77777777" w:rsidR="008C2001" w:rsidRPr="008C2001" w:rsidRDefault="008C2001" w:rsidP="0071250D">
            <w:pPr>
              <w:spacing w:after="0" w:line="240" w:lineRule="auto"/>
              <w:jc w:val="right"/>
              <w:rPr>
                <w:rFonts w:cs="Arial"/>
                <w:sz w:val="16"/>
                <w:szCs w:val="16"/>
              </w:rPr>
            </w:pPr>
            <w:r w:rsidRPr="008C2001">
              <w:rPr>
                <w:rFonts w:cs="Arial"/>
                <w:sz w:val="16"/>
                <w:szCs w:val="16"/>
              </w:rPr>
              <w:t>36,72</w:t>
            </w:r>
          </w:p>
        </w:tc>
        <w:tc>
          <w:tcPr>
            <w:tcW w:w="700" w:type="dxa"/>
            <w:tcBorders>
              <w:top w:val="nil"/>
              <w:left w:val="nil"/>
              <w:bottom w:val="nil"/>
              <w:right w:val="nil"/>
            </w:tcBorders>
            <w:shd w:val="clear" w:color="auto" w:fill="auto"/>
            <w:noWrap/>
            <w:vAlign w:val="center"/>
            <w:hideMark/>
          </w:tcPr>
          <w:p w14:paraId="270E582B" w14:textId="77777777" w:rsidR="008C2001" w:rsidRPr="008C2001" w:rsidRDefault="008C2001" w:rsidP="0071250D">
            <w:pPr>
              <w:spacing w:after="0" w:line="240" w:lineRule="auto"/>
              <w:jc w:val="right"/>
              <w:rPr>
                <w:rFonts w:cs="Arial"/>
                <w:sz w:val="16"/>
                <w:szCs w:val="16"/>
              </w:rPr>
            </w:pPr>
            <w:r w:rsidRPr="008C2001">
              <w:rPr>
                <w:rFonts w:cs="Arial"/>
                <w:sz w:val="16"/>
                <w:szCs w:val="16"/>
              </w:rPr>
              <w:t>32,76</w:t>
            </w:r>
          </w:p>
        </w:tc>
        <w:tc>
          <w:tcPr>
            <w:tcW w:w="700" w:type="dxa"/>
            <w:tcBorders>
              <w:top w:val="nil"/>
              <w:left w:val="nil"/>
              <w:bottom w:val="nil"/>
              <w:right w:val="nil"/>
            </w:tcBorders>
            <w:shd w:val="clear" w:color="auto" w:fill="auto"/>
            <w:noWrap/>
            <w:vAlign w:val="center"/>
            <w:hideMark/>
          </w:tcPr>
          <w:p w14:paraId="6C594209" w14:textId="77777777" w:rsidR="008C2001" w:rsidRPr="008C2001" w:rsidRDefault="008C2001" w:rsidP="0071250D">
            <w:pPr>
              <w:spacing w:after="0" w:line="240" w:lineRule="auto"/>
              <w:jc w:val="right"/>
              <w:rPr>
                <w:rFonts w:cs="Arial"/>
                <w:sz w:val="16"/>
                <w:szCs w:val="16"/>
              </w:rPr>
            </w:pPr>
            <w:r w:rsidRPr="008C2001">
              <w:rPr>
                <w:rFonts w:cs="Arial"/>
                <w:sz w:val="16"/>
                <w:szCs w:val="16"/>
              </w:rPr>
              <w:t>32,51</w:t>
            </w:r>
          </w:p>
        </w:tc>
        <w:tc>
          <w:tcPr>
            <w:tcW w:w="700" w:type="dxa"/>
            <w:tcBorders>
              <w:top w:val="nil"/>
              <w:left w:val="nil"/>
              <w:bottom w:val="nil"/>
              <w:right w:val="nil"/>
            </w:tcBorders>
            <w:shd w:val="clear" w:color="auto" w:fill="auto"/>
            <w:noWrap/>
            <w:vAlign w:val="center"/>
            <w:hideMark/>
          </w:tcPr>
          <w:p w14:paraId="374739FF" w14:textId="77777777" w:rsidR="008C2001" w:rsidRPr="008C2001" w:rsidRDefault="008C2001" w:rsidP="0071250D">
            <w:pPr>
              <w:spacing w:after="0" w:line="240" w:lineRule="auto"/>
              <w:jc w:val="right"/>
              <w:rPr>
                <w:rFonts w:cs="Arial"/>
                <w:sz w:val="16"/>
                <w:szCs w:val="16"/>
              </w:rPr>
            </w:pPr>
            <w:r w:rsidRPr="008C2001">
              <w:rPr>
                <w:rFonts w:cs="Arial"/>
                <w:sz w:val="16"/>
                <w:szCs w:val="16"/>
              </w:rPr>
              <w:t>32,10</w:t>
            </w:r>
          </w:p>
        </w:tc>
        <w:tc>
          <w:tcPr>
            <w:tcW w:w="700" w:type="dxa"/>
            <w:tcBorders>
              <w:top w:val="nil"/>
              <w:left w:val="nil"/>
              <w:bottom w:val="nil"/>
              <w:right w:val="nil"/>
            </w:tcBorders>
            <w:shd w:val="clear" w:color="auto" w:fill="auto"/>
            <w:noWrap/>
            <w:vAlign w:val="center"/>
            <w:hideMark/>
          </w:tcPr>
          <w:p w14:paraId="4288C6AD" w14:textId="77777777" w:rsidR="008C2001" w:rsidRPr="008C2001" w:rsidRDefault="008C2001" w:rsidP="0071250D">
            <w:pPr>
              <w:spacing w:after="0" w:line="240" w:lineRule="auto"/>
              <w:jc w:val="right"/>
              <w:rPr>
                <w:rFonts w:cs="Arial"/>
                <w:sz w:val="16"/>
                <w:szCs w:val="16"/>
              </w:rPr>
            </w:pPr>
            <w:r w:rsidRPr="008C2001">
              <w:rPr>
                <w:rFonts w:cs="Arial"/>
                <w:sz w:val="16"/>
                <w:szCs w:val="16"/>
              </w:rPr>
              <w:t>35,70</w:t>
            </w:r>
          </w:p>
        </w:tc>
        <w:tc>
          <w:tcPr>
            <w:tcW w:w="700" w:type="dxa"/>
            <w:tcBorders>
              <w:top w:val="nil"/>
              <w:left w:val="nil"/>
              <w:bottom w:val="nil"/>
              <w:right w:val="nil"/>
            </w:tcBorders>
            <w:shd w:val="clear" w:color="auto" w:fill="auto"/>
            <w:noWrap/>
            <w:vAlign w:val="center"/>
            <w:hideMark/>
          </w:tcPr>
          <w:p w14:paraId="143AA8ED" w14:textId="77777777" w:rsidR="008C2001" w:rsidRPr="008C2001" w:rsidRDefault="008C2001" w:rsidP="0071250D">
            <w:pPr>
              <w:spacing w:after="0" w:line="240" w:lineRule="auto"/>
              <w:jc w:val="right"/>
              <w:rPr>
                <w:rFonts w:cs="Arial"/>
                <w:sz w:val="16"/>
                <w:szCs w:val="16"/>
              </w:rPr>
            </w:pPr>
            <w:r w:rsidRPr="008C2001">
              <w:rPr>
                <w:rFonts w:cs="Arial"/>
                <w:sz w:val="16"/>
                <w:szCs w:val="16"/>
              </w:rPr>
              <w:t>34,75</w:t>
            </w:r>
          </w:p>
        </w:tc>
        <w:tc>
          <w:tcPr>
            <w:tcW w:w="700" w:type="dxa"/>
            <w:tcBorders>
              <w:top w:val="nil"/>
              <w:left w:val="nil"/>
              <w:bottom w:val="nil"/>
              <w:right w:val="nil"/>
            </w:tcBorders>
            <w:shd w:val="clear" w:color="auto" w:fill="auto"/>
            <w:noWrap/>
            <w:vAlign w:val="center"/>
            <w:hideMark/>
          </w:tcPr>
          <w:p w14:paraId="296F49EA" w14:textId="77777777" w:rsidR="008C2001" w:rsidRPr="008C2001" w:rsidRDefault="008C2001" w:rsidP="0071250D">
            <w:pPr>
              <w:spacing w:after="0" w:line="240" w:lineRule="auto"/>
              <w:jc w:val="right"/>
              <w:rPr>
                <w:rFonts w:cs="Arial"/>
                <w:sz w:val="16"/>
                <w:szCs w:val="16"/>
              </w:rPr>
            </w:pPr>
            <w:r w:rsidRPr="008C2001">
              <w:rPr>
                <w:rFonts w:cs="Arial"/>
                <w:sz w:val="16"/>
                <w:szCs w:val="16"/>
              </w:rPr>
              <w:t>40,38</w:t>
            </w:r>
          </w:p>
        </w:tc>
        <w:tc>
          <w:tcPr>
            <w:tcW w:w="700" w:type="dxa"/>
            <w:tcBorders>
              <w:top w:val="nil"/>
              <w:left w:val="nil"/>
              <w:bottom w:val="nil"/>
              <w:right w:val="nil"/>
            </w:tcBorders>
            <w:shd w:val="clear" w:color="auto" w:fill="auto"/>
            <w:noWrap/>
            <w:vAlign w:val="center"/>
            <w:hideMark/>
          </w:tcPr>
          <w:p w14:paraId="2D736A3B" w14:textId="77777777" w:rsidR="008C2001" w:rsidRPr="008C2001" w:rsidRDefault="008C2001" w:rsidP="0071250D">
            <w:pPr>
              <w:spacing w:after="0" w:line="240" w:lineRule="auto"/>
              <w:jc w:val="right"/>
              <w:rPr>
                <w:rFonts w:cs="Arial"/>
                <w:sz w:val="16"/>
                <w:szCs w:val="16"/>
              </w:rPr>
            </w:pPr>
            <w:r w:rsidRPr="008C2001">
              <w:rPr>
                <w:rFonts w:cs="Arial"/>
                <w:sz w:val="16"/>
                <w:szCs w:val="16"/>
              </w:rPr>
              <w:t>43,10</w:t>
            </w:r>
          </w:p>
        </w:tc>
        <w:tc>
          <w:tcPr>
            <w:tcW w:w="700" w:type="dxa"/>
            <w:tcBorders>
              <w:top w:val="nil"/>
              <w:left w:val="nil"/>
              <w:bottom w:val="nil"/>
              <w:right w:val="nil"/>
            </w:tcBorders>
            <w:shd w:val="clear" w:color="auto" w:fill="auto"/>
            <w:noWrap/>
            <w:vAlign w:val="center"/>
            <w:hideMark/>
          </w:tcPr>
          <w:p w14:paraId="3FBF1334" w14:textId="77777777" w:rsidR="008C2001" w:rsidRPr="008C2001" w:rsidRDefault="008C2001" w:rsidP="0071250D">
            <w:pPr>
              <w:spacing w:after="0" w:line="240" w:lineRule="auto"/>
              <w:jc w:val="right"/>
              <w:rPr>
                <w:rFonts w:cs="Arial"/>
                <w:sz w:val="16"/>
                <w:szCs w:val="16"/>
              </w:rPr>
            </w:pPr>
            <w:r w:rsidRPr="008C2001">
              <w:rPr>
                <w:rFonts w:cs="Arial"/>
                <w:sz w:val="16"/>
                <w:szCs w:val="16"/>
              </w:rPr>
              <w:t>44,29</w:t>
            </w:r>
          </w:p>
        </w:tc>
        <w:tc>
          <w:tcPr>
            <w:tcW w:w="700" w:type="dxa"/>
            <w:tcBorders>
              <w:top w:val="nil"/>
              <w:left w:val="nil"/>
              <w:bottom w:val="nil"/>
              <w:right w:val="nil"/>
            </w:tcBorders>
            <w:shd w:val="clear" w:color="auto" w:fill="auto"/>
            <w:noWrap/>
            <w:vAlign w:val="center"/>
            <w:hideMark/>
          </w:tcPr>
          <w:p w14:paraId="20508D75" w14:textId="77777777" w:rsidR="008C2001" w:rsidRPr="008C2001" w:rsidRDefault="008C2001" w:rsidP="0071250D">
            <w:pPr>
              <w:spacing w:after="0" w:line="240" w:lineRule="auto"/>
              <w:jc w:val="right"/>
              <w:rPr>
                <w:rFonts w:cs="Arial"/>
                <w:sz w:val="16"/>
                <w:szCs w:val="16"/>
              </w:rPr>
            </w:pPr>
            <w:r w:rsidRPr="008C2001">
              <w:rPr>
                <w:rFonts w:cs="Arial"/>
                <w:sz w:val="16"/>
                <w:szCs w:val="16"/>
              </w:rPr>
              <w:t>48,09</w:t>
            </w:r>
          </w:p>
        </w:tc>
      </w:tr>
      <w:tr w:rsidR="008C2001" w:rsidRPr="008C2001" w14:paraId="14439365"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7C13D52E"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Královéhradecký kraj</w:t>
            </w:r>
          </w:p>
        </w:tc>
        <w:tc>
          <w:tcPr>
            <w:tcW w:w="709" w:type="dxa"/>
            <w:tcBorders>
              <w:top w:val="nil"/>
              <w:left w:val="nil"/>
              <w:bottom w:val="nil"/>
              <w:right w:val="nil"/>
            </w:tcBorders>
            <w:shd w:val="clear" w:color="auto" w:fill="auto"/>
            <w:noWrap/>
            <w:vAlign w:val="center"/>
            <w:hideMark/>
          </w:tcPr>
          <w:p w14:paraId="1FE642EB" w14:textId="77777777" w:rsidR="008C2001" w:rsidRPr="008C2001" w:rsidRDefault="008C2001" w:rsidP="0071250D">
            <w:pPr>
              <w:spacing w:after="0" w:line="240" w:lineRule="auto"/>
              <w:jc w:val="right"/>
              <w:rPr>
                <w:rFonts w:cs="Arial"/>
                <w:sz w:val="16"/>
                <w:szCs w:val="16"/>
              </w:rPr>
            </w:pPr>
            <w:r w:rsidRPr="008C2001">
              <w:rPr>
                <w:rFonts w:cs="Arial"/>
                <w:sz w:val="16"/>
                <w:szCs w:val="16"/>
              </w:rPr>
              <w:t>48,82</w:t>
            </w:r>
          </w:p>
        </w:tc>
        <w:tc>
          <w:tcPr>
            <w:tcW w:w="700" w:type="dxa"/>
            <w:tcBorders>
              <w:top w:val="nil"/>
              <w:left w:val="nil"/>
              <w:bottom w:val="nil"/>
              <w:right w:val="nil"/>
            </w:tcBorders>
            <w:shd w:val="clear" w:color="auto" w:fill="auto"/>
            <w:noWrap/>
            <w:vAlign w:val="center"/>
            <w:hideMark/>
          </w:tcPr>
          <w:p w14:paraId="5FA1F8ED" w14:textId="77777777" w:rsidR="008C2001" w:rsidRPr="008C2001" w:rsidRDefault="008C2001" w:rsidP="0071250D">
            <w:pPr>
              <w:spacing w:after="0" w:line="240" w:lineRule="auto"/>
              <w:jc w:val="right"/>
              <w:rPr>
                <w:rFonts w:cs="Arial"/>
                <w:sz w:val="16"/>
                <w:szCs w:val="16"/>
              </w:rPr>
            </w:pPr>
            <w:r w:rsidRPr="008C2001">
              <w:rPr>
                <w:rFonts w:cs="Arial"/>
                <w:sz w:val="16"/>
                <w:szCs w:val="16"/>
              </w:rPr>
              <w:t>33,61</w:t>
            </w:r>
          </w:p>
        </w:tc>
        <w:tc>
          <w:tcPr>
            <w:tcW w:w="700" w:type="dxa"/>
            <w:tcBorders>
              <w:top w:val="nil"/>
              <w:left w:val="nil"/>
              <w:bottom w:val="nil"/>
              <w:right w:val="nil"/>
            </w:tcBorders>
            <w:shd w:val="clear" w:color="auto" w:fill="auto"/>
            <w:noWrap/>
            <w:vAlign w:val="center"/>
            <w:hideMark/>
          </w:tcPr>
          <w:p w14:paraId="63D787D8" w14:textId="77777777" w:rsidR="008C2001" w:rsidRPr="008C2001" w:rsidRDefault="008C2001" w:rsidP="0071250D">
            <w:pPr>
              <w:spacing w:after="0" w:line="240" w:lineRule="auto"/>
              <w:jc w:val="right"/>
              <w:rPr>
                <w:rFonts w:cs="Arial"/>
                <w:sz w:val="16"/>
                <w:szCs w:val="16"/>
              </w:rPr>
            </w:pPr>
            <w:r w:rsidRPr="008C2001">
              <w:rPr>
                <w:rFonts w:cs="Arial"/>
                <w:sz w:val="16"/>
                <w:szCs w:val="16"/>
              </w:rPr>
              <w:t>30,52</w:t>
            </w:r>
          </w:p>
        </w:tc>
        <w:tc>
          <w:tcPr>
            <w:tcW w:w="700" w:type="dxa"/>
            <w:tcBorders>
              <w:top w:val="nil"/>
              <w:left w:val="nil"/>
              <w:bottom w:val="nil"/>
              <w:right w:val="nil"/>
            </w:tcBorders>
            <w:shd w:val="clear" w:color="auto" w:fill="auto"/>
            <w:noWrap/>
            <w:vAlign w:val="center"/>
            <w:hideMark/>
          </w:tcPr>
          <w:p w14:paraId="5E834AF3" w14:textId="77777777" w:rsidR="008C2001" w:rsidRPr="008C2001" w:rsidRDefault="008C2001" w:rsidP="0071250D">
            <w:pPr>
              <w:spacing w:after="0" w:line="240" w:lineRule="auto"/>
              <w:jc w:val="right"/>
              <w:rPr>
                <w:rFonts w:cs="Arial"/>
                <w:sz w:val="16"/>
                <w:szCs w:val="16"/>
              </w:rPr>
            </w:pPr>
            <w:r w:rsidRPr="008C2001">
              <w:rPr>
                <w:rFonts w:cs="Arial"/>
                <w:sz w:val="16"/>
                <w:szCs w:val="16"/>
              </w:rPr>
              <w:t>30,70</w:t>
            </w:r>
          </w:p>
        </w:tc>
        <w:tc>
          <w:tcPr>
            <w:tcW w:w="700" w:type="dxa"/>
            <w:tcBorders>
              <w:top w:val="nil"/>
              <w:left w:val="nil"/>
              <w:bottom w:val="nil"/>
              <w:right w:val="nil"/>
            </w:tcBorders>
            <w:shd w:val="clear" w:color="auto" w:fill="auto"/>
            <w:noWrap/>
            <w:vAlign w:val="center"/>
            <w:hideMark/>
          </w:tcPr>
          <w:p w14:paraId="6DDF322D" w14:textId="77777777" w:rsidR="008C2001" w:rsidRPr="008C2001" w:rsidRDefault="008C2001" w:rsidP="0071250D">
            <w:pPr>
              <w:spacing w:after="0" w:line="240" w:lineRule="auto"/>
              <w:jc w:val="right"/>
              <w:rPr>
                <w:rFonts w:cs="Arial"/>
                <w:sz w:val="16"/>
                <w:szCs w:val="16"/>
              </w:rPr>
            </w:pPr>
            <w:r w:rsidRPr="008C2001">
              <w:rPr>
                <w:rFonts w:cs="Arial"/>
                <w:sz w:val="16"/>
                <w:szCs w:val="16"/>
              </w:rPr>
              <w:t>28,66</w:t>
            </w:r>
          </w:p>
        </w:tc>
        <w:tc>
          <w:tcPr>
            <w:tcW w:w="700" w:type="dxa"/>
            <w:tcBorders>
              <w:top w:val="nil"/>
              <w:left w:val="nil"/>
              <w:bottom w:val="nil"/>
              <w:right w:val="nil"/>
            </w:tcBorders>
            <w:shd w:val="clear" w:color="auto" w:fill="auto"/>
            <w:noWrap/>
            <w:vAlign w:val="center"/>
            <w:hideMark/>
          </w:tcPr>
          <w:p w14:paraId="2694E9C0" w14:textId="77777777" w:rsidR="008C2001" w:rsidRPr="008C2001" w:rsidRDefault="008C2001" w:rsidP="0071250D">
            <w:pPr>
              <w:spacing w:after="0" w:line="240" w:lineRule="auto"/>
              <w:jc w:val="right"/>
              <w:rPr>
                <w:rFonts w:cs="Arial"/>
                <w:sz w:val="16"/>
                <w:szCs w:val="16"/>
              </w:rPr>
            </w:pPr>
            <w:r w:rsidRPr="008C2001">
              <w:rPr>
                <w:rFonts w:cs="Arial"/>
                <w:sz w:val="16"/>
                <w:szCs w:val="16"/>
              </w:rPr>
              <w:t>31,50</w:t>
            </w:r>
          </w:p>
        </w:tc>
        <w:tc>
          <w:tcPr>
            <w:tcW w:w="700" w:type="dxa"/>
            <w:tcBorders>
              <w:top w:val="nil"/>
              <w:left w:val="nil"/>
              <w:bottom w:val="nil"/>
              <w:right w:val="nil"/>
            </w:tcBorders>
            <w:shd w:val="clear" w:color="auto" w:fill="auto"/>
            <w:noWrap/>
            <w:vAlign w:val="center"/>
            <w:hideMark/>
          </w:tcPr>
          <w:p w14:paraId="39D838E7" w14:textId="77777777" w:rsidR="008C2001" w:rsidRPr="008C2001" w:rsidRDefault="008C2001" w:rsidP="0071250D">
            <w:pPr>
              <w:spacing w:after="0" w:line="240" w:lineRule="auto"/>
              <w:jc w:val="right"/>
              <w:rPr>
                <w:rFonts w:cs="Arial"/>
                <w:sz w:val="16"/>
                <w:szCs w:val="16"/>
              </w:rPr>
            </w:pPr>
            <w:r w:rsidRPr="008C2001">
              <w:rPr>
                <w:rFonts w:cs="Arial"/>
                <w:sz w:val="16"/>
                <w:szCs w:val="16"/>
              </w:rPr>
              <w:t>30,21</w:t>
            </w:r>
          </w:p>
        </w:tc>
        <w:tc>
          <w:tcPr>
            <w:tcW w:w="700" w:type="dxa"/>
            <w:tcBorders>
              <w:top w:val="nil"/>
              <w:left w:val="nil"/>
              <w:bottom w:val="nil"/>
              <w:right w:val="nil"/>
            </w:tcBorders>
            <w:shd w:val="clear" w:color="auto" w:fill="auto"/>
            <w:noWrap/>
            <w:vAlign w:val="center"/>
            <w:hideMark/>
          </w:tcPr>
          <w:p w14:paraId="370BBAB4" w14:textId="77777777" w:rsidR="008C2001" w:rsidRPr="008C2001" w:rsidRDefault="008C2001" w:rsidP="0071250D">
            <w:pPr>
              <w:spacing w:after="0" w:line="240" w:lineRule="auto"/>
              <w:jc w:val="right"/>
              <w:rPr>
                <w:rFonts w:cs="Arial"/>
                <w:sz w:val="16"/>
                <w:szCs w:val="16"/>
              </w:rPr>
            </w:pPr>
            <w:r w:rsidRPr="008C2001">
              <w:rPr>
                <w:rFonts w:cs="Arial"/>
                <w:sz w:val="16"/>
                <w:szCs w:val="16"/>
              </w:rPr>
              <w:t>35,95</w:t>
            </w:r>
          </w:p>
        </w:tc>
        <w:tc>
          <w:tcPr>
            <w:tcW w:w="700" w:type="dxa"/>
            <w:tcBorders>
              <w:top w:val="nil"/>
              <w:left w:val="nil"/>
              <w:bottom w:val="nil"/>
              <w:right w:val="nil"/>
            </w:tcBorders>
            <w:shd w:val="clear" w:color="auto" w:fill="auto"/>
            <w:noWrap/>
            <w:vAlign w:val="center"/>
            <w:hideMark/>
          </w:tcPr>
          <w:p w14:paraId="58065B7D" w14:textId="77777777" w:rsidR="008C2001" w:rsidRPr="008C2001" w:rsidRDefault="008C2001" w:rsidP="0071250D">
            <w:pPr>
              <w:spacing w:after="0" w:line="240" w:lineRule="auto"/>
              <w:jc w:val="right"/>
              <w:rPr>
                <w:rFonts w:cs="Arial"/>
                <w:sz w:val="16"/>
                <w:szCs w:val="16"/>
              </w:rPr>
            </w:pPr>
            <w:r w:rsidRPr="008C2001">
              <w:rPr>
                <w:rFonts w:cs="Arial"/>
                <w:sz w:val="16"/>
                <w:szCs w:val="16"/>
              </w:rPr>
              <w:t>38,54</w:t>
            </w:r>
          </w:p>
        </w:tc>
        <w:tc>
          <w:tcPr>
            <w:tcW w:w="700" w:type="dxa"/>
            <w:tcBorders>
              <w:top w:val="nil"/>
              <w:left w:val="nil"/>
              <w:bottom w:val="nil"/>
              <w:right w:val="nil"/>
            </w:tcBorders>
            <w:shd w:val="clear" w:color="auto" w:fill="auto"/>
            <w:noWrap/>
            <w:vAlign w:val="center"/>
            <w:hideMark/>
          </w:tcPr>
          <w:p w14:paraId="06F0AAEC"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40,61</w:t>
            </w:r>
          </w:p>
        </w:tc>
        <w:tc>
          <w:tcPr>
            <w:tcW w:w="700" w:type="dxa"/>
            <w:tcBorders>
              <w:top w:val="nil"/>
              <w:left w:val="nil"/>
              <w:bottom w:val="nil"/>
              <w:right w:val="nil"/>
            </w:tcBorders>
            <w:shd w:val="clear" w:color="auto" w:fill="auto"/>
            <w:noWrap/>
            <w:vAlign w:val="center"/>
            <w:hideMark/>
          </w:tcPr>
          <w:p w14:paraId="59D9D169" w14:textId="77777777" w:rsidR="008C2001" w:rsidRPr="008C2001" w:rsidRDefault="008C2001" w:rsidP="0071250D">
            <w:pPr>
              <w:spacing w:after="0" w:line="240" w:lineRule="auto"/>
              <w:jc w:val="right"/>
              <w:rPr>
                <w:rFonts w:cs="Arial"/>
                <w:sz w:val="16"/>
                <w:szCs w:val="16"/>
              </w:rPr>
            </w:pPr>
            <w:r w:rsidRPr="008C2001">
              <w:rPr>
                <w:rFonts w:cs="Arial"/>
                <w:sz w:val="16"/>
                <w:szCs w:val="16"/>
              </w:rPr>
              <w:t>44,00</w:t>
            </w:r>
          </w:p>
        </w:tc>
      </w:tr>
      <w:tr w:rsidR="008C2001" w:rsidRPr="008C2001" w14:paraId="72072B1A"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7F7A52E5"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Pardubický kraj</w:t>
            </w:r>
          </w:p>
        </w:tc>
        <w:tc>
          <w:tcPr>
            <w:tcW w:w="709" w:type="dxa"/>
            <w:tcBorders>
              <w:top w:val="nil"/>
              <w:left w:val="nil"/>
              <w:bottom w:val="nil"/>
              <w:right w:val="nil"/>
            </w:tcBorders>
            <w:shd w:val="clear" w:color="auto" w:fill="auto"/>
            <w:noWrap/>
            <w:vAlign w:val="center"/>
            <w:hideMark/>
          </w:tcPr>
          <w:p w14:paraId="12CB06CB" w14:textId="77777777" w:rsidR="008C2001" w:rsidRPr="008C2001" w:rsidRDefault="008C2001" w:rsidP="0071250D">
            <w:pPr>
              <w:spacing w:after="0" w:line="240" w:lineRule="auto"/>
              <w:jc w:val="right"/>
              <w:rPr>
                <w:rFonts w:cs="Arial"/>
                <w:sz w:val="16"/>
                <w:szCs w:val="16"/>
              </w:rPr>
            </w:pPr>
            <w:r w:rsidRPr="008C2001">
              <w:rPr>
                <w:rFonts w:cs="Arial"/>
                <w:sz w:val="16"/>
                <w:szCs w:val="16"/>
              </w:rPr>
              <w:t>49,67</w:t>
            </w:r>
          </w:p>
        </w:tc>
        <w:tc>
          <w:tcPr>
            <w:tcW w:w="700" w:type="dxa"/>
            <w:tcBorders>
              <w:top w:val="nil"/>
              <w:left w:val="nil"/>
              <w:bottom w:val="nil"/>
              <w:right w:val="nil"/>
            </w:tcBorders>
            <w:shd w:val="clear" w:color="auto" w:fill="auto"/>
            <w:noWrap/>
            <w:vAlign w:val="center"/>
            <w:hideMark/>
          </w:tcPr>
          <w:p w14:paraId="11D046EE" w14:textId="77777777" w:rsidR="008C2001" w:rsidRPr="008C2001" w:rsidRDefault="008C2001" w:rsidP="0071250D">
            <w:pPr>
              <w:spacing w:after="0" w:line="240" w:lineRule="auto"/>
              <w:jc w:val="right"/>
              <w:rPr>
                <w:rFonts w:cs="Arial"/>
                <w:sz w:val="16"/>
                <w:szCs w:val="16"/>
              </w:rPr>
            </w:pPr>
            <w:r w:rsidRPr="008C2001">
              <w:rPr>
                <w:rFonts w:cs="Arial"/>
                <w:sz w:val="16"/>
                <w:szCs w:val="16"/>
              </w:rPr>
              <w:t>33,61</w:t>
            </w:r>
          </w:p>
        </w:tc>
        <w:tc>
          <w:tcPr>
            <w:tcW w:w="700" w:type="dxa"/>
            <w:tcBorders>
              <w:top w:val="nil"/>
              <w:left w:val="nil"/>
              <w:bottom w:val="nil"/>
              <w:right w:val="nil"/>
            </w:tcBorders>
            <w:shd w:val="clear" w:color="auto" w:fill="auto"/>
            <w:noWrap/>
            <w:vAlign w:val="center"/>
            <w:hideMark/>
          </w:tcPr>
          <w:p w14:paraId="7E3DE03D" w14:textId="77777777" w:rsidR="008C2001" w:rsidRPr="008C2001" w:rsidRDefault="008C2001" w:rsidP="0071250D">
            <w:pPr>
              <w:spacing w:after="0" w:line="240" w:lineRule="auto"/>
              <w:jc w:val="right"/>
              <w:rPr>
                <w:rFonts w:cs="Arial"/>
                <w:sz w:val="16"/>
                <w:szCs w:val="16"/>
              </w:rPr>
            </w:pPr>
            <w:r w:rsidRPr="008C2001">
              <w:rPr>
                <w:rFonts w:cs="Arial"/>
                <w:sz w:val="16"/>
                <w:szCs w:val="16"/>
              </w:rPr>
              <w:t>30,58</w:t>
            </w:r>
          </w:p>
        </w:tc>
        <w:tc>
          <w:tcPr>
            <w:tcW w:w="700" w:type="dxa"/>
            <w:tcBorders>
              <w:top w:val="nil"/>
              <w:left w:val="nil"/>
              <w:bottom w:val="nil"/>
              <w:right w:val="nil"/>
            </w:tcBorders>
            <w:shd w:val="clear" w:color="auto" w:fill="auto"/>
            <w:noWrap/>
            <w:vAlign w:val="center"/>
            <w:hideMark/>
          </w:tcPr>
          <w:p w14:paraId="26D084D0" w14:textId="77777777" w:rsidR="008C2001" w:rsidRPr="008C2001" w:rsidRDefault="008C2001" w:rsidP="0071250D">
            <w:pPr>
              <w:spacing w:after="0" w:line="240" w:lineRule="auto"/>
              <w:jc w:val="right"/>
              <w:rPr>
                <w:rFonts w:cs="Arial"/>
                <w:sz w:val="16"/>
                <w:szCs w:val="16"/>
              </w:rPr>
            </w:pPr>
            <w:r w:rsidRPr="008C2001">
              <w:rPr>
                <w:rFonts w:cs="Arial"/>
                <w:sz w:val="16"/>
                <w:szCs w:val="16"/>
              </w:rPr>
              <w:t>30,62</w:t>
            </w:r>
          </w:p>
        </w:tc>
        <w:tc>
          <w:tcPr>
            <w:tcW w:w="700" w:type="dxa"/>
            <w:tcBorders>
              <w:top w:val="nil"/>
              <w:left w:val="nil"/>
              <w:bottom w:val="nil"/>
              <w:right w:val="nil"/>
            </w:tcBorders>
            <w:shd w:val="clear" w:color="auto" w:fill="auto"/>
            <w:noWrap/>
            <w:vAlign w:val="center"/>
            <w:hideMark/>
          </w:tcPr>
          <w:p w14:paraId="2883F4C2" w14:textId="77777777" w:rsidR="008C2001" w:rsidRPr="008C2001" w:rsidRDefault="008C2001" w:rsidP="0071250D">
            <w:pPr>
              <w:spacing w:after="0" w:line="240" w:lineRule="auto"/>
              <w:jc w:val="right"/>
              <w:rPr>
                <w:rFonts w:cs="Arial"/>
                <w:sz w:val="16"/>
                <w:szCs w:val="16"/>
              </w:rPr>
            </w:pPr>
            <w:r w:rsidRPr="008C2001">
              <w:rPr>
                <w:rFonts w:cs="Arial"/>
                <w:sz w:val="16"/>
                <w:szCs w:val="16"/>
              </w:rPr>
              <w:t>28,51</w:t>
            </w:r>
          </w:p>
        </w:tc>
        <w:tc>
          <w:tcPr>
            <w:tcW w:w="700" w:type="dxa"/>
            <w:tcBorders>
              <w:top w:val="nil"/>
              <w:left w:val="nil"/>
              <w:bottom w:val="nil"/>
              <w:right w:val="nil"/>
            </w:tcBorders>
            <w:shd w:val="clear" w:color="auto" w:fill="auto"/>
            <w:noWrap/>
            <w:vAlign w:val="center"/>
            <w:hideMark/>
          </w:tcPr>
          <w:p w14:paraId="69517E1B" w14:textId="77777777" w:rsidR="008C2001" w:rsidRPr="008C2001" w:rsidRDefault="008C2001" w:rsidP="0071250D">
            <w:pPr>
              <w:spacing w:after="0" w:line="240" w:lineRule="auto"/>
              <w:jc w:val="right"/>
              <w:rPr>
                <w:rFonts w:cs="Arial"/>
                <w:sz w:val="16"/>
                <w:szCs w:val="16"/>
              </w:rPr>
            </w:pPr>
            <w:r w:rsidRPr="008C2001">
              <w:rPr>
                <w:rFonts w:cs="Arial"/>
                <w:sz w:val="16"/>
                <w:szCs w:val="16"/>
              </w:rPr>
              <w:t>30,84</w:t>
            </w:r>
          </w:p>
        </w:tc>
        <w:tc>
          <w:tcPr>
            <w:tcW w:w="700" w:type="dxa"/>
            <w:tcBorders>
              <w:top w:val="nil"/>
              <w:left w:val="nil"/>
              <w:bottom w:val="nil"/>
              <w:right w:val="nil"/>
            </w:tcBorders>
            <w:shd w:val="clear" w:color="auto" w:fill="auto"/>
            <w:noWrap/>
            <w:vAlign w:val="center"/>
            <w:hideMark/>
          </w:tcPr>
          <w:p w14:paraId="765FC485" w14:textId="77777777" w:rsidR="008C2001" w:rsidRPr="008C2001" w:rsidRDefault="008C2001" w:rsidP="0071250D">
            <w:pPr>
              <w:spacing w:after="0" w:line="240" w:lineRule="auto"/>
              <w:jc w:val="right"/>
              <w:rPr>
                <w:rFonts w:cs="Arial"/>
                <w:sz w:val="16"/>
                <w:szCs w:val="16"/>
              </w:rPr>
            </w:pPr>
            <w:r w:rsidRPr="008C2001">
              <w:rPr>
                <w:rFonts w:cs="Arial"/>
                <w:sz w:val="16"/>
                <w:szCs w:val="16"/>
              </w:rPr>
              <w:t>30,54</w:t>
            </w:r>
          </w:p>
        </w:tc>
        <w:tc>
          <w:tcPr>
            <w:tcW w:w="700" w:type="dxa"/>
            <w:tcBorders>
              <w:top w:val="nil"/>
              <w:left w:val="nil"/>
              <w:bottom w:val="nil"/>
              <w:right w:val="nil"/>
            </w:tcBorders>
            <w:shd w:val="clear" w:color="auto" w:fill="auto"/>
            <w:noWrap/>
            <w:vAlign w:val="center"/>
            <w:hideMark/>
          </w:tcPr>
          <w:p w14:paraId="5303260A" w14:textId="77777777" w:rsidR="008C2001" w:rsidRPr="008C2001" w:rsidRDefault="008C2001" w:rsidP="0071250D">
            <w:pPr>
              <w:spacing w:after="0" w:line="240" w:lineRule="auto"/>
              <w:jc w:val="right"/>
              <w:rPr>
                <w:rFonts w:cs="Arial"/>
                <w:sz w:val="16"/>
                <w:szCs w:val="16"/>
              </w:rPr>
            </w:pPr>
            <w:r w:rsidRPr="008C2001">
              <w:rPr>
                <w:rFonts w:cs="Arial"/>
                <w:sz w:val="16"/>
                <w:szCs w:val="16"/>
              </w:rPr>
              <w:t>36,63</w:t>
            </w:r>
          </w:p>
        </w:tc>
        <w:tc>
          <w:tcPr>
            <w:tcW w:w="700" w:type="dxa"/>
            <w:tcBorders>
              <w:top w:val="nil"/>
              <w:left w:val="nil"/>
              <w:bottom w:val="nil"/>
              <w:right w:val="nil"/>
            </w:tcBorders>
            <w:shd w:val="clear" w:color="auto" w:fill="auto"/>
            <w:noWrap/>
            <w:vAlign w:val="center"/>
            <w:hideMark/>
          </w:tcPr>
          <w:p w14:paraId="3AD7340F" w14:textId="77777777" w:rsidR="008C2001" w:rsidRPr="008C2001" w:rsidRDefault="008C2001" w:rsidP="0071250D">
            <w:pPr>
              <w:spacing w:after="0" w:line="240" w:lineRule="auto"/>
              <w:jc w:val="right"/>
              <w:rPr>
                <w:rFonts w:cs="Arial"/>
                <w:sz w:val="16"/>
                <w:szCs w:val="16"/>
              </w:rPr>
            </w:pPr>
            <w:r w:rsidRPr="008C2001">
              <w:rPr>
                <w:rFonts w:cs="Arial"/>
                <w:sz w:val="16"/>
                <w:szCs w:val="16"/>
              </w:rPr>
              <w:t>37,29</w:t>
            </w:r>
          </w:p>
        </w:tc>
        <w:tc>
          <w:tcPr>
            <w:tcW w:w="700" w:type="dxa"/>
            <w:tcBorders>
              <w:top w:val="nil"/>
              <w:left w:val="nil"/>
              <w:bottom w:val="nil"/>
              <w:right w:val="nil"/>
            </w:tcBorders>
            <w:shd w:val="clear" w:color="auto" w:fill="auto"/>
            <w:noWrap/>
            <w:vAlign w:val="center"/>
            <w:hideMark/>
          </w:tcPr>
          <w:p w14:paraId="6CF508E6"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38,45</w:t>
            </w:r>
          </w:p>
        </w:tc>
        <w:tc>
          <w:tcPr>
            <w:tcW w:w="700" w:type="dxa"/>
            <w:tcBorders>
              <w:top w:val="nil"/>
              <w:left w:val="nil"/>
              <w:bottom w:val="nil"/>
              <w:right w:val="nil"/>
            </w:tcBorders>
            <w:shd w:val="clear" w:color="auto" w:fill="auto"/>
            <w:noWrap/>
            <w:vAlign w:val="center"/>
            <w:hideMark/>
          </w:tcPr>
          <w:p w14:paraId="0F635D83"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41,84</w:t>
            </w:r>
          </w:p>
        </w:tc>
      </w:tr>
      <w:tr w:rsidR="008C2001" w:rsidRPr="008C2001" w14:paraId="222BA337"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180D6D59"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Vysočina</w:t>
            </w:r>
          </w:p>
        </w:tc>
        <w:tc>
          <w:tcPr>
            <w:tcW w:w="709" w:type="dxa"/>
            <w:tcBorders>
              <w:top w:val="nil"/>
              <w:left w:val="nil"/>
              <w:bottom w:val="nil"/>
              <w:right w:val="nil"/>
            </w:tcBorders>
            <w:shd w:val="clear" w:color="auto" w:fill="auto"/>
            <w:noWrap/>
            <w:vAlign w:val="center"/>
            <w:hideMark/>
          </w:tcPr>
          <w:p w14:paraId="5628AE32" w14:textId="77777777" w:rsidR="008C2001" w:rsidRPr="008C2001" w:rsidRDefault="008C2001" w:rsidP="0071250D">
            <w:pPr>
              <w:spacing w:after="0" w:line="240" w:lineRule="auto"/>
              <w:jc w:val="right"/>
              <w:rPr>
                <w:rFonts w:cs="Arial"/>
                <w:sz w:val="16"/>
                <w:szCs w:val="16"/>
              </w:rPr>
            </w:pPr>
            <w:r w:rsidRPr="008C2001">
              <w:rPr>
                <w:rFonts w:cs="Arial"/>
                <w:sz w:val="16"/>
                <w:szCs w:val="16"/>
              </w:rPr>
              <w:t>51,59</w:t>
            </w:r>
          </w:p>
        </w:tc>
        <w:tc>
          <w:tcPr>
            <w:tcW w:w="700" w:type="dxa"/>
            <w:tcBorders>
              <w:top w:val="nil"/>
              <w:left w:val="nil"/>
              <w:bottom w:val="nil"/>
              <w:right w:val="nil"/>
            </w:tcBorders>
            <w:shd w:val="clear" w:color="auto" w:fill="auto"/>
            <w:noWrap/>
            <w:vAlign w:val="center"/>
            <w:hideMark/>
          </w:tcPr>
          <w:p w14:paraId="71AF9D36" w14:textId="77777777" w:rsidR="008C2001" w:rsidRPr="008C2001" w:rsidRDefault="008C2001" w:rsidP="0071250D">
            <w:pPr>
              <w:spacing w:after="0" w:line="240" w:lineRule="auto"/>
              <w:jc w:val="right"/>
              <w:rPr>
                <w:rFonts w:cs="Arial"/>
                <w:sz w:val="16"/>
                <w:szCs w:val="16"/>
              </w:rPr>
            </w:pPr>
            <w:r w:rsidRPr="008C2001">
              <w:rPr>
                <w:rFonts w:cs="Arial"/>
                <w:sz w:val="16"/>
                <w:szCs w:val="16"/>
              </w:rPr>
              <w:t>33,73</w:t>
            </w:r>
          </w:p>
        </w:tc>
        <w:tc>
          <w:tcPr>
            <w:tcW w:w="700" w:type="dxa"/>
            <w:tcBorders>
              <w:top w:val="nil"/>
              <w:left w:val="nil"/>
              <w:bottom w:val="nil"/>
              <w:right w:val="nil"/>
            </w:tcBorders>
            <w:shd w:val="clear" w:color="auto" w:fill="auto"/>
            <w:noWrap/>
            <w:vAlign w:val="center"/>
            <w:hideMark/>
          </w:tcPr>
          <w:p w14:paraId="792F13C7" w14:textId="77777777" w:rsidR="008C2001" w:rsidRPr="008C2001" w:rsidRDefault="008C2001" w:rsidP="0071250D">
            <w:pPr>
              <w:spacing w:after="0" w:line="240" w:lineRule="auto"/>
              <w:jc w:val="right"/>
              <w:rPr>
                <w:rFonts w:cs="Arial"/>
                <w:sz w:val="16"/>
                <w:szCs w:val="16"/>
              </w:rPr>
            </w:pPr>
            <w:r w:rsidRPr="008C2001">
              <w:rPr>
                <w:rFonts w:cs="Arial"/>
                <w:sz w:val="16"/>
                <w:szCs w:val="16"/>
              </w:rPr>
              <w:t>31,71</w:t>
            </w:r>
          </w:p>
        </w:tc>
        <w:tc>
          <w:tcPr>
            <w:tcW w:w="700" w:type="dxa"/>
            <w:tcBorders>
              <w:top w:val="nil"/>
              <w:left w:val="nil"/>
              <w:bottom w:val="nil"/>
              <w:right w:val="nil"/>
            </w:tcBorders>
            <w:shd w:val="clear" w:color="auto" w:fill="auto"/>
            <w:noWrap/>
            <w:vAlign w:val="center"/>
            <w:hideMark/>
          </w:tcPr>
          <w:p w14:paraId="1E16C08A" w14:textId="77777777" w:rsidR="008C2001" w:rsidRPr="008C2001" w:rsidRDefault="008C2001" w:rsidP="0071250D">
            <w:pPr>
              <w:spacing w:after="0" w:line="240" w:lineRule="auto"/>
              <w:jc w:val="right"/>
              <w:rPr>
                <w:rFonts w:cs="Arial"/>
                <w:sz w:val="16"/>
                <w:szCs w:val="16"/>
              </w:rPr>
            </w:pPr>
            <w:r w:rsidRPr="008C2001">
              <w:rPr>
                <w:rFonts w:cs="Arial"/>
                <w:sz w:val="16"/>
                <w:szCs w:val="16"/>
              </w:rPr>
              <w:t>30,89</w:t>
            </w:r>
          </w:p>
        </w:tc>
        <w:tc>
          <w:tcPr>
            <w:tcW w:w="700" w:type="dxa"/>
            <w:tcBorders>
              <w:top w:val="nil"/>
              <w:left w:val="nil"/>
              <w:bottom w:val="nil"/>
              <w:right w:val="nil"/>
            </w:tcBorders>
            <w:shd w:val="clear" w:color="auto" w:fill="auto"/>
            <w:noWrap/>
            <w:vAlign w:val="center"/>
            <w:hideMark/>
          </w:tcPr>
          <w:p w14:paraId="69E542BA" w14:textId="77777777" w:rsidR="008C2001" w:rsidRPr="008C2001" w:rsidRDefault="008C2001" w:rsidP="0071250D">
            <w:pPr>
              <w:spacing w:after="0" w:line="240" w:lineRule="auto"/>
              <w:jc w:val="right"/>
              <w:rPr>
                <w:rFonts w:cs="Arial"/>
                <w:sz w:val="16"/>
                <w:szCs w:val="16"/>
              </w:rPr>
            </w:pPr>
            <w:r w:rsidRPr="008C2001">
              <w:rPr>
                <w:rFonts w:cs="Arial"/>
                <w:sz w:val="16"/>
                <w:szCs w:val="16"/>
              </w:rPr>
              <w:t>28,66</w:t>
            </w:r>
          </w:p>
        </w:tc>
        <w:tc>
          <w:tcPr>
            <w:tcW w:w="700" w:type="dxa"/>
            <w:tcBorders>
              <w:top w:val="nil"/>
              <w:left w:val="nil"/>
              <w:bottom w:val="nil"/>
              <w:right w:val="nil"/>
            </w:tcBorders>
            <w:shd w:val="clear" w:color="auto" w:fill="auto"/>
            <w:noWrap/>
            <w:vAlign w:val="center"/>
            <w:hideMark/>
          </w:tcPr>
          <w:p w14:paraId="1B3DB62F" w14:textId="77777777" w:rsidR="008C2001" w:rsidRPr="008C2001" w:rsidRDefault="008C2001" w:rsidP="0071250D">
            <w:pPr>
              <w:spacing w:after="0" w:line="240" w:lineRule="auto"/>
              <w:jc w:val="right"/>
              <w:rPr>
                <w:rFonts w:cs="Arial"/>
                <w:sz w:val="16"/>
                <w:szCs w:val="16"/>
              </w:rPr>
            </w:pPr>
            <w:r w:rsidRPr="008C2001">
              <w:rPr>
                <w:rFonts w:cs="Arial"/>
                <w:sz w:val="16"/>
                <w:szCs w:val="16"/>
              </w:rPr>
              <w:t>32,09</w:t>
            </w:r>
          </w:p>
        </w:tc>
        <w:tc>
          <w:tcPr>
            <w:tcW w:w="700" w:type="dxa"/>
            <w:tcBorders>
              <w:top w:val="nil"/>
              <w:left w:val="nil"/>
              <w:bottom w:val="nil"/>
              <w:right w:val="nil"/>
            </w:tcBorders>
            <w:shd w:val="clear" w:color="auto" w:fill="auto"/>
            <w:noWrap/>
            <w:vAlign w:val="center"/>
            <w:hideMark/>
          </w:tcPr>
          <w:p w14:paraId="2982F008" w14:textId="77777777" w:rsidR="008C2001" w:rsidRPr="008C2001" w:rsidRDefault="008C2001" w:rsidP="0071250D">
            <w:pPr>
              <w:spacing w:after="0" w:line="240" w:lineRule="auto"/>
              <w:jc w:val="right"/>
              <w:rPr>
                <w:rFonts w:cs="Arial"/>
                <w:sz w:val="16"/>
                <w:szCs w:val="16"/>
              </w:rPr>
            </w:pPr>
            <w:r w:rsidRPr="008C2001">
              <w:rPr>
                <w:rFonts w:cs="Arial"/>
                <w:sz w:val="16"/>
                <w:szCs w:val="16"/>
              </w:rPr>
              <w:t>31,07</w:t>
            </w:r>
          </w:p>
        </w:tc>
        <w:tc>
          <w:tcPr>
            <w:tcW w:w="700" w:type="dxa"/>
            <w:tcBorders>
              <w:top w:val="nil"/>
              <w:left w:val="nil"/>
              <w:bottom w:val="nil"/>
              <w:right w:val="nil"/>
            </w:tcBorders>
            <w:shd w:val="clear" w:color="auto" w:fill="auto"/>
            <w:noWrap/>
            <w:vAlign w:val="center"/>
            <w:hideMark/>
          </w:tcPr>
          <w:p w14:paraId="1F3F3D46" w14:textId="77777777" w:rsidR="008C2001" w:rsidRPr="008C2001" w:rsidRDefault="008C2001" w:rsidP="0071250D">
            <w:pPr>
              <w:spacing w:after="0" w:line="240" w:lineRule="auto"/>
              <w:jc w:val="right"/>
              <w:rPr>
                <w:rFonts w:cs="Arial"/>
                <w:sz w:val="16"/>
                <w:szCs w:val="16"/>
              </w:rPr>
            </w:pPr>
            <w:r w:rsidRPr="008C2001">
              <w:rPr>
                <w:rFonts w:cs="Arial"/>
                <w:sz w:val="16"/>
                <w:szCs w:val="16"/>
              </w:rPr>
              <w:t>37,62</w:t>
            </w:r>
          </w:p>
        </w:tc>
        <w:tc>
          <w:tcPr>
            <w:tcW w:w="700" w:type="dxa"/>
            <w:tcBorders>
              <w:top w:val="nil"/>
              <w:left w:val="nil"/>
              <w:bottom w:val="nil"/>
              <w:right w:val="nil"/>
            </w:tcBorders>
            <w:shd w:val="clear" w:color="auto" w:fill="auto"/>
            <w:noWrap/>
            <w:vAlign w:val="center"/>
            <w:hideMark/>
          </w:tcPr>
          <w:p w14:paraId="581E5C27" w14:textId="77777777" w:rsidR="008C2001" w:rsidRPr="008C2001" w:rsidRDefault="008C2001" w:rsidP="0071250D">
            <w:pPr>
              <w:spacing w:after="0" w:line="240" w:lineRule="auto"/>
              <w:jc w:val="right"/>
              <w:rPr>
                <w:rFonts w:cs="Arial"/>
                <w:sz w:val="16"/>
                <w:szCs w:val="16"/>
              </w:rPr>
            </w:pPr>
            <w:r w:rsidRPr="008C2001">
              <w:rPr>
                <w:rFonts w:cs="Arial"/>
                <w:sz w:val="16"/>
                <w:szCs w:val="16"/>
              </w:rPr>
              <w:t>38,31</w:t>
            </w:r>
          </w:p>
        </w:tc>
        <w:tc>
          <w:tcPr>
            <w:tcW w:w="700" w:type="dxa"/>
            <w:tcBorders>
              <w:top w:val="nil"/>
              <w:left w:val="nil"/>
              <w:bottom w:val="nil"/>
              <w:right w:val="nil"/>
            </w:tcBorders>
            <w:shd w:val="clear" w:color="auto" w:fill="auto"/>
            <w:noWrap/>
            <w:vAlign w:val="center"/>
            <w:hideMark/>
          </w:tcPr>
          <w:p w14:paraId="1FC22713"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39,16</w:t>
            </w:r>
          </w:p>
        </w:tc>
        <w:tc>
          <w:tcPr>
            <w:tcW w:w="700" w:type="dxa"/>
            <w:tcBorders>
              <w:top w:val="nil"/>
              <w:left w:val="nil"/>
              <w:bottom w:val="nil"/>
              <w:right w:val="nil"/>
            </w:tcBorders>
            <w:shd w:val="clear" w:color="auto" w:fill="auto"/>
            <w:noWrap/>
            <w:vAlign w:val="center"/>
            <w:hideMark/>
          </w:tcPr>
          <w:p w14:paraId="7661D4BF"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42,19</w:t>
            </w:r>
          </w:p>
        </w:tc>
      </w:tr>
      <w:tr w:rsidR="008C2001" w:rsidRPr="008C2001" w14:paraId="4899C2E5"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7F214A52"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Jihomoravský kraj</w:t>
            </w:r>
          </w:p>
        </w:tc>
        <w:tc>
          <w:tcPr>
            <w:tcW w:w="709" w:type="dxa"/>
            <w:tcBorders>
              <w:top w:val="nil"/>
              <w:left w:val="nil"/>
              <w:bottom w:val="nil"/>
              <w:right w:val="nil"/>
            </w:tcBorders>
            <w:shd w:val="clear" w:color="auto" w:fill="auto"/>
            <w:noWrap/>
            <w:vAlign w:val="center"/>
            <w:hideMark/>
          </w:tcPr>
          <w:p w14:paraId="3B2D27B9" w14:textId="77777777" w:rsidR="008C2001" w:rsidRPr="008C2001" w:rsidRDefault="008C2001" w:rsidP="0071250D">
            <w:pPr>
              <w:spacing w:after="0" w:line="240" w:lineRule="auto"/>
              <w:jc w:val="right"/>
              <w:rPr>
                <w:rFonts w:cs="Arial"/>
                <w:sz w:val="16"/>
                <w:szCs w:val="16"/>
              </w:rPr>
            </w:pPr>
            <w:r w:rsidRPr="008C2001">
              <w:rPr>
                <w:rFonts w:cs="Arial"/>
                <w:sz w:val="16"/>
                <w:szCs w:val="16"/>
              </w:rPr>
              <w:t>47,96</w:t>
            </w:r>
          </w:p>
        </w:tc>
        <w:tc>
          <w:tcPr>
            <w:tcW w:w="700" w:type="dxa"/>
            <w:tcBorders>
              <w:top w:val="nil"/>
              <w:left w:val="nil"/>
              <w:bottom w:val="nil"/>
              <w:right w:val="nil"/>
            </w:tcBorders>
            <w:shd w:val="clear" w:color="auto" w:fill="auto"/>
            <w:noWrap/>
            <w:vAlign w:val="center"/>
            <w:hideMark/>
          </w:tcPr>
          <w:p w14:paraId="4E59A877" w14:textId="77777777" w:rsidR="008C2001" w:rsidRPr="008C2001" w:rsidRDefault="008C2001" w:rsidP="0071250D">
            <w:pPr>
              <w:spacing w:after="0" w:line="240" w:lineRule="auto"/>
              <w:jc w:val="right"/>
              <w:rPr>
                <w:rFonts w:cs="Arial"/>
                <w:sz w:val="16"/>
                <w:szCs w:val="16"/>
              </w:rPr>
            </w:pPr>
            <w:r w:rsidRPr="008C2001">
              <w:rPr>
                <w:rFonts w:cs="Arial"/>
                <w:sz w:val="16"/>
                <w:szCs w:val="16"/>
              </w:rPr>
              <w:t>33,36</w:t>
            </w:r>
          </w:p>
        </w:tc>
        <w:tc>
          <w:tcPr>
            <w:tcW w:w="700" w:type="dxa"/>
            <w:tcBorders>
              <w:top w:val="nil"/>
              <w:left w:val="nil"/>
              <w:bottom w:val="nil"/>
              <w:right w:val="nil"/>
            </w:tcBorders>
            <w:shd w:val="clear" w:color="auto" w:fill="auto"/>
            <w:noWrap/>
            <w:vAlign w:val="center"/>
            <w:hideMark/>
          </w:tcPr>
          <w:p w14:paraId="60A0C947" w14:textId="77777777" w:rsidR="008C2001" w:rsidRPr="008C2001" w:rsidRDefault="008C2001" w:rsidP="0071250D">
            <w:pPr>
              <w:spacing w:after="0" w:line="240" w:lineRule="auto"/>
              <w:jc w:val="right"/>
              <w:rPr>
                <w:rFonts w:cs="Arial"/>
                <w:sz w:val="16"/>
                <w:szCs w:val="16"/>
              </w:rPr>
            </w:pPr>
            <w:r w:rsidRPr="008C2001">
              <w:rPr>
                <w:rFonts w:cs="Arial"/>
                <w:sz w:val="16"/>
                <w:szCs w:val="16"/>
              </w:rPr>
              <w:t>29,73</w:t>
            </w:r>
          </w:p>
        </w:tc>
        <w:tc>
          <w:tcPr>
            <w:tcW w:w="700" w:type="dxa"/>
            <w:tcBorders>
              <w:top w:val="nil"/>
              <w:left w:val="nil"/>
              <w:bottom w:val="nil"/>
              <w:right w:val="nil"/>
            </w:tcBorders>
            <w:shd w:val="clear" w:color="auto" w:fill="auto"/>
            <w:noWrap/>
            <w:vAlign w:val="center"/>
            <w:hideMark/>
          </w:tcPr>
          <w:p w14:paraId="13567FCA" w14:textId="77777777" w:rsidR="008C2001" w:rsidRPr="008C2001" w:rsidRDefault="008C2001" w:rsidP="0071250D">
            <w:pPr>
              <w:spacing w:after="0" w:line="240" w:lineRule="auto"/>
              <w:jc w:val="right"/>
              <w:rPr>
                <w:rFonts w:cs="Arial"/>
                <w:sz w:val="16"/>
                <w:szCs w:val="16"/>
              </w:rPr>
            </w:pPr>
            <w:r w:rsidRPr="008C2001">
              <w:rPr>
                <w:rFonts w:cs="Arial"/>
                <w:sz w:val="16"/>
                <w:szCs w:val="16"/>
              </w:rPr>
              <w:t>28,81</w:t>
            </w:r>
          </w:p>
        </w:tc>
        <w:tc>
          <w:tcPr>
            <w:tcW w:w="700" w:type="dxa"/>
            <w:tcBorders>
              <w:top w:val="nil"/>
              <w:left w:val="nil"/>
              <w:bottom w:val="nil"/>
              <w:right w:val="nil"/>
            </w:tcBorders>
            <w:shd w:val="clear" w:color="auto" w:fill="auto"/>
            <w:noWrap/>
            <w:vAlign w:val="center"/>
            <w:hideMark/>
          </w:tcPr>
          <w:p w14:paraId="7871176F" w14:textId="77777777" w:rsidR="008C2001" w:rsidRPr="008C2001" w:rsidRDefault="008C2001" w:rsidP="0071250D">
            <w:pPr>
              <w:spacing w:after="0" w:line="240" w:lineRule="auto"/>
              <w:jc w:val="right"/>
              <w:rPr>
                <w:rFonts w:cs="Arial"/>
                <w:sz w:val="16"/>
                <w:szCs w:val="16"/>
              </w:rPr>
            </w:pPr>
            <w:r w:rsidRPr="008C2001">
              <w:rPr>
                <w:rFonts w:cs="Arial"/>
                <w:sz w:val="16"/>
                <w:szCs w:val="16"/>
              </w:rPr>
              <w:t>26,76</w:t>
            </w:r>
          </w:p>
        </w:tc>
        <w:tc>
          <w:tcPr>
            <w:tcW w:w="700" w:type="dxa"/>
            <w:tcBorders>
              <w:top w:val="nil"/>
              <w:left w:val="nil"/>
              <w:bottom w:val="nil"/>
              <w:right w:val="nil"/>
            </w:tcBorders>
            <w:shd w:val="clear" w:color="auto" w:fill="auto"/>
            <w:noWrap/>
            <w:vAlign w:val="center"/>
            <w:hideMark/>
          </w:tcPr>
          <w:p w14:paraId="259D003A" w14:textId="77777777" w:rsidR="008C2001" w:rsidRPr="008C2001" w:rsidRDefault="008C2001" w:rsidP="0071250D">
            <w:pPr>
              <w:spacing w:after="0" w:line="240" w:lineRule="auto"/>
              <w:jc w:val="right"/>
              <w:rPr>
                <w:rFonts w:cs="Arial"/>
                <w:sz w:val="16"/>
                <w:szCs w:val="16"/>
              </w:rPr>
            </w:pPr>
            <w:r w:rsidRPr="008C2001">
              <w:rPr>
                <w:rFonts w:cs="Arial"/>
                <w:sz w:val="16"/>
                <w:szCs w:val="16"/>
              </w:rPr>
              <w:t>29,57</w:t>
            </w:r>
          </w:p>
        </w:tc>
        <w:tc>
          <w:tcPr>
            <w:tcW w:w="700" w:type="dxa"/>
            <w:tcBorders>
              <w:top w:val="nil"/>
              <w:left w:val="nil"/>
              <w:bottom w:val="nil"/>
              <w:right w:val="nil"/>
            </w:tcBorders>
            <w:shd w:val="clear" w:color="auto" w:fill="auto"/>
            <w:noWrap/>
            <w:vAlign w:val="center"/>
            <w:hideMark/>
          </w:tcPr>
          <w:p w14:paraId="131E7123" w14:textId="77777777" w:rsidR="008C2001" w:rsidRPr="008C2001" w:rsidRDefault="008C2001" w:rsidP="0071250D">
            <w:pPr>
              <w:spacing w:after="0" w:line="240" w:lineRule="auto"/>
              <w:jc w:val="right"/>
              <w:rPr>
                <w:rFonts w:cs="Arial"/>
                <w:sz w:val="16"/>
                <w:szCs w:val="16"/>
              </w:rPr>
            </w:pPr>
            <w:r w:rsidRPr="008C2001">
              <w:rPr>
                <w:rFonts w:cs="Arial"/>
                <w:sz w:val="16"/>
                <w:szCs w:val="16"/>
              </w:rPr>
              <w:t>28,87</w:t>
            </w:r>
          </w:p>
        </w:tc>
        <w:tc>
          <w:tcPr>
            <w:tcW w:w="700" w:type="dxa"/>
            <w:tcBorders>
              <w:top w:val="nil"/>
              <w:left w:val="nil"/>
              <w:bottom w:val="nil"/>
              <w:right w:val="nil"/>
            </w:tcBorders>
            <w:shd w:val="clear" w:color="auto" w:fill="auto"/>
            <w:noWrap/>
            <w:vAlign w:val="center"/>
            <w:hideMark/>
          </w:tcPr>
          <w:p w14:paraId="11E70ACF" w14:textId="77777777" w:rsidR="008C2001" w:rsidRPr="008C2001" w:rsidRDefault="008C2001" w:rsidP="0071250D">
            <w:pPr>
              <w:spacing w:after="0" w:line="240" w:lineRule="auto"/>
              <w:jc w:val="right"/>
              <w:rPr>
                <w:rFonts w:cs="Arial"/>
                <w:sz w:val="16"/>
                <w:szCs w:val="16"/>
              </w:rPr>
            </w:pPr>
            <w:r w:rsidRPr="008C2001">
              <w:rPr>
                <w:rFonts w:cs="Arial"/>
                <w:sz w:val="16"/>
                <w:szCs w:val="16"/>
              </w:rPr>
              <w:t>33,54</w:t>
            </w:r>
          </w:p>
        </w:tc>
        <w:tc>
          <w:tcPr>
            <w:tcW w:w="700" w:type="dxa"/>
            <w:tcBorders>
              <w:top w:val="nil"/>
              <w:left w:val="nil"/>
              <w:bottom w:val="nil"/>
              <w:right w:val="nil"/>
            </w:tcBorders>
            <w:shd w:val="clear" w:color="auto" w:fill="auto"/>
            <w:noWrap/>
            <w:vAlign w:val="center"/>
            <w:hideMark/>
          </w:tcPr>
          <w:p w14:paraId="6796586D" w14:textId="77777777" w:rsidR="008C2001" w:rsidRPr="008C2001" w:rsidRDefault="008C2001" w:rsidP="0071250D">
            <w:pPr>
              <w:spacing w:after="0" w:line="240" w:lineRule="auto"/>
              <w:jc w:val="right"/>
              <w:rPr>
                <w:rFonts w:cs="Arial"/>
                <w:sz w:val="16"/>
                <w:szCs w:val="16"/>
              </w:rPr>
            </w:pPr>
            <w:r w:rsidRPr="008C2001">
              <w:rPr>
                <w:rFonts w:cs="Arial"/>
                <w:sz w:val="16"/>
                <w:szCs w:val="16"/>
              </w:rPr>
              <w:t>34,20</w:t>
            </w:r>
          </w:p>
        </w:tc>
        <w:tc>
          <w:tcPr>
            <w:tcW w:w="700" w:type="dxa"/>
            <w:tcBorders>
              <w:top w:val="nil"/>
              <w:left w:val="nil"/>
              <w:bottom w:val="nil"/>
              <w:right w:val="nil"/>
            </w:tcBorders>
            <w:shd w:val="clear" w:color="auto" w:fill="auto"/>
            <w:noWrap/>
            <w:vAlign w:val="center"/>
            <w:hideMark/>
          </w:tcPr>
          <w:p w14:paraId="0DCB3467" w14:textId="77777777" w:rsidR="008C2001" w:rsidRPr="008C2001" w:rsidRDefault="008C2001" w:rsidP="0071250D">
            <w:pPr>
              <w:spacing w:after="0" w:line="240" w:lineRule="auto"/>
              <w:jc w:val="right"/>
              <w:rPr>
                <w:rFonts w:cs="Arial"/>
                <w:sz w:val="16"/>
                <w:szCs w:val="16"/>
              </w:rPr>
            </w:pPr>
            <w:r w:rsidRPr="008C2001">
              <w:rPr>
                <w:rFonts w:cs="Arial"/>
                <w:sz w:val="16"/>
                <w:szCs w:val="16"/>
              </w:rPr>
              <w:t>35,38</w:t>
            </w:r>
          </w:p>
        </w:tc>
        <w:tc>
          <w:tcPr>
            <w:tcW w:w="700" w:type="dxa"/>
            <w:tcBorders>
              <w:top w:val="nil"/>
              <w:left w:val="nil"/>
              <w:bottom w:val="nil"/>
              <w:right w:val="nil"/>
            </w:tcBorders>
            <w:shd w:val="clear" w:color="auto" w:fill="auto"/>
            <w:noWrap/>
            <w:vAlign w:val="center"/>
            <w:hideMark/>
          </w:tcPr>
          <w:p w14:paraId="47A60EFC"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37,83</w:t>
            </w:r>
          </w:p>
        </w:tc>
      </w:tr>
      <w:tr w:rsidR="008C2001" w:rsidRPr="008C2001" w14:paraId="615416A4"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4DD6B3DE"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Olomoucký kraj</w:t>
            </w:r>
          </w:p>
        </w:tc>
        <w:tc>
          <w:tcPr>
            <w:tcW w:w="709" w:type="dxa"/>
            <w:tcBorders>
              <w:top w:val="nil"/>
              <w:left w:val="nil"/>
              <w:bottom w:val="nil"/>
              <w:right w:val="nil"/>
            </w:tcBorders>
            <w:shd w:val="clear" w:color="auto" w:fill="auto"/>
            <w:noWrap/>
            <w:vAlign w:val="center"/>
            <w:hideMark/>
          </w:tcPr>
          <w:p w14:paraId="40BF1BF9" w14:textId="77777777" w:rsidR="008C2001" w:rsidRPr="008C2001" w:rsidRDefault="008C2001" w:rsidP="0071250D">
            <w:pPr>
              <w:spacing w:after="0" w:line="240" w:lineRule="auto"/>
              <w:jc w:val="right"/>
              <w:rPr>
                <w:rFonts w:cs="Arial"/>
                <w:sz w:val="16"/>
                <w:szCs w:val="16"/>
              </w:rPr>
            </w:pPr>
            <w:r w:rsidRPr="008C2001">
              <w:rPr>
                <w:rFonts w:cs="Arial"/>
                <w:sz w:val="16"/>
                <w:szCs w:val="16"/>
              </w:rPr>
              <w:t>48,61</w:t>
            </w:r>
          </w:p>
        </w:tc>
        <w:tc>
          <w:tcPr>
            <w:tcW w:w="700" w:type="dxa"/>
            <w:tcBorders>
              <w:top w:val="nil"/>
              <w:left w:val="nil"/>
              <w:bottom w:val="nil"/>
              <w:right w:val="nil"/>
            </w:tcBorders>
            <w:shd w:val="clear" w:color="auto" w:fill="auto"/>
            <w:noWrap/>
            <w:vAlign w:val="center"/>
            <w:hideMark/>
          </w:tcPr>
          <w:p w14:paraId="7EA0EE81" w14:textId="77777777" w:rsidR="008C2001" w:rsidRPr="008C2001" w:rsidRDefault="008C2001" w:rsidP="0071250D">
            <w:pPr>
              <w:spacing w:after="0" w:line="240" w:lineRule="auto"/>
              <w:jc w:val="right"/>
              <w:rPr>
                <w:rFonts w:cs="Arial"/>
                <w:sz w:val="16"/>
                <w:szCs w:val="16"/>
              </w:rPr>
            </w:pPr>
            <w:r w:rsidRPr="008C2001">
              <w:rPr>
                <w:rFonts w:cs="Arial"/>
                <w:sz w:val="16"/>
                <w:szCs w:val="16"/>
              </w:rPr>
              <w:t>31,65</w:t>
            </w:r>
          </w:p>
        </w:tc>
        <w:tc>
          <w:tcPr>
            <w:tcW w:w="700" w:type="dxa"/>
            <w:tcBorders>
              <w:top w:val="nil"/>
              <w:left w:val="nil"/>
              <w:bottom w:val="nil"/>
              <w:right w:val="nil"/>
            </w:tcBorders>
            <w:shd w:val="clear" w:color="auto" w:fill="auto"/>
            <w:noWrap/>
            <w:vAlign w:val="center"/>
            <w:hideMark/>
          </w:tcPr>
          <w:p w14:paraId="7EEABCE7" w14:textId="77777777" w:rsidR="008C2001" w:rsidRPr="008C2001" w:rsidRDefault="008C2001" w:rsidP="0071250D">
            <w:pPr>
              <w:spacing w:after="0" w:line="240" w:lineRule="auto"/>
              <w:jc w:val="right"/>
              <w:rPr>
                <w:rFonts w:cs="Arial"/>
                <w:sz w:val="16"/>
                <w:szCs w:val="16"/>
              </w:rPr>
            </w:pPr>
            <w:r w:rsidRPr="008C2001">
              <w:rPr>
                <w:rFonts w:cs="Arial"/>
                <w:sz w:val="16"/>
                <w:szCs w:val="16"/>
              </w:rPr>
              <w:t>28,23</w:t>
            </w:r>
          </w:p>
        </w:tc>
        <w:tc>
          <w:tcPr>
            <w:tcW w:w="700" w:type="dxa"/>
            <w:tcBorders>
              <w:top w:val="nil"/>
              <w:left w:val="nil"/>
              <w:bottom w:val="nil"/>
              <w:right w:val="nil"/>
            </w:tcBorders>
            <w:shd w:val="clear" w:color="auto" w:fill="auto"/>
            <w:noWrap/>
            <w:vAlign w:val="center"/>
            <w:hideMark/>
          </w:tcPr>
          <w:p w14:paraId="0E5DD572" w14:textId="77777777" w:rsidR="008C2001" w:rsidRPr="008C2001" w:rsidRDefault="008C2001" w:rsidP="0071250D">
            <w:pPr>
              <w:spacing w:after="0" w:line="240" w:lineRule="auto"/>
              <w:jc w:val="right"/>
              <w:rPr>
                <w:rFonts w:cs="Arial"/>
                <w:sz w:val="16"/>
                <w:szCs w:val="16"/>
              </w:rPr>
            </w:pPr>
            <w:r w:rsidRPr="008C2001">
              <w:rPr>
                <w:rFonts w:cs="Arial"/>
                <w:sz w:val="16"/>
                <w:szCs w:val="16"/>
              </w:rPr>
              <w:t>26,74</w:t>
            </w:r>
          </w:p>
        </w:tc>
        <w:tc>
          <w:tcPr>
            <w:tcW w:w="700" w:type="dxa"/>
            <w:tcBorders>
              <w:top w:val="nil"/>
              <w:left w:val="nil"/>
              <w:bottom w:val="nil"/>
              <w:right w:val="nil"/>
            </w:tcBorders>
            <w:shd w:val="clear" w:color="auto" w:fill="auto"/>
            <w:noWrap/>
            <w:vAlign w:val="center"/>
            <w:hideMark/>
          </w:tcPr>
          <w:p w14:paraId="40D21CB4" w14:textId="77777777" w:rsidR="008C2001" w:rsidRPr="008C2001" w:rsidRDefault="008C2001" w:rsidP="0071250D">
            <w:pPr>
              <w:spacing w:after="0" w:line="240" w:lineRule="auto"/>
              <w:jc w:val="right"/>
              <w:rPr>
                <w:rFonts w:cs="Arial"/>
                <w:sz w:val="16"/>
                <w:szCs w:val="16"/>
              </w:rPr>
            </w:pPr>
            <w:r w:rsidRPr="008C2001">
              <w:rPr>
                <w:rFonts w:cs="Arial"/>
                <w:sz w:val="16"/>
                <w:szCs w:val="16"/>
              </w:rPr>
              <w:t>25,39</w:t>
            </w:r>
          </w:p>
        </w:tc>
        <w:tc>
          <w:tcPr>
            <w:tcW w:w="700" w:type="dxa"/>
            <w:tcBorders>
              <w:top w:val="nil"/>
              <w:left w:val="nil"/>
              <w:bottom w:val="nil"/>
              <w:right w:val="nil"/>
            </w:tcBorders>
            <w:shd w:val="clear" w:color="auto" w:fill="auto"/>
            <w:noWrap/>
            <w:vAlign w:val="center"/>
            <w:hideMark/>
          </w:tcPr>
          <w:p w14:paraId="57A3F843" w14:textId="77777777" w:rsidR="008C2001" w:rsidRPr="008C2001" w:rsidRDefault="008C2001" w:rsidP="0071250D">
            <w:pPr>
              <w:spacing w:after="0" w:line="240" w:lineRule="auto"/>
              <w:jc w:val="right"/>
              <w:rPr>
                <w:rFonts w:cs="Arial"/>
                <w:sz w:val="16"/>
                <w:szCs w:val="16"/>
              </w:rPr>
            </w:pPr>
            <w:r w:rsidRPr="008C2001">
              <w:rPr>
                <w:rFonts w:cs="Arial"/>
                <w:sz w:val="16"/>
                <w:szCs w:val="16"/>
              </w:rPr>
              <w:t>27,31</w:t>
            </w:r>
          </w:p>
        </w:tc>
        <w:tc>
          <w:tcPr>
            <w:tcW w:w="700" w:type="dxa"/>
            <w:tcBorders>
              <w:top w:val="nil"/>
              <w:left w:val="nil"/>
              <w:bottom w:val="nil"/>
              <w:right w:val="nil"/>
            </w:tcBorders>
            <w:shd w:val="clear" w:color="auto" w:fill="auto"/>
            <w:noWrap/>
            <w:vAlign w:val="center"/>
            <w:hideMark/>
          </w:tcPr>
          <w:p w14:paraId="4877F822" w14:textId="77777777" w:rsidR="008C2001" w:rsidRPr="008C2001" w:rsidRDefault="008C2001" w:rsidP="0071250D">
            <w:pPr>
              <w:spacing w:after="0" w:line="240" w:lineRule="auto"/>
              <w:jc w:val="right"/>
              <w:rPr>
                <w:rFonts w:cs="Arial"/>
                <w:sz w:val="16"/>
                <w:szCs w:val="16"/>
              </w:rPr>
            </w:pPr>
            <w:r w:rsidRPr="008C2001">
              <w:rPr>
                <w:rFonts w:cs="Arial"/>
                <w:sz w:val="16"/>
                <w:szCs w:val="16"/>
              </w:rPr>
              <w:t>26,11</w:t>
            </w:r>
          </w:p>
        </w:tc>
        <w:tc>
          <w:tcPr>
            <w:tcW w:w="700" w:type="dxa"/>
            <w:tcBorders>
              <w:top w:val="nil"/>
              <w:left w:val="nil"/>
              <w:bottom w:val="nil"/>
              <w:right w:val="nil"/>
            </w:tcBorders>
            <w:shd w:val="clear" w:color="auto" w:fill="auto"/>
            <w:noWrap/>
            <w:vAlign w:val="center"/>
            <w:hideMark/>
          </w:tcPr>
          <w:p w14:paraId="3D77095E" w14:textId="77777777" w:rsidR="008C2001" w:rsidRPr="008C2001" w:rsidRDefault="008C2001" w:rsidP="0071250D">
            <w:pPr>
              <w:spacing w:after="0" w:line="240" w:lineRule="auto"/>
              <w:jc w:val="right"/>
              <w:rPr>
                <w:rFonts w:cs="Arial"/>
                <w:sz w:val="16"/>
                <w:szCs w:val="16"/>
              </w:rPr>
            </w:pPr>
            <w:r w:rsidRPr="008C2001">
              <w:rPr>
                <w:rFonts w:cs="Arial"/>
                <w:sz w:val="16"/>
                <w:szCs w:val="16"/>
              </w:rPr>
              <w:t>32,73</w:t>
            </w:r>
          </w:p>
        </w:tc>
        <w:tc>
          <w:tcPr>
            <w:tcW w:w="700" w:type="dxa"/>
            <w:tcBorders>
              <w:top w:val="nil"/>
              <w:left w:val="nil"/>
              <w:bottom w:val="nil"/>
              <w:right w:val="nil"/>
            </w:tcBorders>
            <w:shd w:val="clear" w:color="auto" w:fill="auto"/>
            <w:noWrap/>
            <w:vAlign w:val="center"/>
            <w:hideMark/>
          </w:tcPr>
          <w:p w14:paraId="1AAF2CE6" w14:textId="77777777" w:rsidR="008C2001" w:rsidRPr="008C2001" w:rsidRDefault="008C2001" w:rsidP="0071250D">
            <w:pPr>
              <w:spacing w:after="0" w:line="240" w:lineRule="auto"/>
              <w:jc w:val="right"/>
              <w:rPr>
                <w:rFonts w:cs="Arial"/>
                <w:sz w:val="16"/>
                <w:szCs w:val="16"/>
              </w:rPr>
            </w:pPr>
            <w:r w:rsidRPr="008C2001">
              <w:rPr>
                <w:rFonts w:cs="Arial"/>
                <w:sz w:val="16"/>
                <w:szCs w:val="16"/>
              </w:rPr>
              <w:t>33,95</w:t>
            </w:r>
          </w:p>
        </w:tc>
        <w:tc>
          <w:tcPr>
            <w:tcW w:w="700" w:type="dxa"/>
            <w:tcBorders>
              <w:top w:val="nil"/>
              <w:left w:val="nil"/>
              <w:bottom w:val="nil"/>
              <w:right w:val="nil"/>
            </w:tcBorders>
            <w:shd w:val="clear" w:color="auto" w:fill="auto"/>
            <w:noWrap/>
            <w:vAlign w:val="center"/>
            <w:hideMark/>
          </w:tcPr>
          <w:p w14:paraId="4D5A2D8C"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35,16</w:t>
            </w:r>
          </w:p>
        </w:tc>
        <w:tc>
          <w:tcPr>
            <w:tcW w:w="700" w:type="dxa"/>
            <w:tcBorders>
              <w:top w:val="nil"/>
              <w:left w:val="nil"/>
              <w:bottom w:val="nil"/>
              <w:right w:val="nil"/>
            </w:tcBorders>
            <w:shd w:val="clear" w:color="auto" w:fill="auto"/>
            <w:noWrap/>
            <w:vAlign w:val="center"/>
            <w:hideMark/>
          </w:tcPr>
          <w:p w14:paraId="17924454" w14:textId="77777777" w:rsidR="008C2001" w:rsidRPr="008C2001" w:rsidRDefault="008C2001" w:rsidP="0071250D">
            <w:pPr>
              <w:spacing w:after="0" w:line="240" w:lineRule="auto"/>
              <w:jc w:val="right"/>
              <w:rPr>
                <w:rFonts w:cs="Arial"/>
                <w:sz w:val="16"/>
                <w:szCs w:val="16"/>
              </w:rPr>
            </w:pPr>
            <w:r w:rsidRPr="008C2001">
              <w:rPr>
                <w:rFonts w:cs="Arial"/>
                <w:sz w:val="16"/>
                <w:szCs w:val="16"/>
              </w:rPr>
              <w:t>37,53</w:t>
            </w:r>
          </w:p>
        </w:tc>
      </w:tr>
      <w:tr w:rsidR="008C2001" w:rsidRPr="008C2001" w14:paraId="5FB38489"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71F58065"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Zlínský kraj</w:t>
            </w:r>
          </w:p>
        </w:tc>
        <w:tc>
          <w:tcPr>
            <w:tcW w:w="709" w:type="dxa"/>
            <w:tcBorders>
              <w:top w:val="nil"/>
              <w:left w:val="nil"/>
              <w:bottom w:val="nil"/>
              <w:right w:val="nil"/>
            </w:tcBorders>
            <w:shd w:val="clear" w:color="auto" w:fill="auto"/>
            <w:noWrap/>
            <w:vAlign w:val="center"/>
            <w:hideMark/>
          </w:tcPr>
          <w:p w14:paraId="724B9554" w14:textId="77777777" w:rsidR="008C2001" w:rsidRPr="008C2001" w:rsidRDefault="008C2001" w:rsidP="0071250D">
            <w:pPr>
              <w:spacing w:after="0" w:line="240" w:lineRule="auto"/>
              <w:jc w:val="right"/>
              <w:rPr>
                <w:rFonts w:cs="Arial"/>
                <w:sz w:val="16"/>
                <w:szCs w:val="16"/>
              </w:rPr>
            </w:pPr>
            <w:r w:rsidRPr="008C2001">
              <w:rPr>
                <w:rFonts w:cs="Arial"/>
                <w:sz w:val="16"/>
                <w:szCs w:val="16"/>
              </w:rPr>
              <w:t>50,30</w:t>
            </w:r>
          </w:p>
        </w:tc>
        <w:tc>
          <w:tcPr>
            <w:tcW w:w="700" w:type="dxa"/>
            <w:tcBorders>
              <w:top w:val="nil"/>
              <w:left w:val="nil"/>
              <w:bottom w:val="nil"/>
              <w:right w:val="nil"/>
            </w:tcBorders>
            <w:shd w:val="clear" w:color="auto" w:fill="auto"/>
            <w:noWrap/>
            <w:vAlign w:val="center"/>
            <w:hideMark/>
          </w:tcPr>
          <w:p w14:paraId="58ACB46B" w14:textId="77777777" w:rsidR="008C2001" w:rsidRPr="008C2001" w:rsidRDefault="008C2001" w:rsidP="0071250D">
            <w:pPr>
              <w:spacing w:after="0" w:line="240" w:lineRule="auto"/>
              <w:jc w:val="right"/>
              <w:rPr>
                <w:rFonts w:cs="Arial"/>
                <w:sz w:val="16"/>
                <w:szCs w:val="16"/>
              </w:rPr>
            </w:pPr>
            <w:r w:rsidRPr="008C2001">
              <w:rPr>
                <w:rFonts w:cs="Arial"/>
                <w:sz w:val="16"/>
                <w:szCs w:val="16"/>
              </w:rPr>
              <w:t>33,44</w:t>
            </w:r>
          </w:p>
        </w:tc>
        <w:tc>
          <w:tcPr>
            <w:tcW w:w="700" w:type="dxa"/>
            <w:tcBorders>
              <w:top w:val="nil"/>
              <w:left w:val="nil"/>
              <w:bottom w:val="nil"/>
              <w:right w:val="nil"/>
            </w:tcBorders>
            <w:shd w:val="clear" w:color="auto" w:fill="auto"/>
            <w:noWrap/>
            <w:vAlign w:val="center"/>
            <w:hideMark/>
          </w:tcPr>
          <w:p w14:paraId="74926547" w14:textId="77777777" w:rsidR="008C2001" w:rsidRPr="008C2001" w:rsidRDefault="008C2001" w:rsidP="0071250D">
            <w:pPr>
              <w:spacing w:after="0" w:line="240" w:lineRule="auto"/>
              <w:jc w:val="right"/>
              <w:rPr>
                <w:rFonts w:cs="Arial"/>
                <w:sz w:val="16"/>
                <w:szCs w:val="16"/>
              </w:rPr>
            </w:pPr>
            <w:r w:rsidRPr="008C2001">
              <w:rPr>
                <w:rFonts w:cs="Arial"/>
                <w:sz w:val="16"/>
                <w:szCs w:val="16"/>
              </w:rPr>
              <w:t>30,84</w:t>
            </w:r>
          </w:p>
        </w:tc>
        <w:tc>
          <w:tcPr>
            <w:tcW w:w="700" w:type="dxa"/>
            <w:tcBorders>
              <w:top w:val="nil"/>
              <w:left w:val="nil"/>
              <w:bottom w:val="nil"/>
              <w:right w:val="nil"/>
            </w:tcBorders>
            <w:shd w:val="clear" w:color="auto" w:fill="auto"/>
            <w:noWrap/>
            <w:vAlign w:val="center"/>
            <w:hideMark/>
          </w:tcPr>
          <w:p w14:paraId="2F445107" w14:textId="77777777" w:rsidR="008C2001" w:rsidRPr="008C2001" w:rsidRDefault="008C2001" w:rsidP="0071250D">
            <w:pPr>
              <w:spacing w:after="0" w:line="240" w:lineRule="auto"/>
              <w:jc w:val="right"/>
              <w:rPr>
                <w:rFonts w:cs="Arial"/>
                <w:sz w:val="16"/>
                <w:szCs w:val="16"/>
              </w:rPr>
            </w:pPr>
            <w:r w:rsidRPr="008C2001">
              <w:rPr>
                <w:rFonts w:cs="Arial"/>
                <w:sz w:val="16"/>
                <w:szCs w:val="16"/>
              </w:rPr>
              <w:t>28,92</w:t>
            </w:r>
          </w:p>
        </w:tc>
        <w:tc>
          <w:tcPr>
            <w:tcW w:w="700" w:type="dxa"/>
            <w:tcBorders>
              <w:top w:val="nil"/>
              <w:left w:val="nil"/>
              <w:bottom w:val="nil"/>
              <w:right w:val="nil"/>
            </w:tcBorders>
            <w:shd w:val="clear" w:color="auto" w:fill="auto"/>
            <w:noWrap/>
            <w:vAlign w:val="center"/>
            <w:hideMark/>
          </w:tcPr>
          <w:p w14:paraId="6AE5334F" w14:textId="77777777" w:rsidR="008C2001" w:rsidRPr="008C2001" w:rsidRDefault="008C2001" w:rsidP="0071250D">
            <w:pPr>
              <w:spacing w:after="0" w:line="240" w:lineRule="auto"/>
              <w:jc w:val="right"/>
              <w:rPr>
                <w:rFonts w:cs="Arial"/>
                <w:sz w:val="16"/>
                <w:szCs w:val="16"/>
              </w:rPr>
            </w:pPr>
            <w:r w:rsidRPr="008C2001">
              <w:rPr>
                <w:rFonts w:cs="Arial"/>
                <w:sz w:val="16"/>
                <w:szCs w:val="16"/>
              </w:rPr>
              <w:t>27,01</w:t>
            </w:r>
          </w:p>
        </w:tc>
        <w:tc>
          <w:tcPr>
            <w:tcW w:w="700" w:type="dxa"/>
            <w:tcBorders>
              <w:top w:val="nil"/>
              <w:left w:val="nil"/>
              <w:bottom w:val="nil"/>
              <w:right w:val="nil"/>
            </w:tcBorders>
            <w:shd w:val="clear" w:color="auto" w:fill="auto"/>
            <w:noWrap/>
            <w:vAlign w:val="center"/>
            <w:hideMark/>
          </w:tcPr>
          <w:p w14:paraId="75EE5F9F" w14:textId="77777777" w:rsidR="008C2001" w:rsidRPr="008C2001" w:rsidRDefault="008C2001" w:rsidP="0071250D">
            <w:pPr>
              <w:spacing w:after="0" w:line="240" w:lineRule="auto"/>
              <w:jc w:val="right"/>
              <w:rPr>
                <w:rFonts w:cs="Arial"/>
                <w:sz w:val="16"/>
                <w:szCs w:val="16"/>
              </w:rPr>
            </w:pPr>
            <w:r w:rsidRPr="008C2001">
              <w:rPr>
                <w:rFonts w:cs="Arial"/>
                <w:sz w:val="16"/>
                <w:szCs w:val="16"/>
              </w:rPr>
              <w:t>29,94</w:t>
            </w:r>
          </w:p>
        </w:tc>
        <w:tc>
          <w:tcPr>
            <w:tcW w:w="700" w:type="dxa"/>
            <w:tcBorders>
              <w:top w:val="nil"/>
              <w:left w:val="nil"/>
              <w:bottom w:val="nil"/>
              <w:right w:val="nil"/>
            </w:tcBorders>
            <w:shd w:val="clear" w:color="auto" w:fill="auto"/>
            <w:noWrap/>
            <w:vAlign w:val="center"/>
            <w:hideMark/>
          </w:tcPr>
          <w:p w14:paraId="54D755C4" w14:textId="77777777" w:rsidR="008C2001" w:rsidRPr="008C2001" w:rsidRDefault="008C2001" w:rsidP="0071250D">
            <w:pPr>
              <w:spacing w:after="0" w:line="240" w:lineRule="auto"/>
              <w:jc w:val="right"/>
              <w:rPr>
                <w:rFonts w:cs="Arial"/>
                <w:sz w:val="16"/>
                <w:szCs w:val="16"/>
              </w:rPr>
            </w:pPr>
            <w:r w:rsidRPr="008C2001">
              <w:rPr>
                <w:rFonts w:cs="Arial"/>
                <w:sz w:val="16"/>
                <w:szCs w:val="16"/>
              </w:rPr>
              <w:t>28,95</w:t>
            </w:r>
          </w:p>
        </w:tc>
        <w:tc>
          <w:tcPr>
            <w:tcW w:w="700" w:type="dxa"/>
            <w:tcBorders>
              <w:top w:val="nil"/>
              <w:left w:val="nil"/>
              <w:bottom w:val="nil"/>
              <w:right w:val="nil"/>
            </w:tcBorders>
            <w:shd w:val="clear" w:color="auto" w:fill="auto"/>
            <w:noWrap/>
            <w:vAlign w:val="center"/>
            <w:hideMark/>
          </w:tcPr>
          <w:p w14:paraId="6402158B" w14:textId="77777777" w:rsidR="008C2001" w:rsidRPr="008C2001" w:rsidRDefault="008C2001" w:rsidP="0071250D">
            <w:pPr>
              <w:spacing w:after="0" w:line="240" w:lineRule="auto"/>
              <w:jc w:val="right"/>
              <w:rPr>
                <w:rFonts w:cs="Arial"/>
                <w:sz w:val="16"/>
                <w:szCs w:val="16"/>
              </w:rPr>
            </w:pPr>
            <w:r w:rsidRPr="008C2001">
              <w:rPr>
                <w:rFonts w:cs="Arial"/>
                <w:sz w:val="16"/>
                <w:szCs w:val="16"/>
              </w:rPr>
              <w:t>35,53</w:t>
            </w:r>
          </w:p>
        </w:tc>
        <w:tc>
          <w:tcPr>
            <w:tcW w:w="700" w:type="dxa"/>
            <w:tcBorders>
              <w:top w:val="nil"/>
              <w:left w:val="nil"/>
              <w:bottom w:val="nil"/>
              <w:right w:val="nil"/>
            </w:tcBorders>
            <w:shd w:val="clear" w:color="auto" w:fill="auto"/>
            <w:noWrap/>
            <w:vAlign w:val="center"/>
            <w:hideMark/>
          </w:tcPr>
          <w:p w14:paraId="3F01716E" w14:textId="77777777" w:rsidR="008C2001" w:rsidRPr="008C2001" w:rsidRDefault="008C2001" w:rsidP="0071250D">
            <w:pPr>
              <w:spacing w:after="0" w:line="240" w:lineRule="auto"/>
              <w:jc w:val="right"/>
              <w:rPr>
                <w:rFonts w:cs="Arial"/>
                <w:sz w:val="16"/>
                <w:szCs w:val="16"/>
              </w:rPr>
            </w:pPr>
            <w:r w:rsidRPr="008C2001">
              <w:rPr>
                <w:rFonts w:cs="Arial"/>
                <w:sz w:val="16"/>
                <w:szCs w:val="16"/>
              </w:rPr>
              <w:t>36,00</w:t>
            </w:r>
          </w:p>
        </w:tc>
        <w:tc>
          <w:tcPr>
            <w:tcW w:w="700" w:type="dxa"/>
            <w:tcBorders>
              <w:top w:val="nil"/>
              <w:left w:val="nil"/>
              <w:bottom w:val="nil"/>
              <w:right w:val="nil"/>
            </w:tcBorders>
            <w:shd w:val="clear" w:color="auto" w:fill="auto"/>
            <w:noWrap/>
            <w:vAlign w:val="center"/>
            <w:hideMark/>
          </w:tcPr>
          <w:p w14:paraId="35694D12"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37,55</w:t>
            </w:r>
          </w:p>
        </w:tc>
        <w:tc>
          <w:tcPr>
            <w:tcW w:w="700" w:type="dxa"/>
            <w:tcBorders>
              <w:top w:val="nil"/>
              <w:left w:val="nil"/>
              <w:bottom w:val="nil"/>
              <w:right w:val="nil"/>
            </w:tcBorders>
            <w:shd w:val="clear" w:color="auto" w:fill="auto"/>
            <w:noWrap/>
            <w:vAlign w:val="center"/>
            <w:hideMark/>
          </w:tcPr>
          <w:p w14:paraId="23BE89A7"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39,11</w:t>
            </w:r>
          </w:p>
        </w:tc>
      </w:tr>
      <w:tr w:rsidR="008C2001" w:rsidRPr="008C2001" w14:paraId="33896A2F" w14:textId="77777777" w:rsidTr="0071250D">
        <w:trPr>
          <w:trHeight w:val="300"/>
        </w:trPr>
        <w:tc>
          <w:tcPr>
            <w:tcW w:w="1831" w:type="dxa"/>
            <w:tcBorders>
              <w:top w:val="nil"/>
              <w:left w:val="nil"/>
              <w:bottom w:val="nil"/>
              <w:right w:val="single" w:sz="4" w:space="0" w:color="auto"/>
            </w:tcBorders>
            <w:shd w:val="clear" w:color="auto" w:fill="auto"/>
            <w:noWrap/>
            <w:vAlign w:val="center"/>
            <w:hideMark/>
          </w:tcPr>
          <w:p w14:paraId="04F076CE" w14:textId="77777777" w:rsidR="008C2001" w:rsidRPr="008C2001" w:rsidRDefault="008C2001" w:rsidP="0071250D">
            <w:pPr>
              <w:spacing w:after="0" w:line="240" w:lineRule="auto"/>
              <w:ind w:firstLineChars="100" w:firstLine="160"/>
              <w:rPr>
                <w:rFonts w:cs="Arial"/>
                <w:sz w:val="16"/>
                <w:szCs w:val="16"/>
              </w:rPr>
            </w:pPr>
            <w:r w:rsidRPr="008C2001">
              <w:rPr>
                <w:rFonts w:cs="Arial"/>
                <w:sz w:val="16"/>
                <w:szCs w:val="16"/>
              </w:rPr>
              <w:t>Moravskoslezský kraj</w:t>
            </w:r>
          </w:p>
        </w:tc>
        <w:tc>
          <w:tcPr>
            <w:tcW w:w="709" w:type="dxa"/>
            <w:tcBorders>
              <w:top w:val="nil"/>
              <w:left w:val="nil"/>
              <w:bottom w:val="nil"/>
              <w:right w:val="nil"/>
            </w:tcBorders>
            <w:shd w:val="clear" w:color="auto" w:fill="auto"/>
            <w:noWrap/>
            <w:vAlign w:val="center"/>
            <w:hideMark/>
          </w:tcPr>
          <w:p w14:paraId="180A7A0E" w14:textId="77777777" w:rsidR="008C2001" w:rsidRPr="008C2001" w:rsidRDefault="008C2001" w:rsidP="0071250D">
            <w:pPr>
              <w:spacing w:after="0" w:line="240" w:lineRule="auto"/>
              <w:jc w:val="right"/>
              <w:rPr>
                <w:rFonts w:cs="Arial"/>
                <w:sz w:val="16"/>
                <w:szCs w:val="16"/>
              </w:rPr>
            </w:pPr>
            <w:r w:rsidRPr="008C2001">
              <w:rPr>
                <w:rFonts w:cs="Arial"/>
                <w:sz w:val="16"/>
                <w:szCs w:val="16"/>
              </w:rPr>
              <w:t>52,14</w:t>
            </w:r>
          </w:p>
        </w:tc>
        <w:tc>
          <w:tcPr>
            <w:tcW w:w="700" w:type="dxa"/>
            <w:tcBorders>
              <w:top w:val="nil"/>
              <w:left w:val="nil"/>
              <w:bottom w:val="nil"/>
              <w:right w:val="nil"/>
            </w:tcBorders>
            <w:shd w:val="clear" w:color="auto" w:fill="auto"/>
            <w:noWrap/>
            <w:vAlign w:val="center"/>
            <w:hideMark/>
          </w:tcPr>
          <w:p w14:paraId="64F92DEC" w14:textId="77777777" w:rsidR="008C2001" w:rsidRPr="008C2001" w:rsidRDefault="008C2001" w:rsidP="0071250D">
            <w:pPr>
              <w:spacing w:after="0" w:line="240" w:lineRule="auto"/>
              <w:jc w:val="right"/>
              <w:rPr>
                <w:rFonts w:cs="Arial"/>
                <w:sz w:val="16"/>
                <w:szCs w:val="16"/>
              </w:rPr>
            </w:pPr>
            <w:r w:rsidRPr="008C2001">
              <w:rPr>
                <w:rFonts w:cs="Arial"/>
                <w:sz w:val="16"/>
                <w:szCs w:val="16"/>
              </w:rPr>
              <w:t>33,84</w:t>
            </w:r>
          </w:p>
        </w:tc>
        <w:tc>
          <w:tcPr>
            <w:tcW w:w="700" w:type="dxa"/>
            <w:tcBorders>
              <w:top w:val="nil"/>
              <w:left w:val="nil"/>
              <w:bottom w:val="nil"/>
              <w:right w:val="nil"/>
            </w:tcBorders>
            <w:shd w:val="clear" w:color="auto" w:fill="auto"/>
            <w:noWrap/>
            <w:vAlign w:val="center"/>
            <w:hideMark/>
          </w:tcPr>
          <w:p w14:paraId="46639179" w14:textId="77777777" w:rsidR="008C2001" w:rsidRPr="008C2001" w:rsidRDefault="008C2001" w:rsidP="0071250D">
            <w:pPr>
              <w:spacing w:after="0" w:line="240" w:lineRule="auto"/>
              <w:jc w:val="right"/>
              <w:rPr>
                <w:rFonts w:cs="Arial"/>
                <w:sz w:val="16"/>
                <w:szCs w:val="16"/>
              </w:rPr>
            </w:pPr>
            <w:r w:rsidRPr="008C2001">
              <w:rPr>
                <w:rFonts w:cs="Arial"/>
                <w:sz w:val="16"/>
                <w:szCs w:val="16"/>
              </w:rPr>
              <w:t>31,97</w:t>
            </w:r>
          </w:p>
        </w:tc>
        <w:tc>
          <w:tcPr>
            <w:tcW w:w="700" w:type="dxa"/>
            <w:tcBorders>
              <w:top w:val="nil"/>
              <w:left w:val="nil"/>
              <w:bottom w:val="nil"/>
              <w:right w:val="nil"/>
            </w:tcBorders>
            <w:shd w:val="clear" w:color="auto" w:fill="auto"/>
            <w:noWrap/>
            <w:vAlign w:val="center"/>
            <w:hideMark/>
          </w:tcPr>
          <w:p w14:paraId="74D0A785" w14:textId="77777777" w:rsidR="008C2001" w:rsidRPr="008C2001" w:rsidRDefault="008C2001" w:rsidP="0071250D">
            <w:pPr>
              <w:spacing w:after="0" w:line="240" w:lineRule="auto"/>
              <w:jc w:val="right"/>
              <w:rPr>
                <w:rFonts w:cs="Arial"/>
                <w:sz w:val="16"/>
                <w:szCs w:val="16"/>
              </w:rPr>
            </w:pPr>
            <w:r w:rsidRPr="008C2001">
              <w:rPr>
                <w:rFonts w:cs="Arial"/>
                <w:sz w:val="16"/>
                <w:szCs w:val="16"/>
              </w:rPr>
              <w:t>31,74</w:t>
            </w:r>
          </w:p>
        </w:tc>
        <w:tc>
          <w:tcPr>
            <w:tcW w:w="700" w:type="dxa"/>
            <w:tcBorders>
              <w:top w:val="nil"/>
              <w:left w:val="nil"/>
              <w:bottom w:val="nil"/>
              <w:right w:val="nil"/>
            </w:tcBorders>
            <w:shd w:val="clear" w:color="auto" w:fill="auto"/>
            <w:noWrap/>
            <w:vAlign w:val="center"/>
            <w:hideMark/>
          </w:tcPr>
          <w:p w14:paraId="03B78DFC" w14:textId="77777777" w:rsidR="008C2001" w:rsidRPr="008C2001" w:rsidRDefault="008C2001" w:rsidP="0071250D">
            <w:pPr>
              <w:spacing w:after="0" w:line="240" w:lineRule="auto"/>
              <w:jc w:val="right"/>
              <w:rPr>
                <w:rFonts w:cs="Arial"/>
                <w:sz w:val="16"/>
                <w:szCs w:val="16"/>
              </w:rPr>
            </w:pPr>
            <w:r w:rsidRPr="008C2001">
              <w:rPr>
                <w:rFonts w:cs="Arial"/>
                <w:sz w:val="16"/>
                <w:szCs w:val="16"/>
              </w:rPr>
              <w:t>28,28</w:t>
            </w:r>
          </w:p>
        </w:tc>
        <w:tc>
          <w:tcPr>
            <w:tcW w:w="700" w:type="dxa"/>
            <w:tcBorders>
              <w:top w:val="nil"/>
              <w:left w:val="nil"/>
              <w:bottom w:val="nil"/>
              <w:right w:val="nil"/>
            </w:tcBorders>
            <w:shd w:val="clear" w:color="auto" w:fill="auto"/>
            <w:noWrap/>
            <w:vAlign w:val="center"/>
            <w:hideMark/>
          </w:tcPr>
          <w:p w14:paraId="33CEA8FB" w14:textId="77777777" w:rsidR="008C2001" w:rsidRPr="008C2001" w:rsidRDefault="008C2001" w:rsidP="0071250D">
            <w:pPr>
              <w:spacing w:after="0" w:line="240" w:lineRule="auto"/>
              <w:jc w:val="right"/>
              <w:rPr>
                <w:rFonts w:cs="Arial"/>
                <w:sz w:val="16"/>
                <w:szCs w:val="16"/>
              </w:rPr>
            </w:pPr>
            <w:r w:rsidRPr="008C2001">
              <w:rPr>
                <w:rFonts w:cs="Arial"/>
                <w:sz w:val="16"/>
                <w:szCs w:val="16"/>
              </w:rPr>
              <w:t>31,47</w:t>
            </w:r>
          </w:p>
        </w:tc>
        <w:tc>
          <w:tcPr>
            <w:tcW w:w="700" w:type="dxa"/>
            <w:tcBorders>
              <w:top w:val="nil"/>
              <w:left w:val="nil"/>
              <w:bottom w:val="nil"/>
              <w:right w:val="nil"/>
            </w:tcBorders>
            <w:shd w:val="clear" w:color="auto" w:fill="auto"/>
            <w:noWrap/>
            <w:vAlign w:val="center"/>
            <w:hideMark/>
          </w:tcPr>
          <w:p w14:paraId="1A357403" w14:textId="77777777" w:rsidR="008C2001" w:rsidRPr="008C2001" w:rsidRDefault="008C2001" w:rsidP="0071250D">
            <w:pPr>
              <w:spacing w:after="0" w:line="240" w:lineRule="auto"/>
              <w:jc w:val="right"/>
              <w:rPr>
                <w:rFonts w:cs="Arial"/>
                <w:sz w:val="16"/>
                <w:szCs w:val="16"/>
              </w:rPr>
            </w:pPr>
            <w:r w:rsidRPr="008C2001">
              <w:rPr>
                <w:rFonts w:cs="Arial"/>
                <w:sz w:val="16"/>
                <w:szCs w:val="16"/>
              </w:rPr>
              <w:t>30,36</w:t>
            </w:r>
          </w:p>
        </w:tc>
        <w:tc>
          <w:tcPr>
            <w:tcW w:w="700" w:type="dxa"/>
            <w:tcBorders>
              <w:top w:val="nil"/>
              <w:left w:val="nil"/>
              <w:bottom w:val="nil"/>
              <w:right w:val="nil"/>
            </w:tcBorders>
            <w:shd w:val="clear" w:color="auto" w:fill="auto"/>
            <w:noWrap/>
            <w:vAlign w:val="center"/>
            <w:hideMark/>
          </w:tcPr>
          <w:p w14:paraId="0FB04DDE" w14:textId="77777777" w:rsidR="008C2001" w:rsidRPr="008C2001" w:rsidRDefault="008C2001" w:rsidP="0071250D">
            <w:pPr>
              <w:spacing w:after="0" w:line="240" w:lineRule="auto"/>
              <w:jc w:val="right"/>
              <w:rPr>
                <w:rFonts w:cs="Arial"/>
                <w:sz w:val="16"/>
                <w:szCs w:val="16"/>
              </w:rPr>
            </w:pPr>
            <w:r w:rsidRPr="008C2001">
              <w:rPr>
                <w:rFonts w:cs="Arial"/>
                <w:sz w:val="16"/>
                <w:szCs w:val="16"/>
              </w:rPr>
              <w:t>35,97</w:t>
            </w:r>
          </w:p>
        </w:tc>
        <w:tc>
          <w:tcPr>
            <w:tcW w:w="700" w:type="dxa"/>
            <w:tcBorders>
              <w:top w:val="nil"/>
              <w:left w:val="nil"/>
              <w:bottom w:val="nil"/>
              <w:right w:val="nil"/>
            </w:tcBorders>
            <w:shd w:val="clear" w:color="auto" w:fill="auto"/>
            <w:noWrap/>
            <w:vAlign w:val="center"/>
            <w:hideMark/>
          </w:tcPr>
          <w:p w14:paraId="79A7E8A7" w14:textId="77777777" w:rsidR="008C2001" w:rsidRPr="008C2001" w:rsidRDefault="008C2001" w:rsidP="0071250D">
            <w:pPr>
              <w:spacing w:after="0" w:line="240" w:lineRule="auto"/>
              <w:jc w:val="right"/>
              <w:rPr>
                <w:rFonts w:cs="Arial"/>
                <w:sz w:val="16"/>
                <w:szCs w:val="16"/>
              </w:rPr>
            </w:pPr>
            <w:r w:rsidRPr="008C2001">
              <w:rPr>
                <w:rFonts w:cs="Arial"/>
                <w:sz w:val="16"/>
                <w:szCs w:val="16"/>
              </w:rPr>
              <w:t>37,51</w:t>
            </w:r>
          </w:p>
        </w:tc>
        <w:tc>
          <w:tcPr>
            <w:tcW w:w="700" w:type="dxa"/>
            <w:tcBorders>
              <w:top w:val="nil"/>
              <w:left w:val="nil"/>
              <w:bottom w:val="nil"/>
              <w:right w:val="nil"/>
            </w:tcBorders>
            <w:shd w:val="clear" w:color="auto" w:fill="auto"/>
            <w:noWrap/>
            <w:vAlign w:val="center"/>
            <w:hideMark/>
          </w:tcPr>
          <w:p w14:paraId="399558E9" w14:textId="77777777" w:rsidR="008C2001" w:rsidRPr="008C2001" w:rsidRDefault="008C2001" w:rsidP="0071250D">
            <w:pPr>
              <w:spacing w:after="0" w:line="240" w:lineRule="auto"/>
              <w:jc w:val="right"/>
              <w:rPr>
                <w:rFonts w:cs="Arial"/>
                <w:sz w:val="16"/>
                <w:szCs w:val="16"/>
              </w:rPr>
            </w:pPr>
            <w:r w:rsidRPr="008C2001">
              <w:rPr>
                <w:rFonts w:cs="Arial"/>
                <w:sz w:val="16"/>
                <w:szCs w:val="16"/>
              </w:rPr>
              <w:t>38,44</w:t>
            </w:r>
          </w:p>
        </w:tc>
        <w:tc>
          <w:tcPr>
            <w:tcW w:w="700" w:type="dxa"/>
            <w:tcBorders>
              <w:top w:val="nil"/>
              <w:left w:val="nil"/>
              <w:bottom w:val="nil"/>
              <w:right w:val="nil"/>
            </w:tcBorders>
            <w:shd w:val="clear" w:color="auto" w:fill="auto"/>
            <w:noWrap/>
            <w:vAlign w:val="center"/>
            <w:hideMark/>
          </w:tcPr>
          <w:p w14:paraId="3180C16E" w14:textId="77777777" w:rsidR="008C2001" w:rsidRPr="008C2001" w:rsidRDefault="008C2001" w:rsidP="0071250D">
            <w:pPr>
              <w:spacing w:after="0" w:line="240" w:lineRule="auto"/>
              <w:jc w:val="right"/>
              <w:rPr>
                <w:rFonts w:cs="Arial"/>
                <w:color w:val="000000"/>
                <w:sz w:val="16"/>
                <w:szCs w:val="16"/>
              </w:rPr>
            </w:pPr>
            <w:r w:rsidRPr="008C2001">
              <w:rPr>
                <w:rFonts w:cs="Arial"/>
                <w:color w:val="000000"/>
                <w:sz w:val="16"/>
                <w:szCs w:val="16"/>
              </w:rPr>
              <w:t>41,39</w:t>
            </w:r>
          </w:p>
        </w:tc>
      </w:tr>
    </w:tbl>
    <w:p w14:paraId="57BB8621" w14:textId="17FD47AB" w:rsidR="008C2001" w:rsidRDefault="008C2001" w:rsidP="00390287">
      <w:pPr>
        <w:jc w:val="both"/>
        <w:rPr>
          <w:rFonts w:cs="Arial"/>
        </w:rPr>
      </w:pPr>
    </w:p>
    <w:p w14:paraId="2135B501" w14:textId="77777777" w:rsidR="008C2001" w:rsidRDefault="008C2001" w:rsidP="008C2001">
      <w:pPr>
        <w:spacing w:after="0"/>
        <w:rPr>
          <w:sz w:val="18"/>
        </w:rPr>
      </w:pPr>
      <w:r w:rsidRPr="00BC3FF5">
        <w:rPr>
          <w:sz w:val="18"/>
        </w:rPr>
        <w:t>Zdroj: ČSÚ</w:t>
      </w:r>
    </w:p>
    <w:p w14:paraId="6AB3208B" w14:textId="70B1724B" w:rsidR="008C2001" w:rsidRDefault="008C2001" w:rsidP="00390287">
      <w:pPr>
        <w:jc w:val="both"/>
        <w:rPr>
          <w:rFonts w:cs="Arial"/>
        </w:rPr>
      </w:pPr>
    </w:p>
    <w:p w14:paraId="6D29E8A4" w14:textId="70F6B5A8" w:rsidR="00464B0B" w:rsidRDefault="00642E5B" w:rsidP="00390287">
      <w:pPr>
        <w:jc w:val="both"/>
        <w:rPr>
          <w:rFonts w:cs="Arial"/>
        </w:rPr>
      </w:pPr>
      <w:r>
        <w:rPr>
          <w:rFonts w:cs="Arial"/>
        </w:rPr>
        <w:t xml:space="preserve">Dalším kritériem, podle kterého </w:t>
      </w:r>
      <w:r w:rsidR="00776E3B">
        <w:rPr>
          <w:rFonts w:cs="Arial"/>
        </w:rPr>
        <w:t xml:space="preserve">lze </w:t>
      </w:r>
      <w:r w:rsidR="005968FD">
        <w:rPr>
          <w:rFonts w:cs="Arial"/>
        </w:rPr>
        <w:t>hodnotit pracovní neschopnost nemocensky pojištěných</w:t>
      </w:r>
      <w:r>
        <w:rPr>
          <w:rFonts w:cs="Arial"/>
        </w:rPr>
        <w:t xml:space="preserve">, je </w:t>
      </w:r>
      <w:r w:rsidR="005968FD">
        <w:rPr>
          <w:rFonts w:cs="Arial"/>
        </w:rPr>
        <w:t xml:space="preserve">rozdělení </w:t>
      </w:r>
      <w:r w:rsidR="00F9254E">
        <w:rPr>
          <w:rFonts w:cs="Arial"/>
        </w:rPr>
        <w:t>na</w:t>
      </w:r>
      <w:r w:rsidR="00F547BE">
        <w:rPr>
          <w:rFonts w:cs="Arial"/>
        </w:rPr>
        <w:t> </w:t>
      </w:r>
      <w:r w:rsidR="00F9254E" w:rsidRPr="00722773">
        <w:rPr>
          <w:rFonts w:cs="Arial"/>
          <w:b/>
        </w:rPr>
        <w:t>podniky domácí</w:t>
      </w:r>
      <w:r w:rsidR="00F9254E">
        <w:rPr>
          <w:rFonts w:cs="Arial"/>
        </w:rPr>
        <w:t xml:space="preserve"> a ty </w:t>
      </w:r>
      <w:r w:rsidR="00F9254E" w:rsidRPr="00722773">
        <w:rPr>
          <w:rFonts w:cs="Arial"/>
          <w:b/>
        </w:rPr>
        <w:t>pod zahraniční kontrolou</w:t>
      </w:r>
      <w:r w:rsidR="00F9254E">
        <w:rPr>
          <w:rFonts w:cs="Arial"/>
        </w:rPr>
        <w:t>. Např. v nefinančních podnicích, kte</w:t>
      </w:r>
      <w:r w:rsidR="00BB2927">
        <w:rPr>
          <w:rFonts w:cs="Arial"/>
        </w:rPr>
        <w:t>ré</w:t>
      </w:r>
      <w:r w:rsidR="00F9254E">
        <w:rPr>
          <w:rFonts w:cs="Arial"/>
        </w:rPr>
        <w:t xml:space="preserve"> </w:t>
      </w:r>
      <w:r w:rsidR="00BB2927">
        <w:rPr>
          <w:rFonts w:cs="Arial"/>
        </w:rPr>
        <w:t xml:space="preserve">v roce 2018 </w:t>
      </w:r>
      <w:r w:rsidR="00F9254E">
        <w:rPr>
          <w:rFonts w:cs="Arial"/>
        </w:rPr>
        <w:t>zaměstnávali 70 % všech nemocensky pojištěných osob</w:t>
      </w:r>
      <w:r w:rsidR="00BB2927">
        <w:rPr>
          <w:rFonts w:cs="Arial"/>
        </w:rPr>
        <w:t>,</w:t>
      </w:r>
      <w:r>
        <w:rPr>
          <w:rFonts w:cs="Arial"/>
        </w:rPr>
        <w:t xml:space="preserve"> zaměstnanci v podnicích pod zahraniční kontrolou hlás</w:t>
      </w:r>
      <w:r w:rsidR="005968FD">
        <w:rPr>
          <w:rFonts w:cs="Arial"/>
        </w:rPr>
        <w:t>ili</w:t>
      </w:r>
      <w:r>
        <w:rPr>
          <w:rFonts w:cs="Arial"/>
        </w:rPr>
        <w:t xml:space="preserve"> častěji pracovní neschopnost (48,4 případů na 100 nemocensky pojištěných)</w:t>
      </w:r>
      <w:r w:rsidR="00D40AC0">
        <w:rPr>
          <w:rFonts w:cs="Arial"/>
        </w:rPr>
        <w:t xml:space="preserve">, </w:t>
      </w:r>
      <w:r>
        <w:rPr>
          <w:rFonts w:cs="Arial"/>
        </w:rPr>
        <w:t>na rozdíl od těch v domácích podnicích (37,1 nahlášených incidentů).</w:t>
      </w:r>
      <w:r w:rsidR="005968FD">
        <w:rPr>
          <w:rFonts w:cs="Arial"/>
        </w:rPr>
        <w:t xml:space="preserve"> Pracovní neschopnost zaměstnanců však v domácích podnicích trvala </w:t>
      </w:r>
      <w:r w:rsidR="00D40AC0">
        <w:rPr>
          <w:rFonts w:cs="Arial"/>
        </w:rPr>
        <w:t xml:space="preserve">v </w:t>
      </w:r>
      <w:r w:rsidR="005968FD">
        <w:rPr>
          <w:rFonts w:cs="Arial"/>
        </w:rPr>
        <w:t xml:space="preserve">průměru o 8 dní déle (45,4 dne) než u podniků </w:t>
      </w:r>
      <w:r w:rsidR="00F9254E">
        <w:rPr>
          <w:rFonts w:cs="Arial"/>
        </w:rPr>
        <w:t>pod</w:t>
      </w:r>
      <w:r w:rsidR="005968FD">
        <w:rPr>
          <w:rFonts w:cs="Arial"/>
        </w:rPr>
        <w:t xml:space="preserve"> zahraniční kontrolou (37,7 dne).</w:t>
      </w:r>
    </w:p>
    <w:p w14:paraId="0674824C" w14:textId="7A326D80" w:rsidR="0047735C" w:rsidRDefault="003C629F" w:rsidP="006111AE">
      <w:pPr>
        <w:pStyle w:val="Nadpis3"/>
        <w:spacing w:after="100"/>
      </w:pPr>
      <w:bookmarkStart w:id="11" w:name="_Toc10117314"/>
      <w:r>
        <w:t>4.2.2 Délka trvání dočasné pracovní neschopnosti</w:t>
      </w:r>
      <w:bookmarkEnd w:id="11"/>
    </w:p>
    <w:p w14:paraId="07C5CC47" w14:textId="7F997390" w:rsidR="006111AE" w:rsidRDefault="006111AE" w:rsidP="006111AE">
      <w:pPr>
        <w:jc w:val="both"/>
      </w:pPr>
      <w:r>
        <w:t xml:space="preserve">Pro posouzení vývoje pracovní neschopnosti je důležité nejen zjištění, </w:t>
      </w:r>
      <w:r w:rsidRPr="00FA436A">
        <w:t xml:space="preserve">jak často </w:t>
      </w:r>
      <w:r>
        <w:t>zaměstnanci</w:t>
      </w:r>
      <w:r w:rsidRPr="00FA436A">
        <w:t xml:space="preserve"> do pracovní neschopnosti nastupují, </w:t>
      </w:r>
      <w:r>
        <w:t xml:space="preserve">ale i to, </w:t>
      </w:r>
      <w:r w:rsidRPr="00FA436A">
        <w:t xml:space="preserve">jak dlouho v pracovní neschopnosti zůstávají. </w:t>
      </w:r>
    </w:p>
    <w:p w14:paraId="3EB74266" w14:textId="464E5848" w:rsidR="00A96047" w:rsidRPr="00A96047" w:rsidRDefault="00A96047" w:rsidP="007508FD">
      <w:pPr>
        <w:pStyle w:val="Box1"/>
        <w:jc w:val="both"/>
        <w:rPr>
          <w:i/>
        </w:rPr>
      </w:pPr>
      <w:r w:rsidRPr="00A96047">
        <w:rPr>
          <w:b/>
          <w:i/>
        </w:rPr>
        <w:t>Počet kalendářních dnů dočasné pracovní neschopnosti</w:t>
      </w:r>
      <w:r w:rsidRPr="00A96047">
        <w:rPr>
          <w:i/>
        </w:rPr>
        <w:t xml:space="preserve"> – ukazatel udává celkový počet kalendářních dnů, po které byli v daném období (roce) nemocensky pojištění zaměstnanci práce neschopni z příčin uvedených ve formuláři „Rozhodnutí o dočasné pracovní neschopnosti“. Počet kalendářních dnů strávených v pracovní neschopnosti je zjišťován na základě hlášení o vzniku a</w:t>
      </w:r>
      <w:r w:rsidR="00F547BE">
        <w:rPr>
          <w:i/>
        </w:rPr>
        <w:t> </w:t>
      </w:r>
      <w:r w:rsidRPr="00A96047">
        <w:rPr>
          <w:i/>
        </w:rPr>
        <w:t>ukončení pracovní neschopnosti. Do počtu případů a počtu kalendářních dnů pracovní neschopnosti patří i pracovní neschopnost vzniklá po zániku pojištění v tzv. ochranné lhůtě sedmi kalendářních dnů.</w:t>
      </w:r>
    </w:p>
    <w:p w14:paraId="177B2404" w14:textId="77777777" w:rsidR="00A96047" w:rsidRPr="00A96047" w:rsidRDefault="00A96047" w:rsidP="007508FD">
      <w:pPr>
        <w:pStyle w:val="Box1"/>
        <w:jc w:val="both"/>
        <w:rPr>
          <w:i/>
        </w:rPr>
      </w:pPr>
    </w:p>
    <w:p w14:paraId="6A216293" w14:textId="77777777" w:rsidR="00A96047" w:rsidRPr="00A96047" w:rsidRDefault="00A96047" w:rsidP="007508FD">
      <w:pPr>
        <w:pStyle w:val="Box1"/>
        <w:jc w:val="both"/>
        <w:rPr>
          <w:i/>
        </w:rPr>
      </w:pPr>
      <w:r w:rsidRPr="00A96047">
        <w:rPr>
          <w:b/>
          <w:i/>
        </w:rPr>
        <w:t>Průměrná délka trvání pracovní neschopnosti ve dnech</w:t>
      </w:r>
      <w:r w:rsidRPr="00A96047">
        <w:rPr>
          <w:i/>
        </w:rPr>
        <w:t xml:space="preserve"> – ukazatel vyjadřuje, kolik kalendářních dnů pracovní neschopnosti v průměru připadá na jeden nově hlášený případ pracovní neschopnosti. </w:t>
      </w:r>
    </w:p>
    <w:p w14:paraId="1DCF994A" w14:textId="77777777" w:rsidR="00A96047" w:rsidRPr="00A96047" w:rsidRDefault="00A96047" w:rsidP="007508FD">
      <w:pPr>
        <w:pStyle w:val="Box1"/>
        <w:jc w:val="both"/>
        <w:rPr>
          <w:i/>
          <w:u w:val="single"/>
        </w:rPr>
      </w:pPr>
      <w:r w:rsidRPr="00A96047">
        <w:rPr>
          <w:i/>
          <w:u w:val="single"/>
        </w:rPr>
        <w:t>Způsob výpočtu:</w:t>
      </w:r>
    </w:p>
    <w:p w14:paraId="77F1D069" w14:textId="5F5A1733" w:rsidR="00F617C3" w:rsidRDefault="00A96047" w:rsidP="00F617C3">
      <w:pPr>
        <w:pStyle w:val="Box1"/>
        <w:jc w:val="both"/>
        <w:rPr>
          <w:b/>
        </w:rPr>
      </w:pPr>
      <w:r w:rsidRPr="00A96047">
        <w:rPr>
          <w:i/>
        </w:rPr>
        <w:t>Průměrná délka trvání pracovní neschopnosti ve dnech = počet kalendářních dnů dočasné pracovní neschopnosti / počet nově hlášených případů dočasné pracovní neschopnosti</w:t>
      </w:r>
      <w:r w:rsidR="003C629F" w:rsidRPr="00A96047">
        <w:rPr>
          <w:i/>
        </w:rPr>
        <w:t>.</w:t>
      </w:r>
    </w:p>
    <w:p w14:paraId="0001FC00" w14:textId="399FE395" w:rsidR="00F617C3" w:rsidRDefault="003E2008" w:rsidP="00F34BC1">
      <w:pPr>
        <w:jc w:val="both"/>
      </w:pPr>
      <w:r w:rsidRPr="0047002D">
        <w:t>Počet kalendářních dnů dočasné pracovní neschopnosti</w:t>
      </w:r>
      <w:r>
        <w:rPr>
          <w:b/>
        </w:rPr>
        <w:t xml:space="preserve"> </w:t>
      </w:r>
      <w:r w:rsidRPr="00A977AC">
        <w:t>je dán součtem dnů, po kterých trvala dočasná pracovní neschopnost všech</w:t>
      </w:r>
      <w:r>
        <w:t xml:space="preserve"> nově</w:t>
      </w:r>
      <w:r w:rsidRPr="00A977AC">
        <w:t xml:space="preserve"> hlášených případů.</w:t>
      </w:r>
      <w:r>
        <w:t xml:space="preserve"> Sledovaný ukazatel </w:t>
      </w:r>
      <w:r w:rsidR="00722773">
        <w:t xml:space="preserve">v roce 2018 </w:t>
      </w:r>
      <w:r>
        <w:t xml:space="preserve">meziročně vzrostl </w:t>
      </w:r>
      <w:r w:rsidR="00722773">
        <w:t>o</w:t>
      </w:r>
      <w:r w:rsidR="00E252E5">
        <w:t> </w:t>
      </w:r>
      <w:r w:rsidR="00722773">
        <w:t xml:space="preserve">6,2 </w:t>
      </w:r>
      <w:r w:rsidR="00722773">
        <w:lastRenderedPageBreak/>
        <w:t xml:space="preserve">%, a to </w:t>
      </w:r>
      <w:r>
        <w:t>ze 72 678 tis. prostonaných</w:t>
      </w:r>
      <w:r w:rsidR="00722773">
        <w:t xml:space="preserve"> dnů v roce 2017 na 77 158 tis</w:t>
      </w:r>
      <w:r>
        <w:t>. V</w:t>
      </w:r>
      <w:r w:rsidR="00F34BC1">
        <w:t xml:space="preserve">ětšina dnů pracovní neschopnosti (85,8 %) je způsobena </w:t>
      </w:r>
      <w:r w:rsidR="00F34BC1" w:rsidRPr="00722773">
        <w:rPr>
          <w:b/>
        </w:rPr>
        <w:t>nemocí</w:t>
      </w:r>
      <w:r w:rsidR="00F34BC1">
        <w:t>, v absolutním počtu 66 223 tis.</w:t>
      </w:r>
      <w:r w:rsidR="00FD38EA">
        <w:t xml:space="preserve"> </w:t>
      </w:r>
      <w:r w:rsidR="00FD38EA" w:rsidRPr="00722773">
        <w:rPr>
          <w:b/>
        </w:rPr>
        <w:t>Mimopracovní úrazy</w:t>
      </w:r>
      <w:r w:rsidR="00FD38EA">
        <w:t xml:space="preserve"> způsobi</w:t>
      </w:r>
      <w:r w:rsidR="00A471C3">
        <w:t>ly 8 363 tis. prostonaných dní (</w:t>
      </w:r>
      <w:r w:rsidR="00FD38EA">
        <w:t xml:space="preserve">tj. </w:t>
      </w:r>
      <w:r w:rsidR="00A471C3">
        <w:t>10,8</w:t>
      </w:r>
      <w:r w:rsidR="00FD38EA">
        <w:t xml:space="preserve"> %</w:t>
      </w:r>
      <w:r w:rsidR="00A471C3">
        <w:t>)</w:t>
      </w:r>
      <w:r w:rsidR="00FD38EA">
        <w:t xml:space="preserve"> a </w:t>
      </w:r>
      <w:r w:rsidR="00FD38EA" w:rsidRPr="00722773">
        <w:rPr>
          <w:b/>
        </w:rPr>
        <w:t>pracovní úrazy</w:t>
      </w:r>
      <w:r w:rsidR="00FD38EA">
        <w:t xml:space="preserve"> 2 571 tis. (3,</w:t>
      </w:r>
      <w:r w:rsidR="00A471C3">
        <w:t>3</w:t>
      </w:r>
      <w:r w:rsidR="00FD38EA">
        <w:t xml:space="preserve"> %).</w:t>
      </w:r>
      <w:r w:rsidR="0056065A">
        <w:t xml:space="preserve"> Zatímco počet dnů v pracovní neschopnosti z důvodu pracovních úrazů již od roku 2015 víceméně stagnuje, počty dnů pro nemoc a</w:t>
      </w:r>
      <w:r w:rsidR="00243997">
        <w:t xml:space="preserve"> pro</w:t>
      </w:r>
      <w:r w:rsidR="0056065A">
        <w:t xml:space="preserve"> ostatní </w:t>
      </w:r>
      <w:r w:rsidR="00243997">
        <w:t xml:space="preserve">úrazy </w:t>
      </w:r>
      <w:r w:rsidR="0056065A">
        <w:t xml:space="preserve">neustále narůstají. Ženy strávily v dočasné pracovní neschopnosti celkem 41 934 tis. dní, což je o 6 711 tis. dnů </w:t>
      </w:r>
      <w:r w:rsidR="00243997">
        <w:t>více</w:t>
      </w:r>
      <w:r w:rsidR="0056065A">
        <w:t xml:space="preserve"> než muži.</w:t>
      </w:r>
    </w:p>
    <w:p w14:paraId="561B6969" w14:textId="2C605AF2" w:rsidR="007C60B5" w:rsidRDefault="00A521DF" w:rsidP="00F34BC1">
      <w:pPr>
        <w:jc w:val="both"/>
      </w:pPr>
      <w:r>
        <w:t xml:space="preserve">To, že pracovní neschopnost u </w:t>
      </w:r>
      <w:r w:rsidRPr="00722773">
        <w:rPr>
          <w:b/>
        </w:rPr>
        <w:t>žen</w:t>
      </w:r>
      <w:r>
        <w:t xml:space="preserve"> trvá déle, potvrzuje i dlouhodobější vývoj znázorněný v grafu 2.5. Ačkoliv vlivem leg</w:t>
      </w:r>
      <w:r w:rsidR="007A7D7E">
        <w:t xml:space="preserve">islativních změn </w:t>
      </w:r>
      <w:r>
        <w:t xml:space="preserve">došlo v roce 2009 </w:t>
      </w:r>
      <w:r w:rsidR="007A7D7E">
        <w:t xml:space="preserve">jak </w:t>
      </w:r>
      <w:r>
        <w:t>k propadu počtu případů pracovní neschopnosti</w:t>
      </w:r>
      <w:r w:rsidR="007A7D7E">
        <w:t xml:space="preserve"> (o 35 %), tak ke snížení počtu dní strávených na neschopence (o 25 %), průměrná délka případu pracovní neschopnosti meziročně vzrostla. </w:t>
      </w:r>
    </w:p>
    <w:p w14:paraId="6291CC8F" w14:textId="522387C2" w:rsidR="00C44514" w:rsidRDefault="00C44514" w:rsidP="00C44514">
      <w:pPr>
        <w:jc w:val="both"/>
        <w:rPr>
          <w:b/>
          <w:color w:val="000000"/>
          <w:szCs w:val="20"/>
        </w:rPr>
      </w:pPr>
      <w:r w:rsidRPr="00722773">
        <w:rPr>
          <w:rFonts w:cs="Arial"/>
          <w:b/>
        </w:rPr>
        <w:t xml:space="preserve">Průměrná délka trvání 1 případu dočasné pracovní neschopnosti </w:t>
      </w:r>
      <w:r w:rsidRPr="004C01CC">
        <w:rPr>
          <w:rFonts w:cs="Arial"/>
        </w:rPr>
        <w:t>meziročně poklesla ze 4</w:t>
      </w:r>
      <w:r w:rsidR="004C01CC" w:rsidRPr="004C01CC">
        <w:rPr>
          <w:rFonts w:cs="Arial"/>
        </w:rPr>
        <w:t>2,6 dnů v roce 2017</w:t>
      </w:r>
      <w:r w:rsidRPr="004C01CC">
        <w:rPr>
          <w:rFonts w:cs="Arial"/>
        </w:rPr>
        <w:t xml:space="preserve"> na </w:t>
      </w:r>
      <w:r w:rsidR="004C01CC" w:rsidRPr="004C01CC">
        <w:rPr>
          <w:rFonts w:cs="Arial"/>
        </w:rPr>
        <w:t>41,7</w:t>
      </w:r>
      <w:r w:rsidRPr="004C01CC">
        <w:rPr>
          <w:rFonts w:cs="Arial"/>
        </w:rPr>
        <w:t xml:space="preserve"> dne v roce 201</w:t>
      </w:r>
      <w:r w:rsidR="004C01CC" w:rsidRPr="004C01CC">
        <w:rPr>
          <w:rFonts w:cs="Arial"/>
        </w:rPr>
        <w:t>8</w:t>
      </w:r>
      <w:r w:rsidRPr="004C01CC">
        <w:rPr>
          <w:bCs/>
        </w:rPr>
        <w:t>.</w:t>
      </w:r>
      <w:r w:rsidR="004C01CC" w:rsidRPr="004C01CC">
        <w:rPr>
          <w:bCs/>
        </w:rPr>
        <w:t xml:space="preserve"> </w:t>
      </w:r>
      <w:r w:rsidR="004C01CC" w:rsidRPr="00722773">
        <w:rPr>
          <w:b/>
          <w:bCs/>
        </w:rPr>
        <w:t>Nemoc</w:t>
      </w:r>
      <w:r w:rsidR="004C01CC" w:rsidRPr="004C01CC">
        <w:rPr>
          <w:bCs/>
        </w:rPr>
        <w:t xml:space="preserve"> způsobila pracovní neschopnost o průměrné délce 40,1 dne, neschopnost </w:t>
      </w:r>
      <w:r w:rsidR="004C01CC" w:rsidRPr="00722773">
        <w:rPr>
          <w:b/>
          <w:bCs/>
        </w:rPr>
        <w:t>pro pracovní úraz</w:t>
      </w:r>
      <w:r w:rsidR="004C01CC" w:rsidRPr="004C01CC">
        <w:rPr>
          <w:bCs/>
        </w:rPr>
        <w:t xml:space="preserve"> trvala 55,6 dne a z důvodu </w:t>
      </w:r>
      <w:r w:rsidR="004C01CC" w:rsidRPr="00722773">
        <w:rPr>
          <w:b/>
          <w:bCs/>
        </w:rPr>
        <w:t>ostatních úrazů</w:t>
      </w:r>
      <w:r w:rsidR="004C01CC" w:rsidRPr="004C01CC">
        <w:rPr>
          <w:bCs/>
        </w:rPr>
        <w:t xml:space="preserve"> 54,7 dne.</w:t>
      </w:r>
      <w:r w:rsidR="002E5729">
        <w:rPr>
          <w:bCs/>
        </w:rPr>
        <w:t xml:space="preserve"> Meziročně došlo k poklesu průměrné délky trvání pracovní neschopnosti i u žen, a sice ze 44,3 dne na 43 dní. To pro muže se oproti předchozímu roku jen nepatrně snížila a činila 40,3 dne namísto hodnoty 40,6 dne v roce 2017. </w:t>
      </w:r>
      <w:r w:rsidRPr="002E5729">
        <w:rPr>
          <w:rFonts w:cs="Arial"/>
        </w:rPr>
        <w:t>V období let 200</w:t>
      </w:r>
      <w:r w:rsidR="00243997">
        <w:rPr>
          <w:rFonts w:cs="Arial"/>
        </w:rPr>
        <w:t>8</w:t>
      </w:r>
      <w:r w:rsidRPr="002E5729">
        <w:rPr>
          <w:rFonts w:cs="Arial"/>
        </w:rPr>
        <w:t>–201</w:t>
      </w:r>
      <w:r w:rsidR="002E5729" w:rsidRPr="002E5729">
        <w:rPr>
          <w:rFonts w:cs="Arial"/>
        </w:rPr>
        <w:t>8</w:t>
      </w:r>
      <w:r w:rsidRPr="002E5729">
        <w:rPr>
          <w:rFonts w:cs="Arial"/>
        </w:rPr>
        <w:t xml:space="preserve"> se průměrná délka trvání </w:t>
      </w:r>
      <w:r w:rsidR="002E5729" w:rsidRPr="002E5729">
        <w:rPr>
          <w:rFonts w:cs="Arial"/>
        </w:rPr>
        <w:t>připadající na jeden</w:t>
      </w:r>
      <w:r w:rsidRPr="002E5729">
        <w:rPr>
          <w:rFonts w:cs="Arial"/>
        </w:rPr>
        <w:t xml:space="preserve"> případ dočasné pracovní neschopnosti zvýšila z</w:t>
      </w:r>
      <w:r w:rsidR="00243997">
        <w:rPr>
          <w:rFonts w:cs="Arial"/>
        </w:rPr>
        <w:t> 39,1</w:t>
      </w:r>
      <w:r w:rsidRPr="002E5729">
        <w:rPr>
          <w:rFonts w:cs="Arial"/>
        </w:rPr>
        <w:t xml:space="preserve"> dne na </w:t>
      </w:r>
      <w:r w:rsidR="002E5729" w:rsidRPr="002E5729">
        <w:rPr>
          <w:rFonts w:cs="Arial"/>
        </w:rPr>
        <w:t xml:space="preserve">41,7 dne, tj. o </w:t>
      </w:r>
      <w:r w:rsidR="00243997">
        <w:rPr>
          <w:rFonts w:cs="Arial"/>
        </w:rPr>
        <w:t>2,5</w:t>
      </w:r>
      <w:r w:rsidR="002E5729" w:rsidRPr="002E5729">
        <w:rPr>
          <w:rFonts w:cs="Arial"/>
        </w:rPr>
        <w:t xml:space="preserve"> dn</w:t>
      </w:r>
      <w:r w:rsidR="00243997">
        <w:rPr>
          <w:rFonts w:cs="Arial"/>
        </w:rPr>
        <w:t>e</w:t>
      </w:r>
      <w:r w:rsidR="002E5729" w:rsidRPr="002E5729">
        <w:rPr>
          <w:rFonts w:cs="Arial"/>
        </w:rPr>
        <w:t>. N</w:t>
      </w:r>
      <w:r w:rsidRPr="002E5729">
        <w:rPr>
          <w:rFonts w:cs="Arial"/>
        </w:rPr>
        <w:t xml:space="preserve">ejvyšší hodnoty </w:t>
      </w:r>
      <w:r w:rsidR="002E5729" w:rsidRPr="002E5729">
        <w:rPr>
          <w:rFonts w:cs="Arial"/>
        </w:rPr>
        <w:t xml:space="preserve">přitom </w:t>
      </w:r>
      <w:r w:rsidRPr="002E5729">
        <w:rPr>
          <w:rFonts w:cs="Arial"/>
        </w:rPr>
        <w:t>dosáhla v roce 2012</w:t>
      </w:r>
      <w:r w:rsidR="00E252E5">
        <w:rPr>
          <w:rFonts w:cs="Arial"/>
        </w:rPr>
        <w:t> </w:t>
      </w:r>
      <w:r w:rsidRPr="002E5729">
        <w:rPr>
          <w:rFonts w:cs="Arial"/>
        </w:rPr>
        <w:t>(46,1</w:t>
      </w:r>
      <w:r w:rsidR="002E5729" w:rsidRPr="002E5729">
        <w:rPr>
          <w:rFonts w:cs="Arial"/>
        </w:rPr>
        <w:t> </w:t>
      </w:r>
      <w:r w:rsidRPr="002E5729">
        <w:rPr>
          <w:rFonts w:cs="Arial"/>
        </w:rPr>
        <w:t>dne).</w:t>
      </w:r>
      <w:r w:rsidR="002E5729">
        <w:rPr>
          <w:rFonts w:cs="Arial"/>
        </w:rPr>
        <w:br/>
      </w:r>
    </w:p>
    <w:p w14:paraId="11DC7FC5" w14:textId="6A38FE2F" w:rsidR="00EB6AE0" w:rsidRPr="00EB6AE0" w:rsidRDefault="00EB6AE0" w:rsidP="00EB6AE0">
      <w:pPr>
        <w:pStyle w:val="Titulek"/>
        <w:keepNext/>
        <w:rPr>
          <w:b/>
          <w:i w:val="0"/>
          <w:color w:val="auto"/>
          <w:sz w:val="20"/>
        </w:rPr>
      </w:pPr>
      <w:bookmarkStart w:id="12" w:name="_Toc10112622"/>
      <w:r w:rsidRPr="00EB6AE0">
        <w:rPr>
          <w:b/>
          <w:i w:val="0"/>
          <w:color w:val="auto"/>
          <w:sz w:val="20"/>
        </w:rPr>
        <w:t>Tab</w:t>
      </w:r>
      <w:r w:rsidR="00381067">
        <w:rPr>
          <w:b/>
          <w:i w:val="0"/>
          <w:color w:val="auto"/>
          <w:sz w:val="20"/>
        </w:rPr>
        <w:t>.</w:t>
      </w:r>
      <w:r w:rsidRPr="00EB6AE0">
        <w:rPr>
          <w:b/>
          <w:i w:val="0"/>
          <w:color w:val="auto"/>
          <w:sz w:val="20"/>
        </w:rPr>
        <w:t xml:space="preserve"> 2.</w:t>
      </w:r>
      <w:r w:rsidRPr="00EB6AE0">
        <w:rPr>
          <w:b/>
          <w:i w:val="0"/>
          <w:color w:val="auto"/>
          <w:sz w:val="20"/>
        </w:rPr>
        <w:fldChar w:fldCharType="begin"/>
      </w:r>
      <w:r w:rsidRPr="00EB6AE0">
        <w:rPr>
          <w:b/>
          <w:i w:val="0"/>
          <w:color w:val="auto"/>
          <w:sz w:val="20"/>
        </w:rPr>
        <w:instrText xml:space="preserve"> SEQ Tabulka \* ARABIC </w:instrText>
      </w:r>
      <w:r w:rsidRPr="00EB6AE0">
        <w:rPr>
          <w:b/>
          <w:i w:val="0"/>
          <w:color w:val="auto"/>
          <w:sz w:val="20"/>
        </w:rPr>
        <w:fldChar w:fldCharType="separate"/>
      </w:r>
      <w:r w:rsidR="004426F5">
        <w:rPr>
          <w:b/>
          <w:i w:val="0"/>
          <w:noProof/>
          <w:color w:val="auto"/>
          <w:sz w:val="20"/>
        </w:rPr>
        <w:t>4</w:t>
      </w:r>
      <w:r w:rsidRPr="00EB6AE0">
        <w:rPr>
          <w:b/>
          <w:i w:val="0"/>
          <w:color w:val="auto"/>
          <w:sz w:val="20"/>
        </w:rPr>
        <w:fldChar w:fldCharType="end"/>
      </w:r>
      <w:r w:rsidRPr="00EB6AE0">
        <w:rPr>
          <w:b/>
          <w:i w:val="0"/>
          <w:color w:val="auto"/>
          <w:sz w:val="20"/>
        </w:rPr>
        <w:t>: Kalendářní dny dočasné pracovní neschopnosti podle příčiny a pohlaví v letech 200</w:t>
      </w:r>
      <w:r>
        <w:rPr>
          <w:b/>
          <w:i w:val="0"/>
          <w:color w:val="auto"/>
          <w:sz w:val="20"/>
        </w:rPr>
        <w:t>8</w:t>
      </w:r>
      <w:r w:rsidRPr="00EB6AE0">
        <w:rPr>
          <w:b/>
          <w:i w:val="0"/>
          <w:color w:val="auto"/>
          <w:sz w:val="20"/>
        </w:rPr>
        <w:t>–201</w:t>
      </w:r>
      <w:r>
        <w:rPr>
          <w:b/>
          <w:i w:val="0"/>
          <w:color w:val="auto"/>
          <w:sz w:val="20"/>
        </w:rPr>
        <w:t>8</w:t>
      </w:r>
      <w:r w:rsidRPr="00EB6AE0">
        <w:rPr>
          <w:b/>
          <w:i w:val="0"/>
          <w:color w:val="auto"/>
          <w:sz w:val="20"/>
        </w:rPr>
        <w:t xml:space="preserve"> (v tis. dnů)</w:t>
      </w:r>
      <w:bookmarkEnd w:id="12"/>
    </w:p>
    <w:tbl>
      <w:tblPr>
        <w:tblW w:w="9740" w:type="dxa"/>
        <w:tblInd w:w="70" w:type="dxa"/>
        <w:tblCellMar>
          <w:left w:w="70" w:type="dxa"/>
          <w:right w:w="70" w:type="dxa"/>
        </w:tblCellMar>
        <w:tblLook w:val="04A0" w:firstRow="1" w:lastRow="0" w:firstColumn="1" w:lastColumn="0" w:noHBand="0" w:noVBand="1"/>
      </w:tblPr>
      <w:tblGrid>
        <w:gridCol w:w="620"/>
        <w:gridCol w:w="760"/>
        <w:gridCol w:w="760"/>
        <w:gridCol w:w="760"/>
        <w:gridCol w:w="760"/>
        <w:gridCol w:w="760"/>
        <w:gridCol w:w="760"/>
        <w:gridCol w:w="760"/>
        <w:gridCol w:w="760"/>
        <w:gridCol w:w="760"/>
        <w:gridCol w:w="760"/>
        <w:gridCol w:w="760"/>
        <w:gridCol w:w="760"/>
      </w:tblGrid>
      <w:tr w:rsidR="00EB6AE0" w:rsidRPr="00E70927" w14:paraId="40F08D8A" w14:textId="77777777" w:rsidTr="00C22CC2">
        <w:trPr>
          <w:trHeight w:val="300"/>
        </w:trPr>
        <w:tc>
          <w:tcPr>
            <w:tcW w:w="620" w:type="dxa"/>
            <w:vMerge w:val="restart"/>
            <w:tcBorders>
              <w:top w:val="single" w:sz="4" w:space="0" w:color="auto"/>
              <w:left w:val="nil"/>
              <w:bottom w:val="single" w:sz="8" w:space="0" w:color="000000"/>
              <w:right w:val="single" w:sz="4" w:space="0" w:color="auto"/>
            </w:tcBorders>
            <w:shd w:val="clear" w:color="000000" w:fill="F5DADD"/>
            <w:vAlign w:val="center"/>
            <w:hideMark/>
          </w:tcPr>
          <w:p w14:paraId="64D601F4" w14:textId="77777777" w:rsidR="00EB6AE0" w:rsidRPr="00E70927" w:rsidRDefault="00EB6AE0" w:rsidP="00C22CC2">
            <w:pPr>
              <w:spacing w:after="0" w:line="240" w:lineRule="auto"/>
              <w:jc w:val="center"/>
              <w:rPr>
                <w:rFonts w:cs="Arial"/>
                <w:sz w:val="16"/>
                <w:szCs w:val="16"/>
              </w:rPr>
            </w:pPr>
            <w:r w:rsidRPr="00E70927">
              <w:rPr>
                <w:rFonts w:cs="Arial"/>
                <w:sz w:val="16"/>
                <w:szCs w:val="16"/>
              </w:rPr>
              <w:t>Rok</w:t>
            </w:r>
          </w:p>
        </w:tc>
        <w:tc>
          <w:tcPr>
            <w:tcW w:w="9120" w:type="dxa"/>
            <w:gridSpan w:val="12"/>
            <w:tcBorders>
              <w:top w:val="single" w:sz="4" w:space="0" w:color="auto"/>
              <w:left w:val="nil"/>
              <w:bottom w:val="single" w:sz="4" w:space="0" w:color="auto"/>
              <w:right w:val="nil"/>
            </w:tcBorders>
            <w:shd w:val="clear" w:color="000000" w:fill="F2DBDB"/>
            <w:vAlign w:val="center"/>
            <w:hideMark/>
          </w:tcPr>
          <w:p w14:paraId="0115EB4D" w14:textId="03F65E28" w:rsidR="00EB6AE0" w:rsidRPr="00E70927" w:rsidRDefault="00EB6AE0" w:rsidP="00381067">
            <w:pPr>
              <w:spacing w:after="0" w:line="240" w:lineRule="auto"/>
              <w:jc w:val="center"/>
              <w:rPr>
                <w:rFonts w:cs="Arial"/>
                <w:sz w:val="16"/>
                <w:szCs w:val="16"/>
              </w:rPr>
            </w:pPr>
            <w:r w:rsidRPr="00EB6AE0">
              <w:rPr>
                <w:rFonts w:cs="Arial"/>
                <w:sz w:val="16"/>
                <w:szCs w:val="16"/>
              </w:rPr>
              <w:t xml:space="preserve">Počet kalendářních </w:t>
            </w:r>
            <w:r w:rsidR="00381067">
              <w:rPr>
                <w:rFonts w:cs="Arial"/>
                <w:sz w:val="16"/>
                <w:szCs w:val="16"/>
              </w:rPr>
              <w:t>DPN</w:t>
            </w:r>
            <w:r w:rsidRPr="00EB6AE0">
              <w:rPr>
                <w:rFonts w:cs="Arial"/>
                <w:sz w:val="16"/>
                <w:szCs w:val="16"/>
              </w:rPr>
              <w:t xml:space="preserve"> (v tis.)</w:t>
            </w:r>
          </w:p>
        </w:tc>
      </w:tr>
      <w:tr w:rsidR="00EB6AE0" w:rsidRPr="00E70927" w14:paraId="13BAA5B9" w14:textId="77777777" w:rsidTr="00C22CC2">
        <w:trPr>
          <w:trHeight w:val="300"/>
        </w:trPr>
        <w:tc>
          <w:tcPr>
            <w:tcW w:w="620" w:type="dxa"/>
            <w:vMerge/>
            <w:tcBorders>
              <w:top w:val="single" w:sz="4" w:space="0" w:color="auto"/>
              <w:left w:val="nil"/>
              <w:bottom w:val="single" w:sz="8" w:space="0" w:color="000000"/>
              <w:right w:val="single" w:sz="4" w:space="0" w:color="auto"/>
            </w:tcBorders>
            <w:vAlign w:val="center"/>
            <w:hideMark/>
          </w:tcPr>
          <w:p w14:paraId="6772B32F" w14:textId="77777777" w:rsidR="00EB6AE0" w:rsidRPr="00E70927" w:rsidRDefault="00EB6AE0" w:rsidP="00C22CC2">
            <w:pPr>
              <w:spacing w:after="0" w:line="240" w:lineRule="auto"/>
              <w:rPr>
                <w:rFonts w:cs="Arial"/>
                <w:sz w:val="16"/>
                <w:szCs w:val="16"/>
              </w:rPr>
            </w:pP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36510564" w14:textId="77777777" w:rsidR="00EB6AE0" w:rsidRPr="00E70927" w:rsidRDefault="00EB6AE0" w:rsidP="00C22CC2">
            <w:pPr>
              <w:spacing w:after="0" w:line="240" w:lineRule="auto"/>
              <w:jc w:val="center"/>
              <w:rPr>
                <w:rFonts w:cs="Arial"/>
                <w:sz w:val="16"/>
                <w:szCs w:val="16"/>
              </w:rPr>
            </w:pPr>
            <w:r w:rsidRPr="00E70927">
              <w:rPr>
                <w:rFonts w:cs="Arial"/>
                <w:sz w:val="16"/>
                <w:szCs w:val="16"/>
              </w:rPr>
              <w:t>Celkem</w:t>
            </w:r>
          </w:p>
        </w:tc>
        <w:tc>
          <w:tcPr>
            <w:tcW w:w="1520" w:type="dxa"/>
            <w:gridSpan w:val="2"/>
            <w:tcBorders>
              <w:top w:val="single" w:sz="4" w:space="0" w:color="auto"/>
              <w:left w:val="nil"/>
              <w:bottom w:val="single" w:sz="4" w:space="0" w:color="auto"/>
              <w:right w:val="single" w:sz="4" w:space="0" w:color="auto"/>
            </w:tcBorders>
            <w:shd w:val="clear" w:color="000000" w:fill="F2DBDB"/>
            <w:vAlign w:val="center"/>
            <w:hideMark/>
          </w:tcPr>
          <w:p w14:paraId="5D4895B5" w14:textId="08EECA4C" w:rsidR="00EB6AE0" w:rsidRPr="00E70927" w:rsidRDefault="00997C2A" w:rsidP="00C22CC2">
            <w:pPr>
              <w:spacing w:after="0" w:line="240" w:lineRule="auto"/>
              <w:jc w:val="center"/>
              <w:rPr>
                <w:rFonts w:cs="Arial"/>
                <w:sz w:val="16"/>
                <w:szCs w:val="16"/>
              </w:rPr>
            </w:pPr>
            <w:r>
              <w:rPr>
                <w:rFonts w:cs="Arial"/>
                <w:sz w:val="16"/>
                <w:szCs w:val="16"/>
              </w:rPr>
              <w:t>podle pohlaví</w:t>
            </w: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44A42C6D" w14:textId="77777777" w:rsidR="00EB6AE0" w:rsidRPr="00E70927" w:rsidRDefault="00EB6AE0" w:rsidP="00C22CC2">
            <w:pPr>
              <w:spacing w:after="0" w:line="240" w:lineRule="auto"/>
              <w:jc w:val="center"/>
              <w:rPr>
                <w:rFonts w:cs="Arial"/>
                <w:sz w:val="16"/>
                <w:szCs w:val="16"/>
              </w:rPr>
            </w:pPr>
            <w:r w:rsidRPr="00E70927">
              <w:rPr>
                <w:rFonts w:cs="Arial"/>
                <w:sz w:val="16"/>
                <w:szCs w:val="16"/>
              </w:rPr>
              <w:t>Celkem pro nemoc</w:t>
            </w:r>
          </w:p>
        </w:tc>
        <w:tc>
          <w:tcPr>
            <w:tcW w:w="1520" w:type="dxa"/>
            <w:gridSpan w:val="2"/>
            <w:tcBorders>
              <w:top w:val="single" w:sz="4" w:space="0" w:color="auto"/>
              <w:left w:val="nil"/>
              <w:bottom w:val="single" w:sz="4" w:space="0" w:color="auto"/>
              <w:right w:val="single" w:sz="4" w:space="0" w:color="auto"/>
            </w:tcBorders>
            <w:shd w:val="clear" w:color="000000" w:fill="F2DBDB"/>
            <w:vAlign w:val="center"/>
            <w:hideMark/>
          </w:tcPr>
          <w:p w14:paraId="69492C1C" w14:textId="2EA9053E" w:rsidR="00EB6AE0" w:rsidRPr="00E70927" w:rsidRDefault="00997C2A" w:rsidP="00C22CC2">
            <w:pPr>
              <w:spacing w:after="0" w:line="240" w:lineRule="auto"/>
              <w:jc w:val="center"/>
              <w:rPr>
                <w:rFonts w:cs="Arial"/>
                <w:sz w:val="16"/>
                <w:szCs w:val="16"/>
              </w:rPr>
            </w:pPr>
            <w:r>
              <w:rPr>
                <w:rFonts w:cs="Arial"/>
                <w:sz w:val="16"/>
                <w:szCs w:val="16"/>
              </w:rPr>
              <w:t>podle pohlaví</w:t>
            </w: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372E1832" w14:textId="77777777" w:rsidR="00EB6AE0" w:rsidRPr="00E70927" w:rsidRDefault="00EB6AE0" w:rsidP="00C22CC2">
            <w:pPr>
              <w:spacing w:after="0" w:line="240" w:lineRule="auto"/>
              <w:jc w:val="center"/>
              <w:rPr>
                <w:rFonts w:cs="Arial"/>
                <w:sz w:val="16"/>
                <w:szCs w:val="16"/>
              </w:rPr>
            </w:pPr>
            <w:r w:rsidRPr="00E70927">
              <w:rPr>
                <w:rFonts w:cs="Arial"/>
                <w:sz w:val="16"/>
                <w:szCs w:val="16"/>
              </w:rPr>
              <w:t>Celkem pro pracovní úrazy</w:t>
            </w:r>
          </w:p>
        </w:tc>
        <w:tc>
          <w:tcPr>
            <w:tcW w:w="1520" w:type="dxa"/>
            <w:gridSpan w:val="2"/>
            <w:tcBorders>
              <w:top w:val="single" w:sz="4" w:space="0" w:color="auto"/>
              <w:left w:val="nil"/>
              <w:bottom w:val="single" w:sz="4" w:space="0" w:color="auto"/>
              <w:right w:val="single" w:sz="4" w:space="0" w:color="auto"/>
            </w:tcBorders>
            <w:shd w:val="clear" w:color="000000" w:fill="F2DBDB"/>
            <w:vAlign w:val="center"/>
            <w:hideMark/>
          </w:tcPr>
          <w:p w14:paraId="7E6310D3" w14:textId="2EB90E6A" w:rsidR="00EB6AE0" w:rsidRPr="00E70927" w:rsidRDefault="00997C2A" w:rsidP="00C22CC2">
            <w:pPr>
              <w:spacing w:after="0" w:line="240" w:lineRule="auto"/>
              <w:jc w:val="center"/>
              <w:rPr>
                <w:rFonts w:cs="Arial"/>
                <w:sz w:val="16"/>
                <w:szCs w:val="16"/>
              </w:rPr>
            </w:pPr>
            <w:r>
              <w:rPr>
                <w:rFonts w:cs="Arial"/>
                <w:sz w:val="16"/>
                <w:szCs w:val="16"/>
              </w:rPr>
              <w:t>podle pohlaví</w:t>
            </w:r>
          </w:p>
        </w:tc>
        <w:tc>
          <w:tcPr>
            <w:tcW w:w="76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3989669D" w14:textId="77777777" w:rsidR="00EB6AE0" w:rsidRPr="00E70927" w:rsidRDefault="00EB6AE0" w:rsidP="00C22CC2">
            <w:pPr>
              <w:spacing w:after="0" w:line="240" w:lineRule="auto"/>
              <w:jc w:val="center"/>
              <w:rPr>
                <w:rFonts w:cs="Arial"/>
                <w:sz w:val="16"/>
                <w:szCs w:val="16"/>
              </w:rPr>
            </w:pPr>
            <w:r w:rsidRPr="00E70927">
              <w:rPr>
                <w:rFonts w:cs="Arial"/>
                <w:sz w:val="16"/>
                <w:szCs w:val="16"/>
              </w:rPr>
              <w:t>Celkem pro ostatní úrazy</w:t>
            </w:r>
          </w:p>
        </w:tc>
        <w:tc>
          <w:tcPr>
            <w:tcW w:w="1520" w:type="dxa"/>
            <w:gridSpan w:val="2"/>
            <w:tcBorders>
              <w:top w:val="single" w:sz="4" w:space="0" w:color="auto"/>
              <w:left w:val="nil"/>
              <w:bottom w:val="single" w:sz="4" w:space="0" w:color="auto"/>
            </w:tcBorders>
            <w:shd w:val="clear" w:color="000000" w:fill="F2DBDB"/>
            <w:vAlign w:val="center"/>
            <w:hideMark/>
          </w:tcPr>
          <w:p w14:paraId="67326787" w14:textId="55FD6F55" w:rsidR="00EB6AE0" w:rsidRPr="00E70927" w:rsidRDefault="00997C2A" w:rsidP="00C22CC2">
            <w:pPr>
              <w:spacing w:after="0" w:line="240" w:lineRule="auto"/>
              <w:jc w:val="center"/>
              <w:rPr>
                <w:rFonts w:cs="Arial"/>
                <w:sz w:val="16"/>
                <w:szCs w:val="16"/>
              </w:rPr>
            </w:pPr>
            <w:r>
              <w:rPr>
                <w:rFonts w:cs="Arial"/>
                <w:sz w:val="16"/>
                <w:szCs w:val="16"/>
              </w:rPr>
              <w:t>podle pohlaví</w:t>
            </w:r>
          </w:p>
        </w:tc>
      </w:tr>
      <w:tr w:rsidR="00017063" w:rsidRPr="00E70927" w14:paraId="1D23CFC2" w14:textId="77777777" w:rsidTr="005968FD">
        <w:trPr>
          <w:trHeight w:val="645"/>
        </w:trPr>
        <w:tc>
          <w:tcPr>
            <w:tcW w:w="620" w:type="dxa"/>
            <w:vMerge/>
            <w:tcBorders>
              <w:top w:val="single" w:sz="4" w:space="0" w:color="auto"/>
              <w:left w:val="nil"/>
              <w:bottom w:val="single" w:sz="8" w:space="0" w:color="000000"/>
              <w:right w:val="single" w:sz="4" w:space="0" w:color="auto"/>
            </w:tcBorders>
            <w:vAlign w:val="center"/>
            <w:hideMark/>
          </w:tcPr>
          <w:p w14:paraId="7A747176" w14:textId="77777777" w:rsidR="00EB6AE0" w:rsidRPr="00E70927" w:rsidRDefault="00EB6AE0" w:rsidP="00C22CC2">
            <w:pPr>
              <w:spacing w:after="0" w:line="240" w:lineRule="auto"/>
              <w:rPr>
                <w:rFonts w:cs="Arial"/>
                <w:sz w:val="16"/>
                <w:szCs w:val="16"/>
              </w:rPr>
            </w:pPr>
          </w:p>
        </w:tc>
        <w:tc>
          <w:tcPr>
            <w:tcW w:w="760" w:type="dxa"/>
            <w:vMerge/>
            <w:tcBorders>
              <w:top w:val="nil"/>
              <w:left w:val="single" w:sz="4" w:space="0" w:color="auto"/>
              <w:bottom w:val="single" w:sz="8" w:space="0" w:color="000000"/>
              <w:right w:val="single" w:sz="4" w:space="0" w:color="auto"/>
            </w:tcBorders>
            <w:vAlign w:val="center"/>
            <w:hideMark/>
          </w:tcPr>
          <w:p w14:paraId="6031B21A" w14:textId="77777777" w:rsidR="00EB6AE0" w:rsidRPr="00E70927" w:rsidRDefault="00EB6AE0" w:rsidP="00C22CC2">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6D8A818F" w14:textId="77777777" w:rsidR="00EB6AE0" w:rsidRPr="00E70927" w:rsidRDefault="00EB6AE0" w:rsidP="00C22CC2">
            <w:pPr>
              <w:spacing w:after="0" w:line="240" w:lineRule="auto"/>
              <w:jc w:val="center"/>
              <w:rPr>
                <w:rFonts w:cs="Arial"/>
                <w:sz w:val="16"/>
                <w:szCs w:val="16"/>
              </w:rPr>
            </w:pPr>
            <w:r w:rsidRPr="00E70927">
              <w:rPr>
                <w:rFonts w:cs="Arial"/>
                <w:sz w:val="16"/>
                <w:szCs w:val="16"/>
              </w:rPr>
              <w:t>muži</w:t>
            </w:r>
          </w:p>
        </w:tc>
        <w:tc>
          <w:tcPr>
            <w:tcW w:w="760" w:type="dxa"/>
            <w:tcBorders>
              <w:top w:val="nil"/>
              <w:left w:val="nil"/>
              <w:bottom w:val="single" w:sz="8" w:space="0" w:color="auto"/>
              <w:right w:val="single" w:sz="4" w:space="0" w:color="auto"/>
            </w:tcBorders>
            <w:shd w:val="clear" w:color="000000" w:fill="F2DBDB"/>
            <w:vAlign w:val="center"/>
            <w:hideMark/>
          </w:tcPr>
          <w:p w14:paraId="75993D49" w14:textId="77777777" w:rsidR="00EB6AE0" w:rsidRPr="00E70927" w:rsidRDefault="00EB6AE0" w:rsidP="00C22CC2">
            <w:pPr>
              <w:spacing w:after="0" w:line="240" w:lineRule="auto"/>
              <w:jc w:val="center"/>
              <w:rPr>
                <w:rFonts w:cs="Arial"/>
                <w:sz w:val="16"/>
                <w:szCs w:val="16"/>
              </w:rPr>
            </w:pPr>
            <w:r w:rsidRPr="00E70927">
              <w:rPr>
                <w:rFonts w:cs="Arial"/>
                <w:sz w:val="16"/>
                <w:szCs w:val="16"/>
              </w:rPr>
              <w:t>ženy</w:t>
            </w:r>
          </w:p>
        </w:tc>
        <w:tc>
          <w:tcPr>
            <w:tcW w:w="760" w:type="dxa"/>
            <w:vMerge/>
            <w:tcBorders>
              <w:top w:val="nil"/>
              <w:left w:val="single" w:sz="4" w:space="0" w:color="auto"/>
              <w:bottom w:val="single" w:sz="8" w:space="0" w:color="000000"/>
              <w:right w:val="single" w:sz="4" w:space="0" w:color="auto"/>
            </w:tcBorders>
            <w:vAlign w:val="center"/>
            <w:hideMark/>
          </w:tcPr>
          <w:p w14:paraId="12D120EB" w14:textId="77777777" w:rsidR="00EB6AE0" w:rsidRPr="00E70927" w:rsidRDefault="00EB6AE0" w:rsidP="00C22CC2">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7BE89389" w14:textId="77777777" w:rsidR="00EB6AE0" w:rsidRPr="00E70927" w:rsidRDefault="00EB6AE0" w:rsidP="00C22CC2">
            <w:pPr>
              <w:spacing w:after="0" w:line="240" w:lineRule="auto"/>
              <w:jc w:val="center"/>
              <w:rPr>
                <w:rFonts w:cs="Arial"/>
                <w:sz w:val="16"/>
                <w:szCs w:val="16"/>
              </w:rPr>
            </w:pPr>
            <w:r w:rsidRPr="00E70927">
              <w:rPr>
                <w:rFonts w:cs="Arial"/>
                <w:sz w:val="16"/>
                <w:szCs w:val="16"/>
              </w:rPr>
              <w:t>muži</w:t>
            </w:r>
          </w:p>
        </w:tc>
        <w:tc>
          <w:tcPr>
            <w:tcW w:w="760" w:type="dxa"/>
            <w:tcBorders>
              <w:top w:val="nil"/>
              <w:left w:val="nil"/>
              <w:bottom w:val="single" w:sz="8" w:space="0" w:color="auto"/>
              <w:right w:val="single" w:sz="4" w:space="0" w:color="auto"/>
            </w:tcBorders>
            <w:shd w:val="clear" w:color="000000" w:fill="F2DBDB"/>
            <w:vAlign w:val="center"/>
            <w:hideMark/>
          </w:tcPr>
          <w:p w14:paraId="2470E981" w14:textId="77777777" w:rsidR="00EB6AE0" w:rsidRPr="00E70927" w:rsidRDefault="00EB6AE0" w:rsidP="00C22CC2">
            <w:pPr>
              <w:spacing w:after="0" w:line="240" w:lineRule="auto"/>
              <w:jc w:val="center"/>
              <w:rPr>
                <w:rFonts w:cs="Arial"/>
                <w:sz w:val="16"/>
                <w:szCs w:val="16"/>
              </w:rPr>
            </w:pPr>
            <w:r w:rsidRPr="00E70927">
              <w:rPr>
                <w:rFonts w:cs="Arial"/>
                <w:sz w:val="16"/>
                <w:szCs w:val="16"/>
              </w:rPr>
              <w:t>ženy</w:t>
            </w:r>
          </w:p>
        </w:tc>
        <w:tc>
          <w:tcPr>
            <w:tcW w:w="760" w:type="dxa"/>
            <w:vMerge/>
            <w:tcBorders>
              <w:top w:val="nil"/>
              <w:left w:val="single" w:sz="4" w:space="0" w:color="auto"/>
              <w:bottom w:val="single" w:sz="8" w:space="0" w:color="000000"/>
              <w:right w:val="single" w:sz="4" w:space="0" w:color="auto"/>
            </w:tcBorders>
            <w:vAlign w:val="center"/>
            <w:hideMark/>
          </w:tcPr>
          <w:p w14:paraId="1ABAC1B9" w14:textId="77777777" w:rsidR="00EB6AE0" w:rsidRPr="00E70927" w:rsidRDefault="00EB6AE0" w:rsidP="00C22CC2">
            <w:pPr>
              <w:spacing w:after="0" w:line="240" w:lineRule="auto"/>
              <w:rPr>
                <w:rFonts w:cs="Arial"/>
                <w:sz w:val="16"/>
                <w:szCs w:val="16"/>
              </w:rPr>
            </w:pPr>
          </w:p>
        </w:tc>
        <w:tc>
          <w:tcPr>
            <w:tcW w:w="760" w:type="dxa"/>
            <w:tcBorders>
              <w:top w:val="nil"/>
              <w:left w:val="nil"/>
              <w:bottom w:val="single" w:sz="4" w:space="0" w:color="auto"/>
              <w:right w:val="single" w:sz="4" w:space="0" w:color="auto"/>
            </w:tcBorders>
            <w:shd w:val="clear" w:color="000000" w:fill="F2DBDB"/>
            <w:vAlign w:val="center"/>
            <w:hideMark/>
          </w:tcPr>
          <w:p w14:paraId="09A6911B" w14:textId="77777777" w:rsidR="00EB6AE0" w:rsidRPr="00E70927" w:rsidRDefault="00EB6AE0" w:rsidP="00C22CC2">
            <w:pPr>
              <w:spacing w:after="0" w:line="240" w:lineRule="auto"/>
              <w:jc w:val="center"/>
              <w:rPr>
                <w:rFonts w:cs="Arial"/>
                <w:sz w:val="16"/>
                <w:szCs w:val="16"/>
              </w:rPr>
            </w:pPr>
            <w:r w:rsidRPr="00E70927">
              <w:rPr>
                <w:rFonts w:cs="Arial"/>
                <w:sz w:val="16"/>
                <w:szCs w:val="16"/>
              </w:rPr>
              <w:t>muži</w:t>
            </w:r>
          </w:p>
        </w:tc>
        <w:tc>
          <w:tcPr>
            <w:tcW w:w="760" w:type="dxa"/>
            <w:tcBorders>
              <w:top w:val="nil"/>
              <w:left w:val="nil"/>
              <w:bottom w:val="single" w:sz="8" w:space="0" w:color="auto"/>
              <w:right w:val="nil"/>
            </w:tcBorders>
            <w:shd w:val="clear" w:color="000000" w:fill="F2DBDB"/>
            <w:vAlign w:val="center"/>
            <w:hideMark/>
          </w:tcPr>
          <w:p w14:paraId="56196371" w14:textId="77777777" w:rsidR="00EB6AE0" w:rsidRPr="00E70927" w:rsidRDefault="00EB6AE0" w:rsidP="00C22CC2">
            <w:pPr>
              <w:spacing w:after="0" w:line="240" w:lineRule="auto"/>
              <w:jc w:val="center"/>
              <w:rPr>
                <w:rFonts w:cs="Arial"/>
                <w:sz w:val="16"/>
                <w:szCs w:val="16"/>
              </w:rPr>
            </w:pPr>
            <w:r w:rsidRPr="00E70927">
              <w:rPr>
                <w:rFonts w:cs="Arial"/>
                <w:sz w:val="16"/>
                <w:szCs w:val="16"/>
              </w:rPr>
              <w:t>ženy</w:t>
            </w:r>
          </w:p>
        </w:tc>
        <w:tc>
          <w:tcPr>
            <w:tcW w:w="760" w:type="dxa"/>
            <w:vMerge/>
            <w:tcBorders>
              <w:top w:val="nil"/>
              <w:left w:val="single" w:sz="4" w:space="0" w:color="auto"/>
              <w:bottom w:val="single" w:sz="8" w:space="0" w:color="000000"/>
              <w:right w:val="single" w:sz="4" w:space="0" w:color="auto"/>
            </w:tcBorders>
            <w:vAlign w:val="center"/>
            <w:hideMark/>
          </w:tcPr>
          <w:p w14:paraId="2708CD74" w14:textId="77777777" w:rsidR="00EB6AE0" w:rsidRPr="00E70927" w:rsidRDefault="00EB6AE0" w:rsidP="00C22CC2">
            <w:pPr>
              <w:spacing w:after="0" w:line="240" w:lineRule="auto"/>
              <w:rPr>
                <w:rFonts w:cs="Arial"/>
                <w:sz w:val="16"/>
                <w:szCs w:val="16"/>
              </w:rPr>
            </w:pPr>
          </w:p>
        </w:tc>
        <w:tc>
          <w:tcPr>
            <w:tcW w:w="760" w:type="dxa"/>
            <w:tcBorders>
              <w:top w:val="nil"/>
              <w:left w:val="nil"/>
              <w:bottom w:val="single" w:sz="8" w:space="0" w:color="auto"/>
              <w:right w:val="single" w:sz="4" w:space="0" w:color="auto"/>
            </w:tcBorders>
            <w:shd w:val="clear" w:color="000000" w:fill="F2DBDB"/>
            <w:vAlign w:val="center"/>
            <w:hideMark/>
          </w:tcPr>
          <w:p w14:paraId="17BEA818" w14:textId="77777777" w:rsidR="00EB6AE0" w:rsidRPr="00E70927" w:rsidRDefault="00EB6AE0" w:rsidP="00C22CC2">
            <w:pPr>
              <w:spacing w:after="0" w:line="240" w:lineRule="auto"/>
              <w:jc w:val="center"/>
              <w:rPr>
                <w:rFonts w:cs="Arial"/>
                <w:sz w:val="16"/>
                <w:szCs w:val="16"/>
              </w:rPr>
            </w:pPr>
            <w:r w:rsidRPr="00E70927">
              <w:rPr>
                <w:rFonts w:cs="Arial"/>
                <w:sz w:val="16"/>
                <w:szCs w:val="16"/>
              </w:rPr>
              <w:t>muži</w:t>
            </w:r>
          </w:p>
        </w:tc>
        <w:tc>
          <w:tcPr>
            <w:tcW w:w="760" w:type="dxa"/>
            <w:tcBorders>
              <w:top w:val="nil"/>
              <w:left w:val="nil"/>
              <w:bottom w:val="single" w:sz="8" w:space="0" w:color="auto"/>
              <w:right w:val="nil"/>
            </w:tcBorders>
            <w:shd w:val="clear" w:color="000000" w:fill="F2DBDB"/>
            <w:vAlign w:val="center"/>
            <w:hideMark/>
          </w:tcPr>
          <w:p w14:paraId="0843691A" w14:textId="77777777" w:rsidR="00EB6AE0" w:rsidRPr="00E70927" w:rsidRDefault="00EB6AE0" w:rsidP="00C22CC2">
            <w:pPr>
              <w:spacing w:after="0" w:line="240" w:lineRule="auto"/>
              <w:jc w:val="center"/>
              <w:rPr>
                <w:rFonts w:cs="Arial"/>
                <w:sz w:val="16"/>
                <w:szCs w:val="16"/>
              </w:rPr>
            </w:pPr>
            <w:r w:rsidRPr="00E70927">
              <w:rPr>
                <w:rFonts w:cs="Arial"/>
                <w:sz w:val="16"/>
                <w:szCs w:val="16"/>
              </w:rPr>
              <w:t>ženy</w:t>
            </w:r>
          </w:p>
        </w:tc>
      </w:tr>
      <w:tr w:rsidR="00017063" w:rsidRPr="00E70927" w14:paraId="306D5B0E" w14:textId="77777777" w:rsidTr="005968FD">
        <w:trPr>
          <w:trHeight w:val="300"/>
        </w:trPr>
        <w:tc>
          <w:tcPr>
            <w:tcW w:w="620" w:type="dxa"/>
            <w:tcBorders>
              <w:top w:val="nil"/>
              <w:left w:val="nil"/>
              <w:bottom w:val="nil"/>
              <w:right w:val="single" w:sz="4" w:space="0" w:color="auto"/>
            </w:tcBorders>
            <w:shd w:val="clear" w:color="auto" w:fill="auto"/>
            <w:vAlign w:val="center"/>
            <w:hideMark/>
          </w:tcPr>
          <w:p w14:paraId="01E5F9A1" w14:textId="24ADF602" w:rsidR="00D55199" w:rsidRPr="00E70927" w:rsidRDefault="00D55199" w:rsidP="00D55199">
            <w:pPr>
              <w:spacing w:after="0" w:line="240" w:lineRule="auto"/>
              <w:jc w:val="center"/>
              <w:rPr>
                <w:rFonts w:cs="Arial"/>
                <w:sz w:val="16"/>
                <w:szCs w:val="16"/>
              </w:rPr>
            </w:pPr>
            <w:r>
              <w:rPr>
                <w:rFonts w:cs="Arial"/>
                <w:sz w:val="16"/>
                <w:szCs w:val="16"/>
              </w:rPr>
              <w:t>2008</w:t>
            </w:r>
          </w:p>
        </w:tc>
        <w:tc>
          <w:tcPr>
            <w:tcW w:w="760" w:type="dxa"/>
            <w:tcBorders>
              <w:top w:val="nil"/>
              <w:left w:val="nil"/>
              <w:bottom w:val="nil"/>
              <w:right w:val="nil"/>
            </w:tcBorders>
            <w:shd w:val="clear" w:color="auto" w:fill="auto"/>
            <w:vAlign w:val="center"/>
            <w:hideMark/>
          </w:tcPr>
          <w:p w14:paraId="6EA65925" w14:textId="26D5CAF4" w:rsidR="00D55199" w:rsidRPr="00E70927" w:rsidRDefault="00D55199" w:rsidP="00D55199">
            <w:pPr>
              <w:spacing w:after="0" w:line="240" w:lineRule="auto"/>
              <w:jc w:val="right"/>
              <w:rPr>
                <w:rFonts w:cs="Arial"/>
                <w:sz w:val="16"/>
                <w:szCs w:val="16"/>
              </w:rPr>
            </w:pPr>
            <w:r>
              <w:rPr>
                <w:rFonts w:cs="Arial"/>
                <w:sz w:val="16"/>
                <w:szCs w:val="16"/>
              </w:rPr>
              <w:t>86 757</w:t>
            </w:r>
          </w:p>
        </w:tc>
        <w:tc>
          <w:tcPr>
            <w:tcW w:w="760" w:type="dxa"/>
            <w:tcBorders>
              <w:top w:val="nil"/>
              <w:left w:val="nil"/>
              <w:bottom w:val="nil"/>
              <w:right w:val="nil"/>
            </w:tcBorders>
            <w:shd w:val="clear" w:color="auto" w:fill="auto"/>
            <w:vAlign w:val="center"/>
            <w:hideMark/>
          </w:tcPr>
          <w:p w14:paraId="7EB6E177" w14:textId="5AA169CE" w:rsidR="00D55199" w:rsidRPr="00E70927" w:rsidRDefault="00D55199" w:rsidP="00D55199">
            <w:pPr>
              <w:spacing w:after="0" w:line="240" w:lineRule="auto"/>
              <w:jc w:val="right"/>
              <w:rPr>
                <w:rFonts w:cs="Arial"/>
                <w:sz w:val="16"/>
                <w:szCs w:val="16"/>
              </w:rPr>
            </w:pPr>
            <w:r>
              <w:rPr>
                <w:rFonts w:cs="Arial"/>
                <w:sz w:val="16"/>
                <w:szCs w:val="16"/>
              </w:rPr>
              <w:t>40 565</w:t>
            </w:r>
          </w:p>
        </w:tc>
        <w:tc>
          <w:tcPr>
            <w:tcW w:w="760" w:type="dxa"/>
            <w:tcBorders>
              <w:top w:val="single" w:sz="8" w:space="0" w:color="auto"/>
              <w:left w:val="nil"/>
              <w:bottom w:val="nil"/>
              <w:right w:val="single" w:sz="4" w:space="0" w:color="auto"/>
            </w:tcBorders>
            <w:shd w:val="clear" w:color="auto" w:fill="auto"/>
            <w:vAlign w:val="center"/>
            <w:hideMark/>
          </w:tcPr>
          <w:p w14:paraId="48F4A145" w14:textId="228A7CA9" w:rsidR="00D55199" w:rsidRPr="00E70927" w:rsidRDefault="00D55199" w:rsidP="00D55199">
            <w:pPr>
              <w:spacing w:after="0" w:line="240" w:lineRule="auto"/>
              <w:jc w:val="right"/>
              <w:rPr>
                <w:rFonts w:cs="Arial"/>
                <w:sz w:val="16"/>
                <w:szCs w:val="16"/>
              </w:rPr>
            </w:pPr>
            <w:r>
              <w:rPr>
                <w:rFonts w:cs="Arial"/>
                <w:sz w:val="16"/>
                <w:szCs w:val="16"/>
              </w:rPr>
              <w:t>46 192</w:t>
            </w:r>
          </w:p>
        </w:tc>
        <w:tc>
          <w:tcPr>
            <w:tcW w:w="760" w:type="dxa"/>
            <w:tcBorders>
              <w:top w:val="nil"/>
              <w:left w:val="single" w:sz="4" w:space="0" w:color="auto"/>
              <w:bottom w:val="nil"/>
              <w:right w:val="nil"/>
            </w:tcBorders>
            <w:shd w:val="clear" w:color="auto" w:fill="auto"/>
            <w:vAlign w:val="center"/>
            <w:hideMark/>
          </w:tcPr>
          <w:p w14:paraId="6BDBA476" w14:textId="7CFBC8C0" w:rsidR="00D55199" w:rsidRPr="00E70927" w:rsidRDefault="00D55199" w:rsidP="00D55199">
            <w:pPr>
              <w:spacing w:after="0" w:line="240" w:lineRule="auto"/>
              <w:jc w:val="right"/>
              <w:rPr>
                <w:rFonts w:cs="Arial"/>
                <w:sz w:val="16"/>
                <w:szCs w:val="16"/>
              </w:rPr>
            </w:pPr>
            <w:r>
              <w:rPr>
                <w:rFonts w:cs="Arial"/>
                <w:sz w:val="16"/>
                <w:szCs w:val="16"/>
              </w:rPr>
              <w:t>77 647</w:t>
            </w:r>
          </w:p>
        </w:tc>
        <w:tc>
          <w:tcPr>
            <w:tcW w:w="760" w:type="dxa"/>
            <w:tcBorders>
              <w:top w:val="nil"/>
              <w:left w:val="nil"/>
              <w:bottom w:val="nil"/>
              <w:right w:val="nil"/>
            </w:tcBorders>
            <w:shd w:val="clear" w:color="auto" w:fill="auto"/>
            <w:vAlign w:val="center"/>
            <w:hideMark/>
          </w:tcPr>
          <w:p w14:paraId="64413F3F" w14:textId="6744CEC9" w:rsidR="00D55199" w:rsidRPr="00E70927" w:rsidRDefault="00D55199" w:rsidP="00D55199">
            <w:pPr>
              <w:spacing w:after="0" w:line="240" w:lineRule="auto"/>
              <w:jc w:val="right"/>
              <w:rPr>
                <w:rFonts w:cs="Arial"/>
                <w:sz w:val="16"/>
                <w:szCs w:val="16"/>
              </w:rPr>
            </w:pPr>
            <w:r>
              <w:rPr>
                <w:rFonts w:cs="Arial"/>
                <w:sz w:val="16"/>
                <w:szCs w:val="16"/>
              </w:rPr>
              <w:t>34 156</w:t>
            </w:r>
          </w:p>
        </w:tc>
        <w:tc>
          <w:tcPr>
            <w:tcW w:w="760" w:type="dxa"/>
            <w:tcBorders>
              <w:top w:val="single" w:sz="8" w:space="0" w:color="auto"/>
              <w:left w:val="nil"/>
              <w:bottom w:val="nil"/>
              <w:right w:val="single" w:sz="4" w:space="0" w:color="auto"/>
            </w:tcBorders>
            <w:shd w:val="clear" w:color="auto" w:fill="auto"/>
            <w:vAlign w:val="center"/>
            <w:hideMark/>
          </w:tcPr>
          <w:p w14:paraId="362441CF" w14:textId="6F566CD7" w:rsidR="00D55199" w:rsidRPr="00E70927" w:rsidRDefault="00D55199" w:rsidP="00D55199">
            <w:pPr>
              <w:spacing w:after="0" w:line="240" w:lineRule="auto"/>
              <w:jc w:val="right"/>
              <w:rPr>
                <w:rFonts w:cs="Arial"/>
                <w:sz w:val="16"/>
                <w:szCs w:val="16"/>
              </w:rPr>
            </w:pPr>
            <w:r>
              <w:rPr>
                <w:rFonts w:cs="Arial"/>
                <w:sz w:val="16"/>
                <w:szCs w:val="16"/>
              </w:rPr>
              <w:t>43 492</w:t>
            </w:r>
          </w:p>
        </w:tc>
        <w:tc>
          <w:tcPr>
            <w:tcW w:w="760" w:type="dxa"/>
            <w:tcBorders>
              <w:top w:val="single" w:sz="4" w:space="0" w:color="auto"/>
              <w:left w:val="single" w:sz="4" w:space="0" w:color="auto"/>
              <w:bottom w:val="nil"/>
              <w:right w:val="nil"/>
            </w:tcBorders>
            <w:shd w:val="clear" w:color="auto" w:fill="auto"/>
            <w:vAlign w:val="center"/>
            <w:hideMark/>
          </w:tcPr>
          <w:p w14:paraId="27FD6796" w14:textId="7A0B9372" w:rsidR="00D55199" w:rsidRPr="00E70927" w:rsidRDefault="00D55199" w:rsidP="00D55199">
            <w:pPr>
              <w:spacing w:after="0" w:line="240" w:lineRule="auto"/>
              <w:jc w:val="right"/>
              <w:rPr>
                <w:rFonts w:cs="Arial"/>
                <w:sz w:val="16"/>
                <w:szCs w:val="16"/>
              </w:rPr>
            </w:pPr>
            <w:r>
              <w:rPr>
                <w:rFonts w:cs="Arial"/>
                <w:sz w:val="16"/>
                <w:szCs w:val="16"/>
              </w:rPr>
              <w:t>3 548</w:t>
            </w:r>
          </w:p>
        </w:tc>
        <w:tc>
          <w:tcPr>
            <w:tcW w:w="760" w:type="dxa"/>
            <w:tcBorders>
              <w:top w:val="single" w:sz="4" w:space="0" w:color="auto"/>
              <w:left w:val="nil"/>
              <w:bottom w:val="nil"/>
              <w:right w:val="nil"/>
            </w:tcBorders>
            <w:shd w:val="clear" w:color="auto" w:fill="auto"/>
            <w:vAlign w:val="center"/>
            <w:hideMark/>
          </w:tcPr>
          <w:p w14:paraId="3F7BA09C" w14:textId="75FEC00A" w:rsidR="00D55199" w:rsidRPr="00E70927" w:rsidRDefault="00D55199" w:rsidP="00D55199">
            <w:pPr>
              <w:spacing w:after="0" w:line="240" w:lineRule="auto"/>
              <w:jc w:val="right"/>
              <w:rPr>
                <w:rFonts w:cs="Arial"/>
                <w:sz w:val="16"/>
                <w:szCs w:val="16"/>
              </w:rPr>
            </w:pPr>
            <w:r>
              <w:rPr>
                <w:rFonts w:cs="Arial"/>
                <w:sz w:val="16"/>
                <w:szCs w:val="16"/>
              </w:rPr>
              <w:t>2 595</w:t>
            </w:r>
          </w:p>
        </w:tc>
        <w:tc>
          <w:tcPr>
            <w:tcW w:w="760" w:type="dxa"/>
            <w:tcBorders>
              <w:top w:val="single" w:sz="8" w:space="0" w:color="auto"/>
              <w:left w:val="nil"/>
              <w:bottom w:val="nil"/>
              <w:right w:val="single" w:sz="4" w:space="0" w:color="auto"/>
            </w:tcBorders>
            <w:shd w:val="clear" w:color="auto" w:fill="auto"/>
            <w:vAlign w:val="center"/>
            <w:hideMark/>
          </w:tcPr>
          <w:p w14:paraId="04CD6694" w14:textId="0D077DFA" w:rsidR="00D55199" w:rsidRPr="00E70927" w:rsidRDefault="00D55199" w:rsidP="00D55199">
            <w:pPr>
              <w:spacing w:after="0" w:line="240" w:lineRule="auto"/>
              <w:jc w:val="right"/>
              <w:rPr>
                <w:rFonts w:cs="Arial"/>
                <w:sz w:val="16"/>
                <w:szCs w:val="16"/>
              </w:rPr>
            </w:pPr>
            <w:r>
              <w:rPr>
                <w:rFonts w:cs="Arial"/>
                <w:sz w:val="16"/>
                <w:szCs w:val="16"/>
              </w:rPr>
              <w:t>954</w:t>
            </w:r>
          </w:p>
        </w:tc>
        <w:tc>
          <w:tcPr>
            <w:tcW w:w="760" w:type="dxa"/>
            <w:tcBorders>
              <w:top w:val="nil"/>
              <w:left w:val="single" w:sz="4" w:space="0" w:color="auto"/>
              <w:bottom w:val="nil"/>
              <w:right w:val="nil"/>
            </w:tcBorders>
            <w:shd w:val="clear" w:color="auto" w:fill="auto"/>
            <w:vAlign w:val="center"/>
            <w:hideMark/>
          </w:tcPr>
          <w:p w14:paraId="56E4F070" w14:textId="7289C9DC" w:rsidR="00D55199" w:rsidRPr="00E70927" w:rsidRDefault="00D55199" w:rsidP="00D55199">
            <w:pPr>
              <w:spacing w:after="0" w:line="240" w:lineRule="auto"/>
              <w:jc w:val="right"/>
              <w:rPr>
                <w:rFonts w:cs="Arial"/>
                <w:sz w:val="16"/>
                <w:szCs w:val="16"/>
              </w:rPr>
            </w:pPr>
            <w:r>
              <w:rPr>
                <w:rFonts w:cs="Arial"/>
                <w:sz w:val="16"/>
                <w:szCs w:val="16"/>
              </w:rPr>
              <w:t>5 561</w:t>
            </w:r>
          </w:p>
        </w:tc>
        <w:tc>
          <w:tcPr>
            <w:tcW w:w="760" w:type="dxa"/>
            <w:tcBorders>
              <w:top w:val="nil"/>
              <w:left w:val="nil"/>
              <w:bottom w:val="nil"/>
              <w:right w:val="nil"/>
            </w:tcBorders>
            <w:shd w:val="clear" w:color="auto" w:fill="auto"/>
            <w:vAlign w:val="center"/>
            <w:hideMark/>
          </w:tcPr>
          <w:p w14:paraId="27E8ED21" w14:textId="67F576BD" w:rsidR="00D55199" w:rsidRPr="00E70927" w:rsidRDefault="00D55199" w:rsidP="00D55199">
            <w:pPr>
              <w:spacing w:after="0" w:line="240" w:lineRule="auto"/>
              <w:jc w:val="right"/>
              <w:rPr>
                <w:rFonts w:cs="Arial"/>
                <w:sz w:val="16"/>
                <w:szCs w:val="16"/>
              </w:rPr>
            </w:pPr>
            <w:r>
              <w:rPr>
                <w:rFonts w:cs="Arial"/>
                <w:sz w:val="16"/>
                <w:szCs w:val="16"/>
              </w:rPr>
              <w:t>3 814</w:t>
            </w:r>
          </w:p>
        </w:tc>
        <w:tc>
          <w:tcPr>
            <w:tcW w:w="760" w:type="dxa"/>
            <w:tcBorders>
              <w:top w:val="nil"/>
              <w:left w:val="nil"/>
              <w:bottom w:val="nil"/>
              <w:right w:val="nil"/>
            </w:tcBorders>
            <w:shd w:val="clear" w:color="auto" w:fill="auto"/>
            <w:vAlign w:val="center"/>
            <w:hideMark/>
          </w:tcPr>
          <w:p w14:paraId="2DDDC8CE" w14:textId="79716B47" w:rsidR="00D55199" w:rsidRPr="00E70927" w:rsidRDefault="00D55199" w:rsidP="00D55199">
            <w:pPr>
              <w:spacing w:after="0" w:line="240" w:lineRule="auto"/>
              <w:jc w:val="right"/>
              <w:rPr>
                <w:rFonts w:cs="Arial"/>
                <w:sz w:val="16"/>
                <w:szCs w:val="16"/>
              </w:rPr>
            </w:pPr>
            <w:r>
              <w:rPr>
                <w:rFonts w:cs="Arial"/>
                <w:sz w:val="16"/>
                <w:szCs w:val="16"/>
              </w:rPr>
              <w:t>1 747</w:t>
            </w:r>
          </w:p>
        </w:tc>
      </w:tr>
      <w:tr w:rsidR="00D55199" w:rsidRPr="00E70927" w14:paraId="49422CC1"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6E4B0837" w14:textId="5FE1E423" w:rsidR="00D55199" w:rsidRPr="00E70927" w:rsidRDefault="00D55199" w:rsidP="00D55199">
            <w:pPr>
              <w:spacing w:after="0" w:line="240" w:lineRule="auto"/>
              <w:jc w:val="center"/>
              <w:rPr>
                <w:rFonts w:cs="Arial"/>
                <w:sz w:val="16"/>
                <w:szCs w:val="16"/>
              </w:rPr>
            </w:pPr>
            <w:r>
              <w:rPr>
                <w:rFonts w:cs="Arial"/>
                <w:sz w:val="16"/>
                <w:szCs w:val="16"/>
              </w:rPr>
              <w:t>2009</w:t>
            </w:r>
          </w:p>
        </w:tc>
        <w:tc>
          <w:tcPr>
            <w:tcW w:w="760" w:type="dxa"/>
            <w:tcBorders>
              <w:top w:val="nil"/>
              <w:left w:val="nil"/>
              <w:bottom w:val="nil"/>
              <w:right w:val="nil"/>
            </w:tcBorders>
            <w:shd w:val="clear" w:color="auto" w:fill="auto"/>
            <w:vAlign w:val="center"/>
            <w:hideMark/>
          </w:tcPr>
          <w:p w14:paraId="4F8727E8" w14:textId="4E41C3BA" w:rsidR="00D55199" w:rsidRPr="00E70927" w:rsidRDefault="00D55199" w:rsidP="00D55199">
            <w:pPr>
              <w:spacing w:after="0" w:line="240" w:lineRule="auto"/>
              <w:jc w:val="right"/>
              <w:rPr>
                <w:rFonts w:cs="Arial"/>
                <w:sz w:val="16"/>
                <w:szCs w:val="16"/>
              </w:rPr>
            </w:pPr>
            <w:r>
              <w:rPr>
                <w:rFonts w:cs="Arial"/>
                <w:sz w:val="16"/>
                <w:szCs w:val="16"/>
              </w:rPr>
              <w:t>64 956</w:t>
            </w:r>
          </w:p>
        </w:tc>
        <w:tc>
          <w:tcPr>
            <w:tcW w:w="760" w:type="dxa"/>
            <w:tcBorders>
              <w:top w:val="nil"/>
              <w:left w:val="nil"/>
              <w:bottom w:val="nil"/>
              <w:right w:val="nil"/>
            </w:tcBorders>
            <w:shd w:val="clear" w:color="auto" w:fill="auto"/>
            <w:vAlign w:val="center"/>
            <w:hideMark/>
          </w:tcPr>
          <w:p w14:paraId="0F12C7ED" w14:textId="7F16A7E6" w:rsidR="00D55199" w:rsidRPr="00E70927" w:rsidRDefault="00D55199" w:rsidP="00D55199">
            <w:pPr>
              <w:spacing w:after="0" w:line="240" w:lineRule="auto"/>
              <w:jc w:val="right"/>
              <w:rPr>
                <w:rFonts w:cs="Arial"/>
                <w:sz w:val="16"/>
                <w:szCs w:val="16"/>
              </w:rPr>
            </w:pPr>
            <w:r>
              <w:rPr>
                <w:rFonts w:cs="Arial"/>
                <w:sz w:val="16"/>
                <w:szCs w:val="16"/>
              </w:rPr>
              <w:t>30 276</w:t>
            </w:r>
          </w:p>
        </w:tc>
        <w:tc>
          <w:tcPr>
            <w:tcW w:w="760" w:type="dxa"/>
            <w:tcBorders>
              <w:top w:val="nil"/>
              <w:left w:val="nil"/>
              <w:bottom w:val="nil"/>
              <w:right w:val="single" w:sz="4" w:space="0" w:color="auto"/>
            </w:tcBorders>
            <w:shd w:val="clear" w:color="auto" w:fill="auto"/>
            <w:vAlign w:val="center"/>
            <w:hideMark/>
          </w:tcPr>
          <w:p w14:paraId="5E8C7E00" w14:textId="2442A5E9" w:rsidR="00D55199" w:rsidRPr="00E70927" w:rsidRDefault="00D55199" w:rsidP="00D55199">
            <w:pPr>
              <w:spacing w:after="0" w:line="240" w:lineRule="auto"/>
              <w:jc w:val="right"/>
              <w:rPr>
                <w:rFonts w:cs="Arial"/>
                <w:sz w:val="16"/>
                <w:szCs w:val="16"/>
              </w:rPr>
            </w:pPr>
            <w:r>
              <w:rPr>
                <w:rFonts w:cs="Arial"/>
                <w:sz w:val="16"/>
                <w:szCs w:val="16"/>
              </w:rPr>
              <w:t>34 680</w:t>
            </w:r>
          </w:p>
        </w:tc>
        <w:tc>
          <w:tcPr>
            <w:tcW w:w="760" w:type="dxa"/>
            <w:tcBorders>
              <w:top w:val="nil"/>
              <w:left w:val="single" w:sz="4" w:space="0" w:color="auto"/>
              <w:bottom w:val="nil"/>
              <w:right w:val="nil"/>
            </w:tcBorders>
            <w:shd w:val="clear" w:color="auto" w:fill="auto"/>
            <w:vAlign w:val="center"/>
            <w:hideMark/>
          </w:tcPr>
          <w:p w14:paraId="4ECABAF6" w14:textId="5990C966" w:rsidR="00D55199" w:rsidRPr="00E70927" w:rsidRDefault="00D55199" w:rsidP="00D55199">
            <w:pPr>
              <w:spacing w:after="0" w:line="240" w:lineRule="auto"/>
              <w:jc w:val="right"/>
              <w:rPr>
                <w:rFonts w:cs="Arial"/>
                <w:sz w:val="16"/>
                <w:szCs w:val="16"/>
              </w:rPr>
            </w:pPr>
            <w:r>
              <w:rPr>
                <w:rFonts w:cs="Arial"/>
                <w:sz w:val="16"/>
                <w:szCs w:val="16"/>
              </w:rPr>
              <w:t>57 239</w:t>
            </w:r>
          </w:p>
        </w:tc>
        <w:tc>
          <w:tcPr>
            <w:tcW w:w="760" w:type="dxa"/>
            <w:tcBorders>
              <w:top w:val="nil"/>
              <w:left w:val="nil"/>
              <w:bottom w:val="nil"/>
              <w:right w:val="nil"/>
            </w:tcBorders>
            <w:shd w:val="clear" w:color="auto" w:fill="auto"/>
            <w:vAlign w:val="center"/>
            <w:hideMark/>
          </w:tcPr>
          <w:p w14:paraId="52735DF6" w14:textId="51BC9463" w:rsidR="00D55199" w:rsidRPr="00E70927" w:rsidRDefault="00D55199" w:rsidP="00D55199">
            <w:pPr>
              <w:spacing w:after="0" w:line="240" w:lineRule="auto"/>
              <w:jc w:val="right"/>
              <w:rPr>
                <w:rFonts w:cs="Arial"/>
                <w:sz w:val="16"/>
                <w:szCs w:val="16"/>
              </w:rPr>
            </w:pPr>
            <w:r>
              <w:rPr>
                <w:rFonts w:cs="Arial"/>
                <w:sz w:val="16"/>
                <w:szCs w:val="16"/>
              </w:rPr>
              <w:t>24 949</w:t>
            </w:r>
          </w:p>
        </w:tc>
        <w:tc>
          <w:tcPr>
            <w:tcW w:w="760" w:type="dxa"/>
            <w:tcBorders>
              <w:top w:val="nil"/>
              <w:left w:val="nil"/>
              <w:bottom w:val="nil"/>
              <w:right w:val="single" w:sz="4" w:space="0" w:color="auto"/>
            </w:tcBorders>
            <w:shd w:val="clear" w:color="auto" w:fill="auto"/>
            <w:vAlign w:val="center"/>
            <w:hideMark/>
          </w:tcPr>
          <w:p w14:paraId="2EE8841B" w14:textId="6188A304" w:rsidR="00D55199" w:rsidRPr="00E70927" w:rsidRDefault="00D55199" w:rsidP="00D55199">
            <w:pPr>
              <w:spacing w:after="0" w:line="240" w:lineRule="auto"/>
              <w:jc w:val="right"/>
              <w:rPr>
                <w:rFonts w:cs="Arial"/>
                <w:sz w:val="16"/>
                <w:szCs w:val="16"/>
              </w:rPr>
            </w:pPr>
            <w:r>
              <w:rPr>
                <w:rFonts w:cs="Arial"/>
                <w:sz w:val="16"/>
                <w:szCs w:val="16"/>
              </w:rPr>
              <w:t>32 290</w:t>
            </w:r>
          </w:p>
        </w:tc>
        <w:tc>
          <w:tcPr>
            <w:tcW w:w="760" w:type="dxa"/>
            <w:tcBorders>
              <w:top w:val="nil"/>
              <w:left w:val="single" w:sz="4" w:space="0" w:color="auto"/>
              <w:bottom w:val="nil"/>
              <w:right w:val="nil"/>
            </w:tcBorders>
            <w:shd w:val="clear" w:color="auto" w:fill="auto"/>
            <w:vAlign w:val="center"/>
            <w:hideMark/>
          </w:tcPr>
          <w:p w14:paraId="2920BC34" w14:textId="02D38C95" w:rsidR="00D55199" w:rsidRPr="00E70927" w:rsidRDefault="00D55199" w:rsidP="00D55199">
            <w:pPr>
              <w:spacing w:after="0" w:line="240" w:lineRule="auto"/>
              <w:jc w:val="right"/>
              <w:rPr>
                <w:rFonts w:cs="Arial"/>
                <w:sz w:val="16"/>
                <w:szCs w:val="16"/>
              </w:rPr>
            </w:pPr>
            <w:r>
              <w:rPr>
                <w:rFonts w:cs="Arial"/>
                <w:sz w:val="16"/>
                <w:szCs w:val="16"/>
              </w:rPr>
              <w:t>2 768</w:t>
            </w:r>
          </w:p>
        </w:tc>
        <w:tc>
          <w:tcPr>
            <w:tcW w:w="760" w:type="dxa"/>
            <w:tcBorders>
              <w:top w:val="nil"/>
              <w:left w:val="nil"/>
              <w:bottom w:val="nil"/>
              <w:right w:val="nil"/>
            </w:tcBorders>
            <w:shd w:val="clear" w:color="auto" w:fill="auto"/>
            <w:vAlign w:val="center"/>
            <w:hideMark/>
          </w:tcPr>
          <w:p w14:paraId="67E0D9CD" w14:textId="033A300C" w:rsidR="00D55199" w:rsidRPr="00E70927" w:rsidRDefault="00D55199" w:rsidP="00D55199">
            <w:pPr>
              <w:spacing w:after="0" w:line="240" w:lineRule="auto"/>
              <w:jc w:val="right"/>
              <w:rPr>
                <w:rFonts w:cs="Arial"/>
                <w:sz w:val="16"/>
                <w:szCs w:val="16"/>
              </w:rPr>
            </w:pPr>
            <w:r>
              <w:rPr>
                <w:rFonts w:cs="Arial"/>
                <w:sz w:val="16"/>
                <w:szCs w:val="16"/>
              </w:rPr>
              <w:t>1 993</w:t>
            </w:r>
          </w:p>
        </w:tc>
        <w:tc>
          <w:tcPr>
            <w:tcW w:w="760" w:type="dxa"/>
            <w:tcBorders>
              <w:top w:val="nil"/>
              <w:left w:val="nil"/>
              <w:bottom w:val="nil"/>
              <w:right w:val="single" w:sz="4" w:space="0" w:color="auto"/>
            </w:tcBorders>
            <w:shd w:val="clear" w:color="auto" w:fill="auto"/>
            <w:vAlign w:val="center"/>
            <w:hideMark/>
          </w:tcPr>
          <w:p w14:paraId="38106F2E" w14:textId="66EE3D76" w:rsidR="00D55199" w:rsidRPr="00E70927" w:rsidRDefault="00D55199" w:rsidP="00D55199">
            <w:pPr>
              <w:spacing w:after="0" w:line="240" w:lineRule="auto"/>
              <w:jc w:val="right"/>
              <w:rPr>
                <w:rFonts w:cs="Arial"/>
                <w:sz w:val="16"/>
                <w:szCs w:val="16"/>
              </w:rPr>
            </w:pPr>
            <w:r>
              <w:rPr>
                <w:rFonts w:cs="Arial"/>
                <w:sz w:val="16"/>
                <w:szCs w:val="16"/>
              </w:rPr>
              <w:t>774</w:t>
            </w:r>
          </w:p>
        </w:tc>
        <w:tc>
          <w:tcPr>
            <w:tcW w:w="760" w:type="dxa"/>
            <w:tcBorders>
              <w:top w:val="nil"/>
              <w:left w:val="single" w:sz="4" w:space="0" w:color="auto"/>
              <w:bottom w:val="nil"/>
              <w:right w:val="nil"/>
            </w:tcBorders>
            <w:shd w:val="clear" w:color="auto" w:fill="auto"/>
            <w:vAlign w:val="center"/>
            <w:hideMark/>
          </w:tcPr>
          <w:p w14:paraId="69860C27" w14:textId="38579275" w:rsidR="00D55199" w:rsidRPr="00E70927" w:rsidRDefault="00D55199" w:rsidP="00D55199">
            <w:pPr>
              <w:spacing w:after="0" w:line="240" w:lineRule="auto"/>
              <w:jc w:val="right"/>
              <w:rPr>
                <w:rFonts w:cs="Arial"/>
                <w:sz w:val="16"/>
                <w:szCs w:val="16"/>
              </w:rPr>
            </w:pPr>
            <w:r>
              <w:rPr>
                <w:rFonts w:cs="Arial"/>
                <w:sz w:val="16"/>
                <w:szCs w:val="16"/>
              </w:rPr>
              <w:t>4 949</w:t>
            </w:r>
          </w:p>
        </w:tc>
        <w:tc>
          <w:tcPr>
            <w:tcW w:w="760" w:type="dxa"/>
            <w:tcBorders>
              <w:top w:val="nil"/>
              <w:left w:val="nil"/>
              <w:bottom w:val="nil"/>
              <w:right w:val="nil"/>
            </w:tcBorders>
            <w:shd w:val="clear" w:color="auto" w:fill="auto"/>
            <w:vAlign w:val="center"/>
            <w:hideMark/>
          </w:tcPr>
          <w:p w14:paraId="568D2934" w14:textId="4627A113" w:rsidR="00D55199" w:rsidRPr="00E70927" w:rsidRDefault="00D55199" w:rsidP="00D55199">
            <w:pPr>
              <w:spacing w:after="0" w:line="240" w:lineRule="auto"/>
              <w:jc w:val="right"/>
              <w:rPr>
                <w:rFonts w:cs="Arial"/>
                <w:sz w:val="16"/>
                <w:szCs w:val="16"/>
              </w:rPr>
            </w:pPr>
            <w:r>
              <w:rPr>
                <w:rFonts w:cs="Arial"/>
                <w:sz w:val="16"/>
                <w:szCs w:val="16"/>
              </w:rPr>
              <w:t>3 333</w:t>
            </w:r>
          </w:p>
        </w:tc>
        <w:tc>
          <w:tcPr>
            <w:tcW w:w="760" w:type="dxa"/>
            <w:tcBorders>
              <w:top w:val="nil"/>
              <w:left w:val="nil"/>
              <w:bottom w:val="nil"/>
              <w:right w:val="nil"/>
            </w:tcBorders>
            <w:shd w:val="clear" w:color="auto" w:fill="auto"/>
            <w:vAlign w:val="center"/>
            <w:hideMark/>
          </w:tcPr>
          <w:p w14:paraId="0072A575" w14:textId="3CB041C3" w:rsidR="00D55199" w:rsidRPr="00E70927" w:rsidRDefault="00D55199" w:rsidP="00D55199">
            <w:pPr>
              <w:spacing w:after="0" w:line="240" w:lineRule="auto"/>
              <w:jc w:val="right"/>
              <w:rPr>
                <w:rFonts w:cs="Arial"/>
                <w:sz w:val="16"/>
                <w:szCs w:val="16"/>
              </w:rPr>
            </w:pPr>
            <w:r>
              <w:rPr>
                <w:rFonts w:cs="Arial"/>
                <w:sz w:val="16"/>
                <w:szCs w:val="16"/>
              </w:rPr>
              <w:t>1 616</w:t>
            </w:r>
          </w:p>
        </w:tc>
      </w:tr>
      <w:tr w:rsidR="00D55199" w:rsidRPr="00E70927" w14:paraId="439401B8"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0ABBCB40" w14:textId="7C4505D9" w:rsidR="00D55199" w:rsidRPr="00E70927" w:rsidRDefault="00D55199" w:rsidP="00D55199">
            <w:pPr>
              <w:spacing w:after="0" w:line="240" w:lineRule="auto"/>
              <w:jc w:val="center"/>
              <w:rPr>
                <w:rFonts w:cs="Arial"/>
                <w:sz w:val="16"/>
                <w:szCs w:val="16"/>
              </w:rPr>
            </w:pPr>
            <w:r>
              <w:rPr>
                <w:rFonts w:cs="Arial"/>
                <w:sz w:val="16"/>
                <w:szCs w:val="16"/>
              </w:rPr>
              <w:t>2010</w:t>
            </w:r>
          </w:p>
        </w:tc>
        <w:tc>
          <w:tcPr>
            <w:tcW w:w="760" w:type="dxa"/>
            <w:tcBorders>
              <w:top w:val="nil"/>
              <w:left w:val="nil"/>
              <w:bottom w:val="nil"/>
              <w:right w:val="nil"/>
            </w:tcBorders>
            <w:shd w:val="clear" w:color="auto" w:fill="auto"/>
            <w:vAlign w:val="center"/>
            <w:hideMark/>
          </w:tcPr>
          <w:p w14:paraId="6170FABD" w14:textId="7BDBC42C" w:rsidR="00D55199" w:rsidRPr="00E70927" w:rsidRDefault="00D55199" w:rsidP="00D55199">
            <w:pPr>
              <w:spacing w:after="0" w:line="240" w:lineRule="auto"/>
              <w:jc w:val="right"/>
              <w:rPr>
                <w:rFonts w:cs="Arial"/>
                <w:sz w:val="16"/>
                <w:szCs w:val="16"/>
              </w:rPr>
            </w:pPr>
            <w:r>
              <w:rPr>
                <w:rFonts w:cs="Arial"/>
                <w:sz w:val="16"/>
                <w:szCs w:val="16"/>
              </w:rPr>
              <w:t>59 208</w:t>
            </w:r>
          </w:p>
        </w:tc>
        <w:tc>
          <w:tcPr>
            <w:tcW w:w="760" w:type="dxa"/>
            <w:tcBorders>
              <w:top w:val="nil"/>
              <w:left w:val="nil"/>
              <w:bottom w:val="nil"/>
              <w:right w:val="nil"/>
            </w:tcBorders>
            <w:shd w:val="clear" w:color="auto" w:fill="auto"/>
            <w:vAlign w:val="center"/>
            <w:hideMark/>
          </w:tcPr>
          <w:p w14:paraId="4650101B" w14:textId="13767109" w:rsidR="00D55199" w:rsidRPr="00E70927" w:rsidRDefault="00D55199" w:rsidP="00D55199">
            <w:pPr>
              <w:spacing w:after="0" w:line="240" w:lineRule="auto"/>
              <w:jc w:val="right"/>
              <w:rPr>
                <w:rFonts w:cs="Arial"/>
                <w:sz w:val="16"/>
                <w:szCs w:val="16"/>
              </w:rPr>
            </w:pPr>
            <w:r>
              <w:rPr>
                <w:rFonts w:cs="Arial"/>
                <w:sz w:val="16"/>
                <w:szCs w:val="16"/>
              </w:rPr>
              <w:t>28 008</w:t>
            </w:r>
          </w:p>
        </w:tc>
        <w:tc>
          <w:tcPr>
            <w:tcW w:w="760" w:type="dxa"/>
            <w:tcBorders>
              <w:top w:val="nil"/>
              <w:left w:val="nil"/>
              <w:bottom w:val="nil"/>
              <w:right w:val="single" w:sz="4" w:space="0" w:color="auto"/>
            </w:tcBorders>
            <w:shd w:val="clear" w:color="auto" w:fill="auto"/>
            <w:vAlign w:val="center"/>
            <w:hideMark/>
          </w:tcPr>
          <w:p w14:paraId="0886C7C9" w14:textId="0D6EE673" w:rsidR="00D55199" w:rsidRPr="00E70927" w:rsidRDefault="00D55199" w:rsidP="00D55199">
            <w:pPr>
              <w:spacing w:after="0" w:line="240" w:lineRule="auto"/>
              <w:jc w:val="right"/>
              <w:rPr>
                <w:rFonts w:cs="Arial"/>
                <w:sz w:val="16"/>
                <w:szCs w:val="16"/>
              </w:rPr>
            </w:pPr>
            <w:r>
              <w:rPr>
                <w:rFonts w:cs="Arial"/>
                <w:sz w:val="16"/>
                <w:szCs w:val="16"/>
              </w:rPr>
              <w:t>31 200</w:t>
            </w:r>
          </w:p>
        </w:tc>
        <w:tc>
          <w:tcPr>
            <w:tcW w:w="760" w:type="dxa"/>
            <w:tcBorders>
              <w:top w:val="nil"/>
              <w:left w:val="single" w:sz="4" w:space="0" w:color="auto"/>
              <w:bottom w:val="nil"/>
              <w:right w:val="nil"/>
            </w:tcBorders>
            <w:shd w:val="clear" w:color="auto" w:fill="auto"/>
            <w:vAlign w:val="center"/>
            <w:hideMark/>
          </w:tcPr>
          <w:p w14:paraId="35AB13AE" w14:textId="6E1A03B8" w:rsidR="00D55199" w:rsidRPr="00E70927" w:rsidRDefault="00D55199" w:rsidP="00D55199">
            <w:pPr>
              <w:spacing w:after="0" w:line="240" w:lineRule="auto"/>
              <w:jc w:val="right"/>
              <w:rPr>
                <w:rFonts w:cs="Arial"/>
                <w:sz w:val="16"/>
                <w:szCs w:val="16"/>
              </w:rPr>
            </w:pPr>
            <w:r>
              <w:rPr>
                <w:rFonts w:cs="Arial"/>
                <w:sz w:val="16"/>
                <w:szCs w:val="16"/>
              </w:rPr>
              <w:t>51 668</w:t>
            </w:r>
          </w:p>
        </w:tc>
        <w:tc>
          <w:tcPr>
            <w:tcW w:w="760" w:type="dxa"/>
            <w:tcBorders>
              <w:top w:val="nil"/>
              <w:left w:val="nil"/>
              <w:bottom w:val="nil"/>
              <w:right w:val="nil"/>
            </w:tcBorders>
            <w:shd w:val="clear" w:color="auto" w:fill="auto"/>
            <w:vAlign w:val="center"/>
            <w:hideMark/>
          </w:tcPr>
          <w:p w14:paraId="7F1ED3BF" w14:textId="61BD260E" w:rsidR="00D55199" w:rsidRPr="00E70927" w:rsidRDefault="00D55199" w:rsidP="00D55199">
            <w:pPr>
              <w:spacing w:after="0" w:line="240" w:lineRule="auto"/>
              <w:jc w:val="right"/>
              <w:rPr>
                <w:rFonts w:cs="Arial"/>
                <w:sz w:val="16"/>
                <w:szCs w:val="16"/>
              </w:rPr>
            </w:pPr>
            <w:r>
              <w:rPr>
                <w:rFonts w:cs="Arial"/>
                <w:sz w:val="16"/>
                <w:szCs w:val="16"/>
              </w:rPr>
              <w:t>22 892</w:t>
            </w:r>
          </w:p>
        </w:tc>
        <w:tc>
          <w:tcPr>
            <w:tcW w:w="760" w:type="dxa"/>
            <w:tcBorders>
              <w:top w:val="nil"/>
              <w:left w:val="nil"/>
              <w:bottom w:val="nil"/>
              <w:right w:val="single" w:sz="4" w:space="0" w:color="auto"/>
            </w:tcBorders>
            <w:shd w:val="clear" w:color="auto" w:fill="auto"/>
            <w:vAlign w:val="center"/>
            <w:hideMark/>
          </w:tcPr>
          <w:p w14:paraId="5CAE48E9" w14:textId="64C1CE44" w:rsidR="00D55199" w:rsidRPr="00E70927" w:rsidRDefault="00D55199" w:rsidP="00D55199">
            <w:pPr>
              <w:spacing w:after="0" w:line="240" w:lineRule="auto"/>
              <w:jc w:val="right"/>
              <w:rPr>
                <w:rFonts w:cs="Arial"/>
                <w:sz w:val="16"/>
                <w:szCs w:val="16"/>
              </w:rPr>
            </w:pPr>
            <w:r>
              <w:rPr>
                <w:rFonts w:cs="Arial"/>
                <w:sz w:val="16"/>
                <w:szCs w:val="16"/>
              </w:rPr>
              <w:t>28 777</w:t>
            </w:r>
          </w:p>
        </w:tc>
        <w:tc>
          <w:tcPr>
            <w:tcW w:w="760" w:type="dxa"/>
            <w:tcBorders>
              <w:top w:val="nil"/>
              <w:left w:val="single" w:sz="4" w:space="0" w:color="auto"/>
              <w:bottom w:val="nil"/>
              <w:right w:val="nil"/>
            </w:tcBorders>
            <w:shd w:val="clear" w:color="auto" w:fill="auto"/>
            <w:vAlign w:val="center"/>
            <w:hideMark/>
          </w:tcPr>
          <w:p w14:paraId="252FFCAC" w14:textId="459853FD" w:rsidR="00D55199" w:rsidRPr="00E70927" w:rsidRDefault="00D55199" w:rsidP="00D55199">
            <w:pPr>
              <w:spacing w:after="0" w:line="240" w:lineRule="auto"/>
              <w:jc w:val="right"/>
              <w:rPr>
                <w:rFonts w:cs="Arial"/>
                <w:sz w:val="16"/>
                <w:szCs w:val="16"/>
              </w:rPr>
            </w:pPr>
            <w:r>
              <w:rPr>
                <w:rFonts w:cs="Arial"/>
                <w:sz w:val="16"/>
                <w:szCs w:val="16"/>
              </w:rPr>
              <w:t>2 693</w:t>
            </w:r>
          </w:p>
        </w:tc>
        <w:tc>
          <w:tcPr>
            <w:tcW w:w="760" w:type="dxa"/>
            <w:tcBorders>
              <w:top w:val="nil"/>
              <w:left w:val="nil"/>
              <w:bottom w:val="nil"/>
              <w:right w:val="nil"/>
            </w:tcBorders>
            <w:shd w:val="clear" w:color="auto" w:fill="auto"/>
            <w:vAlign w:val="center"/>
            <w:hideMark/>
          </w:tcPr>
          <w:p w14:paraId="3CFD06C9" w14:textId="0E3884BC" w:rsidR="00D55199" w:rsidRPr="00E70927" w:rsidRDefault="00D55199" w:rsidP="00D55199">
            <w:pPr>
              <w:spacing w:after="0" w:line="240" w:lineRule="auto"/>
              <w:jc w:val="right"/>
              <w:rPr>
                <w:rFonts w:cs="Arial"/>
                <w:sz w:val="16"/>
                <w:szCs w:val="16"/>
              </w:rPr>
            </w:pPr>
            <w:r>
              <w:rPr>
                <w:rFonts w:cs="Arial"/>
                <w:sz w:val="16"/>
                <w:szCs w:val="16"/>
              </w:rPr>
              <w:t>1 925</w:t>
            </w:r>
          </w:p>
        </w:tc>
        <w:tc>
          <w:tcPr>
            <w:tcW w:w="760" w:type="dxa"/>
            <w:tcBorders>
              <w:top w:val="nil"/>
              <w:left w:val="nil"/>
              <w:bottom w:val="nil"/>
              <w:right w:val="single" w:sz="4" w:space="0" w:color="auto"/>
            </w:tcBorders>
            <w:shd w:val="clear" w:color="auto" w:fill="auto"/>
            <w:vAlign w:val="center"/>
            <w:hideMark/>
          </w:tcPr>
          <w:p w14:paraId="51FA1E9E" w14:textId="68D1B188" w:rsidR="00D55199" w:rsidRPr="00E70927" w:rsidRDefault="00D55199" w:rsidP="00D55199">
            <w:pPr>
              <w:spacing w:after="0" w:line="240" w:lineRule="auto"/>
              <w:jc w:val="right"/>
              <w:rPr>
                <w:rFonts w:cs="Arial"/>
                <w:sz w:val="16"/>
                <w:szCs w:val="16"/>
              </w:rPr>
            </w:pPr>
            <w:r>
              <w:rPr>
                <w:rFonts w:cs="Arial"/>
                <w:sz w:val="16"/>
                <w:szCs w:val="16"/>
              </w:rPr>
              <w:t>767</w:t>
            </w:r>
          </w:p>
        </w:tc>
        <w:tc>
          <w:tcPr>
            <w:tcW w:w="760" w:type="dxa"/>
            <w:tcBorders>
              <w:top w:val="nil"/>
              <w:left w:val="single" w:sz="4" w:space="0" w:color="auto"/>
              <w:bottom w:val="nil"/>
              <w:right w:val="nil"/>
            </w:tcBorders>
            <w:shd w:val="clear" w:color="auto" w:fill="auto"/>
            <w:vAlign w:val="center"/>
            <w:hideMark/>
          </w:tcPr>
          <w:p w14:paraId="037565D3" w14:textId="146EBA32" w:rsidR="00D55199" w:rsidRPr="00E70927" w:rsidRDefault="00D55199" w:rsidP="00D55199">
            <w:pPr>
              <w:spacing w:after="0" w:line="240" w:lineRule="auto"/>
              <w:jc w:val="right"/>
              <w:rPr>
                <w:rFonts w:cs="Arial"/>
                <w:sz w:val="16"/>
                <w:szCs w:val="16"/>
              </w:rPr>
            </w:pPr>
            <w:r>
              <w:rPr>
                <w:rFonts w:cs="Arial"/>
                <w:sz w:val="16"/>
                <w:szCs w:val="16"/>
              </w:rPr>
              <w:t>4 848</w:t>
            </w:r>
          </w:p>
        </w:tc>
        <w:tc>
          <w:tcPr>
            <w:tcW w:w="760" w:type="dxa"/>
            <w:tcBorders>
              <w:top w:val="nil"/>
              <w:left w:val="nil"/>
              <w:bottom w:val="nil"/>
              <w:right w:val="nil"/>
            </w:tcBorders>
            <w:shd w:val="clear" w:color="auto" w:fill="auto"/>
            <w:vAlign w:val="center"/>
            <w:hideMark/>
          </w:tcPr>
          <w:p w14:paraId="49CFFBA3" w14:textId="7FEF48A9" w:rsidR="00D55199" w:rsidRPr="00E70927" w:rsidRDefault="00D55199" w:rsidP="00D55199">
            <w:pPr>
              <w:spacing w:after="0" w:line="240" w:lineRule="auto"/>
              <w:jc w:val="right"/>
              <w:rPr>
                <w:rFonts w:cs="Arial"/>
                <w:sz w:val="16"/>
                <w:szCs w:val="16"/>
              </w:rPr>
            </w:pPr>
            <w:r>
              <w:rPr>
                <w:rFonts w:cs="Arial"/>
                <w:sz w:val="16"/>
                <w:szCs w:val="16"/>
              </w:rPr>
              <w:t>3 192</w:t>
            </w:r>
          </w:p>
        </w:tc>
        <w:tc>
          <w:tcPr>
            <w:tcW w:w="760" w:type="dxa"/>
            <w:tcBorders>
              <w:top w:val="nil"/>
              <w:left w:val="nil"/>
              <w:bottom w:val="nil"/>
              <w:right w:val="nil"/>
            </w:tcBorders>
            <w:shd w:val="clear" w:color="auto" w:fill="auto"/>
            <w:vAlign w:val="center"/>
            <w:hideMark/>
          </w:tcPr>
          <w:p w14:paraId="4AF56798" w14:textId="7D29DA27" w:rsidR="00D55199" w:rsidRPr="00E70927" w:rsidRDefault="00D55199" w:rsidP="00D55199">
            <w:pPr>
              <w:spacing w:after="0" w:line="240" w:lineRule="auto"/>
              <w:jc w:val="right"/>
              <w:rPr>
                <w:rFonts w:cs="Arial"/>
                <w:sz w:val="16"/>
                <w:szCs w:val="16"/>
              </w:rPr>
            </w:pPr>
            <w:r>
              <w:rPr>
                <w:rFonts w:cs="Arial"/>
                <w:sz w:val="16"/>
                <w:szCs w:val="16"/>
              </w:rPr>
              <w:t>1 656</w:t>
            </w:r>
          </w:p>
        </w:tc>
      </w:tr>
      <w:tr w:rsidR="00D55199" w:rsidRPr="00E70927" w14:paraId="0EB3C01B"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2012BEF8" w14:textId="0B707744" w:rsidR="00D55199" w:rsidRPr="00E70927" w:rsidRDefault="00D55199" w:rsidP="00D55199">
            <w:pPr>
              <w:spacing w:after="0" w:line="240" w:lineRule="auto"/>
              <w:jc w:val="center"/>
              <w:rPr>
                <w:rFonts w:cs="Arial"/>
                <w:sz w:val="16"/>
                <w:szCs w:val="16"/>
              </w:rPr>
            </w:pPr>
            <w:r>
              <w:rPr>
                <w:rFonts w:cs="Arial"/>
                <w:sz w:val="16"/>
                <w:szCs w:val="16"/>
              </w:rPr>
              <w:t>2011</w:t>
            </w:r>
          </w:p>
        </w:tc>
        <w:tc>
          <w:tcPr>
            <w:tcW w:w="760" w:type="dxa"/>
            <w:tcBorders>
              <w:top w:val="nil"/>
              <w:left w:val="nil"/>
              <w:bottom w:val="nil"/>
              <w:right w:val="nil"/>
            </w:tcBorders>
            <w:shd w:val="clear" w:color="auto" w:fill="auto"/>
            <w:vAlign w:val="center"/>
            <w:hideMark/>
          </w:tcPr>
          <w:p w14:paraId="0A3502BE" w14:textId="22962E35" w:rsidR="00D55199" w:rsidRPr="00E70927" w:rsidRDefault="00D55199" w:rsidP="00D55199">
            <w:pPr>
              <w:spacing w:after="0" w:line="240" w:lineRule="auto"/>
              <w:jc w:val="right"/>
              <w:rPr>
                <w:rFonts w:cs="Arial"/>
                <w:sz w:val="16"/>
                <w:szCs w:val="16"/>
              </w:rPr>
            </w:pPr>
            <w:r>
              <w:rPr>
                <w:rFonts w:cs="Arial"/>
                <w:sz w:val="16"/>
                <w:szCs w:val="16"/>
              </w:rPr>
              <w:t>55 924</w:t>
            </w:r>
          </w:p>
        </w:tc>
        <w:tc>
          <w:tcPr>
            <w:tcW w:w="760" w:type="dxa"/>
            <w:tcBorders>
              <w:top w:val="nil"/>
              <w:left w:val="nil"/>
              <w:bottom w:val="nil"/>
              <w:right w:val="nil"/>
            </w:tcBorders>
            <w:shd w:val="clear" w:color="auto" w:fill="auto"/>
            <w:vAlign w:val="center"/>
            <w:hideMark/>
          </w:tcPr>
          <w:p w14:paraId="2EB6F3EA" w14:textId="5D8436B9" w:rsidR="00D55199" w:rsidRPr="00E70927" w:rsidRDefault="00D55199" w:rsidP="00D55199">
            <w:pPr>
              <w:spacing w:after="0" w:line="240" w:lineRule="auto"/>
              <w:jc w:val="right"/>
              <w:rPr>
                <w:rFonts w:cs="Arial"/>
                <w:sz w:val="16"/>
                <w:szCs w:val="16"/>
              </w:rPr>
            </w:pPr>
            <w:r>
              <w:rPr>
                <w:rFonts w:cs="Arial"/>
                <w:sz w:val="16"/>
                <w:szCs w:val="16"/>
              </w:rPr>
              <w:t>25 996</w:t>
            </w:r>
          </w:p>
        </w:tc>
        <w:tc>
          <w:tcPr>
            <w:tcW w:w="760" w:type="dxa"/>
            <w:tcBorders>
              <w:top w:val="nil"/>
              <w:left w:val="nil"/>
              <w:bottom w:val="nil"/>
              <w:right w:val="single" w:sz="4" w:space="0" w:color="auto"/>
            </w:tcBorders>
            <w:shd w:val="clear" w:color="auto" w:fill="auto"/>
            <w:vAlign w:val="center"/>
            <w:hideMark/>
          </w:tcPr>
          <w:p w14:paraId="3BB81706" w14:textId="530AD6DB" w:rsidR="00D55199" w:rsidRPr="00E70927" w:rsidRDefault="00D55199" w:rsidP="00D55199">
            <w:pPr>
              <w:spacing w:after="0" w:line="240" w:lineRule="auto"/>
              <w:jc w:val="right"/>
              <w:rPr>
                <w:rFonts w:cs="Arial"/>
                <w:sz w:val="16"/>
                <w:szCs w:val="16"/>
              </w:rPr>
            </w:pPr>
            <w:r>
              <w:rPr>
                <w:rFonts w:cs="Arial"/>
                <w:sz w:val="16"/>
                <w:szCs w:val="16"/>
              </w:rPr>
              <w:t>29 928</w:t>
            </w:r>
          </w:p>
        </w:tc>
        <w:tc>
          <w:tcPr>
            <w:tcW w:w="760" w:type="dxa"/>
            <w:tcBorders>
              <w:top w:val="nil"/>
              <w:left w:val="single" w:sz="4" w:space="0" w:color="auto"/>
              <w:bottom w:val="nil"/>
              <w:right w:val="nil"/>
            </w:tcBorders>
            <w:shd w:val="clear" w:color="auto" w:fill="auto"/>
            <w:vAlign w:val="center"/>
            <w:hideMark/>
          </w:tcPr>
          <w:p w14:paraId="205811CE" w14:textId="20E87078" w:rsidR="00D55199" w:rsidRPr="00E70927" w:rsidRDefault="00D55199" w:rsidP="00D55199">
            <w:pPr>
              <w:spacing w:after="0" w:line="240" w:lineRule="auto"/>
              <w:jc w:val="right"/>
              <w:rPr>
                <w:rFonts w:cs="Arial"/>
                <w:sz w:val="16"/>
                <w:szCs w:val="16"/>
              </w:rPr>
            </w:pPr>
            <w:r>
              <w:rPr>
                <w:rFonts w:cs="Arial"/>
                <w:sz w:val="16"/>
                <w:szCs w:val="16"/>
              </w:rPr>
              <w:t>48 774</w:t>
            </w:r>
          </w:p>
        </w:tc>
        <w:tc>
          <w:tcPr>
            <w:tcW w:w="760" w:type="dxa"/>
            <w:tcBorders>
              <w:top w:val="nil"/>
              <w:left w:val="nil"/>
              <w:bottom w:val="nil"/>
              <w:right w:val="nil"/>
            </w:tcBorders>
            <w:shd w:val="clear" w:color="auto" w:fill="auto"/>
            <w:vAlign w:val="center"/>
            <w:hideMark/>
          </w:tcPr>
          <w:p w14:paraId="6DAFD065" w14:textId="062AF286" w:rsidR="00D55199" w:rsidRPr="00E70927" w:rsidRDefault="00D55199" w:rsidP="00D55199">
            <w:pPr>
              <w:spacing w:after="0" w:line="240" w:lineRule="auto"/>
              <w:jc w:val="right"/>
              <w:rPr>
                <w:rFonts w:cs="Arial"/>
                <w:sz w:val="16"/>
                <w:szCs w:val="16"/>
              </w:rPr>
            </w:pPr>
            <w:r>
              <w:rPr>
                <w:rFonts w:cs="Arial"/>
                <w:sz w:val="16"/>
                <w:szCs w:val="16"/>
              </w:rPr>
              <w:t>21 150</w:t>
            </w:r>
          </w:p>
        </w:tc>
        <w:tc>
          <w:tcPr>
            <w:tcW w:w="760" w:type="dxa"/>
            <w:tcBorders>
              <w:top w:val="nil"/>
              <w:left w:val="nil"/>
              <w:bottom w:val="nil"/>
              <w:right w:val="single" w:sz="4" w:space="0" w:color="auto"/>
            </w:tcBorders>
            <w:shd w:val="clear" w:color="auto" w:fill="auto"/>
            <w:vAlign w:val="center"/>
            <w:hideMark/>
          </w:tcPr>
          <w:p w14:paraId="0CDA9440" w14:textId="6CE84764" w:rsidR="00D55199" w:rsidRPr="00E70927" w:rsidRDefault="00D55199" w:rsidP="00D55199">
            <w:pPr>
              <w:spacing w:after="0" w:line="240" w:lineRule="auto"/>
              <w:jc w:val="right"/>
              <w:rPr>
                <w:rFonts w:cs="Arial"/>
                <w:sz w:val="16"/>
                <w:szCs w:val="16"/>
              </w:rPr>
            </w:pPr>
            <w:r>
              <w:rPr>
                <w:rFonts w:cs="Arial"/>
                <w:sz w:val="16"/>
                <w:szCs w:val="16"/>
              </w:rPr>
              <w:t>27 624</w:t>
            </w:r>
          </w:p>
        </w:tc>
        <w:tc>
          <w:tcPr>
            <w:tcW w:w="760" w:type="dxa"/>
            <w:tcBorders>
              <w:top w:val="nil"/>
              <w:left w:val="single" w:sz="4" w:space="0" w:color="auto"/>
              <w:bottom w:val="nil"/>
              <w:right w:val="nil"/>
            </w:tcBorders>
            <w:shd w:val="clear" w:color="auto" w:fill="auto"/>
            <w:vAlign w:val="center"/>
            <w:hideMark/>
          </w:tcPr>
          <w:p w14:paraId="387621E8" w14:textId="132E01C7" w:rsidR="00D55199" w:rsidRPr="00E70927" w:rsidRDefault="00D55199" w:rsidP="00D55199">
            <w:pPr>
              <w:spacing w:after="0" w:line="240" w:lineRule="auto"/>
              <w:jc w:val="right"/>
              <w:rPr>
                <w:rFonts w:cs="Arial"/>
                <w:sz w:val="16"/>
                <w:szCs w:val="16"/>
              </w:rPr>
            </w:pPr>
            <w:r>
              <w:rPr>
                <w:rFonts w:cs="Arial"/>
                <w:sz w:val="16"/>
                <w:szCs w:val="16"/>
              </w:rPr>
              <w:t>2 593</w:t>
            </w:r>
          </w:p>
        </w:tc>
        <w:tc>
          <w:tcPr>
            <w:tcW w:w="760" w:type="dxa"/>
            <w:tcBorders>
              <w:top w:val="nil"/>
              <w:left w:val="nil"/>
              <w:bottom w:val="nil"/>
              <w:right w:val="nil"/>
            </w:tcBorders>
            <w:shd w:val="clear" w:color="auto" w:fill="auto"/>
            <w:vAlign w:val="center"/>
            <w:hideMark/>
          </w:tcPr>
          <w:p w14:paraId="26FFA623" w14:textId="0F3C0579" w:rsidR="00D55199" w:rsidRPr="00E70927" w:rsidRDefault="00D55199" w:rsidP="00D55199">
            <w:pPr>
              <w:spacing w:after="0" w:line="240" w:lineRule="auto"/>
              <w:jc w:val="right"/>
              <w:rPr>
                <w:rFonts w:cs="Arial"/>
                <w:sz w:val="16"/>
                <w:szCs w:val="16"/>
              </w:rPr>
            </w:pPr>
            <w:r>
              <w:rPr>
                <w:rFonts w:cs="Arial"/>
                <w:sz w:val="16"/>
                <w:szCs w:val="16"/>
              </w:rPr>
              <w:t>1 851</w:t>
            </w:r>
          </w:p>
        </w:tc>
        <w:tc>
          <w:tcPr>
            <w:tcW w:w="760" w:type="dxa"/>
            <w:tcBorders>
              <w:top w:val="nil"/>
              <w:left w:val="nil"/>
              <w:bottom w:val="nil"/>
              <w:right w:val="single" w:sz="4" w:space="0" w:color="auto"/>
            </w:tcBorders>
            <w:shd w:val="clear" w:color="auto" w:fill="auto"/>
            <w:vAlign w:val="center"/>
            <w:hideMark/>
          </w:tcPr>
          <w:p w14:paraId="389552EC" w14:textId="0AF913E7" w:rsidR="00D55199" w:rsidRPr="00E70927" w:rsidRDefault="00D55199" w:rsidP="00D55199">
            <w:pPr>
              <w:spacing w:after="0" w:line="240" w:lineRule="auto"/>
              <w:jc w:val="right"/>
              <w:rPr>
                <w:rFonts w:cs="Arial"/>
                <w:sz w:val="16"/>
                <w:szCs w:val="16"/>
              </w:rPr>
            </w:pPr>
            <w:r>
              <w:rPr>
                <w:rFonts w:cs="Arial"/>
                <w:sz w:val="16"/>
                <w:szCs w:val="16"/>
              </w:rPr>
              <w:t>741</w:t>
            </w:r>
          </w:p>
        </w:tc>
        <w:tc>
          <w:tcPr>
            <w:tcW w:w="760" w:type="dxa"/>
            <w:tcBorders>
              <w:top w:val="nil"/>
              <w:left w:val="single" w:sz="4" w:space="0" w:color="auto"/>
              <w:bottom w:val="nil"/>
              <w:right w:val="nil"/>
            </w:tcBorders>
            <w:shd w:val="clear" w:color="auto" w:fill="auto"/>
            <w:vAlign w:val="center"/>
            <w:hideMark/>
          </w:tcPr>
          <w:p w14:paraId="539B0924" w14:textId="308459DF" w:rsidR="00D55199" w:rsidRPr="00E70927" w:rsidRDefault="00D55199" w:rsidP="00D55199">
            <w:pPr>
              <w:spacing w:after="0" w:line="240" w:lineRule="auto"/>
              <w:jc w:val="right"/>
              <w:rPr>
                <w:rFonts w:cs="Arial"/>
                <w:sz w:val="16"/>
                <w:szCs w:val="16"/>
              </w:rPr>
            </w:pPr>
            <w:r>
              <w:rPr>
                <w:rFonts w:cs="Arial"/>
                <w:sz w:val="16"/>
                <w:szCs w:val="16"/>
              </w:rPr>
              <w:t>4 558</w:t>
            </w:r>
          </w:p>
        </w:tc>
        <w:tc>
          <w:tcPr>
            <w:tcW w:w="760" w:type="dxa"/>
            <w:tcBorders>
              <w:top w:val="nil"/>
              <w:left w:val="nil"/>
              <w:bottom w:val="nil"/>
              <w:right w:val="nil"/>
            </w:tcBorders>
            <w:shd w:val="clear" w:color="auto" w:fill="auto"/>
            <w:vAlign w:val="center"/>
            <w:hideMark/>
          </w:tcPr>
          <w:p w14:paraId="7DBA8902" w14:textId="0B8E0A92" w:rsidR="00D55199" w:rsidRPr="00E70927" w:rsidRDefault="00D55199" w:rsidP="00D55199">
            <w:pPr>
              <w:spacing w:after="0" w:line="240" w:lineRule="auto"/>
              <w:jc w:val="right"/>
              <w:rPr>
                <w:rFonts w:cs="Arial"/>
                <w:sz w:val="16"/>
                <w:szCs w:val="16"/>
              </w:rPr>
            </w:pPr>
            <w:r>
              <w:rPr>
                <w:rFonts w:cs="Arial"/>
                <w:sz w:val="16"/>
                <w:szCs w:val="16"/>
              </w:rPr>
              <w:t>2 995</w:t>
            </w:r>
          </w:p>
        </w:tc>
        <w:tc>
          <w:tcPr>
            <w:tcW w:w="760" w:type="dxa"/>
            <w:tcBorders>
              <w:top w:val="nil"/>
              <w:left w:val="nil"/>
              <w:bottom w:val="nil"/>
              <w:right w:val="nil"/>
            </w:tcBorders>
            <w:shd w:val="clear" w:color="auto" w:fill="auto"/>
            <w:vAlign w:val="center"/>
            <w:hideMark/>
          </w:tcPr>
          <w:p w14:paraId="7827173F" w14:textId="0178B622" w:rsidR="00D55199" w:rsidRPr="00E70927" w:rsidRDefault="00D55199" w:rsidP="00D55199">
            <w:pPr>
              <w:spacing w:after="0" w:line="240" w:lineRule="auto"/>
              <w:jc w:val="right"/>
              <w:rPr>
                <w:rFonts w:cs="Arial"/>
                <w:sz w:val="16"/>
                <w:szCs w:val="16"/>
              </w:rPr>
            </w:pPr>
            <w:r>
              <w:rPr>
                <w:rFonts w:cs="Arial"/>
                <w:sz w:val="16"/>
                <w:szCs w:val="16"/>
              </w:rPr>
              <w:t>1 563</w:t>
            </w:r>
          </w:p>
        </w:tc>
      </w:tr>
      <w:tr w:rsidR="00D55199" w:rsidRPr="00E70927" w14:paraId="27F3E06C"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20DD74CC" w14:textId="25DE90B3" w:rsidR="00D55199" w:rsidRPr="00E70927" w:rsidRDefault="00D55199" w:rsidP="00D55199">
            <w:pPr>
              <w:spacing w:after="0" w:line="240" w:lineRule="auto"/>
              <w:jc w:val="center"/>
              <w:rPr>
                <w:rFonts w:cs="Arial"/>
                <w:sz w:val="16"/>
                <w:szCs w:val="16"/>
              </w:rPr>
            </w:pPr>
            <w:r>
              <w:rPr>
                <w:rFonts w:cs="Arial"/>
                <w:sz w:val="16"/>
                <w:szCs w:val="16"/>
              </w:rPr>
              <w:t>2012</w:t>
            </w:r>
          </w:p>
        </w:tc>
        <w:tc>
          <w:tcPr>
            <w:tcW w:w="760" w:type="dxa"/>
            <w:tcBorders>
              <w:top w:val="nil"/>
              <w:left w:val="nil"/>
              <w:bottom w:val="nil"/>
              <w:right w:val="nil"/>
            </w:tcBorders>
            <w:shd w:val="clear" w:color="auto" w:fill="auto"/>
            <w:vAlign w:val="center"/>
            <w:hideMark/>
          </w:tcPr>
          <w:p w14:paraId="6AD6774B" w14:textId="53564A20" w:rsidR="00D55199" w:rsidRPr="00E70927" w:rsidRDefault="00D55199" w:rsidP="00D55199">
            <w:pPr>
              <w:spacing w:after="0" w:line="240" w:lineRule="auto"/>
              <w:jc w:val="right"/>
              <w:rPr>
                <w:rFonts w:cs="Arial"/>
                <w:sz w:val="16"/>
                <w:szCs w:val="16"/>
              </w:rPr>
            </w:pPr>
            <w:r>
              <w:rPr>
                <w:rFonts w:cs="Arial"/>
                <w:sz w:val="16"/>
                <w:szCs w:val="16"/>
              </w:rPr>
              <w:t>56 493</w:t>
            </w:r>
          </w:p>
        </w:tc>
        <w:tc>
          <w:tcPr>
            <w:tcW w:w="760" w:type="dxa"/>
            <w:tcBorders>
              <w:top w:val="nil"/>
              <w:left w:val="nil"/>
              <w:bottom w:val="nil"/>
              <w:right w:val="nil"/>
            </w:tcBorders>
            <w:shd w:val="clear" w:color="auto" w:fill="auto"/>
            <w:vAlign w:val="center"/>
            <w:hideMark/>
          </w:tcPr>
          <w:p w14:paraId="40AB797F" w14:textId="677EDC60" w:rsidR="00D55199" w:rsidRPr="00E70927" w:rsidRDefault="00D55199" w:rsidP="00D55199">
            <w:pPr>
              <w:spacing w:after="0" w:line="240" w:lineRule="auto"/>
              <w:jc w:val="right"/>
              <w:rPr>
                <w:rFonts w:cs="Arial"/>
                <w:sz w:val="16"/>
                <w:szCs w:val="16"/>
              </w:rPr>
            </w:pPr>
            <w:r>
              <w:rPr>
                <w:rFonts w:cs="Arial"/>
                <w:sz w:val="16"/>
                <w:szCs w:val="16"/>
              </w:rPr>
              <w:t>26 190</w:t>
            </w:r>
          </w:p>
        </w:tc>
        <w:tc>
          <w:tcPr>
            <w:tcW w:w="760" w:type="dxa"/>
            <w:tcBorders>
              <w:top w:val="nil"/>
              <w:left w:val="nil"/>
              <w:bottom w:val="nil"/>
              <w:right w:val="single" w:sz="4" w:space="0" w:color="auto"/>
            </w:tcBorders>
            <w:shd w:val="clear" w:color="auto" w:fill="auto"/>
            <w:vAlign w:val="center"/>
            <w:hideMark/>
          </w:tcPr>
          <w:p w14:paraId="0D60E3B8" w14:textId="11F27881" w:rsidR="00D55199" w:rsidRPr="00E70927" w:rsidRDefault="00D55199" w:rsidP="00D55199">
            <w:pPr>
              <w:spacing w:after="0" w:line="240" w:lineRule="auto"/>
              <w:jc w:val="right"/>
              <w:rPr>
                <w:rFonts w:cs="Arial"/>
                <w:sz w:val="16"/>
                <w:szCs w:val="16"/>
              </w:rPr>
            </w:pPr>
            <w:r>
              <w:rPr>
                <w:rFonts w:cs="Arial"/>
                <w:sz w:val="16"/>
                <w:szCs w:val="16"/>
              </w:rPr>
              <w:t>30 303</w:t>
            </w:r>
          </w:p>
        </w:tc>
        <w:tc>
          <w:tcPr>
            <w:tcW w:w="760" w:type="dxa"/>
            <w:tcBorders>
              <w:top w:val="nil"/>
              <w:left w:val="single" w:sz="4" w:space="0" w:color="auto"/>
              <w:bottom w:val="nil"/>
              <w:right w:val="nil"/>
            </w:tcBorders>
            <w:shd w:val="clear" w:color="auto" w:fill="auto"/>
            <w:vAlign w:val="center"/>
            <w:hideMark/>
          </w:tcPr>
          <w:p w14:paraId="590CB081" w14:textId="594996C0" w:rsidR="00D55199" w:rsidRPr="00E70927" w:rsidRDefault="00D55199" w:rsidP="00D55199">
            <w:pPr>
              <w:spacing w:after="0" w:line="240" w:lineRule="auto"/>
              <w:jc w:val="right"/>
              <w:rPr>
                <w:rFonts w:cs="Arial"/>
                <w:sz w:val="16"/>
                <w:szCs w:val="16"/>
              </w:rPr>
            </w:pPr>
            <w:r>
              <w:rPr>
                <w:rFonts w:cs="Arial"/>
                <w:sz w:val="16"/>
                <w:szCs w:val="16"/>
              </w:rPr>
              <w:t>47 683</w:t>
            </w:r>
          </w:p>
        </w:tc>
        <w:tc>
          <w:tcPr>
            <w:tcW w:w="760" w:type="dxa"/>
            <w:tcBorders>
              <w:top w:val="nil"/>
              <w:left w:val="nil"/>
              <w:bottom w:val="nil"/>
              <w:right w:val="nil"/>
            </w:tcBorders>
            <w:shd w:val="clear" w:color="auto" w:fill="auto"/>
            <w:vAlign w:val="center"/>
            <w:hideMark/>
          </w:tcPr>
          <w:p w14:paraId="56DC3A93" w14:textId="00B14C66" w:rsidR="00D55199" w:rsidRPr="00E70927" w:rsidRDefault="00D55199" w:rsidP="00D55199">
            <w:pPr>
              <w:spacing w:after="0" w:line="240" w:lineRule="auto"/>
              <w:jc w:val="right"/>
              <w:rPr>
                <w:rFonts w:cs="Arial"/>
                <w:sz w:val="16"/>
                <w:szCs w:val="16"/>
              </w:rPr>
            </w:pPr>
            <w:r>
              <w:rPr>
                <w:rFonts w:cs="Arial"/>
                <w:sz w:val="16"/>
                <w:szCs w:val="16"/>
              </w:rPr>
              <w:t>20 344</w:t>
            </w:r>
          </w:p>
        </w:tc>
        <w:tc>
          <w:tcPr>
            <w:tcW w:w="760" w:type="dxa"/>
            <w:tcBorders>
              <w:top w:val="nil"/>
              <w:left w:val="nil"/>
              <w:bottom w:val="nil"/>
              <w:right w:val="single" w:sz="4" w:space="0" w:color="auto"/>
            </w:tcBorders>
            <w:shd w:val="clear" w:color="auto" w:fill="auto"/>
            <w:vAlign w:val="center"/>
            <w:hideMark/>
          </w:tcPr>
          <w:p w14:paraId="59C000F4" w14:textId="42714F25" w:rsidR="00D55199" w:rsidRPr="00E70927" w:rsidRDefault="00D55199" w:rsidP="00D55199">
            <w:pPr>
              <w:spacing w:after="0" w:line="240" w:lineRule="auto"/>
              <w:jc w:val="right"/>
              <w:rPr>
                <w:rFonts w:cs="Arial"/>
                <w:sz w:val="16"/>
                <w:szCs w:val="16"/>
              </w:rPr>
            </w:pPr>
            <w:r>
              <w:rPr>
                <w:rFonts w:cs="Arial"/>
                <w:sz w:val="16"/>
                <w:szCs w:val="16"/>
              </w:rPr>
              <w:t>27 340</w:t>
            </w:r>
          </w:p>
        </w:tc>
        <w:tc>
          <w:tcPr>
            <w:tcW w:w="760" w:type="dxa"/>
            <w:tcBorders>
              <w:top w:val="nil"/>
              <w:left w:val="single" w:sz="4" w:space="0" w:color="auto"/>
              <w:bottom w:val="nil"/>
              <w:right w:val="nil"/>
            </w:tcBorders>
            <w:shd w:val="clear" w:color="auto" w:fill="auto"/>
            <w:vAlign w:val="center"/>
            <w:hideMark/>
          </w:tcPr>
          <w:p w14:paraId="35F16B88" w14:textId="6F8B5E3D" w:rsidR="00D55199" w:rsidRPr="00E70927" w:rsidRDefault="00D55199" w:rsidP="00D55199">
            <w:pPr>
              <w:spacing w:after="0" w:line="240" w:lineRule="auto"/>
              <w:jc w:val="right"/>
              <w:rPr>
                <w:rFonts w:cs="Arial"/>
                <w:sz w:val="16"/>
                <w:szCs w:val="16"/>
              </w:rPr>
            </w:pPr>
            <w:r>
              <w:rPr>
                <w:rFonts w:cs="Arial"/>
                <w:sz w:val="16"/>
                <w:szCs w:val="16"/>
              </w:rPr>
              <w:t>2 423</w:t>
            </w:r>
          </w:p>
        </w:tc>
        <w:tc>
          <w:tcPr>
            <w:tcW w:w="760" w:type="dxa"/>
            <w:tcBorders>
              <w:top w:val="nil"/>
              <w:left w:val="nil"/>
              <w:bottom w:val="nil"/>
              <w:right w:val="nil"/>
            </w:tcBorders>
            <w:shd w:val="clear" w:color="auto" w:fill="auto"/>
            <w:vAlign w:val="center"/>
            <w:hideMark/>
          </w:tcPr>
          <w:p w14:paraId="09B7008C" w14:textId="52E6CAD9" w:rsidR="00D55199" w:rsidRPr="00E70927" w:rsidRDefault="00D55199" w:rsidP="00D55199">
            <w:pPr>
              <w:spacing w:after="0" w:line="240" w:lineRule="auto"/>
              <w:jc w:val="right"/>
              <w:rPr>
                <w:rFonts w:cs="Arial"/>
                <w:sz w:val="16"/>
                <w:szCs w:val="16"/>
              </w:rPr>
            </w:pPr>
            <w:r>
              <w:rPr>
                <w:rFonts w:cs="Arial"/>
                <w:sz w:val="16"/>
                <w:szCs w:val="16"/>
              </w:rPr>
              <w:t>1 738</w:t>
            </w:r>
          </w:p>
        </w:tc>
        <w:tc>
          <w:tcPr>
            <w:tcW w:w="760" w:type="dxa"/>
            <w:tcBorders>
              <w:top w:val="nil"/>
              <w:left w:val="nil"/>
              <w:bottom w:val="nil"/>
              <w:right w:val="single" w:sz="4" w:space="0" w:color="auto"/>
            </w:tcBorders>
            <w:shd w:val="clear" w:color="auto" w:fill="auto"/>
            <w:vAlign w:val="center"/>
            <w:hideMark/>
          </w:tcPr>
          <w:p w14:paraId="4C9CC0EB" w14:textId="65EC83AA" w:rsidR="00D55199" w:rsidRPr="00E70927" w:rsidRDefault="00D55199" w:rsidP="00D55199">
            <w:pPr>
              <w:spacing w:after="0" w:line="240" w:lineRule="auto"/>
              <w:jc w:val="right"/>
              <w:rPr>
                <w:rFonts w:cs="Arial"/>
                <w:sz w:val="16"/>
                <w:szCs w:val="16"/>
              </w:rPr>
            </w:pPr>
            <w:r>
              <w:rPr>
                <w:rFonts w:cs="Arial"/>
                <w:sz w:val="16"/>
                <w:szCs w:val="16"/>
              </w:rPr>
              <w:t>686</w:t>
            </w:r>
          </w:p>
        </w:tc>
        <w:tc>
          <w:tcPr>
            <w:tcW w:w="760" w:type="dxa"/>
            <w:tcBorders>
              <w:top w:val="nil"/>
              <w:left w:val="single" w:sz="4" w:space="0" w:color="auto"/>
              <w:bottom w:val="nil"/>
              <w:right w:val="nil"/>
            </w:tcBorders>
            <w:shd w:val="clear" w:color="auto" w:fill="auto"/>
            <w:vAlign w:val="center"/>
            <w:hideMark/>
          </w:tcPr>
          <w:p w14:paraId="34A1CAD8" w14:textId="0BF65CCA" w:rsidR="00D55199" w:rsidRPr="00E70927" w:rsidRDefault="00D55199" w:rsidP="00D55199">
            <w:pPr>
              <w:spacing w:after="0" w:line="240" w:lineRule="auto"/>
              <w:jc w:val="right"/>
              <w:rPr>
                <w:rFonts w:cs="Arial"/>
                <w:sz w:val="16"/>
                <w:szCs w:val="16"/>
              </w:rPr>
            </w:pPr>
            <w:r>
              <w:rPr>
                <w:rFonts w:cs="Arial"/>
                <w:sz w:val="16"/>
                <w:szCs w:val="16"/>
              </w:rPr>
              <w:t>6 386</w:t>
            </w:r>
          </w:p>
        </w:tc>
        <w:tc>
          <w:tcPr>
            <w:tcW w:w="760" w:type="dxa"/>
            <w:tcBorders>
              <w:top w:val="nil"/>
              <w:left w:val="nil"/>
              <w:bottom w:val="nil"/>
              <w:right w:val="nil"/>
            </w:tcBorders>
            <w:shd w:val="clear" w:color="auto" w:fill="auto"/>
            <w:vAlign w:val="center"/>
            <w:hideMark/>
          </w:tcPr>
          <w:p w14:paraId="3DEF8148" w14:textId="4333B1C5" w:rsidR="00D55199" w:rsidRPr="00E70927" w:rsidRDefault="00D55199" w:rsidP="00D55199">
            <w:pPr>
              <w:spacing w:after="0" w:line="240" w:lineRule="auto"/>
              <w:jc w:val="right"/>
              <w:rPr>
                <w:rFonts w:cs="Arial"/>
                <w:sz w:val="16"/>
                <w:szCs w:val="16"/>
              </w:rPr>
            </w:pPr>
            <w:r>
              <w:rPr>
                <w:rFonts w:cs="Arial"/>
                <w:sz w:val="16"/>
                <w:szCs w:val="16"/>
              </w:rPr>
              <w:t>4 109</w:t>
            </w:r>
          </w:p>
        </w:tc>
        <w:tc>
          <w:tcPr>
            <w:tcW w:w="760" w:type="dxa"/>
            <w:tcBorders>
              <w:top w:val="nil"/>
              <w:left w:val="nil"/>
              <w:bottom w:val="nil"/>
              <w:right w:val="nil"/>
            </w:tcBorders>
            <w:shd w:val="clear" w:color="auto" w:fill="auto"/>
            <w:vAlign w:val="center"/>
            <w:hideMark/>
          </w:tcPr>
          <w:p w14:paraId="283F8591" w14:textId="3E683444" w:rsidR="00D55199" w:rsidRPr="00E70927" w:rsidRDefault="00D55199" w:rsidP="00D55199">
            <w:pPr>
              <w:spacing w:after="0" w:line="240" w:lineRule="auto"/>
              <w:jc w:val="right"/>
              <w:rPr>
                <w:rFonts w:cs="Arial"/>
                <w:sz w:val="16"/>
                <w:szCs w:val="16"/>
              </w:rPr>
            </w:pPr>
            <w:r>
              <w:rPr>
                <w:rFonts w:cs="Arial"/>
                <w:sz w:val="16"/>
                <w:szCs w:val="16"/>
              </w:rPr>
              <w:t>2 278</w:t>
            </w:r>
          </w:p>
        </w:tc>
      </w:tr>
      <w:tr w:rsidR="00D55199" w:rsidRPr="00E70927" w14:paraId="02BEFA3D"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51F5536B" w14:textId="17EC1F46" w:rsidR="00D55199" w:rsidRPr="00E70927" w:rsidRDefault="00D55199" w:rsidP="00D55199">
            <w:pPr>
              <w:spacing w:after="0" w:line="240" w:lineRule="auto"/>
              <w:jc w:val="center"/>
              <w:rPr>
                <w:rFonts w:cs="Arial"/>
                <w:sz w:val="16"/>
                <w:szCs w:val="16"/>
              </w:rPr>
            </w:pPr>
            <w:r>
              <w:rPr>
                <w:rFonts w:cs="Arial"/>
                <w:sz w:val="16"/>
                <w:szCs w:val="16"/>
              </w:rPr>
              <w:t>2013</w:t>
            </w:r>
          </w:p>
        </w:tc>
        <w:tc>
          <w:tcPr>
            <w:tcW w:w="760" w:type="dxa"/>
            <w:tcBorders>
              <w:top w:val="nil"/>
              <w:left w:val="nil"/>
              <w:bottom w:val="nil"/>
              <w:right w:val="nil"/>
            </w:tcBorders>
            <w:shd w:val="clear" w:color="auto" w:fill="auto"/>
            <w:vAlign w:val="center"/>
            <w:hideMark/>
          </w:tcPr>
          <w:p w14:paraId="4B8E14F3" w14:textId="2344F773" w:rsidR="00D55199" w:rsidRPr="00E70927" w:rsidRDefault="00D55199" w:rsidP="00D55199">
            <w:pPr>
              <w:spacing w:after="0" w:line="240" w:lineRule="auto"/>
              <w:jc w:val="right"/>
              <w:rPr>
                <w:rFonts w:cs="Arial"/>
                <w:sz w:val="16"/>
                <w:szCs w:val="16"/>
              </w:rPr>
            </w:pPr>
            <w:r>
              <w:rPr>
                <w:rFonts w:cs="Arial"/>
                <w:sz w:val="16"/>
                <w:szCs w:val="16"/>
              </w:rPr>
              <w:t>58 587</w:t>
            </w:r>
          </w:p>
        </w:tc>
        <w:tc>
          <w:tcPr>
            <w:tcW w:w="760" w:type="dxa"/>
            <w:tcBorders>
              <w:top w:val="nil"/>
              <w:left w:val="nil"/>
              <w:bottom w:val="nil"/>
              <w:right w:val="nil"/>
            </w:tcBorders>
            <w:shd w:val="clear" w:color="auto" w:fill="auto"/>
            <w:vAlign w:val="center"/>
            <w:hideMark/>
          </w:tcPr>
          <w:p w14:paraId="24C68964" w14:textId="4FBF99EF" w:rsidR="00D55199" w:rsidRPr="00E70927" w:rsidRDefault="00D55199" w:rsidP="00D55199">
            <w:pPr>
              <w:spacing w:after="0" w:line="240" w:lineRule="auto"/>
              <w:jc w:val="right"/>
              <w:rPr>
                <w:rFonts w:cs="Arial"/>
                <w:sz w:val="16"/>
                <w:szCs w:val="16"/>
              </w:rPr>
            </w:pPr>
            <w:r>
              <w:rPr>
                <w:rFonts w:cs="Arial"/>
                <w:sz w:val="16"/>
                <w:szCs w:val="16"/>
              </w:rPr>
              <w:t>27 024</w:t>
            </w:r>
          </w:p>
        </w:tc>
        <w:tc>
          <w:tcPr>
            <w:tcW w:w="760" w:type="dxa"/>
            <w:tcBorders>
              <w:top w:val="nil"/>
              <w:left w:val="nil"/>
              <w:bottom w:val="nil"/>
              <w:right w:val="single" w:sz="4" w:space="0" w:color="auto"/>
            </w:tcBorders>
            <w:shd w:val="clear" w:color="auto" w:fill="auto"/>
            <w:vAlign w:val="center"/>
            <w:hideMark/>
          </w:tcPr>
          <w:p w14:paraId="6F91965F" w14:textId="6D856DA7" w:rsidR="00D55199" w:rsidRPr="00E70927" w:rsidRDefault="00D55199" w:rsidP="00D55199">
            <w:pPr>
              <w:spacing w:after="0" w:line="240" w:lineRule="auto"/>
              <w:jc w:val="right"/>
              <w:rPr>
                <w:rFonts w:cs="Arial"/>
                <w:sz w:val="16"/>
                <w:szCs w:val="16"/>
              </w:rPr>
            </w:pPr>
            <w:r>
              <w:rPr>
                <w:rFonts w:cs="Arial"/>
                <w:sz w:val="16"/>
                <w:szCs w:val="16"/>
              </w:rPr>
              <w:t>31 563</w:t>
            </w:r>
          </w:p>
        </w:tc>
        <w:tc>
          <w:tcPr>
            <w:tcW w:w="760" w:type="dxa"/>
            <w:tcBorders>
              <w:top w:val="nil"/>
              <w:left w:val="single" w:sz="4" w:space="0" w:color="auto"/>
              <w:bottom w:val="nil"/>
              <w:right w:val="nil"/>
            </w:tcBorders>
            <w:shd w:val="clear" w:color="auto" w:fill="auto"/>
            <w:vAlign w:val="center"/>
            <w:hideMark/>
          </w:tcPr>
          <w:p w14:paraId="3F429A92" w14:textId="6B582B36" w:rsidR="00D55199" w:rsidRPr="00E70927" w:rsidRDefault="00D55199" w:rsidP="00D55199">
            <w:pPr>
              <w:spacing w:after="0" w:line="240" w:lineRule="auto"/>
              <w:jc w:val="right"/>
              <w:rPr>
                <w:rFonts w:cs="Arial"/>
                <w:sz w:val="16"/>
                <w:szCs w:val="16"/>
              </w:rPr>
            </w:pPr>
            <w:r>
              <w:rPr>
                <w:rFonts w:cs="Arial"/>
                <w:sz w:val="16"/>
                <w:szCs w:val="16"/>
              </w:rPr>
              <w:t>49 582</w:t>
            </w:r>
          </w:p>
        </w:tc>
        <w:tc>
          <w:tcPr>
            <w:tcW w:w="760" w:type="dxa"/>
            <w:tcBorders>
              <w:top w:val="nil"/>
              <w:left w:val="nil"/>
              <w:bottom w:val="nil"/>
              <w:right w:val="nil"/>
            </w:tcBorders>
            <w:shd w:val="clear" w:color="auto" w:fill="auto"/>
            <w:vAlign w:val="center"/>
            <w:hideMark/>
          </w:tcPr>
          <w:p w14:paraId="7930A7C8" w14:textId="03FCB8DF" w:rsidR="00D55199" w:rsidRPr="00E70927" w:rsidRDefault="00D55199" w:rsidP="00D55199">
            <w:pPr>
              <w:spacing w:after="0" w:line="240" w:lineRule="auto"/>
              <w:jc w:val="right"/>
              <w:rPr>
                <w:rFonts w:cs="Arial"/>
                <w:sz w:val="16"/>
                <w:szCs w:val="16"/>
              </w:rPr>
            </w:pPr>
            <w:r>
              <w:rPr>
                <w:rFonts w:cs="Arial"/>
                <w:sz w:val="16"/>
                <w:szCs w:val="16"/>
              </w:rPr>
              <w:t>21 147</w:t>
            </w:r>
          </w:p>
        </w:tc>
        <w:tc>
          <w:tcPr>
            <w:tcW w:w="760" w:type="dxa"/>
            <w:tcBorders>
              <w:top w:val="nil"/>
              <w:left w:val="nil"/>
              <w:bottom w:val="nil"/>
              <w:right w:val="single" w:sz="4" w:space="0" w:color="auto"/>
            </w:tcBorders>
            <w:shd w:val="clear" w:color="auto" w:fill="auto"/>
            <w:vAlign w:val="center"/>
            <w:hideMark/>
          </w:tcPr>
          <w:p w14:paraId="5AA18E34" w14:textId="4FBB950A" w:rsidR="00D55199" w:rsidRPr="00E70927" w:rsidRDefault="00D55199" w:rsidP="00D55199">
            <w:pPr>
              <w:spacing w:after="0" w:line="240" w:lineRule="auto"/>
              <w:jc w:val="right"/>
              <w:rPr>
                <w:rFonts w:cs="Arial"/>
                <w:sz w:val="16"/>
                <w:szCs w:val="16"/>
              </w:rPr>
            </w:pPr>
            <w:r>
              <w:rPr>
                <w:rFonts w:cs="Arial"/>
                <w:sz w:val="16"/>
                <w:szCs w:val="16"/>
              </w:rPr>
              <w:t>28 435</w:t>
            </w:r>
          </w:p>
        </w:tc>
        <w:tc>
          <w:tcPr>
            <w:tcW w:w="760" w:type="dxa"/>
            <w:tcBorders>
              <w:top w:val="nil"/>
              <w:left w:val="single" w:sz="4" w:space="0" w:color="auto"/>
              <w:bottom w:val="nil"/>
              <w:right w:val="nil"/>
            </w:tcBorders>
            <w:shd w:val="clear" w:color="auto" w:fill="auto"/>
            <w:vAlign w:val="center"/>
            <w:hideMark/>
          </w:tcPr>
          <w:p w14:paraId="02D9461F" w14:textId="5452946D" w:rsidR="00D55199" w:rsidRPr="00E70927" w:rsidRDefault="00D55199" w:rsidP="00D55199">
            <w:pPr>
              <w:spacing w:after="0" w:line="240" w:lineRule="auto"/>
              <w:jc w:val="right"/>
              <w:rPr>
                <w:rFonts w:cs="Arial"/>
                <w:sz w:val="16"/>
                <w:szCs w:val="16"/>
              </w:rPr>
            </w:pPr>
            <w:r>
              <w:rPr>
                <w:rFonts w:cs="Arial"/>
                <w:sz w:val="16"/>
                <w:szCs w:val="16"/>
              </w:rPr>
              <w:t>2 392</w:t>
            </w:r>
          </w:p>
        </w:tc>
        <w:tc>
          <w:tcPr>
            <w:tcW w:w="760" w:type="dxa"/>
            <w:tcBorders>
              <w:top w:val="nil"/>
              <w:left w:val="nil"/>
              <w:bottom w:val="nil"/>
              <w:right w:val="nil"/>
            </w:tcBorders>
            <w:shd w:val="clear" w:color="auto" w:fill="auto"/>
            <w:vAlign w:val="center"/>
            <w:hideMark/>
          </w:tcPr>
          <w:p w14:paraId="6463D5F2" w14:textId="65D3D2EE" w:rsidR="00D55199" w:rsidRPr="00E70927" w:rsidRDefault="00D55199" w:rsidP="00D55199">
            <w:pPr>
              <w:spacing w:after="0" w:line="240" w:lineRule="auto"/>
              <w:jc w:val="right"/>
              <w:rPr>
                <w:rFonts w:cs="Arial"/>
                <w:sz w:val="16"/>
                <w:szCs w:val="16"/>
              </w:rPr>
            </w:pPr>
            <w:r>
              <w:rPr>
                <w:rFonts w:cs="Arial"/>
                <w:sz w:val="16"/>
                <w:szCs w:val="16"/>
              </w:rPr>
              <w:t>1 689</w:t>
            </w:r>
          </w:p>
        </w:tc>
        <w:tc>
          <w:tcPr>
            <w:tcW w:w="760" w:type="dxa"/>
            <w:tcBorders>
              <w:top w:val="nil"/>
              <w:left w:val="nil"/>
              <w:bottom w:val="nil"/>
              <w:right w:val="single" w:sz="4" w:space="0" w:color="auto"/>
            </w:tcBorders>
            <w:shd w:val="clear" w:color="auto" w:fill="auto"/>
            <w:vAlign w:val="center"/>
            <w:hideMark/>
          </w:tcPr>
          <w:p w14:paraId="65139814" w14:textId="351CD574" w:rsidR="00D55199" w:rsidRPr="00E70927" w:rsidRDefault="00D55199" w:rsidP="00D55199">
            <w:pPr>
              <w:spacing w:after="0" w:line="240" w:lineRule="auto"/>
              <w:jc w:val="right"/>
              <w:rPr>
                <w:rFonts w:cs="Arial"/>
                <w:sz w:val="16"/>
                <w:szCs w:val="16"/>
              </w:rPr>
            </w:pPr>
            <w:r>
              <w:rPr>
                <w:rFonts w:cs="Arial"/>
                <w:sz w:val="16"/>
                <w:szCs w:val="16"/>
              </w:rPr>
              <w:t>702</w:t>
            </w:r>
          </w:p>
        </w:tc>
        <w:tc>
          <w:tcPr>
            <w:tcW w:w="760" w:type="dxa"/>
            <w:tcBorders>
              <w:top w:val="nil"/>
              <w:left w:val="single" w:sz="4" w:space="0" w:color="auto"/>
              <w:bottom w:val="nil"/>
              <w:right w:val="nil"/>
            </w:tcBorders>
            <w:shd w:val="clear" w:color="auto" w:fill="auto"/>
            <w:vAlign w:val="center"/>
            <w:hideMark/>
          </w:tcPr>
          <w:p w14:paraId="3BBE2F14" w14:textId="575BB74E" w:rsidR="00D55199" w:rsidRPr="00E70927" w:rsidRDefault="00D55199" w:rsidP="00D55199">
            <w:pPr>
              <w:spacing w:after="0" w:line="240" w:lineRule="auto"/>
              <w:jc w:val="right"/>
              <w:rPr>
                <w:rFonts w:cs="Arial"/>
                <w:sz w:val="16"/>
                <w:szCs w:val="16"/>
              </w:rPr>
            </w:pPr>
            <w:r>
              <w:rPr>
                <w:rFonts w:cs="Arial"/>
                <w:sz w:val="16"/>
                <w:szCs w:val="16"/>
              </w:rPr>
              <w:t>6 613</w:t>
            </w:r>
          </w:p>
        </w:tc>
        <w:tc>
          <w:tcPr>
            <w:tcW w:w="760" w:type="dxa"/>
            <w:tcBorders>
              <w:top w:val="nil"/>
              <w:left w:val="nil"/>
              <w:bottom w:val="nil"/>
              <w:right w:val="nil"/>
            </w:tcBorders>
            <w:shd w:val="clear" w:color="auto" w:fill="auto"/>
            <w:vAlign w:val="center"/>
            <w:hideMark/>
          </w:tcPr>
          <w:p w14:paraId="0A20D6C1" w14:textId="712977E4" w:rsidR="00D55199" w:rsidRPr="00E70927" w:rsidRDefault="00D55199" w:rsidP="00D55199">
            <w:pPr>
              <w:spacing w:after="0" w:line="240" w:lineRule="auto"/>
              <w:jc w:val="right"/>
              <w:rPr>
                <w:rFonts w:cs="Arial"/>
                <w:sz w:val="16"/>
                <w:szCs w:val="16"/>
              </w:rPr>
            </w:pPr>
            <w:r>
              <w:rPr>
                <w:rFonts w:cs="Arial"/>
                <w:sz w:val="16"/>
                <w:szCs w:val="16"/>
              </w:rPr>
              <w:t>4 188</w:t>
            </w:r>
          </w:p>
        </w:tc>
        <w:tc>
          <w:tcPr>
            <w:tcW w:w="760" w:type="dxa"/>
            <w:tcBorders>
              <w:top w:val="nil"/>
              <w:left w:val="nil"/>
              <w:bottom w:val="nil"/>
              <w:right w:val="nil"/>
            </w:tcBorders>
            <w:shd w:val="clear" w:color="auto" w:fill="auto"/>
            <w:vAlign w:val="center"/>
            <w:hideMark/>
          </w:tcPr>
          <w:p w14:paraId="28DB5E57" w14:textId="39FF1E09" w:rsidR="00D55199" w:rsidRPr="00E70927" w:rsidRDefault="00D55199" w:rsidP="00D55199">
            <w:pPr>
              <w:spacing w:after="0" w:line="240" w:lineRule="auto"/>
              <w:jc w:val="right"/>
              <w:rPr>
                <w:rFonts w:cs="Arial"/>
                <w:sz w:val="16"/>
                <w:szCs w:val="16"/>
              </w:rPr>
            </w:pPr>
            <w:r>
              <w:rPr>
                <w:rFonts w:cs="Arial"/>
                <w:sz w:val="16"/>
                <w:szCs w:val="16"/>
              </w:rPr>
              <w:t>2 425</w:t>
            </w:r>
          </w:p>
        </w:tc>
      </w:tr>
      <w:tr w:rsidR="00D55199" w:rsidRPr="00E70927" w14:paraId="5CFE6CA1"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7392A656" w14:textId="4D1551CE" w:rsidR="00D55199" w:rsidRPr="00E70927" w:rsidRDefault="00D55199" w:rsidP="00D55199">
            <w:pPr>
              <w:spacing w:after="0" w:line="240" w:lineRule="auto"/>
              <w:jc w:val="center"/>
              <w:rPr>
                <w:rFonts w:cs="Arial"/>
                <w:sz w:val="16"/>
                <w:szCs w:val="16"/>
              </w:rPr>
            </w:pPr>
            <w:r>
              <w:rPr>
                <w:rFonts w:cs="Arial"/>
                <w:sz w:val="16"/>
                <w:szCs w:val="16"/>
              </w:rPr>
              <w:t>2014</w:t>
            </w:r>
          </w:p>
        </w:tc>
        <w:tc>
          <w:tcPr>
            <w:tcW w:w="760" w:type="dxa"/>
            <w:tcBorders>
              <w:top w:val="nil"/>
              <w:left w:val="nil"/>
              <w:bottom w:val="nil"/>
              <w:right w:val="nil"/>
            </w:tcBorders>
            <w:shd w:val="clear" w:color="auto" w:fill="auto"/>
            <w:vAlign w:val="center"/>
            <w:hideMark/>
          </w:tcPr>
          <w:p w14:paraId="5C042994" w14:textId="27472204" w:rsidR="00D55199" w:rsidRPr="00E70927" w:rsidRDefault="00D55199" w:rsidP="00D55199">
            <w:pPr>
              <w:spacing w:after="0" w:line="240" w:lineRule="auto"/>
              <w:jc w:val="right"/>
              <w:rPr>
                <w:rFonts w:cs="Arial"/>
                <w:sz w:val="16"/>
                <w:szCs w:val="16"/>
              </w:rPr>
            </w:pPr>
            <w:r>
              <w:rPr>
                <w:rFonts w:cs="Arial"/>
                <w:sz w:val="16"/>
                <w:szCs w:val="16"/>
              </w:rPr>
              <w:t>60 235</w:t>
            </w:r>
          </w:p>
        </w:tc>
        <w:tc>
          <w:tcPr>
            <w:tcW w:w="760" w:type="dxa"/>
            <w:tcBorders>
              <w:top w:val="nil"/>
              <w:left w:val="nil"/>
              <w:bottom w:val="nil"/>
              <w:right w:val="nil"/>
            </w:tcBorders>
            <w:shd w:val="clear" w:color="auto" w:fill="auto"/>
            <w:vAlign w:val="center"/>
            <w:hideMark/>
          </w:tcPr>
          <w:p w14:paraId="26BBF8BF" w14:textId="234352FC" w:rsidR="00D55199" w:rsidRPr="00E70927" w:rsidRDefault="00D55199" w:rsidP="00D55199">
            <w:pPr>
              <w:spacing w:after="0" w:line="240" w:lineRule="auto"/>
              <w:jc w:val="right"/>
              <w:rPr>
                <w:rFonts w:cs="Arial"/>
                <w:sz w:val="16"/>
                <w:szCs w:val="16"/>
              </w:rPr>
            </w:pPr>
            <w:r>
              <w:rPr>
                <w:rFonts w:cs="Arial"/>
                <w:sz w:val="16"/>
                <w:szCs w:val="16"/>
              </w:rPr>
              <w:t>27 429</w:t>
            </w:r>
          </w:p>
        </w:tc>
        <w:tc>
          <w:tcPr>
            <w:tcW w:w="760" w:type="dxa"/>
            <w:tcBorders>
              <w:top w:val="nil"/>
              <w:left w:val="nil"/>
              <w:bottom w:val="nil"/>
              <w:right w:val="single" w:sz="4" w:space="0" w:color="auto"/>
            </w:tcBorders>
            <w:shd w:val="clear" w:color="auto" w:fill="auto"/>
            <w:vAlign w:val="center"/>
            <w:hideMark/>
          </w:tcPr>
          <w:p w14:paraId="14427308" w14:textId="0FD3626B" w:rsidR="00D55199" w:rsidRPr="00E70927" w:rsidRDefault="00D55199" w:rsidP="00D55199">
            <w:pPr>
              <w:spacing w:after="0" w:line="240" w:lineRule="auto"/>
              <w:jc w:val="right"/>
              <w:rPr>
                <w:rFonts w:cs="Arial"/>
                <w:sz w:val="16"/>
                <w:szCs w:val="16"/>
              </w:rPr>
            </w:pPr>
            <w:r>
              <w:rPr>
                <w:rFonts w:cs="Arial"/>
                <w:sz w:val="16"/>
                <w:szCs w:val="16"/>
              </w:rPr>
              <w:t>32 806</w:t>
            </w:r>
          </w:p>
        </w:tc>
        <w:tc>
          <w:tcPr>
            <w:tcW w:w="760" w:type="dxa"/>
            <w:tcBorders>
              <w:top w:val="nil"/>
              <w:left w:val="single" w:sz="4" w:space="0" w:color="auto"/>
              <w:bottom w:val="nil"/>
              <w:right w:val="nil"/>
            </w:tcBorders>
            <w:shd w:val="clear" w:color="auto" w:fill="auto"/>
            <w:vAlign w:val="center"/>
            <w:hideMark/>
          </w:tcPr>
          <w:p w14:paraId="5443C3DC" w14:textId="534E5FCC" w:rsidR="00D55199" w:rsidRPr="00E70927" w:rsidRDefault="00D55199" w:rsidP="00D55199">
            <w:pPr>
              <w:spacing w:after="0" w:line="240" w:lineRule="auto"/>
              <w:jc w:val="right"/>
              <w:rPr>
                <w:rFonts w:cs="Arial"/>
                <w:sz w:val="16"/>
                <w:szCs w:val="16"/>
              </w:rPr>
            </w:pPr>
            <w:r>
              <w:rPr>
                <w:rFonts w:cs="Arial"/>
                <w:sz w:val="16"/>
                <w:szCs w:val="16"/>
              </w:rPr>
              <w:t>51 093</w:t>
            </w:r>
          </w:p>
        </w:tc>
        <w:tc>
          <w:tcPr>
            <w:tcW w:w="760" w:type="dxa"/>
            <w:tcBorders>
              <w:top w:val="nil"/>
              <w:left w:val="nil"/>
              <w:bottom w:val="nil"/>
              <w:right w:val="nil"/>
            </w:tcBorders>
            <w:shd w:val="clear" w:color="auto" w:fill="auto"/>
            <w:vAlign w:val="center"/>
            <w:hideMark/>
          </w:tcPr>
          <w:p w14:paraId="46BDB37A" w14:textId="108D7D13" w:rsidR="00D55199" w:rsidRPr="00E70927" w:rsidRDefault="00D55199" w:rsidP="00D55199">
            <w:pPr>
              <w:spacing w:after="0" w:line="240" w:lineRule="auto"/>
              <w:jc w:val="right"/>
              <w:rPr>
                <w:rFonts w:cs="Arial"/>
                <w:sz w:val="16"/>
                <w:szCs w:val="16"/>
              </w:rPr>
            </w:pPr>
            <w:r>
              <w:rPr>
                <w:rFonts w:cs="Arial"/>
                <w:sz w:val="16"/>
                <w:szCs w:val="16"/>
              </w:rPr>
              <w:t>21 441</w:t>
            </w:r>
          </w:p>
        </w:tc>
        <w:tc>
          <w:tcPr>
            <w:tcW w:w="760" w:type="dxa"/>
            <w:tcBorders>
              <w:top w:val="nil"/>
              <w:left w:val="nil"/>
              <w:bottom w:val="nil"/>
              <w:right w:val="single" w:sz="4" w:space="0" w:color="auto"/>
            </w:tcBorders>
            <w:shd w:val="clear" w:color="auto" w:fill="auto"/>
            <w:vAlign w:val="center"/>
            <w:hideMark/>
          </w:tcPr>
          <w:p w14:paraId="769B2004" w14:textId="7736D868" w:rsidR="00D55199" w:rsidRPr="00E70927" w:rsidRDefault="00D55199" w:rsidP="00D55199">
            <w:pPr>
              <w:spacing w:after="0" w:line="240" w:lineRule="auto"/>
              <w:jc w:val="right"/>
              <w:rPr>
                <w:rFonts w:cs="Arial"/>
                <w:sz w:val="16"/>
                <w:szCs w:val="16"/>
              </w:rPr>
            </w:pPr>
            <w:r>
              <w:rPr>
                <w:rFonts w:cs="Arial"/>
                <w:sz w:val="16"/>
                <w:szCs w:val="16"/>
              </w:rPr>
              <w:t>29 652</w:t>
            </w:r>
          </w:p>
        </w:tc>
        <w:tc>
          <w:tcPr>
            <w:tcW w:w="760" w:type="dxa"/>
            <w:tcBorders>
              <w:top w:val="nil"/>
              <w:left w:val="single" w:sz="4" w:space="0" w:color="auto"/>
              <w:bottom w:val="nil"/>
              <w:right w:val="nil"/>
            </w:tcBorders>
            <w:shd w:val="clear" w:color="auto" w:fill="auto"/>
            <w:vAlign w:val="center"/>
            <w:hideMark/>
          </w:tcPr>
          <w:p w14:paraId="38282B58" w14:textId="71B4A458" w:rsidR="00D55199" w:rsidRPr="00E70927" w:rsidRDefault="00D55199" w:rsidP="00D55199">
            <w:pPr>
              <w:spacing w:after="0" w:line="240" w:lineRule="auto"/>
              <w:jc w:val="right"/>
              <w:rPr>
                <w:rFonts w:cs="Arial"/>
                <w:sz w:val="16"/>
                <w:szCs w:val="16"/>
              </w:rPr>
            </w:pPr>
            <w:r>
              <w:rPr>
                <w:rFonts w:cs="Arial"/>
                <w:sz w:val="16"/>
                <w:szCs w:val="16"/>
              </w:rPr>
              <w:t>2 447</w:t>
            </w:r>
          </w:p>
        </w:tc>
        <w:tc>
          <w:tcPr>
            <w:tcW w:w="760" w:type="dxa"/>
            <w:tcBorders>
              <w:top w:val="nil"/>
              <w:left w:val="nil"/>
              <w:bottom w:val="nil"/>
              <w:right w:val="nil"/>
            </w:tcBorders>
            <w:shd w:val="clear" w:color="auto" w:fill="auto"/>
            <w:vAlign w:val="center"/>
            <w:hideMark/>
          </w:tcPr>
          <w:p w14:paraId="7813AC67" w14:textId="52586F14" w:rsidR="00D55199" w:rsidRPr="00E70927" w:rsidRDefault="00D55199" w:rsidP="00D55199">
            <w:pPr>
              <w:spacing w:after="0" w:line="240" w:lineRule="auto"/>
              <w:jc w:val="right"/>
              <w:rPr>
                <w:rFonts w:cs="Arial"/>
                <w:sz w:val="16"/>
                <w:szCs w:val="16"/>
              </w:rPr>
            </w:pPr>
            <w:r>
              <w:rPr>
                <w:rFonts w:cs="Arial"/>
                <w:sz w:val="16"/>
                <w:szCs w:val="16"/>
              </w:rPr>
              <w:t>1 723</w:t>
            </w:r>
          </w:p>
        </w:tc>
        <w:tc>
          <w:tcPr>
            <w:tcW w:w="760" w:type="dxa"/>
            <w:tcBorders>
              <w:top w:val="nil"/>
              <w:left w:val="nil"/>
              <w:bottom w:val="nil"/>
              <w:right w:val="single" w:sz="4" w:space="0" w:color="auto"/>
            </w:tcBorders>
            <w:shd w:val="clear" w:color="auto" w:fill="auto"/>
            <w:vAlign w:val="center"/>
            <w:hideMark/>
          </w:tcPr>
          <w:p w14:paraId="25C9D8AA" w14:textId="0E05E6FD" w:rsidR="00D55199" w:rsidRPr="00E70927" w:rsidRDefault="00D55199" w:rsidP="00D55199">
            <w:pPr>
              <w:spacing w:after="0" w:line="240" w:lineRule="auto"/>
              <w:jc w:val="right"/>
              <w:rPr>
                <w:rFonts w:cs="Arial"/>
                <w:sz w:val="16"/>
                <w:szCs w:val="16"/>
              </w:rPr>
            </w:pPr>
            <w:r>
              <w:rPr>
                <w:rFonts w:cs="Arial"/>
                <w:sz w:val="16"/>
                <w:szCs w:val="16"/>
              </w:rPr>
              <w:t>724</w:t>
            </w:r>
          </w:p>
        </w:tc>
        <w:tc>
          <w:tcPr>
            <w:tcW w:w="760" w:type="dxa"/>
            <w:tcBorders>
              <w:top w:val="nil"/>
              <w:left w:val="single" w:sz="4" w:space="0" w:color="auto"/>
              <w:bottom w:val="nil"/>
              <w:right w:val="nil"/>
            </w:tcBorders>
            <w:shd w:val="clear" w:color="auto" w:fill="auto"/>
            <w:vAlign w:val="center"/>
            <w:hideMark/>
          </w:tcPr>
          <w:p w14:paraId="4B89C54D" w14:textId="7AD6FD1F" w:rsidR="00D55199" w:rsidRPr="00E70927" w:rsidRDefault="00D55199" w:rsidP="00D55199">
            <w:pPr>
              <w:spacing w:after="0" w:line="240" w:lineRule="auto"/>
              <w:jc w:val="right"/>
              <w:rPr>
                <w:rFonts w:cs="Arial"/>
                <w:sz w:val="16"/>
                <w:szCs w:val="16"/>
              </w:rPr>
            </w:pPr>
            <w:r>
              <w:rPr>
                <w:rFonts w:cs="Arial"/>
                <w:sz w:val="16"/>
                <w:szCs w:val="16"/>
              </w:rPr>
              <w:t>6 695</w:t>
            </w:r>
          </w:p>
        </w:tc>
        <w:tc>
          <w:tcPr>
            <w:tcW w:w="760" w:type="dxa"/>
            <w:tcBorders>
              <w:top w:val="nil"/>
              <w:left w:val="nil"/>
              <w:bottom w:val="nil"/>
              <w:right w:val="nil"/>
            </w:tcBorders>
            <w:shd w:val="clear" w:color="auto" w:fill="auto"/>
            <w:vAlign w:val="center"/>
            <w:hideMark/>
          </w:tcPr>
          <w:p w14:paraId="7F63091D" w14:textId="7AC3FDC5" w:rsidR="00D55199" w:rsidRPr="00E70927" w:rsidRDefault="00D55199" w:rsidP="00D55199">
            <w:pPr>
              <w:spacing w:after="0" w:line="240" w:lineRule="auto"/>
              <w:jc w:val="right"/>
              <w:rPr>
                <w:rFonts w:cs="Arial"/>
                <w:sz w:val="16"/>
                <w:szCs w:val="16"/>
              </w:rPr>
            </w:pPr>
            <w:r>
              <w:rPr>
                <w:rFonts w:cs="Arial"/>
                <w:sz w:val="16"/>
                <w:szCs w:val="16"/>
              </w:rPr>
              <w:t>4 265</w:t>
            </w:r>
          </w:p>
        </w:tc>
        <w:tc>
          <w:tcPr>
            <w:tcW w:w="760" w:type="dxa"/>
            <w:tcBorders>
              <w:top w:val="nil"/>
              <w:left w:val="nil"/>
              <w:bottom w:val="nil"/>
              <w:right w:val="nil"/>
            </w:tcBorders>
            <w:shd w:val="clear" w:color="auto" w:fill="auto"/>
            <w:vAlign w:val="center"/>
            <w:hideMark/>
          </w:tcPr>
          <w:p w14:paraId="15619E31" w14:textId="1F508C8F" w:rsidR="00D55199" w:rsidRPr="00E70927" w:rsidRDefault="00D55199" w:rsidP="00D55199">
            <w:pPr>
              <w:spacing w:after="0" w:line="240" w:lineRule="auto"/>
              <w:jc w:val="right"/>
              <w:rPr>
                <w:rFonts w:cs="Arial"/>
                <w:sz w:val="16"/>
                <w:szCs w:val="16"/>
              </w:rPr>
            </w:pPr>
            <w:r>
              <w:rPr>
                <w:rFonts w:cs="Arial"/>
                <w:sz w:val="16"/>
                <w:szCs w:val="16"/>
              </w:rPr>
              <w:t>2 431</w:t>
            </w:r>
          </w:p>
        </w:tc>
      </w:tr>
      <w:tr w:rsidR="00D55199" w:rsidRPr="00E70927" w14:paraId="540AAE3B"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279A4A7C" w14:textId="0A64A05E" w:rsidR="00D55199" w:rsidRPr="00E70927" w:rsidRDefault="00D55199" w:rsidP="00D55199">
            <w:pPr>
              <w:spacing w:after="0" w:line="240" w:lineRule="auto"/>
              <w:jc w:val="center"/>
              <w:rPr>
                <w:rFonts w:cs="Arial"/>
                <w:sz w:val="16"/>
                <w:szCs w:val="16"/>
              </w:rPr>
            </w:pPr>
            <w:r>
              <w:rPr>
                <w:rFonts w:cs="Arial"/>
                <w:sz w:val="16"/>
                <w:szCs w:val="16"/>
              </w:rPr>
              <w:t>2015</w:t>
            </w:r>
          </w:p>
        </w:tc>
        <w:tc>
          <w:tcPr>
            <w:tcW w:w="760" w:type="dxa"/>
            <w:tcBorders>
              <w:top w:val="nil"/>
              <w:left w:val="nil"/>
              <w:bottom w:val="nil"/>
              <w:right w:val="nil"/>
            </w:tcBorders>
            <w:shd w:val="clear" w:color="auto" w:fill="auto"/>
            <w:vAlign w:val="center"/>
            <w:hideMark/>
          </w:tcPr>
          <w:p w14:paraId="65284366" w14:textId="3F8FBF8A" w:rsidR="00D55199" w:rsidRPr="00E70927" w:rsidRDefault="00D55199" w:rsidP="00D55199">
            <w:pPr>
              <w:spacing w:after="0" w:line="240" w:lineRule="auto"/>
              <w:jc w:val="right"/>
              <w:rPr>
                <w:rFonts w:cs="Arial"/>
                <w:sz w:val="16"/>
                <w:szCs w:val="16"/>
              </w:rPr>
            </w:pPr>
            <w:r>
              <w:rPr>
                <w:rFonts w:cs="Arial"/>
                <w:sz w:val="16"/>
                <w:szCs w:val="16"/>
              </w:rPr>
              <w:t>66 817</w:t>
            </w:r>
          </w:p>
        </w:tc>
        <w:tc>
          <w:tcPr>
            <w:tcW w:w="760" w:type="dxa"/>
            <w:tcBorders>
              <w:top w:val="nil"/>
              <w:left w:val="nil"/>
              <w:bottom w:val="nil"/>
              <w:right w:val="nil"/>
            </w:tcBorders>
            <w:shd w:val="clear" w:color="auto" w:fill="auto"/>
            <w:vAlign w:val="center"/>
            <w:hideMark/>
          </w:tcPr>
          <w:p w14:paraId="54AE7D6A" w14:textId="7AA3149B" w:rsidR="00D55199" w:rsidRPr="00E70927" w:rsidRDefault="00D55199" w:rsidP="00D55199">
            <w:pPr>
              <w:spacing w:after="0" w:line="240" w:lineRule="auto"/>
              <w:jc w:val="right"/>
              <w:rPr>
                <w:rFonts w:cs="Arial"/>
                <w:sz w:val="16"/>
                <w:szCs w:val="16"/>
              </w:rPr>
            </w:pPr>
            <w:r>
              <w:rPr>
                <w:rFonts w:cs="Arial"/>
                <w:sz w:val="16"/>
                <w:szCs w:val="16"/>
              </w:rPr>
              <w:t>30 473</w:t>
            </w:r>
          </w:p>
        </w:tc>
        <w:tc>
          <w:tcPr>
            <w:tcW w:w="760" w:type="dxa"/>
            <w:tcBorders>
              <w:top w:val="nil"/>
              <w:left w:val="nil"/>
              <w:bottom w:val="nil"/>
              <w:right w:val="single" w:sz="4" w:space="0" w:color="auto"/>
            </w:tcBorders>
            <w:shd w:val="clear" w:color="auto" w:fill="auto"/>
            <w:vAlign w:val="center"/>
            <w:hideMark/>
          </w:tcPr>
          <w:p w14:paraId="450E31C9" w14:textId="7443F2DE" w:rsidR="00D55199" w:rsidRPr="00E70927" w:rsidRDefault="00D55199" w:rsidP="00D55199">
            <w:pPr>
              <w:spacing w:after="0" w:line="240" w:lineRule="auto"/>
              <w:jc w:val="right"/>
              <w:rPr>
                <w:rFonts w:cs="Arial"/>
                <w:sz w:val="16"/>
                <w:szCs w:val="16"/>
              </w:rPr>
            </w:pPr>
            <w:r>
              <w:rPr>
                <w:rFonts w:cs="Arial"/>
                <w:sz w:val="16"/>
                <w:szCs w:val="16"/>
              </w:rPr>
              <w:t>36 345</w:t>
            </w:r>
          </w:p>
        </w:tc>
        <w:tc>
          <w:tcPr>
            <w:tcW w:w="760" w:type="dxa"/>
            <w:tcBorders>
              <w:top w:val="nil"/>
              <w:left w:val="single" w:sz="4" w:space="0" w:color="auto"/>
              <w:bottom w:val="nil"/>
              <w:right w:val="nil"/>
            </w:tcBorders>
            <w:shd w:val="clear" w:color="auto" w:fill="auto"/>
            <w:vAlign w:val="center"/>
            <w:hideMark/>
          </w:tcPr>
          <w:p w14:paraId="4C98C389" w14:textId="58EF2030" w:rsidR="00D55199" w:rsidRPr="00E70927" w:rsidRDefault="00D55199" w:rsidP="00D55199">
            <w:pPr>
              <w:spacing w:after="0" w:line="240" w:lineRule="auto"/>
              <w:jc w:val="right"/>
              <w:rPr>
                <w:rFonts w:cs="Arial"/>
                <w:sz w:val="16"/>
                <w:szCs w:val="16"/>
              </w:rPr>
            </w:pPr>
            <w:r>
              <w:rPr>
                <w:rFonts w:cs="Arial"/>
                <w:sz w:val="16"/>
                <w:szCs w:val="16"/>
              </w:rPr>
              <w:t>57 013</w:t>
            </w:r>
          </w:p>
        </w:tc>
        <w:tc>
          <w:tcPr>
            <w:tcW w:w="760" w:type="dxa"/>
            <w:tcBorders>
              <w:top w:val="nil"/>
              <w:left w:val="nil"/>
              <w:bottom w:val="nil"/>
              <w:right w:val="nil"/>
            </w:tcBorders>
            <w:shd w:val="clear" w:color="auto" w:fill="auto"/>
            <w:vAlign w:val="center"/>
            <w:hideMark/>
          </w:tcPr>
          <w:p w14:paraId="1B923E9B" w14:textId="29B210D8" w:rsidR="00D55199" w:rsidRPr="00E70927" w:rsidRDefault="00D55199" w:rsidP="00D55199">
            <w:pPr>
              <w:spacing w:after="0" w:line="240" w:lineRule="auto"/>
              <w:jc w:val="right"/>
              <w:rPr>
                <w:rFonts w:cs="Arial"/>
                <w:sz w:val="16"/>
                <w:szCs w:val="16"/>
              </w:rPr>
            </w:pPr>
            <w:r>
              <w:rPr>
                <w:rFonts w:cs="Arial"/>
                <w:sz w:val="16"/>
                <w:szCs w:val="16"/>
              </w:rPr>
              <w:t>24 152</w:t>
            </w:r>
          </w:p>
        </w:tc>
        <w:tc>
          <w:tcPr>
            <w:tcW w:w="760" w:type="dxa"/>
            <w:tcBorders>
              <w:top w:val="nil"/>
              <w:left w:val="nil"/>
              <w:bottom w:val="nil"/>
              <w:right w:val="single" w:sz="4" w:space="0" w:color="auto"/>
            </w:tcBorders>
            <w:shd w:val="clear" w:color="auto" w:fill="auto"/>
            <w:vAlign w:val="center"/>
            <w:hideMark/>
          </w:tcPr>
          <w:p w14:paraId="54787FFF" w14:textId="5357D1AA" w:rsidR="00D55199" w:rsidRPr="00E70927" w:rsidRDefault="00D55199" w:rsidP="00D55199">
            <w:pPr>
              <w:spacing w:after="0" w:line="240" w:lineRule="auto"/>
              <w:jc w:val="right"/>
              <w:rPr>
                <w:rFonts w:cs="Arial"/>
                <w:sz w:val="16"/>
                <w:szCs w:val="16"/>
              </w:rPr>
            </w:pPr>
            <w:r>
              <w:rPr>
                <w:rFonts w:cs="Arial"/>
                <w:sz w:val="16"/>
                <w:szCs w:val="16"/>
              </w:rPr>
              <w:t>32 861</w:t>
            </w:r>
          </w:p>
        </w:tc>
        <w:tc>
          <w:tcPr>
            <w:tcW w:w="760" w:type="dxa"/>
            <w:tcBorders>
              <w:top w:val="nil"/>
              <w:left w:val="single" w:sz="4" w:space="0" w:color="auto"/>
              <w:bottom w:val="nil"/>
              <w:right w:val="nil"/>
            </w:tcBorders>
            <w:shd w:val="clear" w:color="auto" w:fill="auto"/>
            <w:vAlign w:val="center"/>
            <w:hideMark/>
          </w:tcPr>
          <w:p w14:paraId="2DD3429D" w14:textId="5CFDFB1D" w:rsidR="00D55199" w:rsidRPr="00E70927" w:rsidRDefault="00D55199" w:rsidP="00D55199">
            <w:pPr>
              <w:spacing w:after="0" w:line="240" w:lineRule="auto"/>
              <w:jc w:val="right"/>
              <w:rPr>
                <w:rFonts w:cs="Arial"/>
                <w:sz w:val="16"/>
                <w:szCs w:val="16"/>
              </w:rPr>
            </w:pPr>
            <w:r>
              <w:rPr>
                <w:rFonts w:cs="Arial"/>
                <w:sz w:val="16"/>
                <w:szCs w:val="16"/>
              </w:rPr>
              <w:t>2 569</w:t>
            </w:r>
          </w:p>
        </w:tc>
        <w:tc>
          <w:tcPr>
            <w:tcW w:w="760" w:type="dxa"/>
            <w:tcBorders>
              <w:top w:val="nil"/>
              <w:left w:val="nil"/>
              <w:bottom w:val="nil"/>
              <w:right w:val="nil"/>
            </w:tcBorders>
            <w:shd w:val="clear" w:color="auto" w:fill="auto"/>
            <w:vAlign w:val="center"/>
            <w:hideMark/>
          </w:tcPr>
          <w:p w14:paraId="1CAF46DF" w14:textId="4BAFCCD1" w:rsidR="00D55199" w:rsidRPr="00E70927" w:rsidRDefault="00D55199" w:rsidP="00D55199">
            <w:pPr>
              <w:spacing w:after="0" w:line="240" w:lineRule="auto"/>
              <w:jc w:val="right"/>
              <w:rPr>
                <w:rFonts w:cs="Arial"/>
                <w:sz w:val="16"/>
                <w:szCs w:val="16"/>
              </w:rPr>
            </w:pPr>
            <w:r>
              <w:rPr>
                <w:rFonts w:cs="Arial"/>
                <w:sz w:val="16"/>
                <w:szCs w:val="16"/>
              </w:rPr>
              <w:t>1 775</w:t>
            </w:r>
          </w:p>
        </w:tc>
        <w:tc>
          <w:tcPr>
            <w:tcW w:w="760" w:type="dxa"/>
            <w:tcBorders>
              <w:top w:val="nil"/>
              <w:left w:val="nil"/>
              <w:bottom w:val="nil"/>
              <w:right w:val="single" w:sz="4" w:space="0" w:color="auto"/>
            </w:tcBorders>
            <w:shd w:val="clear" w:color="auto" w:fill="auto"/>
            <w:vAlign w:val="center"/>
            <w:hideMark/>
          </w:tcPr>
          <w:p w14:paraId="0B3E9795" w14:textId="75FE1C0F" w:rsidR="00D55199" w:rsidRPr="00E70927" w:rsidRDefault="00D55199" w:rsidP="00D55199">
            <w:pPr>
              <w:spacing w:after="0" w:line="240" w:lineRule="auto"/>
              <w:jc w:val="right"/>
              <w:rPr>
                <w:rFonts w:cs="Arial"/>
                <w:sz w:val="16"/>
                <w:szCs w:val="16"/>
              </w:rPr>
            </w:pPr>
            <w:r>
              <w:rPr>
                <w:rFonts w:cs="Arial"/>
                <w:sz w:val="16"/>
                <w:szCs w:val="16"/>
              </w:rPr>
              <w:t>794</w:t>
            </w:r>
          </w:p>
        </w:tc>
        <w:tc>
          <w:tcPr>
            <w:tcW w:w="760" w:type="dxa"/>
            <w:tcBorders>
              <w:top w:val="nil"/>
              <w:left w:val="single" w:sz="4" w:space="0" w:color="auto"/>
              <w:bottom w:val="nil"/>
              <w:right w:val="nil"/>
            </w:tcBorders>
            <w:shd w:val="clear" w:color="auto" w:fill="auto"/>
            <w:vAlign w:val="center"/>
            <w:hideMark/>
          </w:tcPr>
          <w:p w14:paraId="7B49D5F0" w14:textId="53B5D462" w:rsidR="00D55199" w:rsidRPr="00E70927" w:rsidRDefault="00D55199" w:rsidP="00D55199">
            <w:pPr>
              <w:spacing w:after="0" w:line="240" w:lineRule="auto"/>
              <w:jc w:val="right"/>
              <w:rPr>
                <w:rFonts w:cs="Arial"/>
                <w:sz w:val="16"/>
                <w:szCs w:val="16"/>
              </w:rPr>
            </w:pPr>
            <w:r>
              <w:rPr>
                <w:rFonts w:cs="Arial"/>
                <w:sz w:val="16"/>
                <w:szCs w:val="16"/>
              </w:rPr>
              <w:t>7 236</w:t>
            </w:r>
          </w:p>
        </w:tc>
        <w:tc>
          <w:tcPr>
            <w:tcW w:w="760" w:type="dxa"/>
            <w:tcBorders>
              <w:top w:val="nil"/>
              <w:left w:val="nil"/>
              <w:bottom w:val="nil"/>
              <w:right w:val="nil"/>
            </w:tcBorders>
            <w:shd w:val="clear" w:color="auto" w:fill="auto"/>
            <w:vAlign w:val="center"/>
            <w:hideMark/>
          </w:tcPr>
          <w:p w14:paraId="5AA15BD6" w14:textId="2F120A56" w:rsidR="00D55199" w:rsidRPr="00E70927" w:rsidRDefault="00D55199" w:rsidP="00D55199">
            <w:pPr>
              <w:spacing w:after="0" w:line="240" w:lineRule="auto"/>
              <w:jc w:val="right"/>
              <w:rPr>
                <w:rFonts w:cs="Arial"/>
                <w:sz w:val="16"/>
                <w:szCs w:val="16"/>
              </w:rPr>
            </w:pPr>
            <w:r>
              <w:rPr>
                <w:rFonts w:cs="Arial"/>
                <w:sz w:val="16"/>
                <w:szCs w:val="16"/>
              </w:rPr>
              <w:t>4 546</w:t>
            </w:r>
          </w:p>
        </w:tc>
        <w:tc>
          <w:tcPr>
            <w:tcW w:w="760" w:type="dxa"/>
            <w:tcBorders>
              <w:top w:val="nil"/>
              <w:left w:val="nil"/>
              <w:bottom w:val="nil"/>
              <w:right w:val="nil"/>
            </w:tcBorders>
            <w:shd w:val="clear" w:color="auto" w:fill="auto"/>
            <w:vAlign w:val="center"/>
            <w:hideMark/>
          </w:tcPr>
          <w:p w14:paraId="7B4D001F" w14:textId="7D719A6F" w:rsidR="00D55199" w:rsidRPr="00E70927" w:rsidRDefault="00D55199" w:rsidP="00D55199">
            <w:pPr>
              <w:spacing w:after="0" w:line="240" w:lineRule="auto"/>
              <w:jc w:val="right"/>
              <w:rPr>
                <w:rFonts w:cs="Arial"/>
                <w:sz w:val="16"/>
                <w:szCs w:val="16"/>
              </w:rPr>
            </w:pPr>
            <w:r>
              <w:rPr>
                <w:rFonts w:cs="Arial"/>
                <w:sz w:val="16"/>
                <w:szCs w:val="16"/>
              </w:rPr>
              <w:t>2 689</w:t>
            </w:r>
          </w:p>
        </w:tc>
      </w:tr>
      <w:tr w:rsidR="00D55199" w:rsidRPr="00E70927" w14:paraId="1FB3D1AD"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38CAE8C6" w14:textId="1E5BEACA" w:rsidR="00D55199" w:rsidRPr="00E70927" w:rsidRDefault="00D55199" w:rsidP="00D55199">
            <w:pPr>
              <w:spacing w:after="0" w:line="240" w:lineRule="auto"/>
              <w:jc w:val="center"/>
              <w:rPr>
                <w:rFonts w:cs="Arial"/>
                <w:sz w:val="16"/>
                <w:szCs w:val="16"/>
              </w:rPr>
            </w:pPr>
            <w:r>
              <w:rPr>
                <w:rFonts w:cs="Arial"/>
                <w:sz w:val="16"/>
                <w:szCs w:val="16"/>
              </w:rPr>
              <w:t>2016</w:t>
            </w:r>
          </w:p>
        </w:tc>
        <w:tc>
          <w:tcPr>
            <w:tcW w:w="760" w:type="dxa"/>
            <w:tcBorders>
              <w:top w:val="nil"/>
              <w:left w:val="nil"/>
              <w:bottom w:val="nil"/>
              <w:right w:val="nil"/>
            </w:tcBorders>
            <w:shd w:val="clear" w:color="auto" w:fill="auto"/>
            <w:vAlign w:val="center"/>
            <w:hideMark/>
          </w:tcPr>
          <w:p w14:paraId="5B50B783" w14:textId="2444278D" w:rsidR="00D55199" w:rsidRPr="00E70927" w:rsidRDefault="00D55199" w:rsidP="00D55199">
            <w:pPr>
              <w:spacing w:after="0" w:line="240" w:lineRule="auto"/>
              <w:jc w:val="right"/>
              <w:rPr>
                <w:rFonts w:cs="Arial"/>
                <w:sz w:val="16"/>
                <w:szCs w:val="16"/>
              </w:rPr>
            </w:pPr>
            <w:r>
              <w:rPr>
                <w:rFonts w:cs="Arial"/>
                <w:sz w:val="16"/>
                <w:szCs w:val="16"/>
              </w:rPr>
              <w:t>70 252</w:t>
            </w:r>
          </w:p>
        </w:tc>
        <w:tc>
          <w:tcPr>
            <w:tcW w:w="760" w:type="dxa"/>
            <w:tcBorders>
              <w:top w:val="nil"/>
              <w:left w:val="nil"/>
              <w:bottom w:val="nil"/>
              <w:right w:val="nil"/>
            </w:tcBorders>
            <w:shd w:val="clear" w:color="auto" w:fill="auto"/>
            <w:vAlign w:val="center"/>
            <w:hideMark/>
          </w:tcPr>
          <w:p w14:paraId="429D16A6" w14:textId="61289153" w:rsidR="00D55199" w:rsidRPr="00E70927" w:rsidRDefault="00D55199" w:rsidP="00D55199">
            <w:pPr>
              <w:spacing w:after="0" w:line="240" w:lineRule="auto"/>
              <w:jc w:val="right"/>
              <w:rPr>
                <w:rFonts w:cs="Arial"/>
                <w:sz w:val="16"/>
                <w:szCs w:val="16"/>
              </w:rPr>
            </w:pPr>
            <w:r>
              <w:rPr>
                <w:rFonts w:cs="Arial"/>
                <w:sz w:val="16"/>
                <w:szCs w:val="16"/>
              </w:rPr>
              <w:t>31 874</w:t>
            </w:r>
          </w:p>
        </w:tc>
        <w:tc>
          <w:tcPr>
            <w:tcW w:w="760" w:type="dxa"/>
            <w:tcBorders>
              <w:top w:val="nil"/>
              <w:left w:val="nil"/>
              <w:bottom w:val="nil"/>
              <w:right w:val="single" w:sz="4" w:space="0" w:color="auto"/>
            </w:tcBorders>
            <w:shd w:val="clear" w:color="auto" w:fill="auto"/>
            <w:vAlign w:val="center"/>
            <w:hideMark/>
          </w:tcPr>
          <w:p w14:paraId="1F7AB406" w14:textId="2172452D" w:rsidR="00D55199" w:rsidRPr="00E70927" w:rsidRDefault="00D55199" w:rsidP="00D55199">
            <w:pPr>
              <w:spacing w:after="0" w:line="240" w:lineRule="auto"/>
              <w:jc w:val="right"/>
              <w:rPr>
                <w:rFonts w:cs="Arial"/>
                <w:sz w:val="16"/>
                <w:szCs w:val="16"/>
              </w:rPr>
            </w:pPr>
            <w:r>
              <w:rPr>
                <w:rFonts w:cs="Arial"/>
                <w:sz w:val="16"/>
                <w:szCs w:val="16"/>
              </w:rPr>
              <w:t>38 378</w:t>
            </w:r>
          </w:p>
        </w:tc>
        <w:tc>
          <w:tcPr>
            <w:tcW w:w="760" w:type="dxa"/>
            <w:tcBorders>
              <w:top w:val="nil"/>
              <w:left w:val="single" w:sz="4" w:space="0" w:color="auto"/>
              <w:bottom w:val="nil"/>
              <w:right w:val="nil"/>
            </w:tcBorders>
            <w:shd w:val="clear" w:color="auto" w:fill="auto"/>
            <w:vAlign w:val="center"/>
            <w:hideMark/>
          </w:tcPr>
          <w:p w14:paraId="41591C3A" w14:textId="73013867" w:rsidR="00D55199" w:rsidRPr="00E70927" w:rsidRDefault="00D55199" w:rsidP="00D55199">
            <w:pPr>
              <w:spacing w:after="0" w:line="240" w:lineRule="auto"/>
              <w:jc w:val="right"/>
              <w:rPr>
                <w:rFonts w:cs="Arial"/>
                <w:sz w:val="16"/>
                <w:szCs w:val="16"/>
              </w:rPr>
            </w:pPr>
            <w:r>
              <w:rPr>
                <w:rFonts w:cs="Arial"/>
                <w:sz w:val="16"/>
                <w:szCs w:val="16"/>
              </w:rPr>
              <w:t>60 094</w:t>
            </w:r>
          </w:p>
        </w:tc>
        <w:tc>
          <w:tcPr>
            <w:tcW w:w="760" w:type="dxa"/>
            <w:tcBorders>
              <w:top w:val="nil"/>
              <w:left w:val="nil"/>
              <w:bottom w:val="nil"/>
              <w:right w:val="nil"/>
            </w:tcBorders>
            <w:shd w:val="clear" w:color="auto" w:fill="auto"/>
            <w:vAlign w:val="center"/>
            <w:hideMark/>
          </w:tcPr>
          <w:p w14:paraId="129CB2F1" w14:textId="24829011" w:rsidR="00D55199" w:rsidRPr="00E70927" w:rsidRDefault="00D55199" w:rsidP="00D55199">
            <w:pPr>
              <w:spacing w:after="0" w:line="240" w:lineRule="auto"/>
              <w:jc w:val="right"/>
              <w:rPr>
                <w:rFonts w:cs="Arial"/>
                <w:sz w:val="16"/>
                <w:szCs w:val="16"/>
              </w:rPr>
            </w:pPr>
            <w:r>
              <w:rPr>
                <w:rFonts w:cs="Arial"/>
                <w:sz w:val="16"/>
                <w:szCs w:val="16"/>
              </w:rPr>
              <w:t>25 396</w:t>
            </w:r>
          </w:p>
        </w:tc>
        <w:tc>
          <w:tcPr>
            <w:tcW w:w="760" w:type="dxa"/>
            <w:tcBorders>
              <w:top w:val="nil"/>
              <w:left w:val="nil"/>
              <w:bottom w:val="nil"/>
              <w:right w:val="single" w:sz="4" w:space="0" w:color="auto"/>
            </w:tcBorders>
            <w:shd w:val="clear" w:color="auto" w:fill="auto"/>
            <w:vAlign w:val="center"/>
            <w:hideMark/>
          </w:tcPr>
          <w:p w14:paraId="2089812C" w14:textId="340D521F" w:rsidR="00D55199" w:rsidRPr="00E70927" w:rsidRDefault="00D55199" w:rsidP="00D55199">
            <w:pPr>
              <w:spacing w:after="0" w:line="240" w:lineRule="auto"/>
              <w:jc w:val="right"/>
              <w:rPr>
                <w:rFonts w:cs="Arial"/>
                <w:sz w:val="16"/>
                <w:szCs w:val="16"/>
              </w:rPr>
            </w:pPr>
            <w:r>
              <w:rPr>
                <w:rFonts w:cs="Arial"/>
                <w:sz w:val="16"/>
                <w:szCs w:val="16"/>
              </w:rPr>
              <w:t>34 697</w:t>
            </w:r>
          </w:p>
        </w:tc>
        <w:tc>
          <w:tcPr>
            <w:tcW w:w="760" w:type="dxa"/>
            <w:tcBorders>
              <w:top w:val="nil"/>
              <w:left w:val="single" w:sz="4" w:space="0" w:color="auto"/>
              <w:bottom w:val="nil"/>
              <w:right w:val="nil"/>
            </w:tcBorders>
            <w:shd w:val="clear" w:color="auto" w:fill="auto"/>
            <w:vAlign w:val="center"/>
            <w:hideMark/>
          </w:tcPr>
          <w:p w14:paraId="562D429C" w14:textId="6B819966" w:rsidR="00D55199" w:rsidRPr="00E70927" w:rsidRDefault="00D55199" w:rsidP="00D55199">
            <w:pPr>
              <w:spacing w:after="0" w:line="240" w:lineRule="auto"/>
              <w:jc w:val="right"/>
              <w:rPr>
                <w:rFonts w:cs="Arial"/>
                <w:sz w:val="16"/>
                <w:szCs w:val="16"/>
              </w:rPr>
            </w:pPr>
            <w:r>
              <w:rPr>
                <w:rFonts w:cs="Arial"/>
                <w:sz w:val="16"/>
                <w:szCs w:val="16"/>
              </w:rPr>
              <w:t>2 575</w:t>
            </w:r>
          </w:p>
        </w:tc>
        <w:tc>
          <w:tcPr>
            <w:tcW w:w="760" w:type="dxa"/>
            <w:tcBorders>
              <w:top w:val="nil"/>
              <w:left w:val="nil"/>
              <w:bottom w:val="nil"/>
              <w:right w:val="nil"/>
            </w:tcBorders>
            <w:shd w:val="clear" w:color="auto" w:fill="auto"/>
            <w:vAlign w:val="center"/>
            <w:hideMark/>
          </w:tcPr>
          <w:p w14:paraId="21613B68" w14:textId="63626D4F" w:rsidR="00D55199" w:rsidRPr="00E70927" w:rsidRDefault="00D55199" w:rsidP="00D55199">
            <w:pPr>
              <w:spacing w:after="0" w:line="240" w:lineRule="auto"/>
              <w:jc w:val="right"/>
              <w:rPr>
                <w:rFonts w:cs="Arial"/>
                <w:sz w:val="16"/>
                <w:szCs w:val="16"/>
              </w:rPr>
            </w:pPr>
            <w:r>
              <w:rPr>
                <w:rFonts w:cs="Arial"/>
                <w:sz w:val="16"/>
                <w:szCs w:val="16"/>
              </w:rPr>
              <w:t>1 761</w:t>
            </w:r>
          </w:p>
        </w:tc>
        <w:tc>
          <w:tcPr>
            <w:tcW w:w="760" w:type="dxa"/>
            <w:tcBorders>
              <w:top w:val="nil"/>
              <w:left w:val="nil"/>
              <w:bottom w:val="nil"/>
              <w:right w:val="single" w:sz="4" w:space="0" w:color="auto"/>
            </w:tcBorders>
            <w:shd w:val="clear" w:color="auto" w:fill="auto"/>
            <w:vAlign w:val="center"/>
            <w:hideMark/>
          </w:tcPr>
          <w:p w14:paraId="2A30CB5E" w14:textId="2774F135" w:rsidR="00D55199" w:rsidRPr="00E70927" w:rsidRDefault="00D55199" w:rsidP="00D55199">
            <w:pPr>
              <w:spacing w:after="0" w:line="240" w:lineRule="auto"/>
              <w:jc w:val="right"/>
              <w:rPr>
                <w:rFonts w:cs="Arial"/>
                <w:sz w:val="16"/>
                <w:szCs w:val="16"/>
              </w:rPr>
            </w:pPr>
            <w:r>
              <w:rPr>
                <w:rFonts w:cs="Arial"/>
                <w:sz w:val="16"/>
                <w:szCs w:val="16"/>
              </w:rPr>
              <w:t>814</w:t>
            </w:r>
          </w:p>
        </w:tc>
        <w:tc>
          <w:tcPr>
            <w:tcW w:w="760" w:type="dxa"/>
            <w:tcBorders>
              <w:top w:val="nil"/>
              <w:left w:val="single" w:sz="4" w:space="0" w:color="auto"/>
              <w:bottom w:val="nil"/>
              <w:right w:val="nil"/>
            </w:tcBorders>
            <w:shd w:val="clear" w:color="auto" w:fill="auto"/>
            <w:vAlign w:val="center"/>
            <w:hideMark/>
          </w:tcPr>
          <w:p w14:paraId="2CF68CAC" w14:textId="22797C34" w:rsidR="00D55199" w:rsidRPr="00E70927" w:rsidRDefault="00D55199" w:rsidP="00D55199">
            <w:pPr>
              <w:spacing w:after="0" w:line="240" w:lineRule="auto"/>
              <w:jc w:val="right"/>
              <w:rPr>
                <w:rFonts w:cs="Arial"/>
                <w:sz w:val="16"/>
                <w:szCs w:val="16"/>
              </w:rPr>
            </w:pPr>
            <w:r>
              <w:rPr>
                <w:rFonts w:cs="Arial"/>
                <w:sz w:val="16"/>
                <w:szCs w:val="16"/>
              </w:rPr>
              <w:t>7 583</w:t>
            </w:r>
          </w:p>
        </w:tc>
        <w:tc>
          <w:tcPr>
            <w:tcW w:w="760" w:type="dxa"/>
            <w:tcBorders>
              <w:top w:val="nil"/>
              <w:left w:val="nil"/>
              <w:bottom w:val="nil"/>
              <w:right w:val="nil"/>
            </w:tcBorders>
            <w:shd w:val="clear" w:color="auto" w:fill="auto"/>
            <w:vAlign w:val="center"/>
            <w:hideMark/>
          </w:tcPr>
          <w:p w14:paraId="097F6CD1" w14:textId="4237A96F" w:rsidR="00D55199" w:rsidRPr="00E70927" w:rsidRDefault="00D55199" w:rsidP="00D55199">
            <w:pPr>
              <w:spacing w:after="0" w:line="240" w:lineRule="auto"/>
              <w:jc w:val="right"/>
              <w:rPr>
                <w:rFonts w:cs="Arial"/>
                <w:sz w:val="16"/>
                <w:szCs w:val="16"/>
              </w:rPr>
            </w:pPr>
            <w:r>
              <w:rPr>
                <w:rFonts w:cs="Arial"/>
                <w:sz w:val="16"/>
                <w:szCs w:val="16"/>
              </w:rPr>
              <w:t>4 717</w:t>
            </w:r>
          </w:p>
        </w:tc>
        <w:tc>
          <w:tcPr>
            <w:tcW w:w="760" w:type="dxa"/>
            <w:tcBorders>
              <w:top w:val="nil"/>
              <w:left w:val="nil"/>
              <w:bottom w:val="nil"/>
              <w:right w:val="nil"/>
            </w:tcBorders>
            <w:shd w:val="clear" w:color="auto" w:fill="auto"/>
            <w:vAlign w:val="center"/>
            <w:hideMark/>
          </w:tcPr>
          <w:p w14:paraId="787E4897" w14:textId="7FBE500A" w:rsidR="00D55199" w:rsidRPr="00E70927" w:rsidRDefault="00D55199" w:rsidP="00D55199">
            <w:pPr>
              <w:spacing w:after="0" w:line="240" w:lineRule="auto"/>
              <w:jc w:val="right"/>
              <w:rPr>
                <w:rFonts w:cs="Arial"/>
                <w:sz w:val="16"/>
                <w:szCs w:val="16"/>
              </w:rPr>
            </w:pPr>
            <w:r>
              <w:rPr>
                <w:rFonts w:cs="Arial"/>
                <w:sz w:val="16"/>
                <w:szCs w:val="16"/>
              </w:rPr>
              <w:t>2 866</w:t>
            </w:r>
          </w:p>
        </w:tc>
      </w:tr>
      <w:tr w:rsidR="00D55199" w:rsidRPr="00E70927" w14:paraId="068DE09C" w14:textId="77777777" w:rsidTr="00894E45">
        <w:trPr>
          <w:trHeight w:val="300"/>
        </w:trPr>
        <w:tc>
          <w:tcPr>
            <w:tcW w:w="620" w:type="dxa"/>
            <w:tcBorders>
              <w:top w:val="nil"/>
              <w:left w:val="nil"/>
              <w:bottom w:val="nil"/>
              <w:right w:val="single" w:sz="4" w:space="0" w:color="auto"/>
            </w:tcBorders>
            <w:shd w:val="clear" w:color="auto" w:fill="auto"/>
            <w:vAlign w:val="center"/>
            <w:hideMark/>
          </w:tcPr>
          <w:p w14:paraId="507FA766" w14:textId="15D8BEB2" w:rsidR="00D55199" w:rsidRPr="00E70927" w:rsidRDefault="00D55199" w:rsidP="00D55199">
            <w:pPr>
              <w:spacing w:after="0" w:line="240" w:lineRule="auto"/>
              <w:jc w:val="center"/>
              <w:rPr>
                <w:rFonts w:cs="Arial"/>
                <w:sz w:val="16"/>
                <w:szCs w:val="16"/>
              </w:rPr>
            </w:pPr>
            <w:r>
              <w:rPr>
                <w:rFonts w:cs="Arial"/>
                <w:sz w:val="16"/>
                <w:szCs w:val="16"/>
              </w:rPr>
              <w:t>2017</w:t>
            </w:r>
          </w:p>
        </w:tc>
        <w:tc>
          <w:tcPr>
            <w:tcW w:w="760" w:type="dxa"/>
            <w:tcBorders>
              <w:top w:val="nil"/>
              <w:left w:val="nil"/>
              <w:bottom w:val="nil"/>
              <w:right w:val="nil"/>
            </w:tcBorders>
            <w:shd w:val="clear" w:color="auto" w:fill="auto"/>
            <w:vAlign w:val="center"/>
            <w:hideMark/>
          </w:tcPr>
          <w:p w14:paraId="4C45CDD1" w14:textId="406649FB" w:rsidR="00D55199" w:rsidRPr="00E70927" w:rsidRDefault="00D55199" w:rsidP="00D55199">
            <w:pPr>
              <w:spacing w:after="0" w:line="240" w:lineRule="auto"/>
              <w:jc w:val="right"/>
              <w:rPr>
                <w:rFonts w:cs="Arial"/>
                <w:sz w:val="16"/>
                <w:szCs w:val="16"/>
              </w:rPr>
            </w:pPr>
            <w:r>
              <w:rPr>
                <w:rFonts w:cs="Arial"/>
                <w:sz w:val="16"/>
                <w:szCs w:val="16"/>
              </w:rPr>
              <w:t>72 678</w:t>
            </w:r>
          </w:p>
        </w:tc>
        <w:tc>
          <w:tcPr>
            <w:tcW w:w="760" w:type="dxa"/>
            <w:tcBorders>
              <w:top w:val="nil"/>
              <w:left w:val="nil"/>
              <w:bottom w:val="nil"/>
              <w:right w:val="nil"/>
            </w:tcBorders>
            <w:shd w:val="clear" w:color="auto" w:fill="auto"/>
            <w:vAlign w:val="center"/>
            <w:hideMark/>
          </w:tcPr>
          <w:p w14:paraId="2CF5BBFE" w14:textId="03D43448" w:rsidR="00D55199" w:rsidRPr="00E70927" w:rsidRDefault="00D55199" w:rsidP="00D55199">
            <w:pPr>
              <w:spacing w:after="0" w:line="240" w:lineRule="auto"/>
              <w:jc w:val="right"/>
              <w:rPr>
                <w:rFonts w:cs="Arial"/>
                <w:sz w:val="16"/>
                <w:szCs w:val="16"/>
              </w:rPr>
            </w:pPr>
            <w:r>
              <w:rPr>
                <w:rFonts w:cs="Arial"/>
                <w:sz w:val="16"/>
                <w:szCs w:val="16"/>
              </w:rPr>
              <w:t>33 089</w:t>
            </w:r>
          </w:p>
        </w:tc>
        <w:tc>
          <w:tcPr>
            <w:tcW w:w="760" w:type="dxa"/>
            <w:tcBorders>
              <w:top w:val="nil"/>
              <w:left w:val="nil"/>
              <w:bottom w:val="nil"/>
              <w:right w:val="single" w:sz="4" w:space="0" w:color="auto"/>
            </w:tcBorders>
            <w:shd w:val="clear" w:color="auto" w:fill="auto"/>
            <w:vAlign w:val="center"/>
            <w:hideMark/>
          </w:tcPr>
          <w:p w14:paraId="6A39DCC8" w14:textId="651D0DF7" w:rsidR="00D55199" w:rsidRPr="00E70927" w:rsidRDefault="00D55199" w:rsidP="00D55199">
            <w:pPr>
              <w:spacing w:after="0" w:line="240" w:lineRule="auto"/>
              <w:jc w:val="right"/>
              <w:rPr>
                <w:rFonts w:cs="Arial"/>
                <w:sz w:val="16"/>
                <w:szCs w:val="16"/>
              </w:rPr>
            </w:pPr>
            <w:r>
              <w:rPr>
                <w:rFonts w:cs="Arial"/>
                <w:sz w:val="16"/>
                <w:szCs w:val="16"/>
              </w:rPr>
              <w:t>39 588</w:t>
            </w:r>
          </w:p>
        </w:tc>
        <w:tc>
          <w:tcPr>
            <w:tcW w:w="760" w:type="dxa"/>
            <w:tcBorders>
              <w:top w:val="nil"/>
              <w:left w:val="single" w:sz="4" w:space="0" w:color="auto"/>
              <w:bottom w:val="nil"/>
              <w:right w:val="nil"/>
            </w:tcBorders>
            <w:shd w:val="clear" w:color="auto" w:fill="auto"/>
            <w:vAlign w:val="center"/>
            <w:hideMark/>
          </w:tcPr>
          <w:p w14:paraId="48D7D8DF" w14:textId="6E255D4F" w:rsidR="00D55199" w:rsidRPr="00E70927" w:rsidRDefault="00D55199" w:rsidP="00D55199">
            <w:pPr>
              <w:spacing w:after="0" w:line="240" w:lineRule="auto"/>
              <w:jc w:val="right"/>
              <w:rPr>
                <w:rFonts w:cs="Arial"/>
                <w:sz w:val="16"/>
                <w:szCs w:val="16"/>
              </w:rPr>
            </w:pPr>
            <w:r>
              <w:rPr>
                <w:rFonts w:cs="Arial"/>
                <w:sz w:val="16"/>
                <w:szCs w:val="16"/>
              </w:rPr>
              <w:t>62 113</w:t>
            </w:r>
          </w:p>
        </w:tc>
        <w:tc>
          <w:tcPr>
            <w:tcW w:w="760" w:type="dxa"/>
            <w:tcBorders>
              <w:top w:val="nil"/>
              <w:left w:val="nil"/>
              <w:bottom w:val="nil"/>
              <w:right w:val="nil"/>
            </w:tcBorders>
            <w:shd w:val="clear" w:color="auto" w:fill="auto"/>
            <w:vAlign w:val="center"/>
            <w:hideMark/>
          </w:tcPr>
          <w:p w14:paraId="1BA7B24A" w14:textId="16403AF2" w:rsidR="00D55199" w:rsidRPr="00E70927" w:rsidRDefault="00D55199" w:rsidP="00D55199">
            <w:pPr>
              <w:spacing w:after="0" w:line="240" w:lineRule="auto"/>
              <w:jc w:val="right"/>
              <w:rPr>
                <w:rFonts w:cs="Arial"/>
                <w:sz w:val="16"/>
                <w:szCs w:val="16"/>
              </w:rPr>
            </w:pPr>
            <w:r>
              <w:rPr>
                <w:rFonts w:cs="Arial"/>
                <w:sz w:val="16"/>
                <w:szCs w:val="16"/>
              </w:rPr>
              <w:t>26 463</w:t>
            </w:r>
          </w:p>
        </w:tc>
        <w:tc>
          <w:tcPr>
            <w:tcW w:w="760" w:type="dxa"/>
            <w:tcBorders>
              <w:top w:val="nil"/>
              <w:left w:val="nil"/>
              <w:bottom w:val="nil"/>
              <w:right w:val="single" w:sz="4" w:space="0" w:color="auto"/>
            </w:tcBorders>
            <w:shd w:val="clear" w:color="auto" w:fill="auto"/>
            <w:vAlign w:val="center"/>
            <w:hideMark/>
          </w:tcPr>
          <w:p w14:paraId="0B6F7B1B" w14:textId="6A113006" w:rsidR="00D55199" w:rsidRPr="00E70927" w:rsidRDefault="00D55199" w:rsidP="00D55199">
            <w:pPr>
              <w:spacing w:after="0" w:line="240" w:lineRule="auto"/>
              <w:jc w:val="right"/>
              <w:rPr>
                <w:rFonts w:cs="Arial"/>
                <w:sz w:val="16"/>
                <w:szCs w:val="16"/>
              </w:rPr>
            </w:pPr>
            <w:r>
              <w:rPr>
                <w:rFonts w:cs="Arial"/>
                <w:sz w:val="16"/>
                <w:szCs w:val="16"/>
              </w:rPr>
              <w:t>35 650</w:t>
            </w:r>
          </w:p>
        </w:tc>
        <w:tc>
          <w:tcPr>
            <w:tcW w:w="760" w:type="dxa"/>
            <w:tcBorders>
              <w:top w:val="nil"/>
              <w:left w:val="single" w:sz="4" w:space="0" w:color="auto"/>
              <w:bottom w:val="nil"/>
              <w:right w:val="nil"/>
            </w:tcBorders>
            <w:shd w:val="clear" w:color="auto" w:fill="auto"/>
            <w:vAlign w:val="center"/>
            <w:hideMark/>
          </w:tcPr>
          <w:p w14:paraId="4ED27374" w14:textId="4474BF38" w:rsidR="00D55199" w:rsidRPr="00E70927" w:rsidRDefault="00D55199" w:rsidP="00D55199">
            <w:pPr>
              <w:spacing w:after="0" w:line="240" w:lineRule="auto"/>
              <w:jc w:val="right"/>
              <w:rPr>
                <w:rFonts w:cs="Arial"/>
                <w:sz w:val="16"/>
                <w:szCs w:val="16"/>
              </w:rPr>
            </w:pPr>
            <w:r>
              <w:rPr>
                <w:rFonts w:cs="Arial"/>
                <w:sz w:val="16"/>
                <w:szCs w:val="16"/>
              </w:rPr>
              <w:t>2 583</w:t>
            </w:r>
          </w:p>
        </w:tc>
        <w:tc>
          <w:tcPr>
            <w:tcW w:w="760" w:type="dxa"/>
            <w:tcBorders>
              <w:top w:val="nil"/>
              <w:left w:val="nil"/>
              <w:bottom w:val="nil"/>
              <w:right w:val="nil"/>
            </w:tcBorders>
            <w:shd w:val="clear" w:color="auto" w:fill="auto"/>
            <w:vAlign w:val="center"/>
            <w:hideMark/>
          </w:tcPr>
          <w:p w14:paraId="7AA40F44" w14:textId="07EC196F" w:rsidR="00D55199" w:rsidRPr="00E70927" w:rsidRDefault="00D55199" w:rsidP="00D55199">
            <w:pPr>
              <w:spacing w:after="0" w:line="240" w:lineRule="auto"/>
              <w:jc w:val="right"/>
              <w:rPr>
                <w:rFonts w:cs="Arial"/>
                <w:sz w:val="16"/>
                <w:szCs w:val="16"/>
              </w:rPr>
            </w:pPr>
            <w:r>
              <w:rPr>
                <w:rFonts w:cs="Arial"/>
                <w:sz w:val="16"/>
                <w:szCs w:val="16"/>
              </w:rPr>
              <w:t>1 765</w:t>
            </w:r>
          </w:p>
        </w:tc>
        <w:tc>
          <w:tcPr>
            <w:tcW w:w="760" w:type="dxa"/>
            <w:tcBorders>
              <w:top w:val="nil"/>
              <w:left w:val="nil"/>
              <w:bottom w:val="nil"/>
              <w:right w:val="single" w:sz="4" w:space="0" w:color="auto"/>
            </w:tcBorders>
            <w:shd w:val="clear" w:color="auto" w:fill="auto"/>
            <w:vAlign w:val="center"/>
            <w:hideMark/>
          </w:tcPr>
          <w:p w14:paraId="02EA93A6" w14:textId="7F0957D6" w:rsidR="00D55199" w:rsidRPr="00E70927" w:rsidRDefault="00D55199" w:rsidP="00D55199">
            <w:pPr>
              <w:spacing w:after="0" w:line="240" w:lineRule="auto"/>
              <w:jc w:val="right"/>
              <w:rPr>
                <w:rFonts w:cs="Arial"/>
                <w:sz w:val="16"/>
                <w:szCs w:val="16"/>
              </w:rPr>
            </w:pPr>
            <w:r>
              <w:rPr>
                <w:rFonts w:cs="Arial"/>
                <w:sz w:val="16"/>
                <w:szCs w:val="16"/>
              </w:rPr>
              <w:t>818</w:t>
            </w:r>
          </w:p>
        </w:tc>
        <w:tc>
          <w:tcPr>
            <w:tcW w:w="760" w:type="dxa"/>
            <w:tcBorders>
              <w:top w:val="nil"/>
              <w:left w:val="single" w:sz="4" w:space="0" w:color="auto"/>
              <w:bottom w:val="nil"/>
              <w:right w:val="nil"/>
            </w:tcBorders>
            <w:shd w:val="clear" w:color="auto" w:fill="auto"/>
            <w:vAlign w:val="center"/>
            <w:hideMark/>
          </w:tcPr>
          <w:p w14:paraId="7C2F092A" w14:textId="385BA997" w:rsidR="00D55199" w:rsidRPr="00E70927" w:rsidRDefault="00D55199" w:rsidP="00D55199">
            <w:pPr>
              <w:spacing w:after="0" w:line="240" w:lineRule="auto"/>
              <w:jc w:val="right"/>
              <w:rPr>
                <w:rFonts w:cs="Arial"/>
                <w:sz w:val="16"/>
                <w:szCs w:val="16"/>
              </w:rPr>
            </w:pPr>
            <w:r>
              <w:rPr>
                <w:rFonts w:cs="Arial"/>
                <w:sz w:val="16"/>
                <w:szCs w:val="16"/>
              </w:rPr>
              <w:t>7 982</w:t>
            </w:r>
          </w:p>
        </w:tc>
        <w:tc>
          <w:tcPr>
            <w:tcW w:w="760" w:type="dxa"/>
            <w:tcBorders>
              <w:top w:val="nil"/>
              <w:left w:val="nil"/>
              <w:bottom w:val="nil"/>
              <w:right w:val="nil"/>
            </w:tcBorders>
            <w:shd w:val="clear" w:color="auto" w:fill="auto"/>
            <w:vAlign w:val="center"/>
            <w:hideMark/>
          </w:tcPr>
          <w:p w14:paraId="337F8380" w14:textId="3B7F3CE2" w:rsidR="00D55199" w:rsidRPr="00E70927" w:rsidRDefault="00D55199" w:rsidP="00D55199">
            <w:pPr>
              <w:spacing w:after="0" w:line="240" w:lineRule="auto"/>
              <w:jc w:val="right"/>
              <w:rPr>
                <w:rFonts w:cs="Arial"/>
                <w:sz w:val="16"/>
                <w:szCs w:val="16"/>
              </w:rPr>
            </w:pPr>
            <w:r>
              <w:rPr>
                <w:rFonts w:cs="Arial"/>
                <w:sz w:val="16"/>
                <w:szCs w:val="16"/>
              </w:rPr>
              <w:t>4 862</w:t>
            </w:r>
          </w:p>
        </w:tc>
        <w:tc>
          <w:tcPr>
            <w:tcW w:w="760" w:type="dxa"/>
            <w:tcBorders>
              <w:top w:val="nil"/>
              <w:left w:val="nil"/>
              <w:bottom w:val="nil"/>
              <w:right w:val="nil"/>
            </w:tcBorders>
            <w:shd w:val="clear" w:color="auto" w:fill="auto"/>
            <w:vAlign w:val="center"/>
            <w:hideMark/>
          </w:tcPr>
          <w:p w14:paraId="3DE49DFE" w14:textId="53C4EEE3" w:rsidR="00D55199" w:rsidRPr="00E70927" w:rsidRDefault="00D55199" w:rsidP="00D55199">
            <w:pPr>
              <w:spacing w:after="0" w:line="240" w:lineRule="auto"/>
              <w:jc w:val="right"/>
              <w:rPr>
                <w:rFonts w:cs="Arial"/>
                <w:sz w:val="16"/>
                <w:szCs w:val="16"/>
              </w:rPr>
            </w:pPr>
            <w:r>
              <w:rPr>
                <w:rFonts w:cs="Arial"/>
                <w:sz w:val="16"/>
                <w:szCs w:val="16"/>
              </w:rPr>
              <w:t>3 120</w:t>
            </w:r>
          </w:p>
        </w:tc>
      </w:tr>
      <w:tr w:rsidR="00D55199" w:rsidRPr="00E70927" w14:paraId="214EAFEA" w14:textId="77777777" w:rsidTr="00894E45">
        <w:trPr>
          <w:trHeight w:val="300"/>
        </w:trPr>
        <w:tc>
          <w:tcPr>
            <w:tcW w:w="620" w:type="dxa"/>
            <w:tcBorders>
              <w:top w:val="nil"/>
              <w:left w:val="nil"/>
              <w:bottom w:val="nil"/>
              <w:right w:val="single" w:sz="4" w:space="0" w:color="auto"/>
            </w:tcBorders>
            <w:shd w:val="clear" w:color="auto" w:fill="auto"/>
            <w:vAlign w:val="center"/>
          </w:tcPr>
          <w:p w14:paraId="01E0F1AA" w14:textId="450D5B6C" w:rsidR="00D55199" w:rsidRDefault="00D55199" w:rsidP="00D55199">
            <w:pPr>
              <w:spacing w:after="0" w:line="240" w:lineRule="auto"/>
              <w:jc w:val="center"/>
              <w:rPr>
                <w:rFonts w:cs="Arial"/>
                <w:sz w:val="16"/>
                <w:szCs w:val="16"/>
              </w:rPr>
            </w:pPr>
            <w:r>
              <w:rPr>
                <w:rFonts w:cs="Arial"/>
                <w:sz w:val="16"/>
                <w:szCs w:val="16"/>
              </w:rPr>
              <w:t>2018</w:t>
            </w:r>
          </w:p>
        </w:tc>
        <w:tc>
          <w:tcPr>
            <w:tcW w:w="760" w:type="dxa"/>
            <w:tcBorders>
              <w:top w:val="nil"/>
              <w:left w:val="nil"/>
              <w:bottom w:val="nil"/>
              <w:right w:val="nil"/>
            </w:tcBorders>
            <w:shd w:val="clear" w:color="auto" w:fill="auto"/>
            <w:vAlign w:val="center"/>
          </w:tcPr>
          <w:p w14:paraId="2DA3C626" w14:textId="2C7919B9" w:rsidR="00D55199" w:rsidRDefault="00D55199" w:rsidP="00D55199">
            <w:pPr>
              <w:spacing w:after="0" w:line="240" w:lineRule="auto"/>
              <w:jc w:val="right"/>
              <w:rPr>
                <w:rFonts w:cs="Arial"/>
                <w:sz w:val="16"/>
                <w:szCs w:val="16"/>
              </w:rPr>
            </w:pPr>
            <w:r>
              <w:rPr>
                <w:rFonts w:cs="Arial"/>
                <w:sz w:val="16"/>
                <w:szCs w:val="16"/>
              </w:rPr>
              <w:t>77 158</w:t>
            </w:r>
          </w:p>
        </w:tc>
        <w:tc>
          <w:tcPr>
            <w:tcW w:w="760" w:type="dxa"/>
            <w:tcBorders>
              <w:top w:val="nil"/>
              <w:left w:val="nil"/>
              <w:bottom w:val="nil"/>
              <w:right w:val="nil"/>
            </w:tcBorders>
            <w:shd w:val="clear" w:color="auto" w:fill="auto"/>
            <w:vAlign w:val="center"/>
          </w:tcPr>
          <w:p w14:paraId="7EF56CE8" w14:textId="3CDC9FBB" w:rsidR="00D55199" w:rsidRDefault="00D55199" w:rsidP="00D55199">
            <w:pPr>
              <w:spacing w:after="0" w:line="240" w:lineRule="auto"/>
              <w:jc w:val="right"/>
              <w:rPr>
                <w:rFonts w:cs="Arial"/>
                <w:sz w:val="16"/>
                <w:szCs w:val="16"/>
              </w:rPr>
            </w:pPr>
            <w:r>
              <w:rPr>
                <w:rFonts w:cs="Arial"/>
                <w:sz w:val="16"/>
                <w:szCs w:val="16"/>
              </w:rPr>
              <w:t>35 223</w:t>
            </w:r>
          </w:p>
        </w:tc>
        <w:tc>
          <w:tcPr>
            <w:tcW w:w="760" w:type="dxa"/>
            <w:tcBorders>
              <w:top w:val="nil"/>
              <w:left w:val="nil"/>
              <w:bottom w:val="nil"/>
              <w:right w:val="single" w:sz="4" w:space="0" w:color="auto"/>
            </w:tcBorders>
            <w:shd w:val="clear" w:color="auto" w:fill="auto"/>
            <w:vAlign w:val="center"/>
          </w:tcPr>
          <w:p w14:paraId="285FED9A" w14:textId="76E89462" w:rsidR="00D55199" w:rsidRDefault="00D55199" w:rsidP="00D55199">
            <w:pPr>
              <w:spacing w:after="0" w:line="240" w:lineRule="auto"/>
              <w:jc w:val="right"/>
              <w:rPr>
                <w:rFonts w:cs="Arial"/>
                <w:sz w:val="16"/>
                <w:szCs w:val="16"/>
              </w:rPr>
            </w:pPr>
            <w:r>
              <w:rPr>
                <w:rFonts w:cs="Arial"/>
                <w:sz w:val="16"/>
                <w:szCs w:val="16"/>
              </w:rPr>
              <w:t>41 934</w:t>
            </w:r>
          </w:p>
        </w:tc>
        <w:tc>
          <w:tcPr>
            <w:tcW w:w="760" w:type="dxa"/>
            <w:tcBorders>
              <w:top w:val="nil"/>
              <w:left w:val="single" w:sz="4" w:space="0" w:color="auto"/>
              <w:bottom w:val="nil"/>
              <w:right w:val="nil"/>
            </w:tcBorders>
            <w:shd w:val="clear" w:color="auto" w:fill="auto"/>
            <w:vAlign w:val="center"/>
          </w:tcPr>
          <w:p w14:paraId="032B0763" w14:textId="5391706E" w:rsidR="00D55199" w:rsidRDefault="00D55199" w:rsidP="00D55199">
            <w:pPr>
              <w:spacing w:after="0" w:line="240" w:lineRule="auto"/>
              <w:jc w:val="right"/>
              <w:rPr>
                <w:rFonts w:cs="Arial"/>
                <w:sz w:val="16"/>
                <w:szCs w:val="16"/>
              </w:rPr>
            </w:pPr>
            <w:r>
              <w:rPr>
                <w:rFonts w:cs="Arial"/>
                <w:sz w:val="16"/>
                <w:szCs w:val="16"/>
              </w:rPr>
              <w:t>66 223</w:t>
            </w:r>
          </w:p>
        </w:tc>
        <w:tc>
          <w:tcPr>
            <w:tcW w:w="760" w:type="dxa"/>
            <w:tcBorders>
              <w:top w:val="nil"/>
              <w:left w:val="nil"/>
              <w:bottom w:val="nil"/>
              <w:right w:val="nil"/>
            </w:tcBorders>
            <w:shd w:val="clear" w:color="auto" w:fill="auto"/>
            <w:vAlign w:val="center"/>
          </w:tcPr>
          <w:p w14:paraId="24C71DA9" w14:textId="0D931D7B" w:rsidR="00D55199" w:rsidRDefault="00D55199" w:rsidP="00D55199">
            <w:pPr>
              <w:spacing w:after="0" w:line="240" w:lineRule="auto"/>
              <w:jc w:val="right"/>
              <w:rPr>
                <w:rFonts w:cs="Arial"/>
                <w:sz w:val="16"/>
                <w:szCs w:val="16"/>
              </w:rPr>
            </w:pPr>
            <w:r>
              <w:rPr>
                <w:rFonts w:cs="Arial"/>
                <w:sz w:val="16"/>
                <w:szCs w:val="16"/>
              </w:rPr>
              <w:t>28 379</w:t>
            </w:r>
          </w:p>
        </w:tc>
        <w:tc>
          <w:tcPr>
            <w:tcW w:w="760" w:type="dxa"/>
            <w:tcBorders>
              <w:top w:val="nil"/>
              <w:left w:val="nil"/>
              <w:bottom w:val="nil"/>
              <w:right w:val="single" w:sz="4" w:space="0" w:color="auto"/>
            </w:tcBorders>
            <w:shd w:val="clear" w:color="auto" w:fill="auto"/>
            <w:vAlign w:val="center"/>
          </w:tcPr>
          <w:p w14:paraId="05C994D2" w14:textId="5FDEB247" w:rsidR="00D55199" w:rsidRDefault="00D55199" w:rsidP="00D55199">
            <w:pPr>
              <w:spacing w:after="0" w:line="240" w:lineRule="auto"/>
              <w:jc w:val="right"/>
              <w:rPr>
                <w:rFonts w:cs="Arial"/>
                <w:sz w:val="16"/>
                <w:szCs w:val="16"/>
              </w:rPr>
            </w:pPr>
            <w:r>
              <w:rPr>
                <w:rFonts w:cs="Arial"/>
                <w:sz w:val="16"/>
                <w:szCs w:val="16"/>
              </w:rPr>
              <w:t>37 845</w:t>
            </w:r>
          </w:p>
        </w:tc>
        <w:tc>
          <w:tcPr>
            <w:tcW w:w="760" w:type="dxa"/>
            <w:tcBorders>
              <w:top w:val="nil"/>
              <w:left w:val="single" w:sz="4" w:space="0" w:color="auto"/>
              <w:bottom w:val="nil"/>
              <w:right w:val="nil"/>
            </w:tcBorders>
            <w:shd w:val="clear" w:color="auto" w:fill="auto"/>
            <w:vAlign w:val="center"/>
          </w:tcPr>
          <w:p w14:paraId="215EFE27" w14:textId="7D6A2947" w:rsidR="00D55199" w:rsidRDefault="00D55199" w:rsidP="00D55199">
            <w:pPr>
              <w:spacing w:after="0" w:line="240" w:lineRule="auto"/>
              <w:jc w:val="right"/>
              <w:rPr>
                <w:rFonts w:cs="Arial"/>
                <w:sz w:val="16"/>
                <w:szCs w:val="16"/>
              </w:rPr>
            </w:pPr>
            <w:r>
              <w:rPr>
                <w:rFonts w:cs="Arial"/>
                <w:sz w:val="16"/>
                <w:szCs w:val="16"/>
              </w:rPr>
              <w:t>2 571</w:t>
            </w:r>
          </w:p>
        </w:tc>
        <w:tc>
          <w:tcPr>
            <w:tcW w:w="760" w:type="dxa"/>
            <w:tcBorders>
              <w:top w:val="nil"/>
              <w:left w:val="nil"/>
              <w:bottom w:val="nil"/>
              <w:right w:val="nil"/>
            </w:tcBorders>
            <w:shd w:val="clear" w:color="auto" w:fill="auto"/>
            <w:vAlign w:val="center"/>
          </w:tcPr>
          <w:p w14:paraId="5448EB0B" w14:textId="6CBE80AD" w:rsidR="00D55199" w:rsidRDefault="00D55199" w:rsidP="00D55199">
            <w:pPr>
              <w:spacing w:after="0" w:line="240" w:lineRule="auto"/>
              <w:jc w:val="right"/>
              <w:rPr>
                <w:rFonts w:cs="Arial"/>
                <w:sz w:val="16"/>
                <w:szCs w:val="16"/>
              </w:rPr>
            </w:pPr>
            <w:r>
              <w:rPr>
                <w:rFonts w:cs="Arial"/>
                <w:sz w:val="16"/>
                <w:szCs w:val="16"/>
              </w:rPr>
              <w:t>1 741</w:t>
            </w:r>
          </w:p>
        </w:tc>
        <w:tc>
          <w:tcPr>
            <w:tcW w:w="760" w:type="dxa"/>
            <w:tcBorders>
              <w:top w:val="nil"/>
              <w:left w:val="nil"/>
              <w:bottom w:val="nil"/>
              <w:right w:val="single" w:sz="4" w:space="0" w:color="auto"/>
            </w:tcBorders>
            <w:shd w:val="clear" w:color="auto" w:fill="auto"/>
            <w:vAlign w:val="center"/>
          </w:tcPr>
          <w:p w14:paraId="0C6DECC6" w14:textId="635B5EA9" w:rsidR="00D55199" w:rsidRDefault="00D55199" w:rsidP="00D55199">
            <w:pPr>
              <w:spacing w:after="0" w:line="240" w:lineRule="auto"/>
              <w:jc w:val="right"/>
              <w:rPr>
                <w:rFonts w:cs="Arial"/>
                <w:sz w:val="16"/>
                <w:szCs w:val="16"/>
              </w:rPr>
            </w:pPr>
            <w:r>
              <w:rPr>
                <w:rFonts w:cs="Arial"/>
                <w:sz w:val="16"/>
                <w:szCs w:val="16"/>
              </w:rPr>
              <w:t>830</w:t>
            </w:r>
          </w:p>
        </w:tc>
        <w:tc>
          <w:tcPr>
            <w:tcW w:w="760" w:type="dxa"/>
            <w:tcBorders>
              <w:top w:val="nil"/>
              <w:left w:val="single" w:sz="4" w:space="0" w:color="auto"/>
              <w:bottom w:val="nil"/>
              <w:right w:val="nil"/>
            </w:tcBorders>
            <w:shd w:val="clear" w:color="auto" w:fill="auto"/>
            <w:vAlign w:val="center"/>
          </w:tcPr>
          <w:p w14:paraId="7021315B" w14:textId="434B764D" w:rsidR="00D55199" w:rsidRDefault="00D55199" w:rsidP="00D55199">
            <w:pPr>
              <w:spacing w:after="0" w:line="240" w:lineRule="auto"/>
              <w:jc w:val="right"/>
              <w:rPr>
                <w:rFonts w:cs="Arial"/>
                <w:sz w:val="16"/>
                <w:szCs w:val="16"/>
              </w:rPr>
            </w:pPr>
            <w:r>
              <w:rPr>
                <w:rFonts w:cs="Arial"/>
                <w:sz w:val="16"/>
                <w:szCs w:val="16"/>
              </w:rPr>
              <w:t>8 363</w:t>
            </w:r>
          </w:p>
        </w:tc>
        <w:tc>
          <w:tcPr>
            <w:tcW w:w="760" w:type="dxa"/>
            <w:tcBorders>
              <w:top w:val="nil"/>
              <w:left w:val="nil"/>
              <w:bottom w:val="nil"/>
              <w:right w:val="nil"/>
            </w:tcBorders>
            <w:shd w:val="clear" w:color="auto" w:fill="auto"/>
            <w:vAlign w:val="center"/>
          </w:tcPr>
          <w:p w14:paraId="446F7090" w14:textId="410639F2" w:rsidR="00D55199" w:rsidRDefault="00D55199" w:rsidP="00D55199">
            <w:pPr>
              <w:spacing w:after="0" w:line="240" w:lineRule="auto"/>
              <w:jc w:val="right"/>
              <w:rPr>
                <w:rFonts w:cs="Arial"/>
                <w:sz w:val="16"/>
                <w:szCs w:val="16"/>
              </w:rPr>
            </w:pPr>
            <w:r>
              <w:rPr>
                <w:rFonts w:cs="Arial"/>
                <w:sz w:val="16"/>
                <w:szCs w:val="16"/>
              </w:rPr>
              <w:t>5 104</w:t>
            </w:r>
          </w:p>
        </w:tc>
        <w:tc>
          <w:tcPr>
            <w:tcW w:w="760" w:type="dxa"/>
            <w:tcBorders>
              <w:top w:val="nil"/>
              <w:left w:val="nil"/>
              <w:bottom w:val="nil"/>
              <w:right w:val="nil"/>
            </w:tcBorders>
            <w:shd w:val="clear" w:color="auto" w:fill="auto"/>
            <w:vAlign w:val="center"/>
          </w:tcPr>
          <w:p w14:paraId="023E0B93" w14:textId="26E9C7D1" w:rsidR="00D55199" w:rsidRDefault="00D55199" w:rsidP="00D55199">
            <w:pPr>
              <w:spacing w:after="0" w:line="240" w:lineRule="auto"/>
              <w:jc w:val="right"/>
              <w:rPr>
                <w:rFonts w:cs="Arial"/>
                <w:sz w:val="16"/>
                <w:szCs w:val="16"/>
              </w:rPr>
            </w:pPr>
            <w:r>
              <w:rPr>
                <w:rFonts w:cs="Arial"/>
                <w:sz w:val="16"/>
                <w:szCs w:val="16"/>
              </w:rPr>
              <w:t>3 260</w:t>
            </w:r>
          </w:p>
        </w:tc>
      </w:tr>
    </w:tbl>
    <w:p w14:paraId="28608EB4" w14:textId="77777777" w:rsidR="00EB6AE0" w:rsidRDefault="00EB6AE0" w:rsidP="00EB6AE0">
      <w:pPr>
        <w:spacing w:after="0"/>
        <w:rPr>
          <w:sz w:val="18"/>
        </w:rPr>
      </w:pPr>
    </w:p>
    <w:p w14:paraId="6FF6C7EC" w14:textId="6FA70AD4" w:rsidR="00894E45" w:rsidRDefault="00EB6AE0" w:rsidP="00EB6AE0">
      <w:pPr>
        <w:spacing w:after="0"/>
        <w:rPr>
          <w:sz w:val="18"/>
        </w:rPr>
      </w:pPr>
      <w:r w:rsidRPr="00BC3FF5">
        <w:rPr>
          <w:sz w:val="18"/>
        </w:rPr>
        <w:t>Zdroj: ČSÚ</w:t>
      </w:r>
    </w:p>
    <w:p w14:paraId="765767D0" w14:textId="77777777" w:rsidR="00894E45" w:rsidRDefault="00894E45">
      <w:pPr>
        <w:spacing w:after="0" w:line="240" w:lineRule="auto"/>
        <w:rPr>
          <w:sz w:val="18"/>
        </w:rPr>
      </w:pPr>
      <w:r>
        <w:rPr>
          <w:sz w:val="18"/>
        </w:rPr>
        <w:br w:type="page"/>
      </w:r>
    </w:p>
    <w:p w14:paraId="2932631C" w14:textId="6526BA8D" w:rsidR="0072640B" w:rsidRPr="00E07843" w:rsidRDefault="0072640B" w:rsidP="0072640B">
      <w:pPr>
        <w:jc w:val="both"/>
        <w:rPr>
          <w:b/>
          <w:spacing w:val="-2"/>
        </w:rPr>
      </w:pPr>
      <w:r w:rsidRPr="00E07843">
        <w:rPr>
          <w:b/>
          <w:spacing w:val="-2"/>
        </w:rPr>
        <w:lastRenderedPageBreak/>
        <w:t xml:space="preserve">Graf 2.5: </w:t>
      </w:r>
      <w:r w:rsidR="00A521DF">
        <w:rPr>
          <w:b/>
          <w:spacing w:val="-2"/>
        </w:rPr>
        <w:t>Průměrná doba trvání</w:t>
      </w:r>
      <w:r w:rsidRPr="00E07843">
        <w:rPr>
          <w:b/>
          <w:spacing w:val="-2"/>
        </w:rPr>
        <w:t xml:space="preserve"> dočasné pracovní neschopnosti </w:t>
      </w:r>
      <w:r w:rsidR="00A521DF">
        <w:rPr>
          <w:b/>
          <w:spacing w:val="-2"/>
        </w:rPr>
        <w:t xml:space="preserve">podle pohlaví </w:t>
      </w:r>
      <w:r w:rsidRPr="00E07843">
        <w:rPr>
          <w:b/>
          <w:spacing w:val="-2"/>
        </w:rPr>
        <w:t>v letech 200</w:t>
      </w:r>
      <w:r w:rsidR="00BB24C4" w:rsidRPr="00E07843">
        <w:rPr>
          <w:b/>
          <w:spacing w:val="-2"/>
        </w:rPr>
        <w:t>8</w:t>
      </w:r>
      <w:r w:rsidRPr="00E07843">
        <w:rPr>
          <w:b/>
          <w:spacing w:val="-2"/>
        </w:rPr>
        <w:t xml:space="preserve">– 2018 </w:t>
      </w:r>
    </w:p>
    <w:p w14:paraId="583A5088" w14:textId="4EEAC8CD" w:rsidR="0072640B" w:rsidRDefault="00211F9B" w:rsidP="00977F2A">
      <w:pPr>
        <w:rPr>
          <w:b/>
        </w:rPr>
      </w:pPr>
      <w:r>
        <w:rPr>
          <w:noProof/>
        </w:rPr>
        <w:drawing>
          <wp:inline distT="0" distB="0" distL="0" distR="0" wp14:anchorId="20263F8F" wp14:editId="086F997A">
            <wp:extent cx="6096000" cy="27813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C0A573" w14:textId="77777777" w:rsidR="0072640B" w:rsidRDefault="0072640B" w:rsidP="0072640B">
      <w:pPr>
        <w:spacing w:after="0"/>
        <w:rPr>
          <w:sz w:val="18"/>
        </w:rPr>
      </w:pPr>
      <w:r w:rsidRPr="00BC3FF5">
        <w:rPr>
          <w:sz w:val="18"/>
        </w:rPr>
        <w:t>Zdroj: ČSÚ</w:t>
      </w:r>
    </w:p>
    <w:p w14:paraId="4E624FA2" w14:textId="77777777" w:rsidR="00894E45" w:rsidRDefault="00894E45" w:rsidP="00C44514">
      <w:pPr>
        <w:pStyle w:val="Titulek"/>
        <w:keepNext/>
        <w:rPr>
          <w:b/>
          <w:i w:val="0"/>
          <w:color w:val="auto"/>
          <w:sz w:val="20"/>
        </w:rPr>
      </w:pPr>
    </w:p>
    <w:p w14:paraId="13D313CB" w14:textId="1110D905" w:rsidR="00C44514" w:rsidRPr="00C44514" w:rsidRDefault="00162BC5" w:rsidP="00C44514">
      <w:pPr>
        <w:pStyle w:val="Titulek"/>
        <w:keepNext/>
        <w:rPr>
          <w:b/>
          <w:i w:val="0"/>
          <w:color w:val="auto"/>
          <w:sz w:val="20"/>
        </w:rPr>
      </w:pPr>
      <w:r>
        <w:rPr>
          <w:b/>
          <w:i w:val="0"/>
          <w:color w:val="auto"/>
          <w:sz w:val="20"/>
        </w:rPr>
        <w:t>Graf 2.</w:t>
      </w:r>
      <w:r w:rsidR="00C44514" w:rsidRPr="00C44514">
        <w:rPr>
          <w:b/>
          <w:i w:val="0"/>
          <w:color w:val="auto"/>
          <w:sz w:val="20"/>
        </w:rPr>
        <w:t>6: Nově hlášené případy dočasné pracovní neschopnosti na 100 pojištěnců a průměrná délka jejich trvání v letech 200</w:t>
      </w:r>
      <w:r w:rsidR="00BB24C4">
        <w:rPr>
          <w:b/>
          <w:i w:val="0"/>
          <w:color w:val="auto"/>
          <w:sz w:val="20"/>
        </w:rPr>
        <w:t>8</w:t>
      </w:r>
      <w:r w:rsidR="00C44514" w:rsidRPr="00C44514">
        <w:rPr>
          <w:b/>
          <w:i w:val="0"/>
          <w:color w:val="auto"/>
          <w:sz w:val="20"/>
        </w:rPr>
        <w:t>–201</w:t>
      </w:r>
      <w:r w:rsidR="00C44514">
        <w:rPr>
          <w:b/>
          <w:i w:val="0"/>
          <w:color w:val="auto"/>
          <w:sz w:val="20"/>
        </w:rPr>
        <w:t>8</w:t>
      </w:r>
    </w:p>
    <w:p w14:paraId="607450D6" w14:textId="57C89343" w:rsidR="00F617C3" w:rsidRDefault="00BB24C4" w:rsidP="00977F2A">
      <w:pPr>
        <w:rPr>
          <w:b/>
        </w:rPr>
      </w:pPr>
      <w:r>
        <w:rPr>
          <w:noProof/>
        </w:rPr>
        <w:drawing>
          <wp:inline distT="0" distB="0" distL="0" distR="0" wp14:anchorId="44C660D5" wp14:editId="6BA5356F">
            <wp:extent cx="6105525" cy="314325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F9C900" w14:textId="46E44535" w:rsidR="00660130" w:rsidRDefault="00660130" w:rsidP="00660130">
      <w:pPr>
        <w:spacing w:after="0"/>
        <w:rPr>
          <w:sz w:val="18"/>
        </w:rPr>
      </w:pPr>
      <w:r w:rsidRPr="00BC3FF5">
        <w:rPr>
          <w:sz w:val="18"/>
        </w:rPr>
        <w:t>Zdroj: ČSÚ</w:t>
      </w:r>
    </w:p>
    <w:p w14:paraId="3E3FD739" w14:textId="77777777" w:rsidR="00660130" w:rsidRPr="00660130" w:rsidRDefault="00660130" w:rsidP="00660130">
      <w:pPr>
        <w:spacing w:after="0"/>
        <w:rPr>
          <w:sz w:val="18"/>
        </w:rPr>
      </w:pPr>
    </w:p>
    <w:p w14:paraId="645F4E0B" w14:textId="56293F5F" w:rsidR="00660130" w:rsidRPr="00660130" w:rsidRDefault="00660130" w:rsidP="00660130">
      <w:pPr>
        <w:pStyle w:val="Titulek"/>
        <w:keepNext/>
        <w:rPr>
          <w:i w:val="0"/>
          <w:color w:val="auto"/>
          <w:sz w:val="20"/>
        </w:rPr>
      </w:pPr>
      <w:r w:rsidRPr="00660130">
        <w:rPr>
          <w:b/>
          <w:i w:val="0"/>
          <w:color w:val="auto"/>
          <w:sz w:val="20"/>
        </w:rPr>
        <w:lastRenderedPageBreak/>
        <w:t>Graf 2.7:</w:t>
      </w:r>
      <w:r w:rsidRPr="00660130">
        <w:rPr>
          <w:i w:val="0"/>
          <w:color w:val="auto"/>
          <w:sz w:val="20"/>
        </w:rPr>
        <w:t xml:space="preserve"> </w:t>
      </w:r>
      <w:r w:rsidRPr="00660130">
        <w:rPr>
          <w:b/>
          <w:i w:val="0"/>
          <w:color w:val="auto"/>
          <w:sz w:val="20"/>
        </w:rPr>
        <w:t>Průměrná délka trvání případu dočasné pracovní neschopnosti dle odvětví ekonomické činnosti (sekcí CZ-NACE) v roce 2018</w:t>
      </w:r>
    </w:p>
    <w:p w14:paraId="5D14A633" w14:textId="58A606AE" w:rsidR="00660130" w:rsidRDefault="004B4EAD" w:rsidP="00977F2A">
      <w:pPr>
        <w:rPr>
          <w:b/>
        </w:rPr>
      </w:pPr>
      <w:r>
        <w:rPr>
          <w:noProof/>
        </w:rPr>
        <w:drawing>
          <wp:inline distT="0" distB="0" distL="0" distR="0" wp14:anchorId="745B2144" wp14:editId="3BFFD3A4">
            <wp:extent cx="6120130" cy="401574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BA3C64" w14:textId="77777777" w:rsidR="00660130" w:rsidRDefault="00660130" w:rsidP="00660130">
      <w:pPr>
        <w:spacing w:after="0"/>
        <w:rPr>
          <w:sz w:val="18"/>
        </w:rPr>
      </w:pPr>
      <w:r w:rsidRPr="00BC3FF5">
        <w:rPr>
          <w:sz w:val="18"/>
        </w:rPr>
        <w:t>Zdroj: ČSÚ</w:t>
      </w:r>
    </w:p>
    <w:p w14:paraId="26538C79" w14:textId="77777777" w:rsidR="00660130" w:rsidRDefault="00660130" w:rsidP="00977F2A">
      <w:pPr>
        <w:rPr>
          <w:b/>
        </w:rPr>
      </w:pPr>
    </w:p>
    <w:p w14:paraId="05D3A1D8" w14:textId="46522FF5" w:rsidR="00632BF0" w:rsidRDefault="00632BF0" w:rsidP="00632BF0">
      <w:pPr>
        <w:jc w:val="both"/>
      </w:pPr>
      <w:r w:rsidRPr="006F2AEC">
        <w:t xml:space="preserve">Nejvíce dnů dočasné pracovní neschopnosti bylo </w:t>
      </w:r>
      <w:r w:rsidR="00A30DCD" w:rsidRPr="006F2AEC">
        <w:t xml:space="preserve">zaznamenáno </w:t>
      </w:r>
      <w:r w:rsidRPr="006F2AEC">
        <w:t>v </w:t>
      </w:r>
      <w:r w:rsidRPr="00722773">
        <w:rPr>
          <w:b/>
        </w:rPr>
        <w:t>odvětví</w:t>
      </w:r>
      <w:r w:rsidRPr="006F2AEC">
        <w:t xml:space="preserve"> Zpracovatelský průmysl (</w:t>
      </w:r>
      <w:r w:rsidR="00A30DCD" w:rsidRPr="006F2AEC">
        <w:t>26</w:t>
      </w:r>
      <w:r w:rsidR="00F547BE">
        <w:t> </w:t>
      </w:r>
      <w:r w:rsidR="00A30DCD" w:rsidRPr="006F2AEC">
        <w:t>564</w:t>
      </w:r>
      <w:r w:rsidR="00F547BE">
        <w:t> </w:t>
      </w:r>
      <w:r w:rsidRPr="006F2AEC">
        <w:t>tis.), a to jak celkem, tak v jednotlivých kategoriích – pro nemoc (</w:t>
      </w:r>
      <w:r w:rsidR="00A30DCD" w:rsidRPr="006F2AEC">
        <w:t>22 478</w:t>
      </w:r>
      <w:r w:rsidRPr="006F2AEC">
        <w:t> tis.), pro pracovní úrazy (1 0</w:t>
      </w:r>
      <w:r w:rsidR="00A30DCD" w:rsidRPr="006F2AEC">
        <w:t>15</w:t>
      </w:r>
      <w:r w:rsidRPr="006F2AEC">
        <w:t xml:space="preserve"> tis.) a pro ostatní úrazy (</w:t>
      </w:r>
      <w:r w:rsidR="00A30DCD" w:rsidRPr="006F2AEC">
        <w:t>3 070</w:t>
      </w:r>
      <w:r w:rsidRPr="006F2AEC">
        <w:t xml:space="preserve"> tis.). Naopak nejnižší počet dnů pracovní neschopnosti byl hlášen v</w:t>
      </w:r>
      <w:r w:rsidR="00F547BE">
        <w:t> </w:t>
      </w:r>
      <w:r w:rsidRPr="006F2AEC">
        <w:t>oblasti Výroba a rozvod elektřiny a jiných energií (</w:t>
      </w:r>
      <w:r w:rsidR="00A30DCD" w:rsidRPr="006F2AEC">
        <w:t>402</w:t>
      </w:r>
      <w:r w:rsidRPr="006F2AEC">
        <w:t xml:space="preserve"> tis.), kde bylo evidováno i nejméně dnů pracovní neschopnosti pro nemoc (</w:t>
      </w:r>
      <w:r w:rsidR="00A30DCD" w:rsidRPr="006F2AEC">
        <w:t xml:space="preserve">346 tis.) </w:t>
      </w:r>
      <w:r w:rsidRPr="006F2AEC">
        <w:t>a pro ostatní úrazy (4</w:t>
      </w:r>
      <w:r w:rsidR="00A30DCD" w:rsidRPr="006F2AEC">
        <w:t>6</w:t>
      </w:r>
      <w:r w:rsidRPr="006F2AEC">
        <w:t> tis.).</w:t>
      </w:r>
      <w:r w:rsidR="00A30DCD" w:rsidRPr="006F2AEC">
        <w:t xml:space="preserve"> Nejméně </w:t>
      </w:r>
      <w:r w:rsidR="00514756">
        <w:t xml:space="preserve">dnů pracovní neschopnosti z důvodu </w:t>
      </w:r>
      <w:r w:rsidR="00A30DCD" w:rsidRPr="006F2AEC">
        <w:t>pracovních úrazů vykazovala odvětví Peněžnictví a pojišťovnictví (6,2 tis.) a Informační a</w:t>
      </w:r>
      <w:r w:rsidR="00F547BE">
        <w:t> </w:t>
      </w:r>
      <w:r w:rsidR="00A30DCD" w:rsidRPr="006F2AEC">
        <w:t>komunikační činnosti (7,1 tis.).</w:t>
      </w:r>
    </w:p>
    <w:p w14:paraId="47FD9293" w14:textId="603CE827" w:rsidR="00255711" w:rsidRPr="006F2AEC" w:rsidRDefault="00C20B47" w:rsidP="00632BF0">
      <w:pPr>
        <w:jc w:val="both"/>
      </w:pPr>
      <w:r>
        <w:t xml:space="preserve">Jak již bylo zmíněno výše, dočasná pracovní neschopnost trvala v průměru 42 dní. </w:t>
      </w:r>
      <w:r w:rsidR="00255711">
        <w:t xml:space="preserve">Odvětvími </w:t>
      </w:r>
      <w:r w:rsidR="008E5FEF">
        <w:t xml:space="preserve">s průměrnou délkou trvání případu dlouhodobé pracovní neschopnosti nad 50 dnů </w:t>
      </w:r>
      <w:r>
        <w:t>bylo</w:t>
      </w:r>
      <w:r w:rsidR="00255711">
        <w:t xml:space="preserve"> v roce 2018</w:t>
      </w:r>
      <w:r w:rsidR="008E5FEF">
        <w:t xml:space="preserve"> </w:t>
      </w:r>
      <w:r w:rsidR="00255711">
        <w:t>Zemědělství, lesnictví a rybářství (55,9 dne), Ubytování, stravování a pohostinství (53,8 dne)</w:t>
      </w:r>
      <w:r w:rsidR="008E5FEF">
        <w:t xml:space="preserve">, </w:t>
      </w:r>
      <w:r w:rsidR="00514756">
        <w:t xml:space="preserve">Stavebnictví (52,1 dne) a </w:t>
      </w:r>
      <w:r w:rsidR="00255711">
        <w:t>Činnosti v oblasti nemovitostí (51,1 dne)</w:t>
      </w:r>
      <w:r w:rsidR="008E5FEF">
        <w:t>.</w:t>
      </w:r>
      <w:r w:rsidR="00255711">
        <w:t xml:space="preserve"> </w:t>
      </w:r>
      <w:r w:rsidR="006C4575">
        <w:t>Poloviční</w:t>
      </w:r>
      <w:r>
        <w:t xml:space="preserve"> dob</w:t>
      </w:r>
      <w:r w:rsidR="006C4575">
        <w:t>a</w:t>
      </w:r>
      <w:r>
        <w:t xml:space="preserve"> </w:t>
      </w:r>
      <w:r w:rsidR="006C4575">
        <w:t xml:space="preserve">(26,4 dne) </w:t>
      </w:r>
      <w:r>
        <w:t xml:space="preserve">připadala na pracovní neschopnost v odvětví Informační a </w:t>
      </w:r>
      <w:r w:rsidR="006C4575">
        <w:t>komunikační činnosti, což představovalo zcela nejnižší hodnotu v rámci národního hospodářství. Dalšími odvětvími s poměrně nízkou průměrnou délkou pracovní neschopnosti byly oblasti Vzdělávání (30,5 dne) a Peněžnictví a pojišťovnictví (31,8 dne). Podrobněji viz graf 2.7</w:t>
      </w:r>
      <w:r w:rsidR="00514756">
        <w:t xml:space="preserve"> a tab. 2.5</w:t>
      </w:r>
      <w:r w:rsidR="006C4575">
        <w:t>.</w:t>
      </w:r>
    </w:p>
    <w:p w14:paraId="3006E0C6" w14:textId="77777777" w:rsidR="00894E45" w:rsidRDefault="00894E45">
      <w:pPr>
        <w:spacing w:after="0" w:line="240" w:lineRule="auto"/>
        <w:rPr>
          <w:b/>
          <w:iCs/>
          <w:szCs w:val="18"/>
        </w:rPr>
      </w:pPr>
      <w:r>
        <w:rPr>
          <w:b/>
          <w:i/>
        </w:rPr>
        <w:br w:type="page"/>
      </w:r>
    </w:p>
    <w:p w14:paraId="1A1724EC" w14:textId="023B1488" w:rsidR="002F5A91" w:rsidRPr="00C06407" w:rsidRDefault="002F5A91" w:rsidP="003728E7">
      <w:pPr>
        <w:pStyle w:val="Titulek"/>
        <w:keepNext/>
        <w:jc w:val="both"/>
        <w:rPr>
          <w:b/>
          <w:i w:val="0"/>
          <w:color w:val="auto"/>
          <w:sz w:val="20"/>
        </w:rPr>
      </w:pPr>
      <w:bookmarkStart w:id="13" w:name="_Toc10112623"/>
      <w:r w:rsidRPr="00C06407">
        <w:rPr>
          <w:b/>
          <w:i w:val="0"/>
          <w:color w:val="auto"/>
          <w:sz w:val="20"/>
        </w:rPr>
        <w:lastRenderedPageBreak/>
        <w:t>Tab</w:t>
      </w:r>
      <w:r w:rsidR="003728E7">
        <w:rPr>
          <w:b/>
          <w:i w:val="0"/>
          <w:color w:val="auto"/>
          <w:sz w:val="20"/>
        </w:rPr>
        <w:t>.</w:t>
      </w:r>
      <w:r w:rsidR="00CC4CD9">
        <w:rPr>
          <w:b/>
          <w:i w:val="0"/>
          <w:color w:val="auto"/>
          <w:sz w:val="20"/>
        </w:rPr>
        <w:t xml:space="preserve"> </w:t>
      </w:r>
      <w:r w:rsidRPr="00C06407">
        <w:rPr>
          <w:b/>
          <w:i w:val="0"/>
          <w:color w:val="auto"/>
          <w:sz w:val="20"/>
        </w:rPr>
        <w:t>2.</w:t>
      </w:r>
      <w:r w:rsidRPr="00C06407">
        <w:rPr>
          <w:b/>
          <w:i w:val="0"/>
          <w:color w:val="auto"/>
          <w:sz w:val="20"/>
        </w:rPr>
        <w:fldChar w:fldCharType="begin"/>
      </w:r>
      <w:r w:rsidRPr="00C06407">
        <w:rPr>
          <w:b/>
          <w:i w:val="0"/>
          <w:color w:val="auto"/>
          <w:sz w:val="20"/>
        </w:rPr>
        <w:instrText xml:space="preserve"> SEQ Tabulka \* ARABIC </w:instrText>
      </w:r>
      <w:r w:rsidRPr="00C06407">
        <w:rPr>
          <w:b/>
          <w:i w:val="0"/>
          <w:color w:val="auto"/>
          <w:sz w:val="20"/>
        </w:rPr>
        <w:fldChar w:fldCharType="separate"/>
      </w:r>
      <w:r w:rsidR="004426F5">
        <w:rPr>
          <w:b/>
          <w:i w:val="0"/>
          <w:noProof/>
          <w:color w:val="auto"/>
          <w:sz w:val="20"/>
        </w:rPr>
        <w:t>5</w:t>
      </w:r>
      <w:r w:rsidRPr="00C06407">
        <w:rPr>
          <w:b/>
          <w:i w:val="0"/>
          <w:color w:val="auto"/>
          <w:sz w:val="20"/>
        </w:rPr>
        <w:fldChar w:fldCharType="end"/>
      </w:r>
      <w:r w:rsidRPr="00C06407">
        <w:rPr>
          <w:b/>
          <w:i w:val="0"/>
          <w:color w:val="auto"/>
          <w:sz w:val="20"/>
        </w:rPr>
        <w:t>: Průměrná délka trvání případu dočasné pr</w:t>
      </w:r>
      <w:r w:rsidR="00C06407">
        <w:rPr>
          <w:b/>
          <w:i w:val="0"/>
          <w:color w:val="auto"/>
          <w:sz w:val="20"/>
        </w:rPr>
        <w:t>acovní neschopnosti dle odvětví e</w:t>
      </w:r>
      <w:r w:rsidR="00E87830">
        <w:rPr>
          <w:b/>
          <w:i w:val="0"/>
          <w:color w:val="auto"/>
          <w:sz w:val="20"/>
        </w:rPr>
        <w:t>konomické činnosti v letech 2008</w:t>
      </w:r>
      <w:r w:rsidRPr="00C06407">
        <w:rPr>
          <w:b/>
          <w:i w:val="0"/>
          <w:color w:val="auto"/>
          <w:sz w:val="20"/>
        </w:rPr>
        <w:t>–201</w:t>
      </w:r>
      <w:r w:rsidR="00514756">
        <w:rPr>
          <w:b/>
          <w:i w:val="0"/>
          <w:color w:val="auto"/>
          <w:sz w:val="20"/>
        </w:rPr>
        <w:t>8</w:t>
      </w:r>
      <w:bookmarkEnd w:id="13"/>
    </w:p>
    <w:tbl>
      <w:tblPr>
        <w:tblW w:w="9708" w:type="dxa"/>
        <w:tblInd w:w="70" w:type="dxa"/>
        <w:tblCellMar>
          <w:left w:w="70" w:type="dxa"/>
          <w:right w:w="70" w:type="dxa"/>
        </w:tblCellMar>
        <w:tblLook w:val="04A0" w:firstRow="1" w:lastRow="0" w:firstColumn="1" w:lastColumn="0" w:noHBand="0" w:noVBand="1"/>
      </w:tblPr>
      <w:tblGrid>
        <w:gridCol w:w="2645"/>
        <w:gridCol w:w="541"/>
        <w:gridCol w:w="541"/>
        <w:gridCol w:w="664"/>
        <w:gridCol w:w="664"/>
        <w:gridCol w:w="664"/>
        <w:gridCol w:w="664"/>
        <w:gridCol w:w="664"/>
        <w:gridCol w:w="664"/>
        <w:gridCol w:w="664"/>
        <w:gridCol w:w="664"/>
        <w:gridCol w:w="669"/>
      </w:tblGrid>
      <w:tr w:rsidR="00846150" w:rsidRPr="008D2084" w14:paraId="16479183" w14:textId="77777777" w:rsidTr="00846150">
        <w:trPr>
          <w:trHeight w:val="301"/>
        </w:trPr>
        <w:tc>
          <w:tcPr>
            <w:tcW w:w="2722" w:type="dxa"/>
            <w:vMerge w:val="restart"/>
            <w:tcBorders>
              <w:top w:val="nil"/>
              <w:left w:val="nil"/>
              <w:bottom w:val="single" w:sz="8" w:space="0" w:color="000000"/>
              <w:right w:val="nil"/>
            </w:tcBorders>
            <w:shd w:val="clear" w:color="000000" w:fill="F5DADD"/>
            <w:vAlign w:val="center"/>
            <w:hideMark/>
          </w:tcPr>
          <w:p w14:paraId="48242EB5"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Sekce CZ-NACE</w:t>
            </w:r>
          </w:p>
        </w:tc>
        <w:tc>
          <w:tcPr>
            <w:tcW w:w="6986" w:type="dxa"/>
            <w:gridSpan w:val="11"/>
            <w:tcBorders>
              <w:top w:val="nil"/>
              <w:left w:val="single" w:sz="4" w:space="0" w:color="auto"/>
              <w:bottom w:val="single" w:sz="4" w:space="0" w:color="auto"/>
            </w:tcBorders>
            <w:shd w:val="clear" w:color="000000" w:fill="F5DADD"/>
            <w:vAlign w:val="center"/>
          </w:tcPr>
          <w:p w14:paraId="2F20BEE1" w14:textId="14262B79" w:rsidR="00846150" w:rsidRPr="008D2084" w:rsidRDefault="00846150" w:rsidP="00846150">
            <w:pPr>
              <w:spacing w:after="0" w:line="240" w:lineRule="auto"/>
              <w:jc w:val="center"/>
              <w:rPr>
                <w:rFonts w:ascii="Arial CE" w:hAnsi="Arial CE" w:cs="Arial CE"/>
                <w:sz w:val="16"/>
                <w:szCs w:val="16"/>
              </w:rPr>
            </w:pPr>
            <w:r w:rsidRPr="002F5A91">
              <w:rPr>
                <w:rFonts w:ascii="Arial CE" w:hAnsi="Arial CE" w:cs="Arial CE"/>
                <w:sz w:val="16"/>
                <w:szCs w:val="16"/>
              </w:rPr>
              <w:t>Průměrná délka trvání případu DPN (dny)</w:t>
            </w:r>
          </w:p>
        </w:tc>
      </w:tr>
      <w:tr w:rsidR="00846150" w:rsidRPr="008D2084" w14:paraId="6234E4DD" w14:textId="77777777" w:rsidTr="00572936">
        <w:trPr>
          <w:trHeight w:val="316"/>
        </w:trPr>
        <w:tc>
          <w:tcPr>
            <w:tcW w:w="2722" w:type="dxa"/>
            <w:vMerge/>
            <w:tcBorders>
              <w:top w:val="nil"/>
              <w:left w:val="nil"/>
              <w:bottom w:val="single" w:sz="8" w:space="0" w:color="000000"/>
              <w:right w:val="nil"/>
            </w:tcBorders>
            <w:vAlign w:val="center"/>
            <w:hideMark/>
          </w:tcPr>
          <w:p w14:paraId="52A604E9" w14:textId="77777777" w:rsidR="00846150" w:rsidRPr="008D2084" w:rsidRDefault="00846150" w:rsidP="006A51FD">
            <w:pPr>
              <w:spacing w:after="0" w:line="240" w:lineRule="auto"/>
              <w:rPr>
                <w:rFonts w:ascii="Arial CE" w:hAnsi="Arial CE" w:cs="Arial CE"/>
                <w:sz w:val="16"/>
                <w:szCs w:val="16"/>
              </w:rPr>
            </w:pPr>
          </w:p>
        </w:tc>
        <w:tc>
          <w:tcPr>
            <w:tcW w:w="464" w:type="dxa"/>
            <w:tcBorders>
              <w:top w:val="nil"/>
              <w:left w:val="single" w:sz="4" w:space="0" w:color="auto"/>
              <w:bottom w:val="single" w:sz="8" w:space="0" w:color="auto"/>
            </w:tcBorders>
            <w:shd w:val="clear" w:color="000000" w:fill="F5DADD"/>
            <w:vAlign w:val="bottom"/>
          </w:tcPr>
          <w:p w14:paraId="08464819" w14:textId="47F50E50" w:rsidR="00846150" w:rsidRPr="008D2084" w:rsidRDefault="00846150" w:rsidP="00572936">
            <w:pPr>
              <w:spacing w:after="0" w:line="240" w:lineRule="auto"/>
              <w:jc w:val="center"/>
              <w:rPr>
                <w:rFonts w:ascii="Arial CE" w:hAnsi="Arial CE" w:cs="Arial CE"/>
                <w:sz w:val="16"/>
                <w:szCs w:val="16"/>
              </w:rPr>
            </w:pPr>
            <w:r>
              <w:rPr>
                <w:rFonts w:ascii="Arial CE" w:hAnsi="Arial CE" w:cs="Arial CE"/>
                <w:sz w:val="16"/>
                <w:szCs w:val="16"/>
              </w:rPr>
              <w:t>2008</w:t>
            </w:r>
          </w:p>
        </w:tc>
        <w:tc>
          <w:tcPr>
            <w:tcW w:w="541" w:type="dxa"/>
            <w:tcBorders>
              <w:top w:val="nil"/>
              <w:left w:val="nil"/>
              <w:bottom w:val="single" w:sz="8" w:space="0" w:color="auto"/>
              <w:right w:val="nil"/>
            </w:tcBorders>
            <w:shd w:val="clear" w:color="000000" w:fill="F5DADD"/>
            <w:noWrap/>
            <w:vAlign w:val="bottom"/>
            <w:hideMark/>
          </w:tcPr>
          <w:p w14:paraId="461752EF" w14:textId="1EC50B11"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2009</w:t>
            </w:r>
          </w:p>
        </w:tc>
        <w:tc>
          <w:tcPr>
            <w:tcW w:w="664" w:type="dxa"/>
            <w:tcBorders>
              <w:top w:val="nil"/>
              <w:left w:val="nil"/>
              <w:bottom w:val="single" w:sz="8" w:space="0" w:color="auto"/>
              <w:right w:val="nil"/>
            </w:tcBorders>
            <w:shd w:val="clear" w:color="000000" w:fill="F5DADD"/>
            <w:noWrap/>
            <w:vAlign w:val="bottom"/>
            <w:hideMark/>
          </w:tcPr>
          <w:p w14:paraId="07D57112"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2010</w:t>
            </w:r>
          </w:p>
        </w:tc>
        <w:tc>
          <w:tcPr>
            <w:tcW w:w="664" w:type="dxa"/>
            <w:tcBorders>
              <w:top w:val="nil"/>
              <w:left w:val="nil"/>
              <w:bottom w:val="single" w:sz="8" w:space="0" w:color="auto"/>
              <w:right w:val="nil"/>
            </w:tcBorders>
            <w:shd w:val="clear" w:color="000000" w:fill="F5DADD"/>
            <w:noWrap/>
            <w:vAlign w:val="bottom"/>
            <w:hideMark/>
          </w:tcPr>
          <w:p w14:paraId="225F75A4"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2011</w:t>
            </w:r>
          </w:p>
        </w:tc>
        <w:tc>
          <w:tcPr>
            <w:tcW w:w="664" w:type="dxa"/>
            <w:tcBorders>
              <w:top w:val="nil"/>
              <w:left w:val="nil"/>
              <w:bottom w:val="single" w:sz="8" w:space="0" w:color="auto"/>
              <w:right w:val="nil"/>
            </w:tcBorders>
            <w:shd w:val="clear" w:color="000000" w:fill="F5DADD"/>
            <w:noWrap/>
            <w:vAlign w:val="bottom"/>
            <w:hideMark/>
          </w:tcPr>
          <w:p w14:paraId="4330CD99"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2012</w:t>
            </w:r>
          </w:p>
        </w:tc>
        <w:tc>
          <w:tcPr>
            <w:tcW w:w="664" w:type="dxa"/>
            <w:tcBorders>
              <w:top w:val="nil"/>
              <w:left w:val="nil"/>
              <w:bottom w:val="single" w:sz="8" w:space="0" w:color="auto"/>
              <w:right w:val="nil"/>
            </w:tcBorders>
            <w:shd w:val="clear" w:color="000000" w:fill="F5DADD"/>
            <w:noWrap/>
            <w:vAlign w:val="bottom"/>
            <w:hideMark/>
          </w:tcPr>
          <w:p w14:paraId="424C4930"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2013</w:t>
            </w:r>
          </w:p>
        </w:tc>
        <w:tc>
          <w:tcPr>
            <w:tcW w:w="664" w:type="dxa"/>
            <w:tcBorders>
              <w:top w:val="nil"/>
              <w:left w:val="nil"/>
              <w:bottom w:val="single" w:sz="8" w:space="0" w:color="auto"/>
              <w:right w:val="nil"/>
            </w:tcBorders>
            <w:shd w:val="clear" w:color="000000" w:fill="F5DADD"/>
            <w:noWrap/>
            <w:vAlign w:val="bottom"/>
            <w:hideMark/>
          </w:tcPr>
          <w:p w14:paraId="03A091C7"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2014</w:t>
            </w:r>
          </w:p>
        </w:tc>
        <w:tc>
          <w:tcPr>
            <w:tcW w:w="664" w:type="dxa"/>
            <w:tcBorders>
              <w:top w:val="nil"/>
              <w:left w:val="nil"/>
              <w:bottom w:val="single" w:sz="8" w:space="0" w:color="auto"/>
              <w:right w:val="nil"/>
            </w:tcBorders>
            <w:shd w:val="clear" w:color="000000" w:fill="F5DADD"/>
            <w:noWrap/>
            <w:vAlign w:val="bottom"/>
            <w:hideMark/>
          </w:tcPr>
          <w:p w14:paraId="420542E1"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2015</w:t>
            </w:r>
          </w:p>
        </w:tc>
        <w:tc>
          <w:tcPr>
            <w:tcW w:w="664" w:type="dxa"/>
            <w:tcBorders>
              <w:top w:val="nil"/>
              <w:left w:val="nil"/>
              <w:bottom w:val="single" w:sz="8" w:space="0" w:color="auto"/>
              <w:right w:val="nil"/>
            </w:tcBorders>
            <w:shd w:val="clear" w:color="000000" w:fill="F5DADD"/>
            <w:noWrap/>
            <w:vAlign w:val="bottom"/>
            <w:hideMark/>
          </w:tcPr>
          <w:p w14:paraId="5EE3856E"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2016</w:t>
            </w:r>
          </w:p>
        </w:tc>
        <w:tc>
          <w:tcPr>
            <w:tcW w:w="664" w:type="dxa"/>
            <w:tcBorders>
              <w:top w:val="nil"/>
              <w:left w:val="nil"/>
              <w:bottom w:val="single" w:sz="8" w:space="0" w:color="auto"/>
              <w:right w:val="nil"/>
            </w:tcBorders>
            <w:shd w:val="clear" w:color="000000" w:fill="F5DADD"/>
            <w:noWrap/>
            <w:vAlign w:val="bottom"/>
            <w:hideMark/>
          </w:tcPr>
          <w:p w14:paraId="5982C90A"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2017</w:t>
            </w:r>
          </w:p>
        </w:tc>
        <w:tc>
          <w:tcPr>
            <w:tcW w:w="669" w:type="dxa"/>
            <w:tcBorders>
              <w:top w:val="nil"/>
              <w:left w:val="nil"/>
              <w:bottom w:val="single" w:sz="8" w:space="0" w:color="auto"/>
              <w:right w:val="nil"/>
            </w:tcBorders>
            <w:shd w:val="clear" w:color="000000" w:fill="F5DADD"/>
            <w:noWrap/>
            <w:vAlign w:val="bottom"/>
            <w:hideMark/>
          </w:tcPr>
          <w:p w14:paraId="09677D0C" w14:textId="77777777" w:rsidR="00846150" w:rsidRPr="008D2084" w:rsidRDefault="00846150" w:rsidP="006A51FD">
            <w:pPr>
              <w:spacing w:after="0" w:line="240" w:lineRule="auto"/>
              <w:jc w:val="center"/>
              <w:rPr>
                <w:rFonts w:ascii="Arial CE" w:hAnsi="Arial CE" w:cs="Arial CE"/>
                <w:sz w:val="16"/>
                <w:szCs w:val="16"/>
              </w:rPr>
            </w:pPr>
            <w:r w:rsidRPr="008D2084">
              <w:rPr>
                <w:rFonts w:ascii="Arial CE" w:hAnsi="Arial CE" w:cs="Arial CE"/>
                <w:sz w:val="16"/>
                <w:szCs w:val="16"/>
              </w:rPr>
              <w:t>2018</w:t>
            </w:r>
          </w:p>
        </w:tc>
      </w:tr>
      <w:tr w:rsidR="00846150" w:rsidRPr="008D2084" w14:paraId="15E14012" w14:textId="77777777" w:rsidTr="00572936">
        <w:trPr>
          <w:trHeight w:val="301"/>
        </w:trPr>
        <w:tc>
          <w:tcPr>
            <w:tcW w:w="2722" w:type="dxa"/>
            <w:tcBorders>
              <w:top w:val="nil"/>
              <w:left w:val="nil"/>
              <w:bottom w:val="nil"/>
              <w:right w:val="nil"/>
            </w:tcBorders>
            <w:shd w:val="clear" w:color="auto" w:fill="auto"/>
            <w:vAlign w:val="center"/>
            <w:hideMark/>
          </w:tcPr>
          <w:p w14:paraId="223CD245" w14:textId="4846F8EA" w:rsidR="00846150" w:rsidRPr="008D2084" w:rsidRDefault="00846150" w:rsidP="002F5A91">
            <w:pPr>
              <w:spacing w:after="0" w:line="240" w:lineRule="auto"/>
              <w:rPr>
                <w:rFonts w:ascii="Arial CE" w:hAnsi="Arial CE" w:cs="Arial CE"/>
                <w:b/>
                <w:bCs/>
                <w:sz w:val="16"/>
                <w:szCs w:val="16"/>
              </w:rPr>
            </w:pPr>
            <w:r>
              <w:rPr>
                <w:rFonts w:ascii="Arial CE" w:hAnsi="Arial CE" w:cs="Arial CE"/>
                <w:b/>
                <w:bCs/>
                <w:sz w:val="16"/>
                <w:szCs w:val="16"/>
              </w:rPr>
              <w:t>Celkem</w:t>
            </w:r>
          </w:p>
        </w:tc>
        <w:tc>
          <w:tcPr>
            <w:tcW w:w="464" w:type="dxa"/>
            <w:tcBorders>
              <w:top w:val="nil"/>
              <w:left w:val="single" w:sz="4" w:space="0" w:color="auto"/>
              <w:bottom w:val="nil"/>
            </w:tcBorders>
            <w:vAlign w:val="center"/>
          </w:tcPr>
          <w:p w14:paraId="797E2737" w14:textId="12B0FA7D" w:rsidR="00846150" w:rsidRDefault="00846150" w:rsidP="00572936">
            <w:pPr>
              <w:spacing w:after="0" w:line="240" w:lineRule="auto"/>
              <w:jc w:val="right"/>
              <w:rPr>
                <w:rFonts w:ascii="Arial CE" w:hAnsi="Arial CE" w:cs="Arial CE"/>
                <w:b/>
                <w:bCs/>
                <w:sz w:val="16"/>
                <w:szCs w:val="16"/>
              </w:rPr>
            </w:pPr>
            <w:r>
              <w:rPr>
                <w:rFonts w:ascii="Arial CE" w:hAnsi="Arial CE" w:cs="Arial CE"/>
                <w:b/>
                <w:bCs/>
                <w:sz w:val="16"/>
                <w:szCs w:val="16"/>
              </w:rPr>
              <w:t>39,05</w:t>
            </w:r>
          </w:p>
        </w:tc>
        <w:tc>
          <w:tcPr>
            <w:tcW w:w="541" w:type="dxa"/>
            <w:tcBorders>
              <w:top w:val="nil"/>
              <w:left w:val="nil"/>
              <w:bottom w:val="nil"/>
              <w:right w:val="nil"/>
            </w:tcBorders>
            <w:shd w:val="clear" w:color="auto" w:fill="auto"/>
            <w:noWrap/>
            <w:vAlign w:val="center"/>
            <w:hideMark/>
          </w:tcPr>
          <w:p w14:paraId="125B6EB2" w14:textId="0B488E0C"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45,06</w:t>
            </w:r>
          </w:p>
        </w:tc>
        <w:tc>
          <w:tcPr>
            <w:tcW w:w="664" w:type="dxa"/>
            <w:tcBorders>
              <w:top w:val="nil"/>
              <w:left w:val="nil"/>
              <w:bottom w:val="nil"/>
              <w:right w:val="nil"/>
            </w:tcBorders>
            <w:shd w:val="clear" w:color="auto" w:fill="auto"/>
            <w:noWrap/>
            <w:vAlign w:val="center"/>
            <w:hideMark/>
          </w:tcPr>
          <w:p w14:paraId="58B25D08" w14:textId="4CE87804"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44,69</w:t>
            </w:r>
          </w:p>
        </w:tc>
        <w:tc>
          <w:tcPr>
            <w:tcW w:w="664" w:type="dxa"/>
            <w:tcBorders>
              <w:top w:val="nil"/>
              <w:left w:val="nil"/>
              <w:bottom w:val="nil"/>
              <w:right w:val="nil"/>
            </w:tcBorders>
            <w:shd w:val="clear" w:color="auto" w:fill="auto"/>
            <w:noWrap/>
            <w:vAlign w:val="center"/>
            <w:hideMark/>
          </w:tcPr>
          <w:p w14:paraId="4DA7E8DA" w14:textId="7C304B20"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44,08</w:t>
            </w:r>
          </w:p>
        </w:tc>
        <w:tc>
          <w:tcPr>
            <w:tcW w:w="664" w:type="dxa"/>
            <w:tcBorders>
              <w:top w:val="nil"/>
              <w:left w:val="nil"/>
              <w:bottom w:val="nil"/>
              <w:right w:val="nil"/>
            </w:tcBorders>
            <w:shd w:val="clear" w:color="auto" w:fill="auto"/>
            <w:noWrap/>
            <w:vAlign w:val="center"/>
            <w:hideMark/>
          </w:tcPr>
          <w:p w14:paraId="3D9CD115" w14:textId="339652C3"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46,05</w:t>
            </w:r>
          </w:p>
        </w:tc>
        <w:tc>
          <w:tcPr>
            <w:tcW w:w="664" w:type="dxa"/>
            <w:tcBorders>
              <w:top w:val="nil"/>
              <w:left w:val="nil"/>
              <w:bottom w:val="nil"/>
              <w:right w:val="nil"/>
            </w:tcBorders>
            <w:shd w:val="clear" w:color="auto" w:fill="auto"/>
            <w:noWrap/>
            <w:vAlign w:val="center"/>
            <w:hideMark/>
          </w:tcPr>
          <w:p w14:paraId="440DDCF5" w14:textId="5DA99F0D"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44,00</w:t>
            </w:r>
          </w:p>
        </w:tc>
        <w:tc>
          <w:tcPr>
            <w:tcW w:w="664" w:type="dxa"/>
            <w:tcBorders>
              <w:top w:val="nil"/>
              <w:left w:val="nil"/>
              <w:bottom w:val="nil"/>
              <w:right w:val="nil"/>
            </w:tcBorders>
            <w:shd w:val="clear" w:color="auto" w:fill="auto"/>
            <w:noWrap/>
            <w:vAlign w:val="center"/>
            <w:hideMark/>
          </w:tcPr>
          <w:p w14:paraId="62E28409" w14:textId="094CA29D"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45,81</w:t>
            </w:r>
          </w:p>
        </w:tc>
        <w:tc>
          <w:tcPr>
            <w:tcW w:w="664" w:type="dxa"/>
            <w:tcBorders>
              <w:top w:val="nil"/>
              <w:left w:val="nil"/>
              <w:bottom w:val="nil"/>
              <w:right w:val="nil"/>
            </w:tcBorders>
            <w:shd w:val="clear" w:color="auto" w:fill="auto"/>
            <w:noWrap/>
            <w:vAlign w:val="center"/>
            <w:hideMark/>
          </w:tcPr>
          <w:p w14:paraId="26F02FBA" w14:textId="18FDBC7E"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42,74</w:t>
            </w:r>
          </w:p>
        </w:tc>
        <w:tc>
          <w:tcPr>
            <w:tcW w:w="664" w:type="dxa"/>
            <w:tcBorders>
              <w:top w:val="nil"/>
              <w:left w:val="nil"/>
              <w:bottom w:val="nil"/>
              <w:right w:val="nil"/>
            </w:tcBorders>
            <w:shd w:val="clear" w:color="auto" w:fill="auto"/>
            <w:noWrap/>
            <w:vAlign w:val="center"/>
            <w:hideMark/>
          </w:tcPr>
          <w:p w14:paraId="6763BFF8" w14:textId="6104D421"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43,01</w:t>
            </w:r>
          </w:p>
        </w:tc>
        <w:tc>
          <w:tcPr>
            <w:tcW w:w="664" w:type="dxa"/>
            <w:tcBorders>
              <w:top w:val="nil"/>
              <w:left w:val="nil"/>
              <w:bottom w:val="nil"/>
              <w:right w:val="nil"/>
            </w:tcBorders>
            <w:shd w:val="clear" w:color="auto" w:fill="auto"/>
            <w:noWrap/>
            <w:vAlign w:val="center"/>
            <w:hideMark/>
          </w:tcPr>
          <w:p w14:paraId="78C87F48" w14:textId="01B43FEB"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42,56</w:t>
            </w:r>
          </w:p>
        </w:tc>
        <w:tc>
          <w:tcPr>
            <w:tcW w:w="669" w:type="dxa"/>
            <w:tcBorders>
              <w:top w:val="nil"/>
              <w:left w:val="nil"/>
              <w:bottom w:val="nil"/>
              <w:right w:val="nil"/>
            </w:tcBorders>
            <w:shd w:val="clear" w:color="auto" w:fill="auto"/>
            <w:noWrap/>
            <w:vAlign w:val="center"/>
            <w:hideMark/>
          </w:tcPr>
          <w:p w14:paraId="3EC7E677" w14:textId="04061C3E" w:rsidR="00846150" w:rsidRPr="008D2084" w:rsidRDefault="00846150" w:rsidP="002F5A91">
            <w:pPr>
              <w:spacing w:after="0" w:line="240" w:lineRule="auto"/>
              <w:jc w:val="right"/>
              <w:rPr>
                <w:rFonts w:ascii="Arial CE" w:hAnsi="Arial CE" w:cs="Arial CE"/>
                <w:b/>
                <w:bCs/>
                <w:sz w:val="16"/>
                <w:szCs w:val="16"/>
              </w:rPr>
            </w:pPr>
            <w:r>
              <w:rPr>
                <w:rFonts w:ascii="Arial CE" w:hAnsi="Arial CE" w:cs="Arial CE"/>
                <w:b/>
                <w:bCs/>
                <w:sz w:val="16"/>
                <w:szCs w:val="16"/>
              </w:rPr>
              <w:t>41,72</w:t>
            </w:r>
          </w:p>
        </w:tc>
      </w:tr>
      <w:tr w:rsidR="00846150" w:rsidRPr="008D2084" w14:paraId="68608D60" w14:textId="77777777" w:rsidTr="00572936">
        <w:trPr>
          <w:trHeight w:val="301"/>
        </w:trPr>
        <w:tc>
          <w:tcPr>
            <w:tcW w:w="2722" w:type="dxa"/>
            <w:tcBorders>
              <w:top w:val="nil"/>
              <w:left w:val="nil"/>
              <w:bottom w:val="nil"/>
              <w:right w:val="nil"/>
            </w:tcBorders>
            <w:shd w:val="clear" w:color="auto" w:fill="auto"/>
            <w:vAlign w:val="center"/>
            <w:hideMark/>
          </w:tcPr>
          <w:p w14:paraId="6EFC6325" w14:textId="77777777" w:rsidR="00572936" w:rsidRDefault="00846150" w:rsidP="002F5A91">
            <w:pPr>
              <w:spacing w:after="0" w:line="240" w:lineRule="auto"/>
              <w:ind w:firstLineChars="100" w:firstLine="160"/>
              <w:rPr>
                <w:rFonts w:ascii="Arial CE" w:hAnsi="Arial CE" w:cs="Arial CE"/>
                <w:sz w:val="16"/>
                <w:szCs w:val="16"/>
              </w:rPr>
            </w:pPr>
            <w:r>
              <w:rPr>
                <w:rFonts w:ascii="Arial CE" w:hAnsi="Arial CE" w:cs="Arial CE"/>
                <w:sz w:val="16"/>
                <w:szCs w:val="16"/>
              </w:rPr>
              <w:t>A –</w:t>
            </w:r>
            <w:r w:rsidRPr="008D2084">
              <w:rPr>
                <w:rFonts w:ascii="Arial CE" w:hAnsi="Arial CE" w:cs="Arial CE"/>
                <w:sz w:val="16"/>
                <w:szCs w:val="16"/>
              </w:rPr>
              <w:t xml:space="preserve"> Zemědělství, lesnictví </w:t>
            </w:r>
          </w:p>
          <w:p w14:paraId="7D63A809" w14:textId="76CD18A0" w:rsidR="00846150" w:rsidRPr="008D2084" w:rsidRDefault="00572936"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a rybářství</w:t>
            </w:r>
          </w:p>
        </w:tc>
        <w:tc>
          <w:tcPr>
            <w:tcW w:w="464" w:type="dxa"/>
            <w:tcBorders>
              <w:top w:val="nil"/>
              <w:left w:val="single" w:sz="4" w:space="0" w:color="auto"/>
              <w:bottom w:val="nil"/>
            </w:tcBorders>
            <w:vAlign w:val="center"/>
          </w:tcPr>
          <w:p w14:paraId="386CA6AF" w14:textId="2E32A901"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50,26</w:t>
            </w:r>
          </w:p>
        </w:tc>
        <w:tc>
          <w:tcPr>
            <w:tcW w:w="541" w:type="dxa"/>
            <w:tcBorders>
              <w:top w:val="nil"/>
              <w:left w:val="nil"/>
              <w:bottom w:val="nil"/>
              <w:right w:val="nil"/>
            </w:tcBorders>
            <w:shd w:val="clear" w:color="auto" w:fill="auto"/>
            <w:noWrap/>
            <w:vAlign w:val="center"/>
            <w:hideMark/>
          </w:tcPr>
          <w:p w14:paraId="733255A1" w14:textId="77B3666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60,52</w:t>
            </w:r>
          </w:p>
        </w:tc>
        <w:tc>
          <w:tcPr>
            <w:tcW w:w="664" w:type="dxa"/>
            <w:tcBorders>
              <w:top w:val="nil"/>
              <w:left w:val="nil"/>
              <w:bottom w:val="nil"/>
              <w:right w:val="nil"/>
            </w:tcBorders>
            <w:shd w:val="clear" w:color="auto" w:fill="auto"/>
            <w:noWrap/>
            <w:vAlign w:val="center"/>
            <w:hideMark/>
          </w:tcPr>
          <w:p w14:paraId="6D0C0523" w14:textId="6281023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59,36</w:t>
            </w:r>
          </w:p>
        </w:tc>
        <w:tc>
          <w:tcPr>
            <w:tcW w:w="664" w:type="dxa"/>
            <w:tcBorders>
              <w:top w:val="nil"/>
              <w:left w:val="nil"/>
              <w:bottom w:val="nil"/>
              <w:right w:val="nil"/>
            </w:tcBorders>
            <w:shd w:val="clear" w:color="auto" w:fill="auto"/>
            <w:noWrap/>
            <w:vAlign w:val="center"/>
            <w:hideMark/>
          </w:tcPr>
          <w:p w14:paraId="012DEF1A" w14:textId="1D1CE90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60,83</w:t>
            </w:r>
          </w:p>
        </w:tc>
        <w:tc>
          <w:tcPr>
            <w:tcW w:w="664" w:type="dxa"/>
            <w:tcBorders>
              <w:top w:val="nil"/>
              <w:left w:val="nil"/>
              <w:bottom w:val="nil"/>
              <w:right w:val="nil"/>
            </w:tcBorders>
            <w:shd w:val="clear" w:color="auto" w:fill="auto"/>
            <w:noWrap/>
            <w:vAlign w:val="center"/>
            <w:hideMark/>
          </w:tcPr>
          <w:p w14:paraId="5A3A74C3" w14:textId="087D11D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61,79</w:t>
            </w:r>
          </w:p>
        </w:tc>
        <w:tc>
          <w:tcPr>
            <w:tcW w:w="664" w:type="dxa"/>
            <w:tcBorders>
              <w:top w:val="nil"/>
              <w:left w:val="nil"/>
              <w:bottom w:val="nil"/>
              <w:right w:val="nil"/>
            </w:tcBorders>
            <w:shd w:val="clear" w:color="auto" w:fill="auto"/>
            <w:noWrap/>
            <w:vAlign w:val="center"/>
            <w:hideMark/>
          </w:tcPr>
          <w:p w14:paraId="0F9E3F26" w14:textId="7A09A8A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58,85</w:t>
            </w:r>
          </w:p>
        </w:tc>
        <w:tc>
          <w:tcPr>
            <w:tcW w:w="664" w:type="dxa"/>
            <w:tcBorders>
              <w:top w:val="nil"/>
              <w:left w:val="nil"/>
              <w:bottom w:val="nil"/>
              <w:right w:val="nil"/>
            </w:tcBorders>
            <w:shd w:val="clear" w:color="auto" w:fill="auto"/>
            <w:noWrap/>
            <w:vAlign w:val="center"/>
            <w:hideMark/>
          </w:tcPr>
          <w:p w14:paraId="44E95FBC" w14:textId="096E0BF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60,56</w:t>
            </w:r>
          </w:p>
        </w:tc>
        <w:tc>
          <w:tcPr>
            <w:tcW w:w="664" w:type="dxa"/>
            <w:tcBorders>
              <w:top w:val="nil"/>
              <w:left w:val="nil"/>
              <w:bottom w:val="nil"/>
              <w:right w:val="nil"/>
            </w:tcBorders>
            <w:shd w:val="clear" w:color="auto" w:fill="auto"/>
            <w:noWrap/>
            <w:vAlign w:val="center"/>
            <w:hideMark/>
          </w:tcPr>
          <w:p w14:paraId="480A7B59" w14:textId="12B1EC9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57,43</w:t>
            </w:r>
          </w:p>
        </w:tc>
        <w:tc>
          <w:tcPr>
            <w:tcW w:w="664" w:type="dxa"/>
            <w:tcBorders>
              <w:top w:val="nil"/>
              <w:left w:val="nil"/>
              <w:bottom w:val="nil"/>
              <w:right w:val="nil"/>
            </w:tcBorders>
            <w:shd w:val="clear" w:color="auto" w:fill="auto"/>
            <w:noWrap/>
            <w:vAlign w:val="center"/>
            <w:hideMark/>
          </w:tcPr>
          <w:p w14:paraId="552AED2F" w14:textId="706A241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59,00</w:t>
            </w:r>
          </w:p>
        </w:tc>
        <w:tc>
          <w:tcPr>
            <w:tcW w:w="664" w:type="dxa"/>
            <w:tcBorders>
              <w:top w:val="nil"/>
              <w:left w:val="nil"/>
              <w:bottom w:val="nil"/>
              <w:right w:val="nil"/>
            </w:tcBorders>
            <w:shd w:val="clear" w:color="auto" w:fill="auto"/>
            <w:noWrap/>
            <w:vAlign w:val="center"/>
            <w:hideMark/>
          </w:tcPr>
          <w:p w14:paraId="6AD9F478" w14:textId="52A0447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57,55</w:t>
            </w:r>
          </w:p>
        </w:tc>
        <w:tc>
          <w:tcPr>
            <w:tcW w:w="669" w:type="dxa"/>
            <w:tcBorders>
              <w:top w:val="nil"/>
              <w:left w:val="nil"/>
              <w:bottom w:val="nil"/>
              <w:right w:val="nil"/>
            </w:tcBorders>
            <w:shd w:val="clear" w:color="auto" w:fill="auto"/>
            <w:noWrap/>
            <w:vAlign w:val="center"/>
            <w:hideMark/>
          </w:tcPr>
          <w:p w14:paraId="46849BFA" w14:textId="7B0BAA0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55,92</w:t>
            </w:r>
          </w:p>
        </w:tc>
      </w:tr>
      <w:tr w:rsidR="00846150" w:rsidRPr="008D2084" w14:paraId="7611A6A0" w14:textId="77777777" w:rsidTr="00572936">
        <w:trPr>
          <w:trHeight w:val="301"/>
        </w:trPr>
        <w:tc>
          <w:tcPr>
            <w:tcW w:w="2722" w:type="dxa"/>
            <w:tcBorders>
              <w:top w:val="nil"/>
              <w:left w:val="nil"/>
              <w:bottom w:val="nil"/>
              <w:right w:val="nil"/>
            </w:tcBorders>
            <w:shd w:val="clear" w:color="auto" w:fill="auto"/>
            <w:vAlign w:val="center"/>
            <w:hideMark/>
          </w:tcPr>
          <w:p w14:paraId="5B1C879F" w14:textId="514E1C4A"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B </w:t>
            </w:r>
            <w:r>
              <w:rPr>
                <w:rFonts w:ascii="Arial CE" w:hAnsi="Arial CE" w:cs="Arial CE"/>
                <w:sz w:val="16"/>
                <w:szCs w:val="16"/>
              </w:rPr>
              <w:t xml:space="preserve">– </w:t>
            </w:r>
            <w:r w:rsidRPr="008D2084">
              <w:rPr>
                <w:rFonts w:ascii="Arial CE" w:hAnsi="Arial CE" w:cs="Arial CE"/>
                <w:sz w:val="16"/>
                <w:szCs w:val="16"/>
              </w:rPr>
              <w:t>Těžba a dobývání</w:t>
            </w:r>
          </w:p>
        </w:tc>
        <w:tc>
          <w:tcPr>
            <w:tcW w:w="464" w:type="dxa"/>
            <w:tcBorders>
              <w:top w:val="nil"/>
              <w:left w:val="single" w:sz="4" w:space="0" w:color="auto"/>
              <w:bottom w:val="nil"/>
            </w:tcBorders>
            <w:vAlign w:val="center"/>
          </w:tcPr>
          <w:p w14:paraId="1F201DAC" w14:textId="25B288EC"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34,57</w:t>
            </w:r>
          </w:p>
        </w:tc>
        <w:tc>
          <w:tcPr>
            <w:tcW w:w="541" w:type="dxa"/>
            <w:tcBorders>
              <w:top w:val="nil"/>
              <w:left w:val="nil"/>
              <w:bottom w:val="nil"/>
              <w:right w:val="nil"/>
            </w:tcBorders>
            <w:shd w:val="clear" w:color="auto" w:fill="auto"/>
            <w:noWrap/>
            <w:vAlign w:val="center"/>
            <w:hideMark/>
          </w:tcPr>
          <w:p w14:paraId="708BC03E" w14:textId="3B4347A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39,37</w:t>
            </w:r>
          </w:p>
        </w:tc>
        <w:tc>
          <w:tcPr>
            <w:tcW w:w="664" w:type="dxa"/>
            <w:tcBorders>
              <w:top w:val="nil"/>
              <w:left w:val="nil"/>
              <w:bottom w:val="nil"/>
              <w:right w:val="nil"/>
            </w:tcBorders>
            <w:shd w:val="clear" w:color="auto" w:fill="auto"/>
            <w:noWrap/>
            <w:vAlign w:val="center"/>
            <w:hideMark/>
          </w:tcPr>
          <w:p w14:paraId="3C5AF06D" w14:textId="23FE93C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37,82</w:t>
            </w:r>
          </w:p>
        </w:tc>
        <w:tc>
          <w:tcPr>
            <w:tcW w:w="664" w:type="dxa"/>
            <w:tcBorders>
              <w:top w:val="nil"/>
              <w:left w:val="nil"/>
              <w:bottom w:val="nil"/>
              <w:right w:val="nil"/>
            </w:tcBorders>
            <w:shd w:val="clear" w:color="auto" w:fill="auto"/>
            <w:noWrap/>
            <w:vAlign w:val="center"/>
            <w:hideMark/>
          </w:tcPr>
          <w:p w14:paraId="07C660A4" w14:textId="5939E79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40,62</w:t>
            </w:r>
          </w:p>
        </w:tc>
        <w:tc>
          <w:tcPr>
            <w:tcW w:w="664" w:type="dxa"/>
            <w:tcBorders>
              <w:top w:val="nil"/>
              <w:left w:val="nil"/>
              <w:bottom w:val="nil"/>
              <w:right w:val="nil"/>
            </w:tcBorders>
            <w:shd w:val="clear" w:color="auto" w:fill="auto"/>
            <w:noWrap/>
            <w:vAlign w:val="center"/>
            <w:hideMark/>
          </w:tcPr>
          <w:p w14:paraId="60761B4A" w14:textId="6DE1285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41,69</w:t>
            </w:r>
          </w:p>
        </w:tc>
        <w:tc>
          <w:tcPr>
            <w:tcW w:w="664" w:type="dxa"/>
            <w:tcBorders>
              <w:top w:val="nil"/>
              <w:left w:val="nil"/>
              <w:bottom w:val="nil"/>
              <w:right w:val="nil"/>
            </w:tcBorders>
            <w:shd w:val="clear" w:color="auto" w:fill="auto"/>
            <w:noWrap/>
            <w:vAlign w:val="center"/>
            <w:hideMark/>
          </w:tcPr>
          <w:p w14:paraId="2E01CA10" w14:textId="05DD5BD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44,75</w:t>
            </w:r>
          </w:p>
        </w:tc>
        <w:tc>
          <w:tcPr>
            <w:tcW w:w="664" w:type="dxa"/>
            <w:tcBorders>
              <w:top w:val="nil"/>
              <w:left w:val="nil"/>
              <w:bottom w:val="nil"/>
              <w:right w:val="nil"/>
            </w:tcBorders>
            <w:shd w:val="clear" w:color="auto" w:fill="auto"/>
            <w:noWrap/>
            <w:vAlign w:val="center"/>
            <w:hideMark/>
          </w:tcPr>
          <w:p w14:paraId="15B19C09" w14:textId="16F4F6E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47,98</w:t>
            </w:r>
          </w:p>
        </w:tc>
        <w:tc>
          <w:tcPr>
            <w:tcW w:w="664" w:type="dxa"/>
            <w:tcBorders>
              <w:top w:val="nil"/>
              <w:left w:val="nil"/>
              <w:bottom w:val="nil"/>
              <w:right w:val="nil"/>
            </w:tcBorders>
            <w:shd w:val="clear" w:color="auto" w:fill="auto"/>
            <w:noWrap/>
            <w:vAlign w:val="center"/>
            <w:hideMark/>
          </w:tcPr>
          <w:p w14:paraId="59BBBF0A" w14:textId="4EE2CE4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45,41</w:t>
            </w:r>
          </w:p>
        </w:tc>
        <w:tc>
          <w:tcPr>
            <w:tcW w:w="664" w:type="dxa"/>
            <w:tcBorders>
              <w:top w:val="nil"/>
              <w:left w:val="nil"/>
              <w:bottom w:val="nil"/>
              <w:right w:val="nil"/>
            </w:tcBorders>
            <w:shd w:val="clear" w:color="auto" w:fill="auto"/>
            <w:noWrap/>
            <w:vAlign w:val="center"/>
            <w:hideMark/>
          </w:tcPr>
          <w:p w14:paraId="129CBE33" w14:textId="234E8FF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53,76</w:t>
            </w:r>
          </w:p>
        </w:tc>
        <w:tc>
          <w:tcPr>
            <w:tcW w:w="664" w:type="dxa"/>
            <w:tcBorders>
              <w:top w:val="nil"/>
              <w:left w:val="nil"/>
              <w:bottom w:val="nil"/>
              <w:right w:val="nil"/>
            </w:tcBorders>
            <w:shd w:val="clear" w:color="auto" w:fill="auto"/>
            <w:noWrap/>
            <w:vAlign w:val="center"/>
            <w:hideMark/>
          </w:tcPr>
          <w:p w14:paraId="22395CA8" w14:textId="618DCE0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55,56</w:t>
            </w:r>
          </w:p>
        </w:tc>
        <w:tc>
          <w:tcPr>
            <w:tcW w:w="669" w:type="dxa"/>
            <w:tcBorders>
              <w:top w:val="nil"/>
              <w:left w:val="nil"/>
              <w:bottom w:val="nil"/>
              <w:right w:val="nil"/>
            </w:tcBorders>
            <w:shd w:val="clear" w:color="auto" w:fill="auto"/>
            <w:noWrap/>
            <w:vAlign w:val="center"/>
            <w:hideMark/>
          </w:tcPr>
          <w:p w14:paraId="0DA4605E" w14:textId="79431E1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47,87</w:t>
            </w:r>
          </w:p>
        </w:tc>
      </w:tr>
      <w:tr w:rsidR="00846150" w:rsidRPr="008D2084" w14:paraId="319F7162" w14:textId="77777777" w:rsidTr="00572936">
        <w:trPr>
          <w:trHeight w:val="301"/>
        </w:trPr>
        <w:tc>
          <w:tcPr>
            <w:tcW w:w="2722" w:type="dxa"/>
            <w:tcBorders>
              <w:top w:val="nil"/>
              <w:left w:val="nil"/>
              <w:bottom w:val="nil"/>
              <w:right w:val="nil"/>
            </w:tcBorders>
            <w:shd w:val="clear" w:color="auto" w:fill="auto"/>
            <w:vAlign w:val="center"/>
            <w:hideMark/>
          </w:tcPr>
          <w:p w14:paraId="1E3235F9" w14:textId="3D1FC82F"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C </w:t>
            </w:r>
            <w:r>
              <w:rPr>
                <w:rFonts w:ascii="Arial CE" w:hAnsi="Arial CE" w:cs="Arial CE"/>
                <w:sz w:val="16"/>
                <w:szCs w:val="16"/>
              </w:rPr>
              <w:t xml:space="preserve">– </w:t>
            </w:r>
            <w:r w:rsidRPr="008D2084">
              <w:rPr>
                <w:rFonts w:ascii="Arial CE" w:hAnsi="Arial CE" w:cs="Arial CE"/>
                <w:sz w:val="16"/>
                <w:szCs w:val="16"/>
              </w:rPr>
              <w:t>Zpracovatelský průmysl</w:t>
            </w:r>
          </w:p>
        </w:tc>
        <w:tc>
          <w:tcPr>
            <w:tcW w:w="464" w:type="dxa"/>
            <w:tcBorders>
              <w:top w:val="nil"/>
              <w:left w:val="single" w:sz="4" w:space="0" w:color="auto"/>
              <w:bottom w:val="nil"/>
            </w:tcBorders>
            <w:vAlign w:val="center"/>
          </w:tcPr>
          <w:p w14:paraId="766B2CEA" w14:textId="3CB07958"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38,96</w:t>
            </w:r>
          </w:p>
        </w:tc>
        <w:tc>
          <w:tcPr>
            <w:tcW w:w="541" w:type="dxa"/>
            <w:tcBorders>
              <w:top w:val="nil"/>
              <w:left w:val="nil"/>
              <w:bottom w:val="nil"/>
              <w:right w:val="nil"/>
            </w:tcBorders>
            <w:shd w:val="clear" w:color="auto" w:fill="auto"/>
            <w:noWrap/>
            <w:vAlign w:val="center"/>
            <w:hideMark/>
          </w:tcPr>
          <w:p w14:paraId="074D5007" w14:textId="2E1F00B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48,90</w:t>
            </w:r>
          </w:p>
        </w:tc>
        <w:tc>
          <w:tcPr>
            <w:tcW w:w="664" w:type="dxa"/>
            <w:tcBorders>
              <w:top w:val="nil"/>
              <w:left w:val="nil"/>
              <w:bottom w:val="nil"/>
              <w:right w:val="nil"/>
            </w:tcBorders>
            <w:shd w:val="clear" w:color="auto" w:fill="auto"/>
            <w:noWrap/>
            <w:vAlign w:val="center"/>
            <w:hideMark/>
          </w:tcPr>
          <w:p w14:paraId="3C03C35B" w14:textId="0597C3F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43,95</w:t>
            </w:r>
          </w:p>
        </w:tc>
        <w:tc>
          <w:tcPr>
            <w:tcW w:w="664" w:type="dxa"/>
            <w:tcBorders>
              <w:top w:val="nil"/>
              <w:left w:val="nil"/>
              <w:bottom w:val="nil"/>
              <w:right w:val="nil"/>
            </w:tcBorders>
            <w:shd w:val="clear" w:color="auto" w:fill="auto"/>
            <w:noWrap/>
            <w:vAlign w:val="center"/>
            <w:hideMark/>
          </w:tcPr>
          <w:p w14:paraId="776A5757" w14:textId="2262BA9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41,31</w:t>
            </w:r>
          </w:p>
        </w:tc>
        <w:tc>
          <w:tcPr>
            <w:tcW w:w="664" w:type="dxa"/>
            <w:tcBorders>
              <w:top w:val="nil"/>
              <w:left w:val="nil"/>
              <w:bottom w:val="nil"/>
              <w:right w:val="nil"/>
            </w:tcBorders>
            <w:shd w:val="clear" w:color="auto" w:fill="auto"/>
            <w:noWrap/>
            <w:vAlign w:val="center"/>
            <w:hideMark/>
          </w:tcPr>
          <w:p w14:paraId="45A5AA47" w14:textId="66D4199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45,45</w:t>
            </w:r>
          </w:p>
        </w:tc>
        <w:tc>
          <w:tcPr>
            <w:tcW w:w="664" w:type="dxa"/>
            <w:tcBorders>
              <w:top w:val="nil"/>
              <w:left w:val="nil"/>
              <w:bottom w:val="nil"/>
              <w:right w:val="nil"/>
            </w:tcBorders>
            <w:shd w:val="clear" w:color="auto" w:fill="auto"/>
            <w:noWrap/>
            <w:vAlign w:val="center"/>
            <w:hideMark/>
          </w:tcPr>
          <w:p w14:paraId="7F82416D" w14:textId="5C4ACE6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43,71</w:t>
            </w:r>
          </w:p>
        </w:tc>
        <w:tc>
          <w:tcPr>
            <w:tcW w:w="664" w:type="dxa"/>
            <w:tcBorders>
              <w:top w:val="nil"/>
              <w:left w:val="nil"/>
              <w:bottom w:val="nil"/>
              <w:right w:val="nil"/>
            </w:tcBorders>
            <w:shd w:val="clear" w:color="auto" w:fill="auto"/>
            <w:noWrap/>
            <w:vAlign w:val="center"/>
            <w:hideMark/>
          </w:tcPr>
          <w:p w14:paraId="4314F86B" w14:textId="64226CF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44,79</w:t>
            </w:r>
          </w:p>
        </w:tc>
        <w:tc>
          <w:tcPr>
            <w:tcW w:w="664" w:type="dxa"/>
            <w:tcBorders>
              <w:top w:val="nil"/>
              <w:left w:val="nil"/>
              <w:bottom w:val="nil"/>
              <w:right w:val="nil"/>
            </w:tcBorders>
            <w:shd w:val="clear" w:color="auto" w:fill="auto"/>
            <w:noWrap/>
            <w:vAlign w:val="center"/>
            <w:hideMark/>
          </w:tcPr>
          <w:p w14:paraId="168B0A99" w14:textId="2A875BC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41,60</w:t>
            </w:r>
          </w:p>
        </w:tc>
        <w:tc>
          <w:tcPr>
            <w:tcW w:w="664" w:type="dxa"/>
            <w:tcBorders>
              <w:top w:val="nil"/>
              <w:left w:val="nil"/>
              <w:bottom w:val="nil"/>
              <w:right w:val="nil"/>
            </w:tcBorders>
            <w:shd w:val="clear" w:color="auto" w:fill="auto"/>
            <w:noWrap/>
            <w:vAlign w:val="center"/>
            <w:hideMark/>
          </w:tcPr>
          <w:p w14:paraId="6F224E5F" w14:textId="661C8EC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42,36</w:t>
            </w:r>
          </w:p>
        </w:tc>
        <w:tc>
          <w:tcPr>
            <w:tcW w:w="664" w:type="dxa"/>
            <w:tcBorders>
              <w:top w:val="nil"/>
              <w:left w:val="nil"/>
              <w:bottom w:val="nil"/>
              <w:right w:val="nil"/>
            </w:tcBorders>
            <w:shd w:val="clear" w:color="auto" w:fill="auto"/>
            <w:noWrap/>
            <w:vAlign w:val="center"/>
            <w:hideMark/>
          </w:tcPr>
          <w:p w14:paraId="12257499" w14:textId="7F20094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41,89</w:t>
            </w:r>
          </w:p>
        </w:tc>
        <w:tc>
          <w:tcPr>
            <w:tcW w:w="669" w:type="dxa"/>
            <w:tcBorders>
              <w:top w:val="nil"/>
              <w:left w:val="nil"/>
              <w:bottom w:val="nil"/>
              <w:right w:val="nil"/>
            </w:tcBorders>
            <w:shd w:val="clear" w:color="auto" w:fill="auto"/>
            <w:noWrap/>
            <w:vAlign w:val="center"/>
            <w:hideMark/>
          </w:tcPr>
          <w:p w14:paraId="41F6BC37" w14:textId="11209BB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41,18</w:t>
            </w:r>
          </w:p>
        </w:tc>
      </w:tr>
      <w:tr w:rsidR="00846150" w:rsidRPr="008D2084" w14:paraId="24A67563" w14:textId="77777777" w:rsidTr="00572936">
        <w:trPr>
          <w:trHeight w:val="451"/>
        </w:trPr>
        <w:tc>
          <w:tcPr>
            <w:tcW w:w="2722" w:type="dxa"/>
            <w:tcBorders>
              <w:top w:val="nil"/>
              <w:left w:val="nil"/>
              <w:bottom w:val="nil"/>
              <w:right w:val="nil"/>
            </w:tcBorders>
            <w:shd w:val="clear" w:color="auto" w:fill="auto"/>
            <w:vAlign w:val="center"/>
            <w:hideMark/>
          </w:tcPr>
          <w:p w14:paraId="4E1BC01A" w14:textId="77777777" w:rsidR="00572936"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D </w:t>
            </w:r>
            <w:r>
              <w:rPr>
                <w:rFonts w:ascii="Arial CE" w:hAnsi="Arial CE" w:cs="Arial CE"/>
                <w:sz w:val="16"/>
                <w:szCs w:val="16"/>
              </w:rPr>
              <w:t xml:space="preserve">– </w:t>
            </w:r>
            <w:r w:rsidRPr="008D2084">
              <w:rPr>
                <w:rFonts w:ascii="Arial CE" w:hAnsi="Arial CE" w:cs="Arial CE"/>
                <w:sz w:val="16"/>
                <w:szCs w:val="16"/>
              </w:rPr>
              <w:t xml:space="preserve">Výroba a rozvod elektřiny, </w:t>
            </w:r>
          </w:p>
          <w:p w14:paraId="4928B723" w14:textId="77777777" w:rsidR="00572936" w:rsidRDefault="00572936" w:rsidP="0057293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plynu, tepla a klimatiz</w:t>
            </w:r>
            <w:r>
              <w:rPr>
                <w:rFonts w:ascii="Arial CE" w:hAnsi="Arial CE" w:cs="Arial CE"/>
                <w:sz w:val="16"/>
                <w:szCs w:val="16"/>
              </w:rPr>
              <w:t>.</w:t>
            </w:r>
            <w:r w:rsidR="00846150" w:rsidRPr="008D2084">
              <w:rPr>
                <w:rFonts w:ascii="Arial CE" w:hAnsi="Arial CE" w:cs="Arial CE"/>
                <w:sz w:val="16"/>
                <w:szCs w:val="16"/>
              </w:rPr>
              <w:t xml:space="preserve"> </w:t>
            </w:r>
          </w:p>
          <w:p w14:paraId="0422D4F8" w14:textId="66761B0F" w:rsidR="00846150" w:rsidRPr="008D2084" w:rsidRDefault="00572936" w:rsidP="0057293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vzduchu</w:t>
            </w:r>
          </w:p>
        </w:tc>
        <w:tc>
          <w:tcPr>
            <w:tcW w:w="464" w:type="dxa"/>
            <w:tcBorders>
              <w:top w:val="nil"/>
              <w:left w:val="single" w:sz="4" w:space="0" w:color="auto"/>
              <w:bottom w:val="nil"/>
            </w:tcBorders>
            <w:vAlign w:val="center"/>
          </w:tcPr>
          <w:p w14:paraId="0CE91466" w14:textId="2329BEBC"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4750F367" w14:textId="08A7154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40,41</w:t>
            </w:r>
          </w:p>
        </w:tc>
        <w:tc>
          <w:tcPr>
            <w:tcW w:w="664" w:type="dxa"/>
            <w:tcBorders>
              <w:top w:val="nil"/>
              <w:left w:val="nil"/>
              <w:bottom w:val="nil"/>
              <w:right w:val="nil"/>
            </w:tcBorders>
            <w:shd w:val="clear" w:color="auto" w:fill="auto"/>
            <w:noWrap/>
            <w:vAlign w:val="center"/>
            <w:hideMark/>
          </w:tcPr>
          <w:p w14:paraId="079690EF" w14:textId="161EEB8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38,53</w:t>
            </w:r>
          </w:p>
        </w:tc>
        <w:tc>
          <w:tcPr>
            <w:tcW w:w="664" w:type="dxa"/>
            <w:tcBorders>
              <w:top w:val="nil"/>
              <w:left w:val="nil"/>
              <w:bottom w:val="nil"/>
              <w:right w:val="nil"/>
            </w:tcBorders>
            <w:shd w:val="clear" w:color="auto" w:fill="auto"/>
            <w:noWrap/>
            <w:vAlign w:val="center"/>
            <w:hideMark/>
          </w:tcPr>
          <w:p w14:paraId="3642E47C" w14:textId="5F8CE05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39,63</w:t>
            </w:r>
          </w:p>
        </w:tc>
        <w:tc>
          <w:tcPr>
            <w:tcW w:w="664" w:type="dxa"/>
            <w:tcBorders>
              <w:top w:val="nil"/>
              <w:left w:val="nil"/>
              <w:bottom w:val="nil"/>
              <w:right w:val="nil"/>
            </w:tcBorders>
            <w:shd w:val="clear" w:color="auto" w:fill="auto"/>
            <w:noWrap/>
            <w:vAlign w:val="center"/>
            <w:hideMark/>
          </w:tcPr>
          <w:p w14:paraId="3F4443B6" w14:textId="0F95CBA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43,06</w:t>
            </w:r>
          </w:p>
        </w:tc>
        <w:tc>
          <w:tcPr>
            <w:tcW w:w="664" w:type="dxa"/>
            <w:tcBorders>
              <w:top w:val="nil"/>
              <w:left w:val="nil"/>
              <w:bottom w:val="nil"/>
              <w:right w:val="nil"/>
            </w:tcBorders>
            <w:shd w:val="clear" w:color="auto" w:fill="auto"/>
            <w:noWrap/>
            <w:vAlign w:val="center"/>
            <w:hideMark/>
          </w:tcPr>
          <w:p w14:paraId="38E66EB7" w14:textId="4D987F7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38,48</w:t>
            </w:r>
          </w:p>
        </w:tc>
        <w:tc>
          <w:tcPr>
            <w:tcW w:w="664" w:type="dxa"/>
            <w:tcBorders>
              <w:top w:val="nil"/>
              <w:left w:val="nil"/>
              <w:bottom w:val="nil"/>
              <w:right w:val="nil"/>
            </w:tcBorders>
            <w:shd w:val="clear" w:color="auto" w:fill="auto"/>
            <w:noWrap/>
            <w:vAlign w:val="center"/>
            <w:hideMark/>
          </w:tcPr>
          <w:p w14:paraId="7B3234E6" w14:textId="48FB1F2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40,82</w:t>
            </w:r>
          </w:p>
        </w:tc>
        <w:tc>
          <w:tcPr>
            <w:tcW w:w="664" w:type="dxa"/>
            <w:tcBorders>
              <w:top w:val="nil"/>
              <w:left w:val="nil"/>
              <w:bottom w:val="nil"/>
              <w:right w:val="nil"/>
            </w:tcBorders>
            <w:shd w:val="clear" w:color="auto" w:fill="auto"/>
            <w:noWrap/>
            <w:vAlign w:val="center"/>
            <w:hideMark/>
          </w:tcPr>
          <w:p w14:paraId="50245443" w14:textId="1B2CE8C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40,33</w:t>
            </w:r>
          </w:p>
        </w:tc>
        <w:tc>
          <w:tcPr>
            <w:tcW w:w="664" w:type="dxa"/>
            <w:tcBorders>
              <w:top w:val="nil"/>
              <w:left w:val="nil"/>
              <w:bottom w:val="nil"/>
              <w:right w:val="nil"/>
            </w:tcBorders>
            <w:shd w:val="clear" w:color="auto" w:fill="auto"/>
            <w:noWrap/>
            <w:vAlign w:val="center"/>
            <w:hideMark/>
          </w:tcPr>
          <w:p w14:paraId="1CC18029" w14:textId="77A9F2F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41,44</w:t>
            </w:r>
          </w:p>
        </w:tc>
        <w:tc>
          <w:tcPr>
            <w:tcW w:w="664" w:type="dxa"/>
            <w:tcBorders>
              <w:top w:val="nil"/>
              <w:left w:val="nil"/>
              <w:bottom w:val="nil"/>
              <w:right w:val="nil"/>
            </w:tcBorders>
            <w:shd w:val="clear" w:color="auto" w:fill="auto"/>
            <w:noWrap/>
            <w:vAlign w:val="center"/>
            <w:hideMark/>
          </w:tcPr>
          <w:p w14:paraId="465E5500" w14:textId="407F47D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40,27</w:t>
            </w:r>
          </w:p>
        </w:tc>
        <w:tc>
          <w:tcPr>
            <w:tcW w:w="669" w:type="dxa"/>
            <w:tcBorders>
              <w:top w:val="nil"/>
              <w:left w:val="nil"/>
              <w:bottom w:val="nil"/>
              <w:right w:val="nil"/>
            </w:tcBorders>
            <w:shd w:val="clear" w:color="auto" w:fill="auto"/>
            <w:noWrap/>
            <w:vAlign w:val="center"/>
            <w:hideMark/>
          </w:tcPr>
          <w:p w14:paraId="2BEFAC01" w14:textId="2A3A15E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36,91</w:t>
            </w:r>
          </w:p>
        </w:tc>
      </w:tr>
      <w:tr w:rsidR="00846150" w:rsidRPr="008D2084" w14:paraId="704E4EEB" w14:textId="77777777" w:rsidTr="00572936">
        <w:trPr>
          <w:trHeight w:val="677"/>
        </w:trPr>
        <w:tc>
          <w:tcPr>
            <w:tcW w:w="2722" w:type="dxa"/>
            <w:tcBorders>
              <w:top w:val="nil"/>
              <w:left w:val="nil"/>
              <w:bottom w:val="nil"/>
              <w:right w:val="nil"/>
            </w:tcBorders>
            <w:shd w:val="clear" w:color="auto" w:fill="auto"/>
            <w:vAlign w:val="center"/>
            <w:hideMark/>
          </w:tcPr>
          <w:p w14:paraId="20F21455" w14:textId="611FB27F" w:rsidR="00846150"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E </w:t>
            </w:r>
            <w:r>
              <w:rPr>
                <w:rFonts w:ascii="Arial CE" w:hAnsi="Arial CE" w:cs="Arial CE"/>
                <w:sz w:val="16"/>
                <w:szCs w:val="16"/>
              </w:rPr>
              <w:t xml:space="preserve">– </w:t>
            </w:r>
            <w:r w:rsidRPr="008D2084">
              <w:rPr>
                <w:rFonts w:ascii="Arial CE" w:hAnsi="Arial CE" w:cs="Arial CE"/>
                <w:sz w:val="16"/>
                <w:szCs w:val="16"/>
              </w:rPr>
              <w:t>Zásobování vodou; činnosti</w:t>
            </w:r>
          </w:p>
          <w:p w14:paraId="283FA7A2" w14:textId="77777777" w:rsidR="00572936" w:rsidRDefault="00846150"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 xml:space="preserve"> </w:t>
            </w:r>
            <w:r>
              <w:rPr>
                <w:rFonts w:ascii="Arial CE" w:hAnsi="Arial CE" w:cs="Arial CE"/>
                <w:sz w:val="16"/>
                <w:szCs w:val="16"/>
              </w:rPr>
              <w:t xml:space="preserve"> </w:t>
            </w:r>
            <w:r w:rsidRPr="008D2084">
              <w:rPr>
                <w:rFonts w:ascii="Arial CE" w:hAnsi="Arial CE" w:cs="Arial CE"/>
                <w:sz w:val="16"/>
                <w:szCs w:val="16"/>
              </w:rPr>
              <w:t xml:space="preserve">související s odpadními </w:t>
            </w:r>
          </w:p>
          <w:p w14:paraId="4131C62A" w14:textId="5CBDC613" w:rsidR="00846150" w:rsidRPr="008D2084" w:rsidRDefault="00572936" w:rsidP="0057293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vodami, odpady a sanacemi</w:t>
            </w:r>
          </w:p>
        </w:tc>
        <w:tc>
          <w:tcPr>
            <w:tcW w:w="464" w:type="dxa"/>
            <w:tcBorders>
              <w:top w:val="nil"/>
              <w:left w:val="single" w:sz="4" w:space="0" w:color="auto"/>
              <w:bottom w:val="nil"/>
            </w:tcBorders>
            <w:vAlign w:val="center"/>
          </w:tcPr>
          <w:p w14:paraId="41BCED72" w14:textId="3022C61A"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2D8C1293" w14:textId="64C0565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46,88</w:t>
            </w:r>
          </w:p>
        </w:tc>
        <w:tc>
          <w:tcPr>
            <w:tcW w:w="664" w:type="dxa"/>
            <w:tcBorders>
              <w:top w:val="nil"/>
              <w:left w:val="nil"/>
              <w:bottom w:val="nil"/>
              <w:right w:val="nil"/>
            </w:tcBorders>
            <w:shd w:val="clear" w:color="auto" w:fill="auto"/>
            <w:noWrap/>
            <w:vAlign w:val="center"/>
            <w:hideMark/>
          </w:tcPr>
          <w:p w14:paraId="71B16FA9" w14:textId="2595D6F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45,62</w:t>
            </w:r>
          </w:p>
        </w:tc>
        <w:tc>
          <w:tcPr>
            <w:tcW w:w="664" w:type="dxa"/>
            <w:tcBorders>
              <w:top w:val="nil"/>
              <w:left w:val="nil"/>
              <w:bottom w:val="nil"/>
              <w:right w:val="nil"/>
            </w:tcBorders>
            <w:shd w:val="clear" w:color="auto" w:fill="auto"/>
            <w:noWrap/>
            <w:vAlign w:val="center"/>
            <w:hideMark/>
          </w:tcPr>
          <w:p w14:paraId="3F159391" w14:textId="44DB426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44,71</w:t>
            </w:r>
          </w:p>
        </w:tc>
        <w:tc>
          <w:tcPr>
            <w:tcW w:w="664" w:type="dxa"/>
            <w:tcBorders>
              <w:top w:val="nil"/>
              <w:left w:val="nil"/>
              <w:bottom w:val="nil"/>
              <w:right w:val="nil"/>
            </w:tcBorders>
            <w:shd w:val="clear" w:color="auto" w:fill="auto"/>
            <w:noWrap/>
            <w:vAlign w:val="center"/>
            <w:hideMark/>
          </w:tcPr>
          <w:p w14:paraId="39CAEE2E" w14:textId="7176D41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48,03</w:t>
            </w:r>
          </w:p>
        </w:tc>
        <w:tc>
          <w:tcPr>
            <w:tcW w:w="664" w:type="dxa"/>
            <w:tcBorders>
              <w:top w:val="nil"/>
              <w:left w:val="nil"/>
              <w:bottom w:val="nil"/>
              <w:right w:val="nil"/>
            </w:tcBorders>
            <w:shd w:val="clear" w:color="auto" w:fill="auto"/>
            <w:noWrap/>
            <w:vAlign w:val="center"/>
            <w:hideMark/>
          </w:tcPr>
          <w:p w14:paraId="39201FA5" w14:textId="6552879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45,18</w:t>
            </w:r>
          </w:p>
        </w:tc>
        <w:tc>
          <w:tcPr>
            <w:tcW w:w="664" w:type="dxa"/>
            <w:tcBorders>
              <w:top w:val="nil"/>
              <w:left w:val="nil"/>
              <w:bottom w:val="nil"/>
              <w:right w:val="nil"/>
            </w:tcBorders>
            <w:shd w:val="clear" w:color="auto" w:fill="auto"/>
            <w:noWrap/>
            <w:vAlign w:val="center"/>
            <w:hideMark/>
          </w:tcPr>
          <w:p w14:paraId="206ADAFB" w14:textId="4AFD353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48,12</w:t>
            </w:r>
          </w:p>
        </w:tc>
        <w:tc>
          <w:tcPr>
            <w:tcW w:w="664" w:type="dxa"/>
            <w:tcBorders>
              <w:top w:val="nil"/>
              <w:left w:val="nil"/>
              <w:bottom w:val="nil"/>
              <w:right w:val="nil"/>
            </w:tcBorders>
            <w:shd w:val="clear" w:color="auto" w:fill="auto"/>
            <w:noWrap/>
            <w:vAlign w:val="center"/>
            <w:hideMark/>
          </w:tcPr>
          <w:p w14:paraId="3E5F8116" w14:textId="54BAF2A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45,02</w:t>
            </w:r>
          </w:p>
        </w:tc>
        <w:tc>
          <w:tcPr>
            <w:tcW w:w="664" w:type="dxa"/>
            <w:tcBorders>
              <w:top w:val="nil"/>
              <w:left w:val="nil"/>
              <w:bottom w:val="nil"/>
              <w:right w:val="nil"/>
            </w:tcBorders>
            <w:shd w:val="clear" w:color="auto" w:fill="auto"/>
            <w:noWrap/>
            <w:vAlign w:val="center"/>
            <w:hideMark/>
          </w:tcPr>
          <w:p w14:paraId="70E801C8" w14:textId="3107A9B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45,00</w:t>
            </w:r>
          </w:p>
        </w:tc>
        <w:tc>
          <w:tcPr>
            <w:tcW w:w="664" w:type="dxa"/>
            <w:tcBorders>
              <w:top w:val="nil"/>
              <w:left w:val="nil"/>
              <w:bottom w:val="nil"/>
              <w:right w:val="nil"/>
            </w:tcBorders>
            <w:shd w:val="clear" w:color="auto" w:fill="auto"/>
            <w:noWrap/>
            <w:vAlign w:val="center"/>
            <w:hideMark/>
          </w:tcPr>
          <w:p w14:paraId="0F9938DD" w14:textId="4060484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44,62</w:t>
            </w:r>
          </w:p>
        </w:tc>
        <w:tc>
          <w:tcPr>
            <w:tcW w:w="669" w:type="dxa"/>
            <w:tcBorders>
              <w:top w:val="nil"/>
              <w:left w:val="nil"/>
              <w:bottom w:val="nil"/>
              <w:right w:val="nil"/>
            </w:tcBorders>
            <w:shd w:val="clear" w:color="auto" w:fill="auto"/>
            <w:noWrap/>
            <w:vAlign w:val="center"/>
            <w:hideMark/>
          </w:tcPr>
          <w:p w14:paraId="04273CA6" w14:textId="1F845B9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44,01</w:t>
            </w:r>
          </w:p>
        </w:tc>
      </w:tr>
      <w:tr w:rsidR="00846150" w:rsidRPr="008D2084" w14:paraId="1E61D47C" w14:textId="77777777" w:rsidTr="00572936">
        <w:trPr>
          <w:trHeight w:val="301"/>
        </w:trPr>
        <w:tc>
          <w:tcPr>
            <w:tcW w:w="2722" w:type="dxa"/>
            <w:tcBorders>
              <w:top w:val="nil"/>
              <w:left w:val="nil"/>
              <w:bottom w:val="nil"/>
              <w:right w:val="nil"/>
            </w:tcBorders>
            <w:shd w:val="clear" w:color="auto" w:fill="auto"/>
            <w:vAlign w:val="center"/>
            <w:hideMark/>
          </w:tcPr>
          <w:p w14:paraId="07368A6E" w14:textId="26024F3D"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F </w:t>
            </w:r>
            <w:r>
              <w:rPr>
                <w:rFonts w:ascii="Arial CE" w:hAnsi="Arial CE" w:cs="Arial CE"/>
                <w:sz w:val="16"/>
                <w:szCs w:val="16"/>
              </w:rPr>
              <w:t xml:space="preserve">– </w:t>
            </w:r>
            <w:r w:rsidRPr="008D2084">
              <w:rPr>
                <w:rFonts w:ascii="Arial CE" w:hAnsi="Arial CE" w:cs="Arial CE"/>
                <w:sz w:val="16"/>
                <w:szCs w:val="16"/>
              </w:rPr>
              <w:t>Stavebnictví</w:t>
            </w:r>
          </w:p>
        </w:tc>
        <w:tc>
          <w:tcPr>
            <w:tcW w:w="464" w:type="dxa"/>
            <w:tcBorders>
              <w:top w:val="nil"/>
              <w:left w:val="single" w:sz="4" w:space="0" w:color="auto"/>
              <w:bottom w:val="nil"/>
            </w:tcBorders>
            <w:vAlign w:val="center"/>
          </w:tcPr>
          <w:p w14:paraId="502FE943" w14:textId="3A79EB23"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42,70</w:t>
            </w:r>
          </w:p>
        </w:tc>
        <w:tc>
          <w:tcPr>
            <w:tcW w:w="541" w:type="dxa"/>
            <w:tcBorders>
              <w:top w:val="nil"/>
              <w:left w:val="nil"/>
              <w:bottom w:val="nil"/>
              <w:right w:val="nil"/>
            </w:tcBorders>
            <w:shd w:val="clear" w:color="auto" w:fill="auto"/>
            <w:noWrap/>
            <w:vAlign w:val="center"/>
            <w:hideMark/>
          </w:tcPr>
          <w:p w14:paraId="52695794" w14:textId="07EDFDD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50,28</w:t>
            </w:r>
          </w:p>
        </w:tc>
        <w:tc>
          <w:tcPr>
            <w:tcW w:w="664" w:type="dxa"/>
            <w:tcBorders>
              <w:top w:val="nil"/>
              <w:left w:val="nil"/>
              <w:bottom w:val="nil"/>
              <w:right w:val="nil"/>
            </w:tcBorders>
            <w:shd w:val="clear" w:color="auto" w:fill="auto"/>
            <w:noWrap/>
            <w:vAlign w:val="center"/>
            <w:hideMark/>
          </w:tcPr>
          <w:p w14:paraId="2E51BCC2" w14:textId="64BB592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53,37</w:t>
            </w:r>
          </w:p>
        </w:tc>
        <w:tc>
          <w:tcPr>
            <w:tcW w:w="664" w:type="dxa"/>
            <w:tcBorders>
              <w:top w:val="nil"/>
              <w:left w:val="nil"/>
              <w:bottom w:val="nil"/>
              <w:right w:val="nil"/>
            </w:tcBorders>
            <w:shd w:val="clear" w:color="auto" w:fill="auto"/>
            <w:noWrap/>
            <w:vAlign w:val="center"/>
            <w:hideMark/>
          </w:tcPr>
          <w:p w14:paraId="10C318D9" w14:textId="1E4152D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59,59</w:t>
            </w:r>
          </w:p>
        </w:tc>
        <w:tc>
          <w:tcPr>
            <w:tcW w:w="664" w:type="dxa"/>
            <w:tcBorders>
              <w:top w:val="nil"/>
              <w:left w:val="nil"/>
              <w:bottom w:val="nil"/>
              <w:right w:val="nil"/>
            </w:tcBorders>
            <w:shd w:val="clear" w:color="auto" w:fill="auto"/>
            <w:noWrap/>
            <w:vAlign w:val="center"/>
            <w:hideMark/>
          </w:tcPr>
          <w:p w14:paraId="279D036B" w14:textId="461FDA6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58,18</w:t>
            </w:r>
          </w:p>
        </w:tc>
        <w:tc>
          <w:tcPr>
            <w:tcW w:w="664" w:type="dxa"/>
            <w:tcBorders>
              <w:top w:val="nil"/>
              <w:left w:val="nil"/>
              <w:bottom w:val="nil"/>
              <w:right w:val="nil"/>
            </w:tcBorders>
            <w:shd w:val="clear" w:color="auto" w:fill="auto"/>
            <w:noWrap/>
            <w:vAlign w:val="center"/>
            <w:hideMark/>
          </w:tcPr>
          <w:p w14:paraId="4D98D764" w14:textId="5E3BDAC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57,11</w:t>
            </w:r>
          </w:p>
        </w:tc>
        <w:tc>
          <w:tcPr>
            <w:tcW w:w="664" w:type="dxa"/>
            <w:tcBorders>
              <w:top w:val="nil"/>
              <w:left w:val="nil"/>
              <w:bottom w:val="nil"/>
              <w:right w:val="nil"/>
            </w:tcBorders>
            <w:shd w:val="clear" w:color="auto" w:fill="auto"/>
            <w:noWrap/>
            <w:vAlign w:val="center"/>
            <w:hideMark/>
          </w:tcPr>
          <w:p w14:paraId="7B8C0804" w14:textId="0D19A13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59,28</w:t>
            </w:r>
          </w:p>
        </w:tc>
        <w:tc>
          <w:tcPr>
            <w:tcW w:w="664" w:type="dxa"/>
            <w:tcBorders>
              <w:top w:val="nil"/>
              <w:left w:val="nil"/>
              <w:bottom w:val="nil"/>
              <w:right w:val="nil"/>
            </w:tcBorders>
            <w:shd w:val="clear" w:color="auto" w:fill="auto"/>
            <w:noWrap/>
            <w:vAlign w:val="center"/>
            <w:hideMark/>
          </w:tcPr>
          <w:p w14:paraId="461C88D9" w14:textId="6921D81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53,81</w:t>
            </w:r>
          </w:p>
        </w:tc>
        <w:tc>
          <w:tcPr>
            <w:tcW w:w="664" w:type="dxa"/>
            <w:tcBorders>
              <w:top w:val="nil"/>
              <w:left w:val="nil"/>
              <w:bottom w:val="nil"/>
              <w:right w:val="nil"/>
            </w:tcBorders>
            <w:shd w:val="clear" w:color="auto" w:fill="auto"/>
            <w:noWrap/>
            <w:vAlign w:val="center"/>
            <w:hideMark/>
          </w:tcPr>
          <w:p w14:paraId="4FBACF5D" w14:textId="215D25F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54,60</w:t>
            </w:r>
          </w:p>
        </w:tc>
        <w:tc>
          <w:tcPr>
            <w:tcW w:w="664" w:type="dxa"/>
            <w:tcBorders>
              <w:top w:val="nil"/>
              <w:left w:val="nil"/>
              <w:bottom w:val="nil"/>
              <w:right w:val="nil"/>
            </w:tcBorders>
            <w:shd w:val="clear" w:color="auto" w:fill="auto"/>
            <w:noWrap/>
            <w:vAlign w:val="center"/>
            <w:hideMark/>
          </w:tcPr>
          <w:p w14:paraId="4CB1F727" w14:textId="7AF01E9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53,92</w:t>
            </w:r>
          </w:p>
        </w:tc>
        <w:tc>
          <w:tcPr>
            <w:tcW w:w="669" w:type="dxa"/>
            <w:tcBorders>
              <w:top w:val="nil"/>
              <w:left w:val="nil"/>
              <w:bottom w:val="nil"/>
              <w:right w:val="nil"/>
            </w:tcBorders>
            <w:shd w:val="clear" w:color="auto" w:fill="auto"/>
            <w:noWrap/>
            <w:vAlign w:val="center"/>
            <w:hideMark/>
          </w:tcPr>
          <w:p w14:paraId="6263813C" w14:textId="035458C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52,14</w:t>
            </w:r>
          </w:p>
        </w:tc>
      </w:tr>
      <w:tr w:rsidR="00846150" w:rsidRPr="008D2084" w14:paraId="6E17EBF4" w14:textId="77777777" w:rsidTr="00572936">
        <w:trPr>
          <w:trHeight w:val="451"/>
        </w:trPr>
        <w:tc>
          <w:tcPr>
            <w:tcW w:w="2722" w:type="dxa"/>
            <w:tcBorders>
              <w:top w:val="nil"/>
              <w:left w:val="nil"/>
              <w:bottom w:val="nil"/>
              <w:right w:val="nil"/>
            </w:tcBorders>
            <w:shd w:val="clear" w:color="auto" w:fill="auto"/>
            <w:vAlign w:val="center"/>
            <w:hideMark/>
          </w:tcPr>
          <w:p w14:paraId="2A214BED" w14:textId="088DF598" w:rsidR="00846150"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G </w:t>
            </w:r>
            <w:r>
              <w:rPr>
                <w:rFonts w:ascii="Arial CE" w:hAnsi="Arial CE" w:cs="Arial CE"/>
                <w:sz w:val="16"/>
                <w:szCs w:val="16"/>
              </w:rPr>
              <w:t xml:space="preserve">– </w:t>
            </w:r>
            <w:r w:rsidRPr="008D2084">
              <w:rPr>
                <w:rFonts w:ascii="Arial CE" w:hAnsi="Arial CE" w:cs="Arial CE"/>
                <w:sz w:val="16"/>
                <w:szCs w:val="16"/>
              </w:rPr>
              <w:t>Velkoobchod</w:t>
            </w:r>
            <w:r>
              <w:rPr>
                <w:rFonts w:ascii="Arial CE" w:hAnsi="Arial CE" w:cs="Arial CE"/>
                <w:sz w:val="16"/>
                <w:szCs w:val="16"/>
              </w:rPr>
              <w:t xml:space="preserve"> a maloobchod; </w:t>
            </w:r>
          </w:p>
          <w:p w14:paraId="5A6A8363" w14:textId="77777777" w:rsidR="00846150" w:rsidRDefault="00846150"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opravy a údržba </w:t>
            </w:r>
            <w:r w:rsidRPr="008D2084">
              <w:rPr>
                <w:rFonts w:ascii="Arial CE" w:hAnsi="Arial CE" w:cs="Arial CE"/>
                <w:sz w:val="16"/>
                <w:szCs w:val="16"/>
              </w:rPr>
              <w:t>motorových</w:t>
            </w:r>
          </w:p>
          <w:p w14:paraId="433F40F6" w14:textId="77777777" w:rsidR="00846150" w:rsidRPr="008D2084" w:rsidRDefault="00846150"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 xml:space="preserve"> vozidel</w:t>
            </w:r>
          </w:p>
        </w:tc>
        <w:tc>
          <w:tcPr>
            <w:tcW w:w="464" w:type="dxa"/>
            <w:tcBorders>
              <w:top w:val="nil"/>
              <w:left w:val="single" w:sz="4" w:space="0" w:color="auto"/>
              <w:bottom w:val="nil"/>
            </w:tcBorders>
            <w:vAlign w:val="center"/>
          </w:tcPr>
          <w:p w14:paraId="0369A0B0" w14:textId="410CADFD"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40,28</w:t>
            </w:r>
          </w:p>
        </w:tc>
        <w:tc>
          <w:tcPr>
            <w:tcW w:w="541" w:type="dxa"/>
            <w:tcBorders>
              <w:top w:val="nil"/>
              <w:left w:val="nil"/>
              <w:bottom w:val="nil"/>
              <w:right w:val="nil"/>
            </w:tcBorders>
            <w:shd w:val="clear" w:color="auto" w:fill="auto"/>
            <w:noWrap/>
            <w:vAlign w:val="center"/>
            <w:hideMark/>
          </w:tcPr>
          <w:p w14:paraId="6CABE898" w14:textId="5914861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45,39</w:t>
            </w:r>
          </w:p>
        </w:tc>
        <w:tc>
          <w:tcPr>
            <w:tcW w:w="664" w:type="dxa"/>
            <w:tcBorders>
              <w:top w:val="nil"/>
              <w:left w:val="nil"/>
              <w:bottom w:val="nil"/>
              <w:right w:val="nil"/>
            </w:tcBorders>
            <w:shd w:val="clear" w:color="auto" w:fill="auto"/>
            <w:noWrap/>
            <w:vAlign w:val="center"/>
            <w:hideMark/>
          </w:tcPr>
          <w:p w14:paraId="1A06F726" w14:textId="25FDE15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48,50</w:t>
            </w:r>
          </w:p>
        </w:tc>
        <w:tc>
          <w:tcPr>
            <w:tcW w:w="664" w:type="dxa"/>
            <w:tcBorders>
              <w:top w:val="nil"/>
              <w:left w:val="nil"/>
              <w:bottom w:val="nil"/>
              <w:right w:val="nil"/>
            </w:tcBorders>
            <w:shd w:val="clear" w:color="auto" w:fill="auto"/>
            <w:noWrap/>
            <w:vAlign w:val="center"/>
            <w:hideMark/>
          </w:tcPr>
          <w:p w14:paraId="18441DE3" w14:textId="04C5BCF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48,49</w:t>
            </w:r>
          </w:p>
        </w:tc>
        <w:tc>
          <w:tcPr>
            <w:tcW w:w="664" w:type="dxa"/>
            <w:tcBorders>
              <w:top w:val="nil"/>
              <w:left w:val="nil"/>
              <w:bottom w:val="nil"/>
              <w:right w:val="nil"/>
            </w:tcBorders>
            <w:shd w:val="clear" w:color="auto" w:fill="auto"/>
            <w:noWrap/>
            <w:vAlign w:val="center"/>
            <w:hideMark/>
          </w:tcPr>
          <w:p w14:paraId="083B3FF8" w14:textId="339E2F1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51,01</w:t>
            </w:r>
          </w:p>
        </w:tc>
        <w:tc>
          <w:tcPr>
            <w:tcW w:w="664" w:type="dxa"/>
            <w:tcBorders>
              <w:top w:val="nil"/>
              <w:left w:val="nil"/>
              <w:bottom w:val="nil"/>
              <w:right w:val="nil"/>
            </w:tcBorders>
            <w:shd w:val="clear" w:color="auto" w:fill="auto"/>
            <w:noWrap/>
            <w:vAlign w:val="center"/>
            <w:hideMark/>
          </w:tcPr>
          <w:p w14:paraId="6411D0E7" w14:textId="688813F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48,73</w:t>
            </w:r>
          </w:p>
        </w:tc>
        <w:tc>
          <w:tcPr>
            <w:tcW w:w="664" w:type="dxa"/>
            <w:tcBorders>
              <w:top w:val="nil"/>
              <w:left w:val="nil"/>
              <w:bottom w:val="nil"/>
              <w:right w:val="nil"/>
            </w:tcBorders>
            <w:shd w:val="clear" w:color="auto" w:fill="auto"/>
            <w:noWrap/>
            <w:vAlign w:val="center"/>
            <w:hideMark/>
          </w:tcPr>
          <w:p w14:paraId="1A881685" w14:textId="4AC6A88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50,32</w:t>
            </w:r>
          </w:p>
        </w:tc>
        <w:tc>
          <w:tcPr>
            <w:tcW w:w="664" w:type="dxa"/>
            <w:tcBorders>
              <w:top w:val="nil"/>
              <w:left w:val="nil"/>
              <w:bottom w:val="nil"/>
              <w:right w:val="nil"/>
            </w:tcBorders>
            <w:shd w:val="clear" w:color="auto" w:fill="auto"/>
            <w:noWrap/>
            <w:vAlign w:val="center"/>
            <w:hideMark/>
          </w:tcPr>
          <w:p w14:paraId="71D4B5AB" w14:textId="74E226B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46,67</w:t>
            </w:r>
          </w:p>
        </w:tc>
        <w:tc>
          <w:tcPr>
            <w:tcW w:w="664" w:type="dxa"/>
            <w:tcBorders>
              <w:top w:val="nil"/>
              <w:left w:val="nil"/>
              <w:bottom w:val="nil"/>
              <w:right w:val="nil"/>
            </w:tcBorders>
            <w:shd w:val="clear" w:color="auto" w:fill="auto"/>
            <w:noWrap/>
            <w:vAlign w:val="center"/>
            <w:hideMark/>
          </w:tcPr>
          <w:p w14:paraId="084A5AA9" w14:textId="25CB90D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44,91</w:t>
            </w:r>
          </w:p>
        </w:tc>
        <w:tc>
          <w:tcPr>
            <w:tcW w:w="664" w:type="dxa"/>
            <w:tcBorders>
              <w:top w:val="nil"/>
              <w:left w:val="nil"/>
              <w:bottom w:val="nil"/>
              <w:right w:val="nil"/>
            </w:tcBorders>
            <w:shd w:val="clear" w:color="auto" w:fill="auto"/>
            <w:noWrap/>
            <w:vAlign w:val="center"/>
            <w:hideMark/>
          </w:tcPr>
          <w:p w14:paraId="2784AA7C" w14:textId="1228E7D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44,84</w:t>
            </w:r>
          </w:p>
        </w:tc>
        <w:tc>
          <w:tcPr>
            <w:tcW w:w="669" w:type="dxa"/>
            <w:tcBorders>
              <w:top w:val="nil"/>
              <w:left w:val="nil"/>
              <w:bottom w:val="nil"/>
              <w:right w:val="nil"/>
            </w:tcBorders>
            <w:shd w:val="clear" w:color="auto" w:fill="auto"/>
            <w:noWrap/>
            <w:vAlign w:val="center"/>
            <w:hideMark/>
          </w:tcPr>
          <w:p w14:paraId="278D2D84" w14:textId="0A68362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44,20</w:t>
            </w:r>
          </w:p>
        </w:tc>
      </w:tr>
      <w:tr w:rsidR="00846150" w:rsidRPr="008D2084" w14:paraId="370974C7" w14:textId="77777777" w:rsidTr="00572936">
        <w:trPr>
          <w:trHeight w:val="301"/>
        </w:trPr>
        <w:tc>
          <w:tcPr>
            <w:tcW w:w="2722" w:type="dxa"/>
            <w:tcBorders>
              <w:top w:val="nil"/>
              <w:left w:val="nil"/>
              <w:bottom w:val="nil"/>
              <w:right w:val="nil"/>
            </w:tcBorders>
            <w:shd w:val="clear" w:color="auto" w:fill="auto"/>
            <w:vAlign w:val="center"/>
            <w:hideMark/>
          </w:tcPr>
          <w:p w14:paraId="26C3E907" w14:textId="252B4124"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H </w:t>
            </w:r>
            <w:r>
              <w:rPr>
                <w:rFonts w:ascii="Arial CE" w:hAnsi="Arial CE" w:cs="Arial CE"/>
                <w:sz w:val="16"/>
                <w:szCs w:val="16"/>
              </w:rPr>
              <w:t xml:space="preserve">– </w:t>
            </w:r>
            <w:r w:rsidRPr="008D2084">
              <w:rPr>
                <w:rFonts w:ascii="Arial CE" w:hAnsi="Arial CE" w:cs="Arial CE"/>
                <w:sz w:val="16"/>
                <w:szCs w:val="16"/>
              </w:rPr>
              <w:t>Doprava a skladování</w:t>
            </w:r>
          </w:p>
        </w:tc>
        <w:tc>
          <w:tcPr>
            <w:tcW w:w="464" w:type="dxa"/>
            <w:tcBorders>
              <w:top w:val="nil"/>
              <w:left w:val="single" w:sz="4" w:space="0" w:color="auto"/>
              <w:bottom w:val="nil"/>
            </w:tcBorders>
            <w:vAlign w:val="center"/>
          </w:tcPr>
          <w:p w14:paraId="5071012F" w14:textId="5B97D8C6"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44CF6EE9" w14:textId="0646427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49,50</w:t>
            </w:r>
          </w:p>
        </w:tc>
        <w:tc>
          <w:tcPr>
            <w:tcW w:w="664" w:type="dxa"/>
            <w:tcBorders>
              <w:top w:val="nil"/>
              <w:left w:val="nil"/>
              <w:bottom w:val="nil"/>
              <w:right w:val="nil"/>
            </w:tcBorders>
            <w:shd w:val="clear" w:color="auto" w:fill="auto"/>
            <w:noWrap/>
            <w:vAlign w:val="center"/>
            <w:hideMark/>
          </w:tcPr>
          <w:p w14:paraId="64DEB16A" w14:textId="24C6F4E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47,25</w:t>
            </w:r>
          </w:p>
        </w:tc>
        <w:tc>
          <w:tcPr>
            <w:tcW w:w="664" w:type="dxa"/>
            <w:tcBorders>
              <w:top w:val="nil"/>
              <w:left w:val="nil"/>
              <w:bottom w:val="nil"/>
              <w:right w:val="nil"/>
            </w:tcBorders>
            <w:shd w:val="clear" w:color="auto" w:fill="auto"/>
            <w:noWrap/>
            <w:vAlign w:val="center"/>
            <w:hideMark/>
          </w:tcPr>
          <w:p w14:paraId="4E49285E" w14:textId="2D22032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46,90</w:t>
            </w:r>
          </w:p>
        </w:tc>
        <w:tc>
          <w:tcPr>
            <w:tcW w:w="664" w:type="dxa"/>
            <w:tcBorders>
              <w:top w:val="nil"/>
              <w:left w:val="nil"/>
              <w:bottom w:val="nil"/>
              <w:right w:val="nil"/>
            </w:tcBorders>
            <w:shd w:val="clear" w:color="auto" w:fill="auto"/>
            <w:noWrap/>
            <w:vAlign w:val="center"/>
            <w:hideMark/>
          </w:tcPr>
          <w:p w14:paraId="679E7776" w14:textId="199AFE9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50,95</w:t>
            </w:r>
          </w:p>
        </w:tc>
        <w:tc>
          <w:tcPr>
            <w:tcW w:w="664" w:type="dxa"/>
            <w:tcBorders>
              <w:top w:val="nil"/>
              <w:left w:val="nil"/>
              <w:bottom w:val="nil"/>
              <w:right w:val="nil"/>
            </w:tcBorders>
            <w:shd w:val="clear" w:color="auto" w:fill="auto"/>
            <w:noWrap/>
            <w:vAlign w:val="center"/>
            <w:hideMark/>
          </w:tcPr>
          <w:p w14:paraId="4559D77D" w14:textId="5B2103B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49,99</w:t>
            </w:r>
          </w:p>
        </w:tc>
        <w:tc>
          <w:tcPr>
            <w:tcW w:w="664" w:type="dxa"/>
            <w:tcBorders>
              <w:top w:val="nil"/>
              <w:left w:val="nil"/>
              <w:bottom w:val="nil"/>
              <w:right w:val="nil"/>
            </w:tcBorders>
            <w:shd w:val="clear" w:color="auto" w:fill="auto"/>
            <w:noWrap/>
            <w:vAlign w:val="center"/>
            <w:hideMark/>
          </w:tcPr>
          <w:p w14:paraId="22ACA649" w14:textId="09E2380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50,88</w:t>
            </w:r>
          </w:p>
        </w:tc>
        <w:tc>
          <w:tcPr>
            <w:tcW w:w="664" w:type="dxa"/>
            <w:tcBorders>
              <w:top w:val="nil"/>
              <w:left w:val="nil"/>
              <w:bottom w:val="nil"/>
              <w:right w:val="nil"/>
            </w:tcBorders>
            <w:shd w:val="clear" w:color="auto" w:fill="auto"/>
            <w:noWrap/>
            <w:vAlign w:val="center"/>
            <w:hideMark/>
          </w:tcPr>
          <w:p w14:paraId="54740A1F" w14:textId="1CF4927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45,78</w:t>
            </w:r>
          </w:p>
        </w:tc>
        <w:tc>
          <w:tcPr>
            <w:tcW w:w="664" w:type="dxa"/>
            <w:tcBorders>
              <w:top w:val="nil"/>
              <w:left w:val="nil"/>
              <w:bottom w:val="nil"/>
              <w:right w:val="nil"/>
            </w:tcBorders>
            <w:shd w:val="clear" w:color="auto" w:fill="auto"/>
            <w:noWrap/>
            <w:vAlign w:val="center"/>
            <w:hideMark/>
          </w:tcPr>
          <w:p w14:paraId="02B52BAB" w14:textId="4D2AFEF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45,87</w:t>
            </w:r>
          </w:p>
        </w:tc>
        <w:tc>
          <w:tcPr>
            <w:tcW w:w="664" w:type="dxa"/>
            <w:tcBorders>
              <w:top w:val="nil"/>
              <w:left w:val="nil"/>
              <w:bottom w:val="nil"/>
              <w:right w:val="nil"/>
            </w:tcBorders>
            <w:shd w:val="clear" w:color="auto" w:fill="auto"/>
            <w:noWrap/>
            <w:vAlign w:val="center"/>
            <w:hideMark/>
          </w:tcPr>
          <w:p w14:paraId="7B5901E1" w14:textId="5214CCA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44,23</w:t>
            </w:r>
          </w:p>
        </w:tc>
        <w:tc>
          <w:tcPr>
            <w:tcW w:w="669" w:type="dxa"/>
            <w:tcBorders>
              <w:top w:val="nil"/>
              <w:left w:val="nil"/>
              <w:bottom w:val="nil"/>
              <w:right w:val="nil"/>
            </w:tcBorders>
            <w:shd w:val="clear" w:color="auto" w:fill="auto"/>
            <w:noWrap/>
            <w:vAlign w:val="center"/>
            <w:hideMark/>
          </w:tcPr>
          <w:p w14:paraId="20AA0EE0" w14:textId="3BE47C5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44,19</w:t>
            </w:r>
          </w:p>
        </w:tc>
      </w:tr>
      <w:tr w:rsidR="00846150" w:rsidRPr="008D2084" w14:paraId="524346AD" w14:textId="77777777" w:rsidTr="00572936">
        <w:trPr>
          <w:trHeight w:val="451"/>
        </w:trPr>
        <w:tc>
          <w:tcPr>
            <w:tcW w:w="2722" w:type="dxa"/>
            <w:tcBorders>
              <w:top w:val="nil"/>
              <w:left w:val="nil"/>
              <w:bottom w:val="nil"/>
              <w:right w:val="nil"/>
            </w:tcBorders>
            <w:shd w:val="clear" w:color="auto" w:fill="auto"/>
            <w:vAlign w:val="center"/>
            <w:hideMark/>
          </w:tcPr>
          <w:p w14:paraId="73E8CD28" w14:textId="77777777" w:rsidR="00F547BE"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I </w:t>
            </w:r>
            <w:r>
              <w:rPr>
                <w:rFonts w:ascii="Arial CE" w:hAnsi="Arial CE" w:cs="Arial CE"/>
                <w:sz w:val="16"/>
                <w:szCs w:val="16"/>
              </w:rPr>
              <w:t xml:space="preserve">– </w:t>
            </w:r>
            <w:r w:rsidRPr="008D2084">
              <w:rPr>
                <w:rFonts w:ascii="Arial CE" w:hAnsi="Arial CE" w:cs="Arial CE"/>
                <w:sz w:val="16"/>
                <w:szCs w:val="16"/>
              </w:rPr>
              <w:t>Ubytování, stravování</w:t>
            </w:r>
          </w:p>
          <w:p w14:paraId="00D1C220" w14:textId="4F6E9F48" w:rsidR="00846150" w:rsidRPr="008D2084" w:rsidRDefault="00F547BE" w:rsidP="00F547BE">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 xml:space="preserve"> a</w:t>
            </w:r>
            <w:r w:rsidR="00846150">
              <w:rPr>
                <w:rFonts w:ascii="Arial CE" w:hAnsi="Arial CE" w:cs="Arial CE"/>
                <w:sz w:val="16"/>
                <w:szCs w:val="16"/>
              </w:rPr>
              <w:t xml:space="preserve"> </w:t>
            </w:r>
            <w:r w:rsidR="00846150" w:rsidRPr="008D2084">
              <w:rPr>
                <w:rFonts w:ascii="Arial CE" w:hAnsi="Arial CE" w:cs="Arial CE"/>
                <w:sz w:val="16"/>
                <w:szCs w:val="16"/>
              </w:rPr>
              <w:t>pohostinství</w:t>
            </w:r>
          </w:p>
        </w:tc>
        <w:tc>
          <w:tcPr>
            <w:tcW w:w="464" w:type="dxa"/>
            <w:tcBorders>
              <w:top w:val="nil"/>
              <w:left w:val="single" w:sz="4" w:space="0" w:color="auto"/>
              <w:bottom w:val="nil"/>
            </w:tcBorders>
            <w:vAlign w:val="center"/>
          </w:tcPr>
          <w:p w14:paraId="3D00056D" w14:textId="4E8C0E82"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42,15</w:t>
            </w:r>
          </w:p>
        </w:tc>
        <w:tc>
          <w:tcPr>
            <w:tcW w:w="541" w:type="dxa"/>
            <w:tcBorders>
              <w:top w:val="nil"/>
              <w:left w:val="nil"/>
              <w:bottom w:val="nil"/>
              <w:right w:val="nil"/>
            </w:tcBorders>
            <w:shd w:val="clear" w:color="auto" w:fill="auto"/>
            <w:noWrap/>
            <w:vAlign w:val="center"/>
            <w:hideMark/>
          </w:tcPr>
          <w:p w14:paraId="0A10F236" w14:textId="1A47512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52,16</w:t>
            </w:r>
          </w:p>
        </w:tc>
        <w:tc>
          <w:tcPr>
            <w:tcW w:w="664" w:type="dxa"/>
            <w:tcBorders>
              <w:top w:val="nil"/>
              <w:left w:val="nil"/>
              <w:bottom w:val="nil"/>
              <w:right w:val="nil"/>
            </w:tcBorders>
            <w:shd w:val="clear" w:color="auto" w:fill="auto"/>
            <w:noWrap/>
            <w:vAlign w:val="center"/>
            <w:hideMark/>
          </w:tcPr>
          <w:p w14:paraId="4728B804" w14:textId="3926E55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57,67</w:t>
            </w:r>
          </w:p>
        </w:tc>
        <w:tc>
          <w:tcPr>
            <w:tcW w:w="664" w:type="dxa"/>
            <w:tcBorders>
              <w:top w:val="nil"/>
              <w:left w:val="nil"/>
              <w:bottom w:val="nil"/>
              <w:right w:val="nil"/>
            </w:tcBorders>
            <w:shd w:val="clear" w:color="auto" w:fill="auto"/>
            <w:noWrap/>
            <w:vAlign w:val="center"/>
            <w:hideMark/>
          </w:tcPr>
          <w:p w14:paraId="002851DA" w14:textId="36BF110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60,21</w:t>
            </w:r>
          </w:p>
        </w:tc>
        <w:tc>
          <w:tcPr>
            <w:tcW w:w="664" w:type="dxa"/>
            <w:tcBorders>
              <w:top w:val="nil"/>
              <w:left w:val="nil"/>
              <w:bottom w:val="nil"/>
              <w:right w:val="nil"/>
            </w:tcBorders>
            <w:shd w:val="clear" w:color="auto" w:fill="auto"/>
            <w:noWrap/>
            <w:vAlign w:val="center"/>
            <w:hideMark/>
          </w:tcPr>
          <w:p w14:paraId="25D8D2A4" w14:textId="5CF4342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57,86</w:t>
            </w:r>
          </w:p>
        </w:tc>
        <w:tc>
          <w:tcPr>
            <w:tcW w:w="664" w:type="dxa"/>
            <w:tcBorders>
              <w:top w:val="nil"/>
              <w:left w:val="nil"/>
              <w:bottom w:val="nil"/>
              <w:right w:val="nil"/>
            </w:tcBorders>
            <w:shd w:val="clear" w:color="auto" w:fill="auto"/>
            <w:noWrap/>
            <w:vAlign w:val="center"/>
            <w:hideMark/>
          </w:tcPr>
          <w:p w14:paraId="0A15AB22" w14:textId="2898362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57,54</w:t>
            </w:r>
          </w:p>
        </w:tc>
        <w:tc>
          <w:tcPr>
            <w:tcW w:w="664" w:type="dxa"/>
            <w:tcBorders>
              <w:top w:val="nil"/>
              <w:left w:val="nil"/>
              <w:bottom w:val="nil"/>
              <w:right w:val="nil"/>
            </w:tcBorders>
            <w:shd w:val="clear" w:color="auto" w:fill="auto"/>
            <w:noWrap/>
            <w:vAlign w:val="center"/>
            <w:hideMark/>
          </w:tcPr>
          <w:p w14:paraId="7C52F923" w14:textId="4ACD995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58,70</w:t>
            </w:r>
          </w:p>
        </w:tc>
        <w:tc>
          <w:tcPr>
            <w:tcW w:w="664" w:type="dxa"/>
            <w:tcBorders>
              <w:top w:val="nil"/>
              <w:left w:val="nil"/>
              <w:bottom w:val="nil"/>
              <w:right w:val="nil"/>
            </w:tcBorders>
            <w:shd w:val="clear" w:color="auto" w:fill="auto"/>
            <w:noWrap/>
            <w:vAlign w:val="center"/>
            <w:hideMark/>
          </w:tcPr>
          <w:p w14:paraId="162C9FFD" w14:textId="130AC30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55,03</w:t>
            </w:r>
          </w:p>
        </w:tc>
        <w:tc>
          <w:tcPr>
            <w:tcW w:w="664" w:type="dxa"/>
            <w:tcBorders>
              <w:top w:val="nil"/>
              <w:left w:val="nil"/>
              <w:bottom w:val="nil"/>
              <w:right w:val="nil"/>
            </w:tcBorders>
            <w:shd w:val="clear" w:color="auto" w:fill="auto"/>
            <w:noWrap/>
            <w:vAlign w:val="center"/>
            <w:hideMark/>
          </w:tcPr>
          <w:p w14:paraId="49027285" w14:textId="4D4C556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54,52</w:t>
            </w:r>
          </w:p>
        </w:tc>
        <w:tc>
          <w:tcPr>
            <w:tcW w:w="664" w:type="dxa"/>
            <w:tcBorders>
              <w:top w:val="nil"/>
              <w:left w:val="nil"/>
              <w:bottom w:val="nil"/>
              <w:right w:val="nil"/>
            </w:tcBorders>
            <w:shd w:val="clear" w:color="auto" w:fill="auto"/>
            <w:noWrap/>
            <w:vAlign w:val="center"/>
            <w:hideMark/>
          </w:tcPr>
          <w:p w14:paraId="7DF02856" w14:textId="0881EDE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54,73</w:t>
            </w:r>
          </w:p>
        </w:tc>
        <w:tc>
          <w:tcPr>
            <w:tcW w:w="669" w:type="dxa"/>
            <w:tcBorders>
              <w:top w:val="nil"/>
              <w:left w:val="nil"/>
              <w:bottom w:val="nil"/>
              <w:right w:val="nil"/>
            </w:tcBorders>
            <w:shd w:val="clear" w:color="auto" w:fill="auto"/>
            <w:noWrap/>
            <w:vAlign w:val="center"/>
            <w:hideMark/>
          </w:tcPr>
          <w:p w14:paraId="01486B26" w14:textId="5A4C1CD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53,77</w:t>
            </w:r>
          </w:p>
        </w:tc>
      </w:tr>
      <w:tr w:rsidR="00846150" w:rsidRPr="008D2084" w14:paraId="02ED0F58" w14:textId="77777777" w:rsidTr="00572936">
        <w:trPr>
          <w:trHeight w:val="301"/>
        </w:trPr>
        <w:tc>
          <w:tcPr>
            <w:tcW w:w="2722" w:type="dxa"/>
            <w:tcBorders>
              <w:top w:val="nil"/>
              <w:left w:val="nil"/>
              <w:bottom w:val="nil"/>
              <w:right w:val="nil"/>
            </w:tcBorders>
            <w:shd w:val="clear" w:color="auto" w:fill="auto"/>
            <w:vAlign w:val="center"/>
            <w:hideMark/>
          </w:tcPr>
          <w:p w14:paraId="2E9D0948" w14:textId="77777777" w:rsidR="00572936"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J </w:t>
            </w:r>
            <w:r>
              <w:rPr>
                <w:rFonts w:ascii="Arial CE" w:hAnsi="Arial CE" w:cs="Arial CE"/>
                <w:sz w:val="16"/>
                <w:szCs w:val="16"/>
              </w:rPr>
              <w:t xml:space="preserve">– </w:t>
            </w:r>
            <w:r w:rsidRPr="008D2084">
              <w:rPr>
                <w:rFonts w:ascii="Arial CE" w:hAnsi="Arial CE" w:cs="Arial CE"/>
                <w:sz w:val="16"/>
                <w:szCs w:val="16"/>
              </w:rPr>
              <w:t xml:space="preserve">Informační a komunikační </w:t>
            </w:r>
          </w:p>
          <w:p w14:paraId="79FB4BB0" w14:textId="362CF94C" w:rsidR="00846150" w:rsidRPr="008D2084" w:rsidRDefault="00572936"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6E71EE54" w14:textId="57BF7B13"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3893995F" w14:textId="44DD076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26,71</w:t>
            </w:r>
          </w:p>
        </w:tc>
        <w:tc>
          <w:tcPr>
            <w:tcW w:w="664" w:type="dxa"/>
            <w:tcBorders>
              <w:top w:val="nil"/>
              <w:left w:val="nil"/>
              <w:bottom w:val="nil"/>
              <w:right w:val="nil"/>
            </w:tcBorders>
            <w:shd w:val="clear" w:color="auto" w:fill="auto"/>
            <w:noWrap/>
            <w:vAlign w:val="center"/>
            <w:hideMark/>
          </w:tcPr>
          <w:p w14:paraId="116FA3DC" w14:textId="4E00E53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27,90</w:t>
            </w:r>
          </w:p>
        </w:tc>
        <w:tc>
          <w:tcPr>
            <w:tcW w:w="664" w:type="dxa"/>
            <w:tcBorders>
              <w:top w:val="nil"/>
              <w:left w:val="nil"/>
              <w:bottom w:val="nil"/>
              <w:right w:val="nil"/>
            </w:tcBorders>
            <w:shd w:val="clear" w:color="auto" w:fill="auto"/>
            <w:noWrap/>
            <w:vAlign w:val="center"/>
            <w:hideMark/>
          </w:tcPr>
          <w:p w14:paraId="02EDFA4E" w14:textId="6E005DB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26,94</w:t>
            </w:r>
          </w:p>
        </w:tc>
        <w:tc>
          <w:tcPr>
            <w:tcW w:w="664" w:type="dxa"/>
            <w:tcBorders>
              <w:top w:val="nil"/>
              <w:left w:val="nil"/>
              <w:bottom w:val="nil"/>
              <w:right w:val="nil"/>
            </w:tcBorders>
            <w:shd w:val="clear" w:color="auto" w:fill="auto"/>
            <w:noWrap/>
            <w:vAlign w:val="center"/>
            <w:hideMark/>
          </w:tcPr>
          <w:p w14:paraId="7EA82B78" w14:textId="01E3E8E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28,17</w:t>
            </w:r>
          </w:p>
        </w:tc>
        <w:tc>
          <w:tcPr>
            <w:tcW w:w="664" w:type="dxa"/>
            <w:tcBorders>
              <w:top w:val="nil"/>
              <w:left w:val="nil"/>
              <w:bottom w:val="nil"/>
              <w:right w:val="nil"/>
            </w:tcBorders>
            <w:shd w:val="clear" w:color="auto" w:fill="auto"/>
            <w:noWrap/>
            <w:vAlign w:val="center"/>
            <w:hideMark/>
          </w:tcPr>
          <w:p w14:paraId="14989016" w14:textId="44C8417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25,72</w:t>
            </w:r>
          </w:p>
        </w:tc>
        <w:tc>
          <w:tcPr>
            <w:tcW w:w="664" w:type="dxa"/>
            <w:tcBorders>
              <w:top w:val="nil"/>
              <w:left w:val="nil"/>
              <w:bottom w:val="nil"/>
              <w:right w:val="nil"/>
            </w:tcBorders>
            <w:shd w:val="clear" w:color="auto" w:fill="auto"/>
            <w:noWrap/>
            <w:vAlign w:val="center"/>
            <w:hideMark/>
          </w:tcPr>
          <w:p w14:paraId="3BDC5F5A" w14:textId="61AB180C"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27,80</w:t>
            </w:r>
          </w:p>
        </w:tc>
        <w:tc>
          <w:tcPr>
            <w:tcW w:w="664" w:type="dxa"/>
            <w:tcBorders>
              <w:top w:val="nil"/>
              <w:left w:val="nil"/>
              <w:bottom w:val="nil"/>
              <w:right w:val="nil"/>
            </w:tcBorders>
            <w:shd w:val="clear" w:color="auto" w:fill="auto"/>
            <w:noWrap/>
            <w:vAlign w:val="center"/>
            <w:hideMark/>
          </w:tcPr>
          <w:p w14:paraId="1042E4DA" w14:textId="045D991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27,54</w:t>
            </w:r>
          </w:p>
        </w:tc>
        <w:tc>
          <w:tcPr>
            <w:tcW w:w="664" w:type="dxa"/>
            <w:tcBorders>
              <w:top w:val="nil"/>
              <w:left w:val="nil"/>
              <w:bottom w:val="nil"/>
              <w:right w:val="nil"/>
            </w:tcBorders>
            <w:shd w:val="clear" w:color="auto" w:fill="auto"/>
            <w:noWrap/>
            <w:vAlign w:val="center"/>
            <w:hideMark/>
          </w:tcPr>
          <w:p w14:paraId="71523AE9" w14:textId="11DB2F3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26,03</w:t>
            </w:r>
          </w:p>
        </w:tc>
        <w:tc>
          <w:tcPr>
            <w:tcW w:w="664" w:type="dxa"/>
            <w:tcBorders>
              <w:top w:val="nil"/>
              <w:left w:val="nil"/>
              <w:bottom w:val="nil"/>
              <w:right w:val="nil"/>
            </w:tcBorders>
            <w:shd w:val="clear" w:color="auto" w:fill="auto"/>
            <w:noWrap/>
            <w:vAlign w:val="center"/>
            <w:hideMark/>
          </w:tcPr>
          <w:p w14:paraId="7AAAF3ED" w14:textId="6B07846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26,17</w:t>
            </w:r>
          </w:p>
        </w:tc>
        <w:tc>
          <w:tcPr>
            <w:tcW w:w="669" w:type="dxa"/>
            <w:tcBorders>
              <w:top w:val="nil"/>
              <w:left w:val="nil"/>
              <w:bottom w:val="nil"/>
              <w:right w:val="nil"/>
            </w:tcBorders>
            <w:shd w:val="clear" w:color="auto" w:fill="auto"/>
            <w:noWrap/>
            <w:vAlign w:val="center"/>
            <w:hideMark/>
          </w:tcPr>
          <w:p w14:paraId="0B5CD1E6" w14:textId="170C60A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26,44</w:t>
            </w:r>
          </w:p>
        </w:tc>
      </w:tr>
      <w:tr w:rsidR="00846150" w:rsidRPr="008D2084" w14:paraId="713E9911" w14:textId="77777777" w:rsidTr="00572936">
        <w:trPr>
          <w:trHeight w:val="301"/>
        </w:trPr>
        <w:tc>
          <w:tcPr>
            <w:tcW w:w="2722" w:type="dxa"/>
            <w:tcBorders>
              <w:top w:val="nil"/>
              <w:left w:val="nil"/>
              <w:bottom w:val="nil"/>
              <w:right w:val="nil"/>
            </w:tcBorders>
            <w:shd w:val="clear" w:color="auto" w:fill="auto"/>
            <w:vAlign w:val="center"/>
            <w:hideMark/>
          </w:tcPr>
          <w:p w14:paraId="5B724B94" w14:textId="65C3B0D9"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K </w:t>
            </w:r>
            <w:r>
              <w:rPr>
                <w:rFonts w:ascii="Arial CE" w:hAnsi="Arial CE" w:cs="Arial CE"/>
                <w:sz w:val="16"/>
                <w:szCs w:val="16"/>
              </w:rPr>
              <w:t xml:space="preserve">– </w:t>
            </w:r>
            <w:r w:rsidRPr="008D2084">
              <w:rPr>
                <w:rFonts w:ascii="Arial CE" w:hAnsi="Arial CE" w:cs="Arial CE"/>
                <w:sz w:val="16"/>
                <w:szCs w:val="16"/>
              </w:rPr>
              <w:t>Peněžnictví a pojišťovnictví</w:t>
            </w:r>
          </w:p>
        </w:tc>
        <w:tc>
          <w:tcPr>
            <w:tcW w:w="464" w:type="dxa"/>
            <w:tcBorders>
              <w:top w:val="nil"/>
              <w:left w:val="single" w:sz="4" w:space="0" w:color="auto"/>
              <w:bottom w:val="nil"/>
            </w:tcBorders>
            <w:vAlign w:val="center"/>
          </w:tcPr>
          <w:p w14:paraId="25DEE0CC" w14:textId="624C8B51"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4ACA57D7" w14:textId="23D10CA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29,87</w:t>
            </w:r>
          </w:p>
        </w:tc>
        <w:tc>
          <w:tcPr>
            <w:tcW w:w="664" w:type="dxa"/>
            <w:tcBorders>
              <w:top w:val="nil"/>
              <w:left w:val="nil"/>
              <w:bottom w:val="nil"/>
              <w:right w:val="nil"/>
            </w:tcBorders>
            <w:shd w:val="clear" w:color="auto" w:fill="auto"/>
            <w:noWrap/>
            <w:vAlign w:val="center"/>
            <w:hideMark/>
          </w:tcPr>
          <w:p w14:paraId="4F98B33D" w14:textId="0AD519A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31,95</w:t>
            </w:r>
          </w:p>
        </w:tc>
        <w:tc>
          <w:tcPr>
            <w:tcW w:w="664" w:type="dxa"/>
            <w:tcBorders>
              <w:top w:val="nil"/>
              <w:left w:val="nil"/>
              <w:bottom w:val="nil"/>
              <w:right w:val="nil"/>
            </w:tcBorders>
            <w:shd w:val="clear" w:color="auto" w:fill="auto"/>
            <w:noWrap/>
            <w:vAlign w:val="center"/>
            <w:hideMark/>
          </w:tcPr>
          <w:p w14:paraId="302106B9" w14:textId="1854AF7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31,21</w:t>
            </w:r>
          </w:p>
        </w:tc>
        <w:tc>
          <w:tcPr>
            <w:tcW w:w="664" w:type="dxa"/>
            <w:tcBorders>
              <w:top w:val="nil"/>
              <w:left w:val="nil"/>
              <w:bottom w:val="nil"/>
              <w:right w:val="nil"/>
            </w:tcBorders>
            <w:shd w:val="clear" w:color="auto" w:fill="auto"/>
            <w:noWrap/>
            <w:vAlign w:val="center"/>
            <w:hideMark/>
          </w:tcPr>
          <w:p w14:paraId="7E0BBFB2" w14:textId="0679E91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33,94</w:t>
            </w:r>
          </w:p>
        </w:tc>
        <w:tc>
          <w:tcPr>
            <w:tcW w:w="664" w:type="dxa"/>
            <w:tcBorders>
              <w:top w:val="nil"/>
              <w:left w:val="nil"/>
              <w:bottom w:val="nil"/>
              <w:right w:val="nil"/>
            </w:tcBorders>
            <w:shd w:val="clear" w:color="auto" w:fill="auto"/>
            <w:noWrap/>
            <w:vAlign w:val="center"/>
            <w:hideMark/>
          </w:tcPr>
          <w:p w14:paraId="23C5FD5C" w14:textId="33B7F22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31,19</w:t>
            </w:r>
          </w:p>
        </w:tc>
        <w:tc>
          <w:tcPr>
            <w:tcW w:w="664" w:type="dxa"/>
            <w:tcBorders>
              <w:top w:val="nil"/>
              <w:left w:val="nil"/>
              <w:bottom w:val="nil"/>
              <w:right w:val="nil"/>
            </w:tcBorders>
            <w:shd w:val="clear" w:color="auto" w:fill="auto"/>
            <w:noWrap/>
            <w:vAlign w:val="center"/>
            <w:hideMark/>
          </w:tcPr>
          <w:p w14:paraId="7D958943" w14:textId="4403B0E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34,25</w:t>
            </w:r>
          </w:p>
        </w:tc>
        <w:tc>
          <w:tcPr>
            <w:tcW w:w="664" w:type="dxa"/>
            <w:tcBorders>
              <w:top w:val="nil"/>
              <w:left w:val="nil"/>
              <w:bottom w:val="nil"/>
              <w:right w:val="nil"/>
            </w:tcBorders>
            <w:shd w:val="clear" w:color="auto" w:fill="auto"/>
            <w:noWrap/>
            <w:vAlign w:val="center"/>
            <w:hideMark/>
          </w:tcPr>
          <w:p w14:paraId="6CBFBD2F" w14:textId="1DD52EC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33,05</w:t>
            </w:r>
          </w:p>
        </w:tc>
        <w:tc>
          <w:tcPr>
            <w:tcW w:w="664" w:type="dxa"/>
            <w:tcBorders>
              <w:top w:val="nil"/>
              <w:left w:val="nil"/>
              <w:bottom w:val="nil"/>
              <w:right w:val="nil"/>
            </w:tcBorders>
            <w:shd w:val="clear" w:color="auto" w:fill="auto"/>
            <w:noWrap/>
            <w:vAlign w:val="center"/>
            <w:hideMark/>
          </w:tcPr>
          <w:p w14:paraId="12C99901" w14:textId="6DE5016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32,42</w:t>
            </w:r>
          </w:p>
        </w:tc>
        <w:tc>
          <w:tcPr>
            <w:tcW w:w="664" w:type="dxa"/>
            <w:tcBorders>
              <w:top w:val="nil"/>
              <w:left w:val="nil"/>
              <w:bottom w:val="nil"/>
              <w:right w:val="nil"/>
            </w:tcBorders>
            <w:shd w:val="clear" w:color="auto" w:fill="auto"/>
            <w:noWrap/>
            <w:vAlign w:val="center"/>
            <w:hideMark/>
          </w:tcPr>
          <w:p w14:paraId="5AFF889D" w14:textId="2064986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33,79</w:t>
            </w:r>
          </w:p>
        </w:tc>
        <w:tc>
          <w:tcPr>
            <w:tcW w:w="669" w:type="dxa"/>
            <w:tcBorders>
              <w:top w:val="nil"/>
              <w:left w:val="nil"/>
              <w:bottom w:val="nil"/>
              <w:right w:val="nil"/>
            </w:tcBorders>
            <w:shd w:val="clear" w:color="auto" w:fill="auto"/>
            <w:noWrap/>
            <w:vAlign w:val="center"/>
            <w:hideMark/>
          </w:tcPr>
          <w:p w14:paraId="1828D34B" w14:textId="2A73468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31,84</w:t>
            </w:r>
          </w:p>
        </w:tc>
      </w:tr>
      <w:tr w:rsidR="00846150" w:rsidRPr="008D2084" w14:paraId="569FEE4F" w14:textId="77777777" w:rsidTr="00572936">
        <w:trPr>
          <w:trHeight w:val="301"/>
        </w:trPr>
        <w:tc>
          <w:tcPr>
            <w:tcW w:w="2722" w:type="dxa"/>
            <w:tcBorders>
              <w:top w:val="nil"/>
              <w:left w:val="nil"/>
              <w:bottom w:val="nil"/>
              <w:right w:val="nil"/>
            </w:tcBorders>
            <w:shd w:val="clear" w:color="auto" w:fill="auto"/>
            <w:vAlign w:val="center"/>
            <w:hideMark/>
          </w:tcPr>
          <w:p w14:paraId="0983238E" w14:textId="3D5082BD"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L </w:t>
            </w:r>
            <w:r>
              <w:rPr>
                <w:rFonts w:ascii="Arial CE" w:hAnsi="Arial CE" w:cs="Arial CE"/>
                <w:sz w:val="16"/>
                <w:szCs w:val="16"/>
              </w:rPr>
              <w:t xml:space="preserve">– </w:t>
            </w:r>
            <w:r w:rsidRPr="008D2084">
              <w:rPr>
                <w:rFonts w:ascii="Arial CE" w:hAnsi="Arial CE" w:cs="Arial CE"/>
                <w:sz w:val="16"/>
                <w:szCs w:val="16"/>
              </w:rPr>
              <w:t>Činnosti v oblasti nemovitostí</w:t>
            </w:r>
          </w:p>
        </w:tc>
        <w:tc>
          <w:tcPr>
            <w:tcW w:w="464" w:type="dxa"/>
            <w:tcBorders>
              <w:top w:val="nil"/>
              <w:left w:val="single" w:sz="4" w:space="0" w:color="auto"/>
              <w:bottom w:val="nil"/>
            </w:tcBorders>
            <w:vAlign w:val="center"/>
          </w:tcPr>
          <w:p w14:paraId="501ABEC6" w14:textId="6EAE75BD"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06F7B42A" w14:textId="7262B73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48,34</w:t>
            </w:r>
          </w:p>
        </w:tc>
        <w:tc>
          <w:tcPr>
            <w:tcW w:w="664" w:type="dxa"/>
            <w:tcBorders>
              <w:top w:val="nil"/>
              <w:left w:val="nil"/>
              <w:bottom w:val="nil"/>
              <w:right w:val="nil"/>
            </w:tcBorders>
            <w:shd w:val="clear" w:color="auto" w:fill="auto"/>
            <w:noWrap/>
            <w:vAlign w:val="center"/>
            <w:hideMark/>
          </w:tcPr>
          <w:p w14:paraId="67C75DDC" w14:textId="6A7B9FA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54,21</w:t>
            </w:r>
          </w:p>
        </w:tc>
        <w:tc>
          <w:tcPr>
            <w:tcW w:w="664" w:type="dxa"/>
            <w:tcBorders>
              <w:top w:val="nil"/>
              <w:left w:val="nil"/>
              <w:bottom w:val="nil"/>
              <w:right w:val="nil"/>
            </w:tcBorders>
            <w:shd w:val="clear" w:color="auto" w:fill="auto"/>
            <w:noWrap/>
            <w:vAlign w:val="center"/>
            <w:hideMark/>
          </w:tcPr>
          <w:p w14:paraId="6668C05F" w14:textId="2EC558D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53,72</w:t>
            </w:r>
          </w:p>
        </w:tc>
        <w:tc>
          <w:tcPr>
            <w:tcW w:w="664" w:type="dxa"/>
            <w:tcBorders>
              <w:top w:val="nil"/>
              <w:left w:val="nil"/>
              <w:bottom w:val="nil"/>
              <w:right w:val="nil"/>
            </w:tcBorders>
            <w:shd w:val="clear" w:color="auto" w:fill="auto"/>
            <w:noWrap/>
            <w:vAlign w:val="center"/>
            <w:hideMark/>
          </w:tcPr>
          <w:p w14:paraId="5BA8FB97" w14:textId="3EEEEFD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56,05</w:t>
            </w:r>
          </w:p>
        </w:tc>
        <w:tc>
          <w:tcPr>
            <w:tcW w:w="664" w:type="dxa"/>
            <w:tcBorders>
              <w:top w:val="nil"/>
              <w:left w:val="nil"/>
              <w:bottom w:val="nil"/>
              <w:right w:val="nil"/>
            </w:tcBorders>
            <w:shd w:val="clear" w:color="auto" w:fill="auto"/>
            <w:noWrap/>
            <w:vAlign w:val="center"/>
            <w:hideMark/>
          </w:tcPr>
          <w:p w14:paraId="7CC8AC17" w14:textId="5DCC7E2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54,43</w:t>
            </w:r>
          </w:p>
        </w:tc>
        <w:tc>
          <w:tcPr>
            <w:tcW w:w="664" w:type="dxa"/>
            <w:tcBorders>
              <w:top w:val="nil"/>
              <w:left w:val="nil"/>
              <w:bottom w:val="nil"/>
              <w:right w:val="nil"/>
            </w:tcBorders>
            <w:shd w:val="clear" w:color="auto" w:fill="auto"/>
            <w:noWrap/>
            <w:vAlign w:val="center"/>
            <w:hideMark/>
          </w:tcPr>
          <w:p w14:paraId="397EDF33" w14:textId="5DAF732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56,27</w:t>
            </w:r>
          </w:p>
        </w:tc>
        <w:tc>
          <w:tcPr>
            <w:tcW w:w="664" w:type="dxa"/>
            <w:tcBorders>
              <w:top w:val="nil"/>
              <w:left w:val="nil"/>
              <w:bottom w:val="nil"/>
              <w:right w:val="nil"/>
            </w:tcBorders>
            <w:shd w:val="clear" w:color="auto" w:fill="auto"/>
            <w:noWrap/>
            <w:vAlign w:val="center"/>
            <w:hideMark/>
          </w:tcPr>
          <w:p w14:paraId="53457048" w14:textId="15EA0D1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51,98</w:t>
            </w:r>
          </w:p>
        </w:tc>
        <w:tc>
          <w:tcPr>
            <w:tcW w:w="664" w:type="dxa"/>
            <w:tcBorders>
              <w:top w:val="nil"/>
              <w:left w:val="nil"/>
              <w:bottom w:val="nil"/>
              <w:right w:val="nil"/>
            </w:tcBorders>
            <w:shd w:val="clear" w:color="auto" w:fill="auto"/>
            <w:noWrap/>
            <w:vAlign w:val="center"/>
            <w:hideMark/>
          </w:tcPr>
          <w:p w14:paraId="29F1624F" w14:textId="7CD06E3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52,53</w:t>
            </w:r>
          </w:p>
        </w:tc>
        <w:tc>
          <w:tcPr>
            <w:tcW w:w="664" w:type="dxa"/>
            <w:tcBorders>
              <w:top w:val="nil"/>
              <w:left w:val="nil"/>
              <w:bottom w:val="nil"/>
              <w:right w:val="nil"/>
            </w:tcBorders>
            <w:shd w:val="clear" w:color="auto" w:fill="auto"/>
            <w:noWrap/>
            <w:vAlign w:val="center"/>
            <w:hideMark/>
          </w:tcPr>
          <w:p w14:paraId="2C55369C" w14:textId="7829E3A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53,58</w:t>
            </w:r>
          </w:p>
        </w:tc>
        <w:tc>
          <w:tcPr>
            <w:tcW w:w="669" w:type="dxa"/>
            <w:tcBorders>
              <w:top w:val="nil"/>
              <w:left w:val="nil"/>
              <w:bottom w:val="nil"/>
              <w:right w:val="nil"/>
            </w:tcBorders>
            <w:shd w:val="clear" w:color="auto" w:fill="auto"/>
            <w:noWrap/>
            <w:vAlign w:val="center"/>
            <w:hideMark/>
          </w:tcPr>
          <w:p w14:paraId="5C1CC434" w14:textId="42BDDEC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51,12</w:t>
            </w:r>
          </w:p>
        </w:tc>
      </w:tr>
      <w:tr w:rsidR="00846150" w:rsidRPr="008D2084" w14:paraId="65218148" w14:textId="77777777" w:rsidTr="00572936">
        <w:trPr>
          <w:trHeight w:val="451"/>
        </w:trPr>
        <w:tc>
          <w:tcPr>
            <w:tcW w:w="2722" w:type="dxa"/>
            <w:tcBorders>
              <w:top w:val="nil"/>
              <w:left w:val="nil"/>
              <w:bottom w:val="nil"/>
              <w:right w:val="nil"/>
            </w:tcBorders>
            <w:shd w:val="clear" w:color="auto" w:fill="auto"/>
            <w:vAlign w:val="center"/>
            <w:hideMark/>
          </w:tcPr>
          <w:p w14:paraId="4548CB5B" w14:textId="77777777" w:rsidR="00F547BE" w:rsidRDefault="00846150" w:rsidP="00572936">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M </w:t>
            </w:r>
            <w:r>
              <w:rPr>
                <w:rFonts w:ascii="Arial CE" w:hAnsi="Arial CE" w:cs="Arial CE"/>
                <w:sz w:val="16"/>
                <w:szCs w:val="16"/>
              </w:rPr>
              <w:t xml:space="preserve">– </w:t>
            </w:r>
            <w:r w:rsidRPr="008D2084">
              <w:rPr>
                <w:rFonts w:ascii="Arial CE" w:hAnsi="Arial CE" w:cs="Arial CE"/>
                <w:sz w:val="16"/>
                <w:szCs w:val="16"/>
              </w:rPr>
              <w:t xml:space="preserve">Profesní, vědecké </w:t>
            </w:r>
          </w:p>
          <w:p w14:paraId="4613E736" w14:textId="68858935" w:rsidR="00846150" w:rsidRPr="008D2084" w:rsidRDefault="00F547BE" w:rsidP="00F547BE">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a</w:t>
            </w:r>
            <w:r w:rsidR="00572936">
              <w:rPr>
                <w:rFonts w:ascii="Arial CE" w:hAnsi="Arial CE" w:cs="Arial CE"/>
                <w:sz w:val="16"/>
                <w:szCs w:val="16"/>
              </w:rPr>
              <w:t xml:space="preserve"> </w:t>
            </w:r>
            <w:r w:rsidR="00846150" w:rsidRPr="008D2084">
              <w:rPr>
                <w:rFonts w:ascii="Arial CE" w:hAnsi="Arial CE" w:cs="Arial CE"/>
                <w:sz w:val="16"/>
                <w:szCs w:val="16"/>
              </w:rPr>
              <w:t>technické činnosti</w:t>
            </w:r>
          </w:p>
        </w:tc>
        <w:tc>
          <w:tcPr>
            <w:tcW w:w="464" w:type="dxa"/>
            <w:tcBorders>
              <w:top w:val="nil"/>
              <w:left w:val="single" w:sz="4" w:space="0" w:color="auto"/>
              <w:bottom w:val="nil"/>
            </w:tcBorders>
            <w:vAlign w:val="center"/>
          </w:tcPr>
          <w:p w14:paraId="2D2A270D" w14:textId="4A8FDB94"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0499C9A7" w14:textId="2D15820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38,78</w:t>
            </w:r>
          </w:p>
        </w:tc>
        <w:tc>
          <w:tcPr>
            <w:tcW w:w="664" w:type="dxa"/>
            <w:tcBorders>
              <w:top w:val="nil"/>
              <w:left w:val="nil"/>
              <w:bottom w:val="nil"/>
              <w:right w:val="nil"/>
            </w:tcBorders>
            <w:shd w:val="clear" w:color="auto" w:fill="auto"/>
            <w:noWrap/>
            <w:vAlign w:val="center"/>
            <w:hideMark/>
          </w:tcPr>
          <w:p w14:paraId="1AD9C6A4" w14:textId="0E3E3B8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44,84</w:t>
            </w:r>
          </w:p>
        </w:tc>
        <w:tc>
          <w:tcPr>
            <w:tcW w:w="664" w:type="dxa"/>
            <w:tcBorders>
              <w:top w:val="nil"/>
              <w:left w:val="nil"/>
              <w:bottom w:val="nil"/>
              <w:right w:val="nil"/>
            </w:tcBorders>
            <w:shd w:val="clear" w:color="auto" w:fill="auto"/>
            <w:noWrap/>
            <w:vAlign w:val="center"/>
            <w:hideMark/>
          </w:tcPr>
          <w:p w14:paraId="2FA6332F" w14:textId="5561E67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45,96</w:t>
            </w:r>
          </w:p>
        </w:tc>
        <w:tc>
          <w:tcPr>
            <w:tcW w:w="664" w:type="dxa"/>
            <w:tcBorders>
              <w:top w:val="nil"/>
              <w:left w:val="nil"/>
              <w:bottom w:val="nil"/>
              <w:right w:val="nil"/>
            </w:tcBorders>
            <w:shd w:val="clear" w:color="auto" w:fill="auto"/>
            <w:noWrap/>
            <w:vAlign w:val="center"/>
            <w:hideMark/>
          </w:tcPr>
          <w:p w14:paraId="16064EFE" w14:textId="65BF4A9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43,05</w:t>
            </w:r>
          </w:p>
        </w:tc>
        <w:tc>
          <w:tcPr>
            <w:tcW w:w="664" w:type="dxa"/>
            <w:tcBorders>
              <w:top w:val="nil"/>
              <w:left w:val="nil"/>
              <w:bottom w:val="nil"/>
              <w:right w:val="nil"/>
            </w:tcBorders>
            <w:shd w:val="clear" w:color="auto" w:fill="auto"/>
            <w:noWrap/>
            <w:vAlign w:val="center"/>
            <w:hideMark/>
          </w:tcPr>
          <w:p w14:paraId="0B11339A" w14:textId="059F4A8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38,85</w:t>
            </w:r>
          </w:p>
        </w:tc>
        <w:tc>
          <w:tcPr>
            <w:tcW w:w="664" w:type="dxa"/>
            <w:tcBorders>
              <w:top w:val="nil"/>
              <w:left w:val="nil"/>
              <w:bottom w:val="nil"/>
              <w:right w:val="nil"/>
            </w:tcBorders>
            <w:shd w:val="clear" w:color="auto" w:fill="auto"/>
            <w:noWrap/>
            <w:vAlign w:val="center"/>
            <w:hideMark/>
          </w:tcPr>
          <w:p w14:paraId="2DF55FCE" w14:textId="409DC3F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40,92</w:t>
            </w:r>
          </w:p>
        </w:tc>
        <w:tc>
          <w:tcPr>
            <w:tcW w:w="664" w:type="dxa"/>
            <w:tcBorders>
              <w:top w:val="nil"/>
              <w:left w:val="nil"/>
              <w:bottom w:val="nil"/>
              <w:right w:val="nil"/>
            </w:tcBorders>
            <w:shd w:val="clear" w:color="auto" w:fill="auto"/>
            <w:noWrap/>
            <w:vAlign w:val="center"/>
            <w:hideMark/>
          </w:tcPr>
          <w:p w14:paraId="396938E7" w14:textId="0D7FABD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38,80</w:t>
            </w:r>
          </w:p>
        </w:tc>
        <w:tc>
          <w:tcPr>
            <w:tcW w:w="664" w:type="dxa"/>
            <w:tcBorders>
              <w:top w:val="nil"/>
              <w:left w:val="nil"/>
              <w:bottom w:val="nil"/>
              <w:right w:val="nil"/>
            </w:tcBorders>
            <w:shd w:val="clear" w:color="auto" w:fill="auto"/>
            <w:noWrap/>
            <w:vAlign w:val="center"/>
            <w:hideMark/>
          </w:tcPr>
          <w:p w14:paraId="14B8D24F" w14:textId="6AB1AD0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38,69</w:t>
            </w:r>
          </w:p>
        </w:tc>
        <w:tc>
          <w:tcPr>
            <w:tcW w:w="664" w:type="dxa"/>
            <w:tcBorders>
              <w:top w:val="nil"/>
              <w:left w:val="nil"/>
              <w:bottom w:val="nil"/>
              <w:right w:val="nil"/>
            </w:tcBorders>
            <w:shd w:val="clear" w:color="auto" w:fill="auto"/>
            <w:noWrap/>
            <w:vAlign w:val="center"/>
            <w:hideMark/>
          </w:tcPr>
          <w:p w14:paraId="1168D2C1" w14:textId="0A7F1F7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39,22</w:t>
            </w:r>
          </w:p>
        </w:tc>
        <w:tc>
          <w:tcPr>
            <w:tcW w:w="669" w:type="dxa"/>
            <w:tcBorders>
              <w:top w:val="nil"/>
              <w:left w:val="nil"/>
              <w:bottom w:val="nil"/>
              <w:right w:val="nil"/>
            </w:tcBorders>
            <w:shd w:val="clear" w:color="auto" w:fill="auto"/>
            <w:noWrap/>
            <w:vAlign w:val="center"/>
            <w:hideMark/>
          </w:tcPr>
          <w:p w14:paraId="7D69F679" w14:textId="4675346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39,58</w:t>
            </w:r>
          </w:p>
        </w:tc>
      </w:tr>
      <w:tr w:rsidR="00846150" w:rsidRPr="008D2084" w14:paraId="100F10B6" w14:textId="77777777" w:rsidTr="00572936">
        <w:trPr>
          <w:trHeight w:val="301"/>
        </w:trPr>
        <w:tc>
          <w:tcPr>
            <w:tcW w:w="2722" w:type="dxa"/>
            <w:tcBorders>
              <w:top w:val="nil"/>
              <w:left w:val="nil"/>
              <w:bottom w:val="nil"/>
              <w:right w:val="nil"/>
            </w:tcBorders>
            <w:shd w:val="clear" w:color="auto" w:fill="auto"/>
            <w:vAlign w:val="center"/>
            <w:hideMark/>
          </w:tcPr>
          <w:p w14:paraId="3291C9A1" w14:textId="77777777" w:rsidR="00846150"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N </w:t>
            </w:r>
            <w:r>
              <w:rPr>
                <w:rFonts w:ascii="Arial CE" w:hAnsi="Arial CE" w:cs="Arial CE"/>
                <w:sz w:val="16"/>
                <w:szCs w:val="16"/>
              </w:rPr>
              <w:t xml:space="preserve">– </w:t>
            </w:r>
            <w:r w:rsidRPr="008D2084">
              <w:rPr>
                <w:rFonts w:ascii="Arial CE" w:hAnsi="Arial CE" w:cs="Arial CE"/>
                <w:sz w:val="16"/>
                <w:szCs w:val="16"/>
              </w:rPr>
              <w:t xml:space="preserve">Administrativní a podpůrné </w:t>
            </w:r>
          </w:p>
          <w:p w14:paraId="516994C7" w14:textId="1CE20976" w:rsidR="00846150" w:rsidRPr="008D2084" w:rsidRDefault="00846150"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4F692416" w14:textId="48FA5843"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5A7D662A" w14:textId="4528F5C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45,01</w:t>
            </w:r>
          </w:p>
        </w:tc>
        <w:tc>
          <w:tcPr>
            <w:tcW w:w="664" w:type="dxa"/>
            <w:tcBorders>
              <w:top w:val="nil"/>
              <w:left w:val="nil"/>
              <w:bottom w:val="nil"/>
              <w:right w:val="nil"/>
            </w:tcBorders>
            <w:shd w:val="clear" w:color="auto" w:fill="auto"/>
            <w:noWrap/>
            <w:vAlign w:val="center"/>
            <w:hideMark/>
          </w:tcPr>
          <w:p w14:paraId="17C54B3A" w14:textId="6475798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40,79</w:t>
            </w:r>
          </w:p>
        </w:tc>
        <w:tc>
          <w:tcPr>
            <w:tcW w:w="664" w:type="dxa"/>
            <w:tcBorders>
              <w:top w:val="nil"/>
              <w:left w:val="nil"/>
              <w:bottom w:val="nil"/>
              <w:right w:val="nil"/>
            </w:tcBorders>
            <w:shd w:val="clear" w:color="auto" w:fill="auto"/>
            <w:noWrap/>
            <w:vAlign w:val="center"/>
            <w:hideMark/>
          </w:tcPr>
          <w:p w14:paraId="06E3AE1D" w14:textId="4D43E47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38,21</w:t>
            </w:r>
          </w:p>
        </w:tc>
        <w:tc>
          <w:tcPr>
            <w:tcW w:w="664" w:type="dxa"/>
            <w:tcBorders>
              <w:top w:val="nil"/>
              <w:left w:val="nil"/>
              <w:bottom w:val="nil"/>
              <w:right w:val="nil"/>
            </w:tcBorders>
            <w:shd w:val="clear" w:color="auto" w:fill="auto"/>
            <w:noWrap/>
            <w:vAlign w:val="center"/>
            <w:hideMark/>
          </w:tcPr>
          <w:p w14:paraId="679B514B" w14:textId="4CAD9F4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45,64</w:t>
            </w:r>
          </w:p>
        </w:tc>
        <w:tc>
          <w:tcPr>
            <w:tcW w:w="664" w:type="dxa"/>
            <w:tcBorders>
              <w:top w:val="nil"/>
              <w:left w:val="nil"/>
              <w:bottom w:val="nil"/>
              <w:right w:val="nil"/>
            </w:tcBorders>
            <w:shd w:val="clear" w:color="auto" w:fill="auto"/>
            <w:noWrap/>
            <w:vAlign w:val="center"/>
            <w:hideMark/>
          </w:tcPr>
          <w:p w14:paraId="4C8AA461" w14:textId="1682BED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41,72</w:t>
            </w:r>
          </w:p>
        </w:tc>
        <w:tc>
          <w:tcPr>
            <w:tcW w:w="664" w:type="dxa"/>
            <w:tcBorders>
              <w:top w:val="nil"/>
              <w:left w:val="nil"/>
              <w:bottom w:val="nil"/>
              <w:right w:val="nil"/>
            </w:tcBorders>
            <w:shd w:val="clear" w:color="auto" w:fill="auto"/>
            <w:noWrap/>
            <w:vAlign w:val="center"/>
            <w:hideMark/>
          </w:tcPr>
          <w:p w14:paraId="7DD0F9EC" w14:textId="0167912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41,32</w:t>
            </w:r>
          </w:p>
        </w:tc>
        <w:tc>
          <w:tcPr>
            <w:tcW w:w="664" w:type="dxa"/>
            <w:tcBorders>
              <w:top w:val="nil"/>
              <w:left w:val="nil"/>
              <w:bottom w:val="nil"/>
              <w:right w:val="nil"/>
            </w:tcBorders>
            <w:shd w:val="clear" w:color="auto" w:fill="auto"/>
            <w:noWrap/>
            <w:vAlign w:val="center"/>
            <w:hideMark/>
          </w:tcPr>
          <w:p w14:paraId="5510C706" w14:textId="531ABA9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38,49</w:t>
            </w:r>
          </w:p>
        </w:tc>
        <w:tc>
          <w:tcPr>
            <w:tcW w:w="664" w:type="dxa"/>
            <w:tcBorders>
              <w:top w:val="nil"/>
              <w:left w:val="nil"/>
              <w:bottom w:val="nil"/>
              <w:right w:val="nil"/>
            </w:tcBorders>
            <w:shd w:val="clear" w:color="auto" w:fill="auto"/>
            <w:noWrap/>
            <w:vAlign w:val="center"/>
            <w:hideMark/>
          </w:tcPr>
          <w:p w14:paraId="7FB0076B" w14:textId="77B2112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38,24</w:t>
            </w:r>
          </w:p>
        </w:tc>
        <w:tc>
          <w:tcPr>
            <w:tcW w:w="664" w:type="dxa"/>
            <w:tcBorders>
              <w:top w:val="nil"/>
              <w:left w:val="nil"/>
              <w:bottom w:val="nil"/>
              <w:right w:val="nil"/>
            </w:tcBorders>
            <w:shd w:val="clear" w:color="auto" w:fill="auto"/>
            <w:noWrap/>
            <w:vAlign w:val="center"/>
            <w:hideMark/>
          </w:tcPr>
          <w:p w14:paraId="1F1996B3" w14:textId="71B2B52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39,18</w:t>
            </w:r>
          </w:p>
        </w:tc>
        <w:tc>
          <w:tcPr>
            <w:tcW w:w="669" w:type="dxa"/>
            <w:tcBorders>
              <w:top w:val="nil"/>
              <w:left w:val="nil"/>
              <w:bottom w:val="nil"/>
              <w:right w:val="nil"/>
            </w:tcBorders>
            <w:shd w:val="clear" w:color="auto" w:fill="auto"/>
            <w:noWrap/>
            <w:vAlign w:val="center"/>
            <w:hideMark/>
          </w:tcPr>
          <w:p w14:paraId="33B70A33" w14:textId="1DEF075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40,45</w:t>
            </w:r>
          </w:p>
        </w:tc>
      </w:tr>
      <w:tr w:rsidR="00846150" w:rsidRPr="008D2084" w14:paraId="5D3C2DFF" w14:textId="77777777" w:rsidTr="00572936">
        <w:trPr>
          <w:trHeight w:val="451"/>
        </w:trPr>
        <w:tc>
          <w:tcPr>
            <w:tcW w:w="2722" w:type="dxa"/>
            <w:tcBorders>
              <w:top w:val="nil"/>
              <w:left w:val="nil"/>
              <w:bottom w:val="nil"/>
              <w:right w:val="nil"/>
            </w:tcBorders>
            <w:shd w:val="clear" w:color="auto" w:fill="auto"/>
            <w:vAlign w:val="center"/>
            <w:hideMark/>
          </w:tcPr>
          <w:p w14:paraId="36D83BD1" w14:textId="77777777" w:rsidR="00572936" w:rsidRDefault="00846150" w:rsidP="00572936">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O </w:t>
            </w:r>
            <w:r>
              <w:rPr>
                <w:rFonts w:ascii="Arial CE" w:hAnsi="Arial CE" w:cs="Arial CE"/>
                <w:sz w:val="16"/>
                <w:szCs w:val="16"/>
              </w:rPr>
              <w:t xml:space="preserve">– </w:t>
            </w:r>
            <w:r w:rsidRPr="008D2084">
              <w:rPr>
                <w:rFonts w:ascii="Arial CE" w:hAnsi="Arial CE" w:cs="Arial CE"/>
                <w:sz w:val="16"/>
                <w:szCs w:val="16"/>
              </w:rPr>
              <w:t xml:space="preserve">Veřejná správa a obrana; </w:t>
            </w:r>
          </w:p>
          <w:p w14:paraId="3A07EAD9" w14:textId="77777777" w:rsidR="00572936" w:rsidRDefault="00572936" w:rsidP="0057293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povinné</w:t>
            </w:r>
            <w:r w:rsidR="00846150">
              <w:rPr>
                <w:rFonts w:ascii="Arial CE" w:hAnsi="Arial CE" w:cs="Arial CE"/>
                <w:sz w:val="16"/>
                <w:szCs w:val="16"/>
              </w:rPr>
              <w:t xml:space="preserve"> </w:t>
            </w:r>
            <w:r w:rsidR="00846150" w:rsidRPr="008D2084">
              <w:rPr>
                <w:rFonts w:ascii="Arial CE" w:hAnsi="Arial CE" w:cs="Arial CE"/>
                <w:sz w:val="16"/>
                <w:szCs w:val="16"/>
              </w:rPr>
              <w:t xml:space="preserve">sociální </w:t>
            </w:r>
          </w:p>
          <w:p w14:paraId="113FE988" w14:textId="52450A8E" w:rsidR="00846150" w:rsidRPr="008D2084" w:rsidRDefault="00572936" w:rsidP="0057293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846150" w:rsidRPr="008D2084">
              <w:rPr>
                <w:rFonts w:ascii="Arial CE" w:hAnsi="Arial CE" w:cs="Arial CE"/>
                <w:sz w:val="16"/>
                <w:szCs w:val="16"/>
              </w:rPr>
              <w:t>zabezpečení</w:t>
            </w:r>
          </w:p>
        </w:tc>
        <w:tc>
          <w:tcPr>
            <w:tcW w:w="464" w:type="dxa"/>
            <w:tcBorders>
              <w:top w:val="nil"/>
              <w:left w:val="single" w:sz="4" w:space="0" w:color="auto"/>
              <w:bottom w:val="nil"/>
            </w:tcBorders>
            <w:vAlign w:val="center"/>
          </w:tcPr>
          <w:p w14:paraId="2DEB0C8C" w14:textId="70FC408B"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30,77</w:t>
            </w:r>
          </w:p>
        </w:tc>
        <w:tc>
          <w:tcPr>
            <w:tcW w:w="541" w:type="dxa"/>
            <w:tcBorders>
              <w:top w:val="nil"/>
              <w:left w:val="nil"/>
              <w:bottom w:val="nil"/>
              <w:right w:val="nil"/>
            </w:tcBorders>
            <w:shd w:val="clear" w:color="auto" w:fill="auto"/>
            <w:noWrap/>
            <w:vAlign w:val="center"/>
            <w:hideMark/>
          </w:tcPr>
          <w:p w14:paraId="5BEED30E" w14:textId="0F9A4F9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31,97</w:t>
            </w:r>
          </w:p>
        </w:tc>
        <w:tc>
          <w:tcPr>
            <w:tcW w:w="664" w:type="dxa"/>
            <w:tcBorders>
              <w:top w:val="nil"/>
              <w:left w:val="nil"/>
              <w:bottom w:val="nil"/>
              <w:right w:val="nil"/>
            </w:tcBorders>
            <w:shd w:val="clear" w:color="auto" w:fill="auto"/>
            <w:noWrap/>
            <w:vAlign w:val="center"/>
            <w:hideMark/>
          </w:tcPr>
          <w:p w14:paraId="7423B951" w14:textId="6B515E1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33,56</w:t>
            </w:r>
          </w:p>
        </w:tc>
        <w:tc>
          <w:tcPr>
            <w:tcW w:w="664" w:type="dxa"/>
            <w:tcBorders>
              <w:top w:val="nil"/>
              <w:left w:val="nil"/>
              <w:bottom w:val="nil"/>
              <w:right w:val="nil"/>
            </w:tcBorders>
            <w:shd w:val="clear" w:color="auto" w:fill="auto"/>
            <w:noWrap/>
            <w:vAlign w:val="center"/>
            <w:hideMark/>
          </w:tcPr>
          <w:p w14:paraId="19895496" w14:textId="76B8997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37,89</w:t>
            </w:r>
          </w:p>
        </w:tc>
        <w:tc>
          <w:tcPr>
            <w:tcW w:w="664" w:type="dxa"/>
            <w:tcBorders>
              <w:top w:val="nil"/>
              <w:left w:val="nil"/>
              <w:bottom w:val="nil"/>
              <w:right w:val="nil"/>
            </w:tcBorders>
            <w:shd w:val="clear" w:color="auto" w:fill="auto"/>
            <w:noWrap/>
            <w:vAlign w:val="center"/>
            <w:hideMark/>
          </w:tcPr>
          <w:p w14:paraId="447EB138" w14:textId="42A2BD8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39,67</w:t>
            </w:r>
          </w:p>
        </w:tc>
        <w:tc>
          <w:tcPr>
            <w:tcW w:w="664" w:type="dxa"/>
            <w:tcBorders>
              <w:top w:val="nil"/>
              <w:left w:val="nil"/>
              <w:bottom w:val="nil"/>
              <w:right w:val="nil"/>
            </w:tcBorders>
            <w:shd w:val="clear" w:color="auto" w:fill="auto"/>
            <w:noWrap/>
            <w:vAlign w:val="center"/>
            <w:hideMark/>
          </w:tcPr>
          <w:p w14:paraId="4B618A0F" w14:textId="56249F2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34,75</w:t>
            </w:r>
          </w:p>
        </w:tc>
        <w:tc>
          <w:tcPr>
            <w:tcW w:w="664" w:type="dxa"/>
            <w:tcBorders>
              <w:top w:val="nil"/>
              <w:left w:val="nil"/>
              <w:bottom w:val="nil"/>
              <w:right w:val="nil"/>
            </w:tcBorders>
            <w:shd w:val="clear" w:color="auto" w:fill="auto"/>
            <w:noWrap/>
            <w:vAlign w:val="center"/>
            <w:hideMark/>
          </w:tcPr>
          <w:p w14:paraId="77FA3DAF" w14:textId="31CA54A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38,01</w:t>
            </w:r>
          </w:p>
        </w:tc>
        <w:tc>
          <w:tcPr>
            <w:tcW w:w="664" w:type="dxa"/>
            <w:tcBorders>
              <w:top w:val="nil"/>
              <w:left w:val="nil"/>
              <w:bottom w:val="nil"/>
              <w:right w:val="nil"/>
            </w:tcBorders>
            <w:shd w:val="clear" w:color="auto" w:fill="auto"/>
            <w:noWrap/>
            <w:vAlign w:val="center"/>
            <w:hideMark/>
          </w:tcPr>
          <w:p w14:paraId="561D536A" w14:textId="4B0B683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35,86</w:t>
            </w:r>
          </w:p>
        </w:tc>
        <w:tc>
          <w:tcPr>
            <w:tcW w:w="664" w:type="dxa"/>
            <w:tcBorders>
              <w:top w:val="nil"/>
              <w:left w:val="nil"/>
              <w:bottom w:val="nil"/>
              <w:right w:val="nil"/>
            </w:tcBorders>
            <w:shd w:val="clear" w:color="auto" w:fill="auto"/>
            <w:noWrap/>
            <w:vAlign w:val="center"/>
            <w:hideMark/>
          </w:tcPr>
          <w:p w14:paraId="3E15F8A0" w14:textId="0C2023B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37,24</w:t>
            </w:r>
          </w:p>
        </w:tc>
        <w:tc>
          <w:tcPr>
            <w:tcW w:w="664" w:type="dxa"/>
            <w:tcBorders>
              <w:top w:val="nil"/>
              <w:left w:val="nil"/>
              <w:bottom w:val="nil"/>
              <w:right w:val="nil"/>
            </w:tcBorders>
            <w:shd w:val="clear" w:color="auto" w:fill="auto"/>
            <w:noWrap/>
            <w:vAlign w:val="center"/>
            <w:hideMark/>
          </w:tcPr>
          <w:p w14:paraId="6BEFFA46" w14:textId="2A17AFC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36,23</w:t>
            </w:r>
          </w:p>
        </w:tc>
        <w:tc>
          <w:tcPr>
            <w:tcW w:w="669" w:type="dxa"/>
            <w:tcBorders>
              <w:top w:val="nil"/>
              <w:left w:val="nil"/>
              <w:bottom w:val="nil"/>
              <w:right w:val="nil"/>
            </w:tcBorders>
            <w:shd w:val="clear" w:color="auto" w:fill="auto"/>
            <w:noWrap/>
            <w:vAlign w:val="center"/>
            <w:hideMark/>
          </w:tcPr>
          <w:p w14:paraId="70613BB3" w14:textId="45E3204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34,94</w:t>
            </w:r>
          </w:p>
        </w:tc>
      </w:tr>
      <w:tr w:rsidR="00846150" w:rsidRPr="008D2084" w14:paraId="5EF12747" w14:textId="77777777" w:rsidTr="00572936">
        <w:trPr>
          <w:trHeight w:val="301"/>
        </w:trPr>
        <w:tc>
          <w:tcPr>
            <w:tcW w:w="2722" w:type="dxa"/>
            <w:tcBorders>
              <w:top w:val="nil"/>
              <w:left w:val="nil"/>
              <w:bottom w:val="nil"/>
              <w:right w:val="nil"/>
            </w:tcBorders>
            <w:shd w:val="clear" w:color="auto" w:fill="auto"/>
            <w:vAlign w:val="center"/>
            <w:hideMark/>
          </w:tcPr>
          <w:p w14:paraId="68BD8619" w14:textId="0C29D17E"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P </w:t>
            </w:r>
            <w:r>
              <w:rPr>
                <w:rFonts w:ascii="Arial CE" w:hAnsi="Arial CE" w:cs="Arial CE"/>
                <w:sz w:val="16"/>
                <w:szCs w:val="16"/>
              </w:rPr>
              <w:t xml:space="preserve">– </w:t>
            </w:r>
            <w:r w:rsidRPr="008D2084">
              <w:rPr>
                <w:rFonts w:ascii="Arial CE" w:hAnsi="Arial CE" w:cs="Arial CE"/>
                <w:sz w:val="16"/>
                <w:szCs w:val="16"/>
              </w:rPr>
              <w:t>Vzdělávání</w:t>
            </w:r>
          </w:p>
        </w:tc>
        <w:tc>
          <w:tcPr>
            <w:tcW w:w="464" w:type="dxa"/>
            <w:tcBorders>
              <w:top w:val="nil"/>
              <w:left w:val="single" w:sz="4" w:space="0" w:color="auto"/>
              <w:bottom w:val="nil"/>
            </w:tcBorders>
            <w:vAlign w:val="center"/>
          </w:tcPr>
          <w:p w14:paraId="04609F91" w14:textId="347908E1"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31,93</w:t>
            </w:r>
          </w:p>
        </w:tc>
        <w:tc>
          <w:tcPr>
            <w:tcW w:w="541" w:type="dxa"/>
            <w:tcBorders>
              <w:top w:val="nil"/>
              <w:left w:val="nil"/>
              <w:bottom w:val="nil"/>
              <w:right w:val="nil"/>
            </w:tcBorders>
            <w:shd w:val="clear" w:color="auto" w:fill="auto"/>
            <w:noWrap/>
            <w:vAlign w:val="center"/>
            <w:hideMark/>
          </w:tcPr>
          <w:p w14:paraId="49CE4D97" w14:textId="2D4D2A6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31,21</w:t>
            </w:r>
          </w:p>
        </w:tc>
        <w:tc>
          <w:tcPr>
            <w:tcW w:w="664" w:type="dxa"/>
            <w:tcBorders>
              <w:top w:val="nil"/>
              <w:left w:val="nil"/>
              <w:bottom w:val="nil"/>
              <w:right w:val="nil"/>
            </w:tcBorders>
            <w:shd w:val="clear" w:color="auto" w:fill="auto"/>
            <w:noWrap/>
            <w:vAlign w:val="center"/>
            <w:hideMark/>
          </w:tcPr>
          <w:p w14:paraId="0A8371E6" w14:textId="735F793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33,34</w:t>
            </w:r>
          </w:p>
        </w:tc>
        <w:tc>
          <w:tcPr>
            <w:tcW w:w="664" w:type="dxa"/>
            <w:tcBorders>
              <w:top w:val="nil"/>
              <w:left w:val="nil"/>
              <w:bottom w:val="nil"/>
              <w:right w:val="nil"/>
            </w:tcBorders>
            <w:shd w:val="clear" w:color="auto" w:fill="auto"/>
            <w:noWrap/>
            <w:vAlign w:val="center"/>
            <w:hideMark/>
          </w:tcPr>
          <w:p w14:paraId="6FB54870" w14:textId="552FB30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32,54</w:t>
            </w:r>
          </w:p>
        </w:tc>
        <w:tc>
          <w:tcPr>
            <w:tcW w:w="664" w:type="dxa"/>
            <w:tcBorders>
              <w:top w:val="nil"/>
              <w:left w:val="nil"/>
              <w:bottom w:val="nil"/>
              <w:right w:val="nil"/>
            </w:tcBorders>
            <w:shd w:val="clear" w:color="auto" w:fill="auto"/>
            <w:noWrap/>
            <w:vAlign w:val="center"/>
            <w:hideMark/>
          </w:tcPr>
          <w:p w14:paraId="18A8E042" w14:textId="2F244FD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36,65</w:t>
            </w:r>
          </w:p>
        </w:tc>
        <w:tc>
          <w:tcPr>
            <w:tcW w:w="664" w:type="dxa"/>
            <w:tcBorders>
              <w:top w:val="nil"/>
              <w:left w:val="nil"/>
              <w:bottom w:val="nil"/>
              <w:right w:val="nil"/>
            </w:tcBorders>
            <w:shd w:val="clear" w:color="auto" w:fill="auto"/>
            <w:noWrap/>
            <w:vAlign w:val="center"/>
            <w:hideMark/>
          </w:tcPr>
          <w:p w14:paraId="21B0094A" w14:textId="6B81456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33,62</w:t>
            </w:r>
          </w:p>
        </w:tc>
        <w:tc>
          <w:tcPr>
            <w:tcW w:w="664" w:type="dxa"/>
            <w:tcBorders>
              <w:top w:val="nil"/>
              <w:left w:val="nil"/>
              <w:bottom w:val="nil"/>
              <w:right w:val="nil"/>
            </w:tcBorders>
            <w:shd w:val="clear" w:color="auto" w:fill="auto"/>
            <w:noWrap/>
            <w:vAlign w:val="center"/>
            <w:hideMark/>
          </w:tcPr>
          <w:p w14:paraId="79611008" w14:textId="69DFC8E1"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35,63</w:t>
            </w:r>
          </w:p>
        </w:tc>
        <w:tc>
          <w:tcPr>
            <w:tcW w:w="664" w:type="dxa"/>
            <w:tcBorders>
              <w:top w:val="nil"/>
              <w:left w:val="nil"/>
              <w:bottom w:val="nil"/>
              <w:right w:val="nil"/>
            </w:tcBorders>
            <w:shd w:val="clear" w:color="auto" w:fill="auto"/>
            <w:noWrap/>
            <w:vAlign w:val="center"/>
            <w:hideMark/>
          </w:tcPr>
          <w:p w14:paraId="1BB0ECEF" w14:textId="7825A3F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32,61</w:t>
            </w:r>
          </w:p>
        </w:tc>
        <w:tc>
          <w:tcPr>
            <w:tcW w:w="664" w:type="dxa"/>
            <w:tcBorders>
              <w:top w:val="nil"/>
              <w:left w:val="nil"/>
              <w:bottom w:val="nil"/>
              <w:right w:val="nil"/>
            </w:tcBorders>
            <w:shd w:val="clear" w:color="auto" w:fill="auto"/>
            <w:noWrap/>
            <w:vAlign w:val="center"/>
            <w:hideMark/>
          </w:tcPr>
          <w:p w14:paraId="6D7E4132" w14:textId="7AC1778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33,26</w:t>
            </w:r>
          </w:p>
        </w:tc>
        <w:tc>
          <w:tcPr>
            <w:tcW w:w="664" w:type="dxa"/>
            <w:tcBorders>
              <w:top w:val="nil"/>
              <w:left w:val="nil"/>
              <w:bottom w:val="nil"/>
              <w:right w:val="nil"/>
            </w:tcBorders>
            <w:shd w:val="clear" w:color="auto" w:fill="auto"/>
            <w:noWrap/>
            <w:vAlign w:val="center"/>
            <w:hideMark/>
          </w:tcPr>
          <w:p w14:paraId="1F981A18" w14:textId="601FF51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32,19</w:t>
            </w:r>
          </w:p>
        </w:tc>
        <w:tc>
          <w:tcPr>
            <w:tcW w:w="669" w:type="dxa"/>
            <w:tcBorders>
              <w:top w:val="nil"/>
              <w:left w:val="nil"/>
              <w:bottom w:val="nil"/>
              <w:right w:val="nil"/>
            </w:tcBorders>
            <w:shd w:val="clear" w:color="auto" w:fill="auto"/>
            <w:noWrap/>
            <w:vAlign w:val="center"/>
            <w:hideMark/>
          </w:tcPr>
          <w:p w14:paraId="292DD92C" w14:textId="30B1945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30,54</w:t>
            </w:r>
          </w:p>
        </w:tc>
      </w:tr>
      <w:tr w:rsidR="00846150" w:rsidRPr="008D2084" w14:paraId="04F1DD0F" w14:textId="77777777" w:rsidTr="00572936">
        <w:trPr>
          <w:trHeight w:val="301"/>
        </w:trPr>
        <w:tc>
          <w:tcPr>
            <w:tcW w:w="2722" w:type="dxa"/>
            <w:tcBorders>
              <w:top w:val="nil"/>
              <w:left w:val="nil"/>
              <w:bottom w:val="nil"/>
              <w:right w:val="nil"/>
            </w:tcBorders>
            <w:shd w:val="clear" w:color="auto" w:fill="auto"/>
            <w:vAlign w:val="center"/>
            <w:hideMark/>
          </w:tcPr>
          <w:p w14:paraId="647CB4C5" w14:textId="56582A29"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Q </w:t>
            </w:r>
            <w:r>
              <w:rPr>
                <w:rFonts w:ascii="Arial CE" w:hAnsi="Arial CE" w:cs="Arial CE"/>
                <w:sz w:val="16"/>
                <w:szCs w:val="16"/>
              </w:rPr>
              <w:t xml:space="preserve">– </w:t>
            </w:r>
            <w:r w:rsidRPr="008D2084">
              <w:rPr>
                <w:rFonts w:ascii="Arial CE" w:hAnsi="Arial CE" w:cs="Arial CE"/>
                <w:sz w:val="16"/>
                <w:szCs w:val="16"/>
              </w:rPr>
              <w:t>Zdravotní a sociální péče</w:t>
            </w:r>
          </w:p>
        </w:tc>
        <w:tc>
          <w:tcPr>
            <w:tcW w:w="464" w:type="dxa"/>
            <w:tcBorders>
              <w:top w:val="nil"/>
              <w:left w:val="single" w:sz="4" w:space="0" w:color="auto"/>
              <w:bottom w:val="nil"/>
            </w:tcBorders>
            <w:vAlign w:val="center"/>
          </w:tcPr>
          <w:p w14:paraId="7939B610" w14:textId="03E2D146"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44,08</w:t>
            </w:r>
          </w:p>
        </w:tc>
        <w:tc>
          <w:tcPr>
            <w:tcW w:w="541" w:type="dxa"/>
            <w:tcBorders>
              <w:top w:val="nil"/>
              <w:left w:val="nil"/>
              <w:bottom w:val="nil"/>
              <w:right w:val="nil"/>
            </w:tcBorders>
            <w:shd w:val="clear" w:color="auto" w:fill="auto"/>
            <w:noWrap/>
            <w:vAlign w:val="center"/>
            <w:hideMark/>
          </w:tcPr>
          <w:p w14:paraId="1F2FCB93" w14:textId="09D6319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47,04</w:t>
            </w:r>
          </w:p>
        </w:tc>
        <w:tc>
          <w:tcPr>
            <w:tcW w:w="664" w:type="dxa"/>
            <w:tcBorders>
              <w:top w:val="nil"/>
              <w:left w:val="nil"/>
              <w:bottom w:val="nil"/>
              <w:right w:val="nil"/>
            </w:tcBorders>
            <w:shd w:val="clear" w:color="auto" w:fill="auto"/>
            <w:noWrap/>
            <w:vAlign w:val="center"/>
            <w:hideMark/>
          </w:tcPr>
          <w:p w14:paraId="07A1905C" w14:textId="594982E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47,73</w:t>
            </w:r>
          </w:p>
        </w:tc>
        <w:tc>
          <w:tcPr>
            <w:tcW w:w="664" w:type="dxa"/>
            <w:tcBorders>
              <w:top w:val="nil"/>
              <w:left w:val="nil"/>
              <w:bottom w:val="nil"/>
              <w:right w:val="nil"/>
            </w:tcBorders>
            <w:shd w:val="clear" w:color="auto" w:fill="auto"/>
            <w:noWrap/>
            <w:vAlign w:val="center"/>
            <w:hideMark/>
          </w:tcPr>
          <w:p w14:paraId="5C2BD79C" w14:textId="10DE352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47,83</w:t>
            </w:r>
          </w:p>
        </w:tc>
        <w:tc>
          <w:tcPr>
            <w:tcW w:w="664" w:type="dxa"/>
            <w:tcBorders>
              <w:top w:val="nil"/>
              <w:left w:val="nil"/>
              <w:bottom w:val="nil"/>
              <w:right w:val="nil"/>
            </w:tcBorders>
            <w:shd w:val="clear" w:color="auto" w:fill="auto"/>
            <w:noWrap/>
            <w:vAlign w:val="center"/>
            <w:hideMark/>
          </w:tcPr>
          <w:p w14:paraId="18FB72BC" w14:textId="13D5A09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52,59</w:t>
            </w:r>
          </w:p>
        </w:tc>
        <w:tc>
          <w:tcPr>
            <w:tcW w:w="664" w:type="dxa"/>
            <w:tcBorders>
              <w:top w:val="nil"/>
              <w:left w:val="nil"/>
              <w:bottom w:val="nil"/>
              <w:right w:val="nil"/>
            </w:tcBorders>
            <w:shd w:val="clear" w:color="auto" w:fill="auto"/>
            <w:noWrap/>
            <w:vAlign w:val="center"/>
            <w:hideMark/>
          </w:tcPr>
          <w:p w14:paraId="016D61D4" w14:textId="6F953682"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48,91</w:t>
            </w:r>
          </w:p>
        </w:tc>
        <w:tc>
          <w:tcPr>
            <w:tcW w:w="664" w:type="dxa"/>
            <w:tcBorders>
              <w:top w:val="nil"/>
              <w:left w:val="nil"/>
              <w:bottom w:val="nil"/>
              <w:right w:val="nil"/>
            </w:tcBorders>
            <w:shd w:val="clear" w:color="auto" w:fill="auto"/>
            <w:noWrap/>
            <w:vAlign w:val="center"/>
            <w:hideMark/>
          </w:tcPr>
          <w:p w14:paraId="5C4EB916" w14:textId="56067028"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51,67</w:t>
            </w:r>
          </w:p>
        </w:tc>
        <w:tc>
          <w:tcPr>
            <w:tcW w:w="664" w:type="dxa"/>
            <w:tcBorders>
              <w:top w:val="nil"/>
              <w:left w:val="nil"/>
              <w:bottom w:val="nil"/>
              <w:right w:val="nil"/>
            </w:tcBorders>
            <w:shd w:val="clear" w:color="auto" w:fill="auto"/>
            <w:noWrap/>
            <w:vAlign w:val="center"/>
            <w:hideMark/>
          </w:tcPr>
          <w:p w14:paraId="531F6E3D" w14:textId="1AB87F8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48,11</w:t>
            </w:r>
          </w:p>
        </w:tc>
        <w:tc>
          <w:tcPr>
            <w:tcW w:w="664" w:type="dxa"/>
            <w:tcBorders>
              <w:top w:val="nil"/>
              <w:left w:val="nil"/>
              <w:bottom w:val="nil"/>
              <w:right w:val="nil"/>
            </w:tcBorders>
            <w:shd w:val="clear" w:color="auto" w:fill="auto"/>
            <w:noWrap/>
            <w:vAlign w:val="center"/>
            <w:hideMark/>
          </w:tcPr>
          <w:p w14:paraId="77D4F904" w14:textId="745EF0F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48,82</w:t>
            </w:r>
          </w:p>
        </w:tc>
        <w:tc>
          <w:tcPr>
            <w:tcW w:w="664" w:type="dxa"/>
            <w:tcBorders>
              <w:top w:val="nil"/>
              <w:left w:val="nil"/>
              <w:bottom w:val="nil"/>
              <w:right w:val="nil"/>
            </w:tcBorders>
            <w:shd w:val="clear" w:color="auto" w:fill="auto"/>
            <w:noWrap/>
            <w:vAlign w:val="center"/>
            <w:hideMark/>
          </w:tcPr>
          <w:p w14:paraId="40620D02" w14:textId="43CEB5BB"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47,99</w:t>
            </w:r>
          </w:p>
        </w:tc>
        <w:tc>
          <w:tcPr>
            <w:tcW w:w="669" w:type="dxa"/>
            <w:tcBorders>
              <w:top w:val="nil"/>
              <w:left w:val="nil"/>
              <w:bottom w:val="nil"/>
              <w:right w:val="nil"/>
            </w:tcBorders>
            <w:shd w:val="clear" w:color="auto" w:fill="auto"/>
            <w:noWrap/>
            <w:vAlign w:val="center"/>
            <w:hideMark/>
          </w:tcPr>
          <w:p w14:paraId="0C99D7A0" w14:textId="6E94976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45,98</w:t>
            </w:r>
          </w:p>
        </w:tc>
      </w:tr>
      <w:tr w:rsidR="00846150" w:rsidRPr="008D2084" w14:paraId="1363DA54" w14:textId="77777777" w:rsidTr="00572936">
        <w:trPr>
          <w:trHeight w:val="451"/>
        </w:trPr>
        <w:tc>
          <w:tcPr>
            <w:tcW w:w="2722" w:type="dxa"/>
            <w:tcBorders>
              <w:top w:val="nil"/>
              <w:left w:val="nil"/>
              <w:bottom w:val="nil"/>
              <w:right w:val="nil"/>
            </w:tcBorders>
            <w:shd w:val="clear" w:color="auto" w:fill="auto"/>
            <w:vAlign w:val="center"/>
            <w:hideMark/>
          </w:tcPr>
          <w:p w14:paraId="4DBA4A50" w14:textId="7BD911D6" w:rsidR="00846150"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R </w:t>
            </w:r>
            <w:r>
              <w:rPr>
                <w:rFonts w:ascii="Arial CE" w:hAnsi="Arial CE" w:cs="Arial CE"/>
                <w:sz w:val="16"/>
                <w:szCs w:val="16"/>
              </w:rPr>
              <w:t xml:space="preserve">– </w:t>
            </w:r>
            <w:r w:rsidRPr="008D2084">
              <w:rPr>
                <w:rFonts w:ascii="Arial CE" w:hAnsi="Arial CE" w:cs="Arial CE"/>
                <w:sz w:val="16"/>
                <w:szCs w:val="16"/>
              </w:rPr>
              <w:t xml:space="preserve">Kulturní, zábavní a rekreační </w:t>
            </w:r>
          </w:p>
          <w:p w14:paraId="7EC1ABEF" w14:textId="0BF76CFF" w:rsidR="00846150" w:rsidRPr="008D2084" w:rsidRDefault="00846150" w:rsidP="002F5A91">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8D2084">
              <w:rPr>
                <w:rFonts w:ascii="Arial CE" w:hAnsi="Arial CE" w:cs="Arial CE"/>
                <w:sz w:val="16"/>
                <w:szCs w:val="16"/>
              </w:rPr>
              <w:t>činnosti</w:t>
            </w:r>
          </w:p>
        </w:tc>
        <w:tc>
          <w:tcPr>
            <w:tcW w:w="464" w:type="dxa"/>
            <w:tcBorders>
              <w:top w:val="nil"/>
              <w:left w:val="single" w:sz="4" w:space="0" w:color="auto"/>
              <w:bottom w:val="nil"/>
            </w:tcBorders>
            <w:vAlign w:val="center"/>
          </w:tcPr>
          <w:p w14:paraId="48B18AA7" w14:textId="3EED1872"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66EDFDF6" w14:textId="360A6AD7"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39,18</w:t>
            </w:r>
          </w:p>
        </w:tc>
        <w:tc>
          <w:tcPr>
            <w:tcW w:w="664" w:type="dxa"/>
            <w:tcBorders>
              <w:top w:val="nil"/>
              <w:left w:val="nil"/>
              <w:bottom w:val="nil"/>
              <w:right w:val="nil"/>
            </w:tcBorders>
            <w:shd w:val="clear" w:color="auto" w:fill="auto"/>
            <w:noWrap/>
            <w:vAlign w:val="center"/>
            <w:hideMark/>
          </w:tcPr>
          <w:p w14:paraId="5334B63C" w14:textId="0867CA1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41,83</w:t>
            </w:r>
          </w:p>
        </w:tc>
        <w:tc>
          <w:tcPr>
            <w:tcW w:w="664" w:type="dxa"/>
            <w:tcBorders>
              <w:top w:val="nil"/>
              <w:left w:val="nil"/>
              <w:bottom w:val="nil"/>
              <w:right w:val="nil"/>
            </w:tcBorders>
            <w:shd w:val="clear" w:color="auto" w:fill="auto"/>
            <w:noWrap/>
            <w:vAlign w:val="center"/>
            <w:hideMark/>
          </w:tcPr>
          <w:p w14:paraId="283FFCE8" w14:textId="6F6E412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42,87</w:t>
            </w:r>
          </w:p>
        </w:tc>
        <w:tc>
          <w:tcPr>
            <w:tcW w:w="664" w:type="dxa"/>
            <w:tcBorders>
              <w:top w:val="nil"/>
              <w:left w:val="nil"/>
              <w:bottom w:val="nil"/>
              <w:right w:val="nil"/>
            </w:tcBorders>
            <w:shd w:val="clear" w:color="auto" w:fill="auto"/>
            <w:noWrap/>
            <w:vAlign w:val="center"/>
            <w:hideMark/>
          </w:tcPr>
          <w:p w14:paraId="39D61358" w14:textId="05F4D65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45,86</w:t>
            </w:r>
          </w:p>
        </w:tc>
        <w:tc>
          <w:tcPr>
            <w:tcW w:w="664" w:type="dxa"/>
            <w:tcBorders>
              <w:top w:val="nil"/>
              <w:left w:val="nil"/>
              <w:bottom w:val="nil"/>
              <w:right w:val="nil"/>
            </w:tcBorders>
            <w:shd w:val="clear" w:color="auto" w:fill="auto"/>
            <w:noWrap/>
            <w:vAlign w:val="center"/>
            <w:hideMark/>
          </w:tcPr>
          <w:p w14:paraId="64B0E03F" w14:textId="4FA5D39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42,70</w:t>
            </w:r>
          </w:p>
        </w:tc>
        <w:tc>
          <w:tcPr>
            <w:tcW w:w="664" w:type="dxa"/>
            <w:tcBorders>
              <w:top w:val="nil"/>
              <w:left w:val="nil"/>
              <w:bottom w:val="nil"/>
              <w:right w:val="nil"/>
            </w:tcBorders>
            <w:shd w:val="clear" w:color="auto" w:fill="auto"/>
            <w:noWrap/>
            <w:vAlign w:val="center"/>
            <w:hideMark/>
          </w:tcPr>
          <w:p w14:paraId="7097C373" w14:textId="293E3B4E"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44,21</w:t>
            </w:r>
          </w:p>
        </w:tc>
        <w:tc>
          <w:tcPr>
            <w:tcW w:w="664" w:type="dxa"/>
            <w:tcBorders>
              <w:top w:val="nil"/>
              <w:left w:val="nil"/>
              <w:bottom w:val="nil"/>
              <w:right w:val="nil"/>
            </w:tcBorders>
            <w:shd w:val="clear" w:color="auto" w:fill="auto"/>
            <w:noWrap/>
            <w:vAlign w:val="center"/>
            <w:hideMark/>
          </w:tcPr>
          <w:p w14:paraId="09320891" w14:textId="6DD41CD0"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41,34</w:t>
            </w:r>
          </w:p>
        </w:tc>
        <w:tc>
          <w:tcPr>
            <w:tcW w:w="664" w:type="dxa"/>
            <w:tcBorders>
              <w:top w:val="nil"/>
              <w:left w:val="nil"/>
              <w:bottom w:val="nil"/>
              <w:right w:val="nil"/>
            </w:tcBorders>
            <w:shd w:val="clear" w:color="auto" w:fill="auto"/>
            <w:noWrap/>
            <w:vAlign w:val="center"/>
            <w:hideMark/>
          </w:tcPr>
          <w:p w14:paraId="5F7F6AD5" w14:textId="3F639C3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41,86</w:t>
            </w:r>
          </w:p>
        </w:tc>
        <w:tc>
          <w:tcPr>
            <w:tcW w:w="664" w:type="dxa"/>
            <w:tcBorders>
              <w:top w:val="nil"/>
              <w:left w:val="nil"/>
              <w:bottom w:val="nil"/>
              <w:right w:val="nil"/>
            </w:tcBorders>
            <w:shd w:val="clear" w:color="auto" w:fill="auto"/>
            <w:noWrap/>
            <w:vAlign w:val="center"/>
            <w:hideMark/>
          </w:tcPr>
          <w:p w14:paraId="36324426" w14:textId="72EFE2A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42,77</w:t>
            </w:r>
          </w:p>
        </w:tc>
        <w:tc>
          <w:tcPr>
            <w:tcW w:w="669" w:type="dxa"/>
            <w:tcBorders>
              <w:top w:val="nil"/>
              <w:left w:val="nil"/>
              <w:bottom w:val="nil"/>
              <w:right w:val="nil"/>
            </w:tcBorders>
            <w:shd w:val="clear" w:color="auto" w:fill="auto"/>
            <w:noWrap/>
            <w:vAlign w:val="center"/>
            <w:hideMark/>
          </w:tcPr>
          <w:p w14:paraId="416D2651" w14:textId="7CAB5EE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41,14</w:t>
            </w:r>
          </w:p>
        </w:tc>
      </w:tr>
      <w:tr w:rsidR="00846150" w:rsidRPr="008D2084" w14:paraId="7F4F5DF8" w14:textId="77777777" w:rsidTr="00572936">
        <w:trPr>
          <w:trHeight w:val="301"/>
        </w:trPr>
        <w:tc>
          <w:tcPr>
            <w:tcW w:w="2722" w:type="dxa"/>
            <w:tcBorders>
              <w:top w:val="nil"/>
              <w:left w:val="nil"/>
              <w:bottom w:val="nil"/>
              <w:right w:val="nil"/>
            </w:tcBorders>
            <w:shd w:val="clear" w:color="auto" w:fill="auto"/>
            <w:vAlign w:val="center"/>
            <w:hideMark/>
          </w:tcPr>
          <w:p w14:paraId="78BB8761" w14:textId="6FF069FD" w:rsidR="00846150" w:rsidRPr="008D2084" w:rsidRDefault="00846150" w:rsidP="002F5A91">
            <w:pPr>
              <w:spacing w:after="0" w:line="240" w:lineRule="auto"/>
              <w:ind w:firstLineChars="100" w:firstLine="160"/>
              <w:rPr>
                <w:rFonts w:ascii="Arial CE" w:hAnsi="Arial CE" w:cs="Arial CE"/>
                <w:sz w:val="16"/>
                <w:szCs w:val="16"/>
              </w:rPr>
            </w:pPr>
            <w:r w:rsidRPr="008D2084">
              <w:rPr>
                <w:rFonts w:ascii="Arial CE" w:hAnsi="Arial CE" w:cs="Arial CE"/>
                <w:sz w:val="16"/>
                <w:szCs w:val="16"/>
              </w:rPr>
              <w:t xml:space="preserve">S </w:t>
            </w:r>
            <w:r>
              <w:rPr>
                <w:rFonts w:ascii="Arial CE" w:hAnsi="Arial CE" w:cs="Arial CE"/>
                <w:sz w:val="16"/>
                <w:szCs w:val="16"/>
              </w:rPr>
              <w:t xml:space="preserve">– </w:t>
            </w:r>
            <w:r w:rsidRPr="008D2084">
              <w:rPr>
                <w:rFonts w:ascii="Arial CE" w:hAnsi="Arial CE" w:cs="Arial CE"/>
                <w:sz w:val="16"/>
                <w:szCs w:val="16"/>
              </w:rPr>
              <w:t>Ostatní činnosti</w:t>
            </w:r>
          </w:p>
        </w:tc>
        <w:tc>
          <w:tcPr>
            <w:tcW w:w="464" w:type="dxa"/>
            <w:tcBorders>
              <w:top w:val="nil"/>
              <w:left w:val="single" w:sz="4" w:space="0" w:color="auto"/>
              <w:bottom w:val="nil"/>
            </w:tcBorders>
            <w:vAlign w:val="center"/>
          </w:tcPr>
          <w:p w14:paraId="34EE1571" w14:textId="7F0AA170" w:rsidR="00846150" w:rsidRDefault="00846150" w:rsidP="00572936">
            <w:pPr>
              <w:spacing w:after="0" w:line="240" w:lineRule="auto"/>
              <w:jc w:val="right"/>
              <w:rPr>
                <w:rFonts w:ascii="Arial CE" w:hAnsi="Arial CE" w:cs="Arial CE"/>
                <w:sz w:val="16"/>
                <w:szCs w:val="16"/>
              </w:rPr>
            </w:pPr>
            <w:r>
              <w:rPr>
                <w:rFonts w:ascii="Arial CE" w:hAnsi="Arial CE" w:cs="Arial CE"/>
                <w:sz w:val="16"/>
                <w:szCs w:val="16"/>
              </w:rPr>
              <w:t>.</w:t>
            </w:r>
          </w:p>
        </w:tc>
        <w:tc>
          <w:tcPr>
            <w:tcW w:w="541" w:type="dxa"/>
            <w:tcBorders>
              <w:top w:val="nil"/>
              <w:left w:val="nil"/>
              <w:bottom w:val="nil"/>
              <w:right w:val="nil"/>
            </w:tcBorders>
            <w:shd w:val="clear" w:color="auto" w:fill="auto"/>
            <w:noWrap/>
            <w:vAlign w:val="center"/>
            <w:hideMark/>
          </w:tcPr>
          <w:p w14:paraId="4D457D4A" w14:textId="5E210C9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44,55</w:t>
            </w:r>
          </w:p>
        </w:tc>
        <w:tc>
          <w:tcPr>
            <w:tcW w:w="664" w:type="dxa"/>
            <w:tcBorders>
              <w:top w:val="nil"/>
              <w:left w:val="nil"/>
              <w:bottom w:val="nil"/>
              <w:right w:val="nil"/>
            </w:tcBorders>
            <w:shd w:val="clear" w:color="auto" w:fill="auto"/>
            <w:noWrap/>
            <w:vAlign w:val="center"/>
            <w:hideMark/>
          </w:tcPr>
          <w:p w14:paraId="7DE44CD5" w14:textId="3D1D0FAA"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50,82</w:t>
            </w:r>
          </w:p>
        </w:tc>
        <w:tc>
          <w:tcPr>
            <w:tcW w:w="664" w:type="dxa"/>
            <w:tcBorders>
              <w:top w:val="nil"/>
              <w:left w:val="nil"/>
              <w:bottom w:val="nil"/>
              <w:right w:val="nil"/>
            </w:tcBorders>
            <w:shd w:val="clear" w:color="auto" w:fill="auto"/>
            <w:noWrap/>
            <w:vAlign w:val="center"/>
            <w:hideMark/>
          </w:tcPr>
          <w:p w14:paraId="3A647620" w14:textId="4790C0E9"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53,01</w:t>
            </w:r>
          </w:p>
        </w:tc>
        <w:tc>
          <w:tcPr>
            <w:tcW w:w="664" w:type="dxa"/>
            <w:tcBorders>
              <w:top w:val="nil"/>
              <w:left w:val="nil"/>
              <w:bottom w:val="nil"/>
              <w:right w:val="nil"/>
            </w:tcBorders>
            <w:shd w:val="clear" w:color="auto" w:fill="auto"/>
            <w:noWrap/>
            <w:vAlign w:val="center"/>
            <w:hideMark/>
          </w:tcPr>
          <w:p w14:paraId="3B146F16" w14:textId="62CA05C4"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50,18</w:t>
            </w:r>
          </w:p>
        </w:tc>
        <w:tc>
          <w:tcPr>
            <w:tcW w:w="664" w:type="dxa"/>
            <w:tcBorders>
              <w:top w:val="nil"/>
              <w:left w:val="nil"/>
              <w:bottom w:val="nil"/>
              <w:right w:val="nil"/>
            </w:tcBorders>
            <w:shd w:val="clear" w:color="auto" w:fill="auto"/>
            <w:noWrap/>
            <w:vAlign w:val="center"/>
            <w:hideMark/>
          </w:tcPr>
          <w:p w14:paraId="19F66115" w14:textId="328872DF"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48,31</w:t>
            </w:r>
          </w:p>
        </w:tc>
        <w:tc>
          <w:tcPr>
            <w:tcW w:w="664" w:type="dxa"/>
            <w:tcBorders>
              <w:top w:val="nil"/>
              <w:left w:val="nil"/>
              <w:bottom w:val="nil"/>
              <w:right w:val="nil"/>
            </w:tcBorders>
            <w:shd w:val="clear" w:color="auto" w:fill="auto"/>
            <w:noWrap/>
            <w:vAlign w:val="center"/>
            <w:hideMark/>
          </w:tcPr>
          <w:p w14:paraId="1BF71E0D" w14:textId="4F06C26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49,59</w:t>
            </w:r>
          </w:p>
        </w:tc>
        <w:tc>
          <w:tcPr>
            <w:tcW w:w="664" w:type="dxa"/>
            <w:tcBorders>
              <w:top w:val="nil"/>
              <w:left w:val="nil"/>
              <w:bottom w:val="nil"/>
              <w:right w:val="nil"/>
            </w:tcBorders>
            <w:shd w:val="clear" w:color="auto" w:fill="auto"/>
            <w:noWrap/>
            <w:vAlign w:val="center"/>
            <w:hideMark/>
          </w:tcPr>
          <w:p w14:paraId="72488DC5" w14:textId="570A5D86"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48,09</w:t>
            </w:r>
          </w:p>
        </w:tc>
        <w:tc>
          <w:tcPr>
            <w:tcW w:w="664" w:type="dxa"/>
            <w:tcBorders>
              <w:top w:val="nil"/>
              <w:left w:val="nil"/>
              <w:bottom w:val="nil"/>
              <w:right w:val="nil"/>
            </w:tcBorders>
            <w:shd w:val="clear" w:color="auto" w:fill="auto"/>
            <w:noWrap/>
            <w:vAlign w:val="center"/>
            <w:hideMark/>
          </w:tcPr>
          <w:p w14:paraId="6473AF7B" w14:textId="3DF1900D"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48,87</w:t>
            </w:r>
          </w:p>
        </w:tc>
        <w:tc>
          <w:tcPr>
            <w:tcW w:w="664" w:type="dxa"/>
            <w:tcBorders>
              <w:top w:val="nil"/>
              <w:left w:val="nil"/>
              <w:bottom w:val="nil"/>
              <w:right w:val="nil"/>
            </w:tcBorders>
            <w:shd w:val="clear" w:color="auto" w:fill="auto"/>
            <w:noWrap/>
            <w:vAlign w:val="center"/>
            <w:hideMark/>
          </w:tcPr>
          <w:p w14:paraId="451FF7B2" w14:textId="0DA1BC85"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46,94</w:t>
            </w:r>
          </w:p>
        </w:tc>
        <w:tc>
          <w:tcPr>
            <w:tcW w:w="669" w:type="dxa"/>
            <w:tcBorders>
              <w:top w:val="nil"/>
              <w:left w:val="nil"/>
              <w:bottom w:val="nil"/>
              <w:right w:val="nil"/>
            </w:tcBorders>
            <w:shd w:val="clear" w:color="auto" w:fill="auto"/>
            <w:noWrap/>
            <w:vAlign w:val="center"/>
            <w:hideMark/>
          </w:tcPr>
          <w:p w14:paraId="766E44B9" w14:textId="2E9A4C13" w:rsidR="00846150" w:rsidRPr="008D2084" w:rsidRDefault="00846150" w:rsidP="002F5A91">
            <w:pPr>
              <w:spacing w:after="0" w:line="240" w:lineRule="auto"/>
              <w:jc w:val="right"/>
              <w:rPr>
                <w:rFonts w:ascii="Arial CE" w:hAnsi="Arial CE" w:cs="Arial CE"/>
                <w:sz w:val="16"/>
                <w:szCs w:val="16"/>
              </w:rPr>
            </w:pPr>
            <w:r>
              <w:rPr>
                <w:rFonts w:ascii="Arial CE" w:hAnsi="Arial CE" w:cs="Arial CE"/>
                <w:sz w:val="16"/>
                <w:szCs w:val="16"/>
              </w:rPr>
              <w:t>45,83</w:t>
            </w:r>
          </w:p>
        </w:tc>
      </w:tr>
    </w:tbl>
    <w:p w14:paraId="5D96D7D4" w14:textId="5A99844B" w:rsidR="002F5A91" w:rsidRDefault="002F5A91" w:rsidP="00977F2A">
      <w:pPr>
        <w:rPr>
          <w:b/>
        </w:rPr>
      </w:pPr>
    </w:p>
    <w:p w14:paraId="3F05410F" w14:textId="5138C38D" w:rsidR="002F5A91" w:rsidRDefault="002F5A91" w:rsidP="002F5A91">
      <w:pPr>
        <w:spacing w:after="0"/>
        <w:rPr>
          <w:sz w:val="18"/>
        </w:rPr>
      </w:pPr>
      <w:r w:rsidRPr="00BC3FF5">
        <w:rPr>
          <w:sz w:val="18"/>
        </w:rPr>
        <w:t>Zdroj: ČSÚ</w:t>
      </w:r>
    </w:p>
    <w:p w14:paraId="09B2DB0F" w14:textId="77777777" w:rsidR="004B4EAD" w:rsidRDefault="004B4EAD" w:rsidP="002F5A91">
      <w:pPr>
        <w:spacing w:after="0"/>
        <w:rPr>
          <w:sz w:val="18"/>
        </w:rPr>
      </w:pPr>
    </w:p>
    <w:p w14:paraId="3969EC2D" w14:textId="14067474" w:rsidR="002F5A91" w:rsidRDefault="002F5A91" w:rsidP="002F5A91">
      <w:pPr>
        <w:pStyle w:val="Zkladntextodsazen"/>
        <w:spacing w:after="240" w:line="288" w:lineRule="auto"/>
        <w:ind w:left="0"/>
        <w:jc w:val="both"/>
        <w:rPr>
          <w:rFonts w:cs="Arial"/>
        </w:rPr>
      </w:pPr>
      <w:r w:rsidRPr="001F78C9">
        <w:rPr>
          <w:rFonts w:cs="Arial"/>
        </w:rPr>
        <w:t xml:space="preserve">Vývoj hodnot ukazatele průměrné délky případu pracovní neschopnosti v jednotlivých odvětvích je zřejmý z tabulky 2.5 – </w:t>
      </w:r>
      <w:r w:rsidR="00863710" w:rsidRPr="001F78C9">
        <w:rPr>
          <w:rFonts w:cs="Arial"/>
        </w:rPr>
        <w:t>až na výjimky</w:t>
      </w:r>
      <w:r w:rsidRPr="001F78C9">
        <w:rPr>
          <w:rFonts w:cs="Arial"/>
        </w:rPr>
        <w:t xml:space="preserve"> nejsou meziroční rozdíly příliš významné. Prud</w:t>
      </w:r>
      <w:r w:rsidR="00863710" w:rsidRPr="001F78C9">
        <w:rPr>
          <w:rFonts w:cs="Arial"/>
        </w:rPr>
        <w:t>ší</w:t>
      </w:r>
      <w:r w:rsidRPr="001F78C9">
        <w:rPr>
          <w:rFonts w:cs="Arial"/>
        </w:rPr>
        <w:t xml:space="preserve"> nárůst</w:t>
      </w:r>
      <w:r w:rsidR="00863710" w:rsidRPr="001F78C9">
        <w:rPr>
          <w:rFonts w:cs="Arial"/>
        </w:rPr>
        <w:t xml:space="preserve"> byl zaznamenán v odvětví Stavebnictví mezi roky 2010 a 2011, a sice z 53,4 dne na 59,6 dne a mezi roky 2015 a 2016 v</w:t>
      </w:r>
      <w:r w:rsidRPr="001F78C9">
        <w:rPr>
          <w:rFonts w:cs="Arial"/>
        </w:rPr>
        <w:t xml:space="preserve"> odvětví Těžba a </w:t>
      </w:r>
      <w:r w:rsidR="00863710" w:rsidRPr="001F78C9">
        <w:rPr>
          <w:rFonts w:cs="Arial"/>
        </w:rPr>
        <w:t>dobývání (ze 45,4</w:t>
      </w:r>
      <w:r w:rsidRPr="001F78C9">
        <w:rPr>
          <w:rFonts w:cs="Arial"/>
        </w:rPr>
        <w:t xml:space="preserve"> dne na </w:t>
      </w:r>
      <w:r w:rsidR="00863710" w:rsidRPr="001F78C9">
        <w:rPr>
          <w:rFonts w:cs="Arial"/>
        </w:rPr>
        <w:t>53,8 dne na 1</w:t>
      </w:r>
      <w:r w:rsidRPr="001F78C9">
        <w:rPr>
          <w:rFonts w:cs="Arial"/>
        </w:rPr>
        <w:t xml:space="preserve"> případ</w:t>
      </w:r>
      <w:r w:rsidR="00863710" w:rsidRPr="001F78C9">
        <w:rPr>
          <w:rFonts w:cs="Arial"/>
        </w:rPr>
        <w:t>).</w:t>
      </w:r>
      <w:r w:rsidR="00863710">
        <w:rPr>
          <w:rFonts w:cs="Arial"/>
        </w:rPr>
        <w:t xml:space="preserve"> Za delší časové období největší nárůst v trvání pracovní neschopnosti vykazovalo právě odvětví Těžba a dobývání. Od roku 2009 do roku 2018 došlo k prodloužení pracovní neschopnosti v průměru o 8,5 dne, tj. </w:t>
      </w:r>
      <w:r w:rsidR="001F78C9">
        <w:rPr>
          <w:rFonts w:cs="Arial"/>
        </w:rPr>
        <w:t xml:space="preserve">navýšení </w:t>
      </w:r>
      <w:r w:rsidR="00863710">
        <w:rPr>
          <w:rFonts w:cs="Arial"/>
        </w:rPr>
        <w:t>o 22 %.</w:t>
      </w:r>
      <w:r w:rsidR="001F78C9">
        <w:rPr>
          <w:rFonts w:cs="Arial"/>
        </w:rPr>
        <w:t xml:space="preserve"> Naopak odvětvím, kde se doba připadající na 1 případ pracovní neschopnosti nejvíce snížila, byl Zpracovatelský průmysl. Zatímco v roce 2009 činila necelých 49 dní, v roce 2018 to bylo 41,2 dní. V relativním vyjádření se jedná o pokles o</w:t>
      </w:r>
      <w:r w:rsidR="00F547BE">
        <w:rPr>
          <w:rFonts w:cs="Arial"/>
        </w:rPr>
        <w:t> </w:t>
      </w:r>
      <w:r w:rsidR="001F78C9">
        <w:rPr>
          <w:rFonts w:cs="Arial"/>
        </w:rPr>
        <w:t>16 %.</w:t>
      </w:r>
    </w:p>
    <w:p w14:paraId="754CBA2C" w14:textId="73086504" w:rsidR="006A51FD" w:rsidRPr="006A51FD" w:rsidRDefault="00162BC5" w:rsidP="006A51FD">
      <w:pPr>
        <w:pStyle w:val="Titulek"/>
        <w:keepNext/>
        <w:rPr>
          <w:b/>
          <w:i w:val="0"/>
          <w:color w:val="auto"/>
          <w:sz w:val="20"/>
        </w:rPr>
      </w:pPr>
      <w:r>
        <w:rPr>
          <w:b/>
          <w:i w:val="0"/>
          <w:color w:val="auto"/>
          <w:sz w:val="20"/>
        </w:rPr>
        <w:lastRenderedPageBreak/>
        <w:t>Graf 2.</w:t>
      </w:r>
      <w:r w:rsidR="006A51FD" w:rsidRPr="006A51FD">
        <w:rPr>
          <w:b/>
          <w:i w:val="0"/>
          <w:color w:val="auto"/>
          <w:sz w:val="20"/>
        </w:rPr>
        <w:t>8: Průměrná délka trvání případu pracovní neschopnosti podle krajů ČR v roce 2018</w:t>
      </w:r>
    </w:p>
    <w:p w14:paraId="6EE0AA5E" w14:textId="3EF8BB0C" w:rsidR="002F5A91" w:rsidRDefault="00514756" w:rsidP="00977F2A">
      <w:pPr>
        <w:rPr>
          <w:b/>
        </w:rPr>
      </w:pPr>
      <w:r>
        <w:rPr>
          <w:noProof/>
        </w:rPr>
        <w:drawing>
          <wp:inline distT="0" distB="0" distL="0" distR="0" wp14:anchorId="672C9B57" wp14:editId="2A9C7D9F">
            <wp:extent cx="6067425" cy="35433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B2CC87" w14:textId="77777777" w:rsidR="006A51FD" w:rsidRDefault="006A51FD" w:rsidP="006A51FD">
      <w:pPr>
        <w:spacing w:after="0"/>
        <w:rPr>
          <w:sz w:val="18"/>
        </w:rPr>
      </w:pPr>
      <w:r w:rsidRPr="00BC3FF5">
        <w:rPr>
          <w:sz w:val="18"/>
        </w:rPr>
        <w:t>Zdroj: ČSÚ</w:t>
      </w:r>
    </w:p>
    <w:p w14:paraId="33FAD484" w14:textId="1657FD45" w:rsidR="006A51FD" w:rsidRDefault="006A51FD" w:rsidP="00977F2A">
      <w:pPr>
        <w:rPr>
          <w:b/>
        </w:rPr>
      </w:pPr>
    </w:p>
    <w:p w14:paraId="21EB6E0C" w14:textId="01AD2C63" w:rsidR="006A51FD" w:rsidRPr="000B723A" w:rsidRDefault="00722773" w:rsidP="006A51FD">
      <w:pPr>
        <w:pStyle w:val="Zkladntextodsazen"/>
        <w:spacing w:after="240" w:line="288" w:lineRule="auto"/>
        <w:ind w:left="0"/>
        <w:jc w:val="both"/>
        <w:rPr>
          <w:rFonts w:cs="Arial"/>
        </w:rPr>
      </w:pPr>
      <w:r>
        <w:rPr>
          <w:rFonts w:cs="Arial"/>
        </w:rPr>
        <w:t>V regionálním kontextu byla n</w:t>
      </w:r>
      <w:r w:rsidR="006A51FD" w:rsidRPr="000B723A">
        <w:rPr>
          <w:rFonts w:cs="Arial"/>
        </w:rPr>
        <w:t>ejdelší průměrná doba trvání případu dočasné pracovní neschopnosti v roce 201</w:t>
      </w:r>
      <w:r w:rsidR="000560F6" w:rsidRPr="000B723A">
        <w:rPr>
          <w:rFonts w:cs="Arial"/>
        </w:rPr>
        <w:t>8</w:t>
      </w:r>
      <w:r w:rsidR="006A51FD" w:rsidRPr="000B723A">
        <w:rPr>
          <w:rFonts w:cs="Arial"/>
        </w:rPr>
        <w:t xml:space="preserve"> zaznamenána </w:t>
      </w:r>
      <w:r w:rsidR="00514756">
        <w:rPr>
          <w:rFonts w:cs="Arial"/>
        </w:rPr>
        <w:t>na</w:t>
      </w:r>
      <w:r w:rsidR="00BA3658">
        <w:rPr>
          <w:rFonts w:cs="Arial"/>
        </w:rPr>
        <w:t> </w:t>
      </w:r>
      <w:r w:rsidR="00514756">
        <w:rPr>
          <w:rFonts w:cs="Arial"/>
        </w:rPr>
        <w:t xml:space="preserve">Moravě a ve Slezsku – ve </w:t>
      </w:r>
      <w:r w:rsidR="006A51FD" w:rsidRPr="000B723A">
        <w:rPr>
          <w:rFonts w:cs="Arial"/>
        </w:rPr>
        <w:t>Zlínském kraji (</w:t>
      </w:r>
      <w:r w:rsidR="000560F6" w:rsidRPr="000B723A">
        <w:rPr>
          <w:rFonts w:cs="Arial"/>
        </w:rPr>
        <w:t>49,2</w:t>
      </w:r>
      <w:r w:rsidR="006A51FD" w:rsidRPr="000B723A">
        <w:rPr>
          <w:rFonts w:cs="Arial"/>
        </w:rPr>
        <w:t xml:space="preserve"> dne), v Moravskoslezském kraji (</w:t>
      </w:r>
      <w:r w:rsidR="000560F6" w:rsidRPr="000B723A">
        <w:rPr>
          <w:rFonts w:cs="Arial"/>
        </w:rPr>
        <w:t>47,3</w:t>
      </w:r>
      <w:r w:rsidR="006A51FD" w:rsidRPr="000B723A">
        <w:rPr>
          <w:rFonts w:cs="Arial"/>
        </w:rPr>
        <w:t> dne) a</w:t>
      </w:r>
      <w:r w:rsidR="00BA3658">
        <w:rPr>
          <w:rFonts w:cs="Arial"/>
        </w:rPr>
        <w:t> </w:t>
      </w:r>
      <w:r w:rsidR="006A51FD" w:rsidRPr="000B723A">
        <w:rPr>
          <w:rFonts w:cs="Arial"/>
        </w:rPr>
        <w:t>v Olomouckém kraji (</w:t>
      </w:r>
      <w:r w:rsidR="000560F6" w:rsidRPr="000B723A">
        <w:rPr>
          <w:rFonts w:cs="Arial"/>
        </w:rPr>
        <w:t>45,7</w:t>
      </w:r>
      <w:r w:rsidR="006A51FD" w:rsidRPr="000B723A">
        <w:rPr>
          <w:rFonts w:cs="Arial"/>
        </w:rPr>
        <w:t xml:space="preserve"> dne)</w:t>
      </w:r>
      <w:r w:rsidR="00514756">
        <w:rPr>
          <w:rFonts w:cs="Arial"/>
        </w:rPr>
        <w:t>.</w:t>
      </w:r>
      <w:r w:rsidR="006A51FD" w:rsidRPr="000B723A">
        <w:rPr>
          <w:rFonts w:cs="Arial"/>
        </w:rPr>
        <w:t xml:space="preserve"> </w:t>
      </w:r>
      <w:r w:rsidR="00514756">
        <w:rPr>
          <w:rFonts w:cs="Arial"/>
        </w:rPr>
        <w:t>N</w:t>
      </w:r>
      <w:r w:rsidR="000560F6" w:rsidRPr="000B723A">
        <w:rPr>
          <w:rFonts w:cs="Arial"/>
        </w:rPr>
        <w:t xml:space="preserve">a rozdíl od </w:t>
      </w:r>
      <w:r w:rsidR="00514756">
        <w:rPr>
          <w:rFonts w:cs="Arial"/>
        </w:rPr>
        <w:t xml:space="preserve">situace v </w:t>
      </w:r>
      <w:r w:rsidR="000560F6" w:rsidRPr="000B723A">
        <w:rPr>
          <w:rFonts w:cs="Arial"/>
        </w:rPr>
        <w:t>uplynulých 10 let</w:t>
      </w:r>
      <w:r w:rsidR="00514756">
        <w:rPr>
          <w:rFonts w:cs="Arial"/>
        </w:rPr>
        <w:t>ech</w:t>
      </w:r>
      <w:r w:rsidR="000560F6" w:rsidRPr="000B723A">
        <w:rPr>
          <w:rFonts w:cs="Arial"/>
        </w:rPr>
        <w:t>, není krajem s</w:t>
      </w:r>
      <w:r w:rsidR="00E252E5">
        <w:rPr>
          <w:rFonts w:cs="Arial"/>
        </w:rPr>
        <w:t> </w:t>
      </w:r>
      <w:r w:rsidR="000560F6" w:rsidRPr="000B723A">
        <w:rPr>
          <w:rFonts w:cs="Arial"/>
        </w:rPr>
        <w:t>n</w:t>
      </w:r>
      <w:r w:rsidR="006A51FD" w:rsidRPr="000B723A">
        <w:rPr>
          <w:rFonts w:cs="Arial"/>
        </w:rPr>
        <w:t xml:space="preserve">ejkratší </w:t>
      </w:r>
      <w:r w:rsidR="000560F6" w:rsidRPr="000B723A">
        <w:rPr>
          <w:rFonts w:cs="Arial"/>
        </w:rPr>
        <w:t xml:space="preserve">délkou trvání pracovní neschopnosti Praha, nýbrž vystřídal ji Liberecký kraj (37,7 dne). </w:t>
      </w:r>
      <w:r w:rsidR="003A6F27" w:rsidRPr="000B723A">
        <w:rPr>
          <w:rFonts w:cs="Arial"/>
        </w:rPr>
        <w:t xml:space="preserve">Hlavní město Praha s hodnotou 38,6 dne nepatrně </w:t>
      </w:r>
      <w:r w:rsidR="00514756">
        <w:rPr>
          <w:rFonts w:cs="Arial"/>
        </w:rPr>
        <w:t>překonalo</w:t>
      </w:r>
      <w:r w:rsidR="003A6F27" w:rsidRPr="000B723A">
        <w:rPr>
          <w:rFonts w:cs="Arial"/>
        </w:rPr>
        <w:t xml:space="preserve"> dokonce i</w:t>
      </w:r>
      <w:r w:rsidR="000560F6" w:rsidRPr="000B723A">
        <w:rPr>
          <w:rFonts w:cs="Arial"/>
        </w:rPr>
        <w:t xml:space="preserve"> Plzeňský kraj</w:t>
      </w:r>
      <w:r w:rsidR="003A6F27" w:rsidRPr="000B723A">
        <w:rPr>
          <w:rFonts w:cs="Arial"/>
        </w:rPr>
        <w:t xml:space="preserve"> (38,4). Ve všech krajích ČR hodnoty toho</w:t>
      </w:r>
      <w:r w:rsidR="00514756">
        <w:rPr>
          <w:rFonts w:cs="Arial"/>
        </w:rPr>
        <w:t>to</w:t>
      </w:r>
      <w:r w:rsidR="003A6F27" w:rsidRPr="000B723A">
        <w:rPr>
          <w:rFonts w:cs="Arial"/>
        </w:rPr>
        <w:t xml:space="preserve"> ukazatele meziročně poklesly, vyjm</w:t>
      </w:r>
      <w:r w:rsidR="00332B74" w:rsidRPr="000B723A">
        <w:rPr>
          <w:rFonts w:cs="Arial"/>
        </w:rPr>
        <w:t>a</w:t>
      </w:r>
      <w:r w:rsidR="003A6F27" w:rsidRPr="000B723A">
        <w:rPr>
          <w:rFonts w:cs="Arial"/>
        </w:rPr>
        <w:t xml:space="preserve"> již zmiňované Prahy, kde </w:t>
      </w:r>
      <w:r w:rsidR="00332B74" w:rsidRPr="000B723A">
        <w:rPr>
          <w:rFonts w:cs="Arial"/>
        </w:rPr>
        <w:t>se víceméně drží na stejné úrovni.</w:t>
      </w:r>
      <w:r w:rsidR="003A6F27" w:rsidRPr="000B723A">
        <w:rPr>
          <w:rFonts w:cs="Arial"/>
        </w:rPr>
        <w:t xml:space="preserve"> </w:t>
      </w:r>
    </w:p>
    <w:p w14:paraId="5FE99441" w14:textId="38DA98EC" w:rsidR="006A51FD" w:rsidRDefault="006A51FD" w:rsidP="006A51FD">
      <w:pPr>
        <w:jc w:val="both"/>
      </w:pPr>
      <w:r w:rsidRPr="003D655B">
        <w:t xml:space="preserve">Z pohledu </w:t>
      </w:r>
      <w:r w:rsidRPr="00722773">
        <w:rPr>
          <w:b/>
        </w:rPr>
        <w:t>detailnějšího územního členění</w:t>
      </w:r>
      <w:r w:rsidRPr="003D655B">
        <w:t xml:space="preserve"> je zřejmý větší rozptyl hodnot tohoto relativního ukazatele. Nejvyšší průměrnou délku jednoho případu </w:t>
      </w:r>
      <w:r w:rsidR="00012E3C" w:rsidRPr="003D655B">
        <w:t xml:space="preserve">v roce 2018 </w:t>
      </w:r>
      <w:r w:rsidR="00514756">
        <w:t>vykazuje</w:t>
      </w:r>
      <w:r w:rsidRPr="003D655B">
        <w:t xml:space="preserve"> okres Vsetín (</w:t>
      </w:r>
      <w:r w:rsidR="008D49FF" w:rsidRPr="003D655B">
        <w:t>54,1</w:t>
      </w:r>
      <w:r w:rsidRPr="003D655B">
        <w:t xml:space="preserve"> dne) ve Zlínském kraji, který se pohybuje na předních místech mezi okresy s nejdelší pracovní neschopností již několik let. Následuje okres </w:t>
      </w:r>
      <w:r w:rsidR="008D49FF" w:rsidRPr="003D655B">
        <w:t>Strakonice</w:t>
      </w:r>
      <w:r w:rsidRPr="003D655B">
        <w:t xml:space="preserve"> (</w:t>
      </w:r>
      <w:r w:rsidR="008D49FF" w:rsidRPr="003D655B">
        <w:t>52</w:t>
      </w:r>
      <w:r w:rsidRPr="003D655B">
        <w:t xml:space="preserve"> dn</w:t>
      </w:r>
      <w:r w:rsidR="008D49FF" w:rsidRPr="003D655B">
        <w:t>í</w:t>
      </w:r>
      <w:r w:rsidRPr="003D655B">
        <w:t>) v </w:t>
      </w:r>
      <w:r w:rsidR="008D49FF" w:rsidRPr="003D655B">
        <w:t>Jihočeském</w:t>
      </w:r>
      <w:r w:rsidRPr="003D655B">
        <w:t xml:space="preserve"> kraji a </w:t>
      </w:r>
      <w:r w:rsidR="00012E3C" w:rsidRPr="003D655B">
        <w:t>další zlínský</w:t>
      </w:r>
      <w:r w:rsidRPr="003D655B">
        <w:t xml:space="preserve"> okres </w:t>
      </w:r>
      <w:r w:rsidR="008D49FF" w:rsidRPr="003D655B">
        <w:t>Uherské Hradiště</w:t>
      </w:r>
      <w:r w:rsidRPr="003D655B">
        <w:t xml:space="preserve"> (</w:t>
      </w:r>
      <w:r w:rsidR="00012E3C" w:rsidRPr="003D655B">
        <w:t>51,9</w:t>
      </w:r>
      <w:r w:rsidRPr="003D655B">
        <w:t xml:space="preserve"> dne). Nejkratší průměrnou dobu trvání pracovní neschopnosti zaznamenáváme </w:t>
      </w:r>
      <w:r w:rsidR="00012E3C" w:rsidRPr="003D655B">
        <w:t>stejně jako v roce 2017 u</w:t>
      </w:r>
      <w:r w:rsidR="00BA3658">
        <w:t> </w:t>
      </w:r>
      <w:r w:rsidR="00012E3C" w:rsidRPr="003D655B">
        <w:t>středočeského</w:t>
      </w:r>
      <w:r w:rsidRPr="003D655B">
        <w:t xml:space="preserve"> okres</w:t>
      </w:r>
      <w:r w:rsidR="00012E3C" w:rsidRPr="003D655B">
        <w:t>u</w:t>
      </w:r>
      <w:r w:rsidRPr="003D655B">
        <w:t xml:space="preserve"> Mladá Boleslav (33</w:t>
      </w:r>
      <w:r w:rsidR="00012E3C" w:rsidRPr="003D655B">
        <w:t xml:space="preserve"> dní</w:t>
      </w:r>
      <w:r w:rsidRPr="003D655B">
        <w:t>) a okres Rychnov nad Kněžnou (3</w:t>
      </w:r>
      <w:r w:rsidR="00012E3C" w:rsidRPr="003D655B">
        <w:t>3,</w:t>
      </w:r>
      <w:r w:rsidRPr="003D655B">
        <w:t xml:space="preserve">4 dnů) </w:t>
      </w:r>
      <w:r w:rsidR="00514756">
        <w:t>v</w:t>
      </w:r>
      <w:r w:rsidRPr="003D655B">
        <w:t> Královéhradecké</w:t>
      </w:r>
      <w:r w:rsidR="00514756">
        <w:t>m kraji</w:t>
      </w:r>
      <w:r w:rsidRPr="003D655B">
        <w:t>.</w:t>
      </w:r>
    </w:p>
    <w:p w14:paraId="27AC31C8" w14:textId="77777777" w:rsidR="004744DF" w:rsidRDefault="004744DF">
      <w:pPr>
        <w:spacing w:after="0" w:line="240" w:lineRule="auto"/>
        <w:rPr>
          <w:b/>
          <w:iCs/>
          <w:szCs w:val="18"/>
        </w:rPr>
      </w:pPr>
      <w:r>
        <w:rPr>
          <w:b/>
          <w:i/>
        </w:rPr>
        <w:br w:type="page"/>
      </w:r>
    </w:p>
    <w:p w14:paraId="31A86B99" w14:textId="1527BF37" w:rsidR="006A51FD" w:rsidRPr="00AB3FB1" w:rsidRDefault="006A51FD" w:rsidP="006A51FD">
      <w:pPr>
        <w:pStyle w:val="Titulek"/>
        <w:keepNext/>
        <w:rPr>
          <w:b/>
          <w:i w:val="0"/>
          <w:color w:val="auto"/>
          <w:sz w:val="20"/>
        </w:rPr>
      </w:pPr>
      <w:bookmarkStart w:id="14" w:name="_Toc10112624"/>
      <w:r w:rsidRPr="00AB3FB1">
        <w:rPr>
          <w:b/>
          <w:i w:val="0"/>
          <w:color w:val="auto"/>
          <w:sz w:val="20"/>
        </w:rPr>
        <w:lastRenderedPageBreak/>
        <w:t>Tab</w:t>
      </w:r>
      <w:r w:rsidR="003728E7">
        <w:rPr>
          <w:b/>
          <w:i w:val="0"/>
          <w:color w:val="auto"/>
          <w:sz w:val="20"/>
        </w:rPr>
        <w:t>.</w:t>
      </w:r>
      <w:r w:rsidRPr="00AB3FB1">
        <w:rPr>
          <w:b/>
          <w:i w:val="0"/>
          <w:color w:val="auto"/>
          <w:sz w:val="20"/>
        </w:rPr>
        <w:t xml:space="preserve"> </w:t>
      </w:r>
      <w:r w:rsidR="00162BC5">
        <w:rPr>
          <w:b/>
          <w:i w:val="0"/>
          <w:color w:val="auto"/>
          <w:sz w:val="20"/>
        </w:rPr>
        <w:t>2.</w:t>
      </w:r>
      <w:r w:rsidRPr="00AB3FB1">
        <w:rPr>
          <w:b/>
          <w:i w:val="0"/>
          <w:color w:val="auto"/>
          <w:sz w:val="20"/>
        </w:rPr>
        <w:fldChar w:fldCharType="begin"/>
      </w:r>
      <w:r w:rsidRPr="00AB3FB1">
        <w:rPr>
          <w:b/>
          <w:i w:val="0"/>
          <w:color w:val="auto"/>
          <w:sz w:val="20"/>
        </w:rPr>
        <w:instrText xml:space="preserve"> SEQ Tabulka \* ARABIC </w:instrText>
      </w:r>
      <w:r w:rsidRPr="00AB3FB1">
        <w:rPr>
          <w:b/>
          <w:i w:val="0"/>
          <w:color w:val="auto"/>
          <w:sz w:val="20"/>
        </w:rPr>
        <w:fldChar w:fldCharType="separate"/>
      </w:r>
      <w:r w:rsidR="004426F5">
        <w:rPr>
          <w:b/>
          <w:i w:val="0"/>
          <w:noProof/>
          <w:color w:val="auto"/>
          <w:sz w:val="20"/>
        </w:rPr>
        <w:t>6</w:t>
      </w:r>
      <w:r w:rsidRPr="00AB3FB1">
        <w:rPr>
          <w:b/>
          <w:i w:val="0"/>
          <w:color w:val="auto"/>
          <w:sz w:val="20"/>
        </w:rPr>
        <w:fldChar w:fldCharType="end"/>
      </w:r>
      <w:r w:rsidR="00AB3FB1" w:rsidRPr="00AB3FB1">
        <w:rPr>
          <w:b/>
          <w:i w:val="0"/>
          <w:color w:val="auto"/>
          <w:sz w:val="20"/>
        </w:rPr>
        <w:t>: Průměrná délka trvání případu dočasné pracovní neschopnosti podle krajů ČR v letech 2008–2018</w:t>
      </w:r>
      <w:bookmarkEnd w:id="14"/>
    </w:p>
    <w:tbl>
      <w:tblPr>
        <w:tblW w:w="9540" w:type="dxa"/>
        <w:tblInd w:w="70" w:type="dxa"/>
        <w:tblCellMar>
          <w:left w:w="70" w:type="dxa"/>
          <w:right w:w="70" w:type="dxa"/>
        </w:tblCellMar>
        <w:tblLook w:val="04A0" w:firstRow="1" w:lastRow="0" w:firstColumn="1" w:lastColumn="0" w:noHBand="0" w:noVBand="1"/>
      </w:tblPr>
      <w:tblGrid>
        <w:gridCol w:w="1831"/>
        <w:gridCol w:w="709"/>
        <w:gridCol w:w="700"/>
        <w:gridCol w:w="700"/>
        <w:gridCol w:w="700"/>
        <w:gridCol w:w="700"/>
        <w:gridCol w:w="700"/>
        <w:gridCol w:w="700"/>
        <w:gridCol w:w="700"/>
        <w:gridCol w:w="700"/>
        <w:gridCol w:w="700"/>
        <w:gridCol w:w="700"/>
      </w:tblGrid>
      <w:tr w:rsidR="006A51FD" w:rsidRPr="008C2001" w14:paraId="5DDD4969" w14:textId="77777777" w:rsidTr="006A51FD">
        <w:trPr>
          <w:trHeight w:val="300"/>
        </w:trPr>
        <w:tc>
          <w:tcPr>
            <w:tcW w:w="1831" w:type="dxa"/>
            <w:vMerge w:val="restart"/>
            <w:tcBorders>
              <w:top w:val="nil"/>
              <w:left w:val="nil"/>
              <w:bottom w:val="single" w:sz="8" w:space="0" w:color="000000"/>
              <w:right w:val="single" w:sz="4" w:space="0" w:color="auto"/>
            </w:tcBorders>
            <w:shd w:val="clear" w:color="000000" w:fill="F5DADD"/>
            <w:vAlign w:val="center"/>
            <w:hideMark/>
          </w:tcPr>
          <w:p w14:paraId="4F91BE1F" w14:textId="77777777" w:rsidR="006A51FD" w:rsidRPr="008C2001" w:rsidRDefault="006A51FD" w:rsidP="006A51FD">
            <w:pPr>
              <w:spacing w:after="0" w:line="240" w:lineRule="auto"/>
              <w:jc w:val="center"/>
              <w:rPr>
                <w:rFonts w:cs="Arial"/>
                <w:sz w:val="16"/>
                <w:szCs w:val="16"/>
              </w:rPr>
            </w:pPr>
            <w:r w:rsidRPr="008C2001">
              <w:rPr>
                <w:rFonts w:cs="Arial"/>
                <w:sz w:val="16"/>
                <w:szCs w:val="16"/>
              </w:rPr>
              <w:t>Kraj ČR</w:t>
            </w:r>
          </w:p>
        </w:tc>
        <w:tc>
          <w:tcPr>
            <w:tcW w:w="7709" w:type="dxa"/>
            <w:gridSpan w:val="11"/>
            <w:tcBorders>
              <w:top w:val="nil"/>
              <w:left w:val="nil"/>
              <w:bottom w:val="single" w:sz="4" w:space="0" w:color="auto"/>
              <w:right w:val="nil"/>
            </w:tcBorders>
            <w:shd w:val="clear" w:color="000000" w:fill="F5DADD"/>
            <w:noWrap/>
            <w:vAlign w:val="bottom"/>
          </w:tcPr>
          <w:p w14:paraId="2537845A" w14:textId="0B7DEF24" w:rsidR="006A51FD" w:rsidRPr="008C2001" w:rsidRDefault="006A51FD" w:rsidP="00C06407">
            <w:pPr>
              <w:spacing w:after="0" w:line="240" w:lineRule="auto"/>
              <w:jc w:val="center"/>
              <w:rPr>
                <w:rFonts w:cs="Arial"/>
                <w:sz w:val="16"/>
                <w:szCs w:val="16"/>
              </w:rPr>
            </w:pPr>
            <w:r w:rsidRPr="006A51FD">
              <w:rPr>
                <w:rFonts w:cs="Arial"/>
                <w:sz w:val="16"/>
                <w:szCs w:val="16"/>
              </w:rPr>
              <w:t>Průměrná délka trvání případu DPN (dny)</w:t>
            </w:r>
          </w:p>
        </w:tc>
      </w:tr>
      <w:tr w:rsidR="006A51FD" w:rsidRPr="008C2001" w14:paraId="27BCF2F4" w14:textId="77777777" w:rsidTr="006A51FD">
        <w:trPr>
          <w:trHeight w:val="315"/>
        </w:trPr>
        <w:tc>
          <w:tcPr>
            <w:tcW w:w="1831" w:type="dxa"/>
            <w:vMerge/>
            <w:tcBorders>
              <w:top w:val="nil"/>
              <w:left w:val="nil"/>
              <w:bottom w:val="single" w:sz="8" w:space="0" w:color="000000"/>
              <w:right w:val="single" w:sz="4" w:space="0" w:color="auto"/>
            </w:tcBorders>
            <w:vAlign w:val="center"/>
            <w:hideMark/>
          </w:tcPr>
          <w:p w14:paraId="0D561D62" w14:textId="77777777" w:rsidR="006A51FD" w:rsidRPr="008C2001" w:rsidRDefault="006A51FD" w:rsidP="006A51FD">
            <w:pPr>
              <w:spacing w:after="0" w:line="240" w:lineRule="auto"/>
              <w:rPr>
                <w:rFonts w:cs="Arial"/>
                <w:sz w:val="16"/>
                <w:szCs w:val="16"/>
              </w:rPr>
            </w:pPr>
          </w:p>
        </w:tc>
        <w:tc>
          <w:tcPr>
            <w:tcW w:w="709" w:type="dxa"/>
            <w:tcBorders>
              <w:top w:val="nil"/>
              <w:left w:val="nil"/>
              <w:bottom w:val="single" w:sz="8" w:space="0" w:color="auto"/>
              <w:right w:val="nil"/>
            </w:tcBorders>
            <w:shd w:val="clear" w:color="000000" w:fill="F5DADD"/>
            <w:noWrap/>
            <w:vAlign w:val="bottom"/>
            <w:hideMark/>
          </w:tcPr>
          <w:p w14:paraId="3BB20315" w14:textId="77777777" w:rsidR="006A51FD" w:rsidRPr="008C2001" w:rsidRDefault="006A51FD" w:rsidP="006A51FD">
            <w:pPr>
              <w:spacing w:after="0" w:line="240" w:lineRule="auto"/>
              <w:jc w:val="center"/>
              <w:rPr>
                <w:rFonts w:cs="Arial"/>
                <w:sz w:val="16"/>
                <w:szCs w:val="16"/>
              </w:rPr>
            </w:pPr>
            <w:r w:rsidRPr="008C2001">
              <w:rPr>
                <w:rFonts w:cs="Arial"/>
                <w:sz w:val="16"/>
                <w:szCs w:val="16"/>
              </w:rPr>
              <w:t>2008</w:t>
            </w:r>
          </w:p>
        </w:tc>
        <w:tc>
          <w:tcPr>
            <w:tcW w:w="700" w:type="dxa"/>
            <w:tcBorders>
              <w:top w:val="nil"/>
              <w:left w:val="nil"/>
              <w:bottom w:val="single" w:sz="8" w:space="0" w:color="auto"/>
              <w:right w:val="nil"/>
            </w:tcBorders>
            <w:shd w:val="clear" w:color="000000" w:fill="F5DADD"/>
            <w:noWrap/>
            <w:vAlign w:val="bottom"/>
            <w:hideMark/>
          </w:tcPr>
          <w:p w14:paraId="372D053C" w14:textId="77777777" w:rsidR="006A51FD" w:rsidRPr="008C2001" w:rsidRDefault="006A51FD" w:rsidP="006A51FD">
            <w:pPr>
              <w:spacing w:after="0" w:line="240" w:lineRule="auto"/>
              <w:jc w:val="center"/>
              <w:rPr>
                <w:rFonts w:cs="Arial"/>
                <w:sz w:val="16"/>
                <w:szCs w:val="16"/>
              </w:rPr>
            </w:pPr>
            <w:r w:rsidRPr="008C2001">
              <w:rPr>
                <w:rFonts w:cs="Arial"/>
                <w:sz w:val="16"/>
                <w:szCs w:val="16"/>
              </w:rPr>
              <w:t>2009</w:t>
            </w:r>
          </w:p>
        </w:tc>
        <w:tc>
          <w:tcPr>
            <w:tcW w:w="700" w:type="dxa"/>
            <w:tcBorders>
              <w:top w:val="nil"/>
              <w:left w:val="nil"/>
              <w:bottom w:val="single" w:sz="8" w:space="0" w:color="auto"/>
              <w:right w:val="nil"/>
            </w:tcBorders>
            <w:shd w:val="clear" w:color="000000" w:fill="F5DADD"/>
            <w:noWrap/>
            <w:vAlign w:val="bottom"/>
            <w:hideMark/>
          </w:tcPr>
          <w:p w14:paraId="552EA902"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2010</w:t>
            </w:r>
          </w:p>
        </w:tc>
        <w:tc>
          <w:tcPr>
            <w:tcW w:w="700" w:type="dxa"/>
            <w:tcBorders>
              <w:top w:val="nil"/>
              <w:left w:val="nil"/>
              <w:bottom w:val="single" w:sz="8" w:space="0" w:color="auto"/>
              <w:right w:val="nil"/>
            </w:tcBorders>
            <w:shd w:val="clear" w:color="000000" w:fill="F5DADD"/>
            <w:noWrap/>
            <w:vAlign w:val="bottom"/>
            <w:hideMark/>
          </w:tcPr>
          <w:p w14:paraId="7A16A63D"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2011</w:t>
            </w:r>
          </w:p>
        </w:tc>
        <w:tc>
          <w:tcPr>
            <w:tcW w:w="700" w:type="dxa"/>
            <w:tcBorders>
              <w:top w:val="nil"/>
              <w:left w:val="nil"/>
              <w:bottom w:val="single" w:sz="8" w:space="0" w:color="auto"/>
              <w:right w:val="nil"/>
            </w:tcBorders>
            <w:shd w:val="clear" w:color="000000" w:fill="F5DADD"/>
            <w:noWrap/>
            <w:vAlign w:val="bottom"/>
            <w:hideMark/>
          </w:tcPr>
          <w:p w14:paraId="51F45D4F"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2012</w:t>
            </w:r>
          </w:p>
        </w:tc>
        <w:tc>
          <w:tcPr>
            <w:tcW w:w="700" w:type="dxa"/>
            <w:tcBorders>
              <w:top w:val="nil"/>
              <w:left w:val="nil"/>
              <w:bottom w:val="single" w:sz="8" w:space="0" w:color="auto"/>
              <w:right w:val="nil"/>
            </w:tcBorders>
            <w:shd w:val="clear" w:color="000000" w:fill="F5DADD"/>
            <w:noWrap/>
            <w:vAlign w:val="bottom"/>
            <w:hideMark/>
          </w:tcPr>
          <w:p w14:paraId="26AC6FF3"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2013</w:t>
            </w:r>
          </w:p>
        </w:tc>
        <w:tc>
          <w:tcPr>
            <w:tcW w:w="700" w:type="dxa"/>
            <w:tcBorders>
              <w:top w:val="nil"/>
              <w:left w:val="nil"/>
              <w:bottom w:val="single" w:sz="8" w:space="0" w:color="auto"/>
              <w:right w:val="nil"/>
            </w:tcBorders>
            <w:shd w:val="clear" w:color="000000" w:fill="F5DADD"/>
            <w:noWrap/>
            <w:vAlign w:val="bottom"/>
            <w:hideMark/>
          </w:tcPr>
          <w:p w14:paraId="404F855C"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2014</w:t>
            </w:r>
          </w:p>
        </w:tc>
        <w:tc>
          <w:tcPr>
            <w:tcW w:w="700" w:type="dxa"/>
            <w:tcBorders>
              <w:top w:val="nil"/>
              <w:left w:val="nil"/>
              <w:bottom w:val="single" w:sz="8" w:space="0" w:color="auto"/>
              <w:right w:val="nil"/>
            </w:tcBorders>
            <w:shd w:val="clear" w:color="000000" w:fill="F5DADD"/>
            <w:noWrap/>
            <w:vAlign w:val="bottom"/>
            <w:hideMark/>
          </w:tcPr>
          <w:p w14:paraId="45BBEA38"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2015</w:t>
            </w:r>
          </w:p>
        </w:tc>
        <w:tc>
          <w:tcPr>
            <w:tcW w:w="700" w:type="dxa"/>
            <w:tcBorders>
              <w:top w:val="nil"/>
              <w:left w:val="nil"/>
              <w:bottom w:val="single" w:sz="8" w:space="0" w:color="auto"/>
              <w:right w:val="nil"/>
            </w:tcBorders>
            <w:shd w:val="clear" w:color="000000" w:fill="F5DADD"/>
            <w:noWrap/>
            <w:vAlign w:val="bottom"/>
            <w:hideMark/>
          </w:tcPr>
          <w:p w14:paraId="55155157"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2016</w:t>
            </w:r>
          </w:p>
        </w:tc>
        <w:tc>
          <w:tcPr>
            <w:tcW w:w="700" w:type="dxa"/>
            <w:tcBorders>
              <w:top w:val="nil"/>
              <w:left w:val="nil"/>
              <w:bottom w:val="single" w:sz="8" w:space="0" w:color="auto"/>
              <w:right w:val="nil"/>
            </w:tcBorders>
            <w:shd w:val="clear" w:color="000000" w:fill="F5DADD"/>
            <w:noWrap/>
            <w:vAlign w:val="bottom"/>
            <w:hideMark/>
          </w:tcPr>
          <w:p w14:paraId="2DDE5F22"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2017</w:t>
            </w:r>
          </w:p>
        </w:tc>
        <w:tc>
          <w:tcPr>
            <w:tcW w:w="700" w:type="dxa"/>
            <w:tcBorders>
              <w:top w:val="nil"/>
              <w:left w:val="nil"/>
              <w:bottom w:val="nil"/>
              <w:right w:val="nil"/>
            </w:tcBorders>
            <w:shd w:val="clear" w:color="000000" w:fill="F5DADD"/>
            <w:noWrap/>
            <w:vAlign w:val="bottom"/>
            <w:hideMark/>
          </w:tcPr>
          <w:p w14:paraId="46F45DBD" w14:textId="77777777" w:rsidR="006A51FD" w:rsidRPr="008C2001" w:rsidRDefault="006A51FD" w:rsidP="006A51FD">
            <w:pPr>
              <w:spacing w:after="0" w:line="240" w:lineRule="auto"/>
              <w:jc w:val="center"/>
              <w:rPr>
                <w:rFonts w:cs="Arial"/>
                <w:sz w:val="16"/>
                <w:szCs w:val="16"/>
              </w:rPr>
            </w:pPr>
            <w:r w:rsidRPr="008C2001">
              <w:rPr>
                <w:rFonts w:cs="Arial"/>
                <w:sz w:val="16"/>
                <w:szCs w:val="16"/>
              </w:rPr>
              <w:t>2018</w:t>
            </w:r>
          </w:p>
        </w:tc>
      </w:tr>
      <w:tr w:rsidR="006A51FD" w:rsidRPr="008C2001" w14:paraId="2DDB7B7F"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16C14592" w14:textId="77777777" w:rsidR="006A51FD" w:rsidRPr="008C2001" w:rsidRDefault="006A51FD" w:rsidP="006A51FD">
            <w:pPr>
              <w:spacing w:after="0" w:line="240" w:lineRule="auto"/>
              <w:rPr>
                <w:rFonts w:cs="Arial"/>
                <w:b/>
                <w:bCs/>
                <w:sz w:val="16"/>
                <w:szCs w:val="16"/>
              </w:rPr>
            </w:pPr>
            <w:r w:rsidRPr="008C2001">
              <w:rPr>
                <w:rFonts w:cs="Arial"/>
                <w:b/>
                <w:bCs/>
                <w:sz w:val="16"/>
                <w:szCs w:val="16"/>
              </w:rPr>
              <w:t>ČR celkem</w:t>
            </w:r>
          </w:p>
        </w:tc>
        <w:tc>
          <w:tcPr>
            <w:tcW w:w="709" w:type="dxa"/>
            <w:tcBorders>
              <w:top w:val="nil"/>
              <w:left w:val="nil"/>
              <w:bottom w:val="nil"/>
              <w:right w:val="nil"/>
            </w:tcBorders>
            <w:shd w:val="clear" w:color="auto" w:fill="auto"/>
            <w:noWrap/>
            <w:vAlign w:val="bottom"/>
            <w:hideMark/>
          </w:tcPr>
          <w:p w14:paraId="0F96BE18" w14:textId="1155CAA1"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39,05</w:t>
            </w:r>
          </w:p>
        </w:tc>
        <w:tc>
          <w:tcPr>
            <w:tcW w:w="700" w:type="dxa"/>
            <w:tcBorders>
              <w:top w:val="nil"/>
              <w:left w:val="nil"/>
              <w:bottom w:val="nil"/>
              <w:right w:val="nil"/>
            </w:tcBorders>
            <w:shd w:val="clear" w:color="auto" w:fill="auto"/>
            <w:noWrap/>
            <w:vAlign w:val="bottom"/>
            <w:hideMark/>
          </w:tcPr>
          <w:p w14:paraId="25076035" w14:textId="16D25CDF"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45,06</w:t>
            </w:r>
          </w:p>
        </w:tc>
        <w:tc>
          <w:tcPr>
            <w:tcW w:w="700" w:type="dxa"/>
            <w:tcBorders>
              <w:top w:val="nil"/>
              <w:left w:val="nil"/>
              <w:bottom w:val="nil"/>
              <w:right w:val="nil"/>
            </w:tcBorders>
            <w:shd w:val="clear" w:color="auto" w:fill="auto"/>
            <w:noWrap/>
            <w:vAlign w:val="bottom"/>
            <w:hideMark/>
          </w:tcPr>
          <w:p w14:paraId="2702A1A7" w14:textId="327B974A"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44,69</w:t>
            </w:r>
          </w:p>
        </w:tc>
        <w:tc>
          <w:tcPr>
            <w:tcW w:w="700" w:type="dxa"/>
            <w:tcBorders>
              <w:top w:val="nil"/>
              <w:left w:val="nil"/>
              <w:bottom w:val="nil"/>
              <w:right w:val="nil"/>
            </w:tcBorders>
            <w:shd w:val="clear" w:color="auto" w:fill="auto"/>
            <w:noWrap/>
            <w:vAlign w:val="bottom"/>
            <w:hideMark/>
          </w:tcPr>
          <w:p w14:paraId="2B0059B0" w14:textId="06873D5B"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44,08</w:t>
            </w:r>
          </w:p>
        </w:tc>
        <w:tc>
          <w:tcPr>
            <w:tcW w:w="700" w:type="dxa"/>
            <w:tcBorders>
              <w:top w:val="nil"/>
              <w:left w:val="nil"/>
              <w:bottom w:val="nil"/>
              <w:right w:val="nil"/>
            </w:tcBorders>
            <w:shd w:val="clear" w:color="auto" w:fill="auto"/>
            <w:noWrap/>
            <w:vAlign w:val="bottom"/>
            <w:hideMark/>
          </w:tcPr>
          <w:p w14:paraId="477D7C7E" w14:textId="56330D83"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46,05</w:t>
            </w:r>
          </w:p>
        </w:tc>
        <w:tc>
          <w:tcPr>
            <w:tcW w:w="700" w:type="dxa"/>
            <w:tcBorders>
              <w:top w:val="nil"/>
              <w:left w:val="nil"/>
              <w:bottom w:val="nil"/>
              <w:right w:val="nil"/>
            </w:tcBorders>
            <w:shd w:val="clear" w:color="auto" w:fill="auto"/>
            <w:noWrap/>
            <w:vAlign w:val="bottom"/>
            <w:hideMark/>
          </w:tcPr>
          <w:p w14:paraId="341DD985" w14:textId="5AD16682"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44,00</w:t>
            </w:r>
          </w:p>
        </w:tc>
        <w:tc>
          <w:tcPr>
            <w:tcW w:w="700" w:type="dxa"/>
            <w:tcBorders>
              <w:top w:val="nil"/>
              <w:left w:val="nil"/>
              <w:bottom w:val="nil"/>
              <w:right w:val="nil"/>
            </w:tcBorders>
            <w:shd w:val="clear" w:color="auto" w:fill="auto"/>
            <w:noWrap/>
            <w:vAlign w:val="bottom"/>
            <w:hideMark/>
          </w:tcPr>
          <w:p w14:paraId="782EA4CC" w14:textId="47732330"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45,81</w:t>
            </w:r>
          </w:p>
        </w:tc>
        <w:tc>
          <w:tcPr>
            <w:tcW w:w="700" w:type="dxa"/>
            <w:tcBorders>
              <w:top w:val="nil"/>
              <w:left w:val="nil"/>
              <w:bottom w:val="nil"/>
              <w:right w:val="nil"/>
            </w:tcBorders>
            <w:shd w:val="clear" w:color="auto" w:fill="auto"/>
            <w:noWrap/>
            <w:vAlign w:val="bottom"/>
            <w:hideMark/>
          </w:tcPr>
          <w:p w14:paraId="30750C03" w14:textId="20BDC0CC"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42,74</w:t>
            </w:r>
          </w:p>
        </w:tc>
        <w:tc>
          <w:tcPr>
            <w:tcW w:w="700" w:type="dxa"/>
            <w:tcBorders>
              <w:top w:val="nil"/>
              <w:left w:val="nil"/>
              <w:bottom w:val="nil"/>
              <w:right w:val="nil"/>
            </w:tcBorders>
            <w:shd w:val="clear" w:color="auto" w:fill="auto"/>
            <w:noWrap/>
            <w:vAlign w:val="bottom"/>
            <w:hideMark/>
          </w:tcPr>
          <w:p w14:paraId="155AAA21" w14:textId="740883D0"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43,01</w:t>
            </w:r>
          </w:p>
        </w:tc>
        <w:tc>
          <w:tcPr>
            <w:tcW w:w="700" w:type="dxa"/>
            <w:tcBorders>
              <w:top w:val="nil"/>
              <w:left w:val="nil"/>
              <w:bottom w:val="nil"/>
              <w:right w:val="nil"/>
            </w:tcBorders>
            <w:shd w:val="clear" w:color="auto" w:fill="auto"/>
            <w:noWrap/>
            <w:vAlign w:val="bottom"/>
            <w:hideMark/>
          </w:tcPr>
          <w:p w14:paraId="523D8210" w14:textId="289BEF59"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42,56</w:t>
            </w:r>
          </w:p>
        </w:tc>
        <w:tc>
          <w:tcPr>
            <w:tcW w:w="700" w:type="dxa"/>
            <w:tcBorders>
              <w:top w:val="single" w:sz="8" w:space="0" w:color="auto"/>
              <w:left w:val="nil"/>
              <w:bottom w:val="nil"/>
              <w:right w:val="nil"/>
            </w:tcBorders>
            <w:shd w:val="clear" w:color="auto" w:fill="auto"/>
            <w:noWrap/>
            <w:vAlign w:val="bottom"/>
            <w:hideMark/>
          </w:tcPr>
          <w:p w14:paraId="1CB383FE" w14:textId="2892EC6D" w:rsidR="006A51FD" w:rsidRPr="008C2001" w:rsidRDefault="006A51FD" w:rsidP="006A51FD">
            <w:pPr>
              <w:spacing w:after="0" w:line="240" w:lineRule="auto"/>
              <w:jc w:val="right"/>
              <w:rPr>
                <w:rFonts w:cs="Arial"/>
                <w:b/>
                <w:bCs/>
                <w:sz w:val="16"/>
                <w:szCs w:val="16"/>
              </w:rPr>
            </w:pPr>
            <w:r>
              <w:rPr>
                <w:rFonts w:ascii="Arial CE" w:hAnsi="Arial CE" w:cs="Arial CE"/>
                <w:b/>
                <w:bCs/>
                <w:sz w:val="16"/>
                <w:szCs w:val="16"/>
              </w:rPr>
              <w:t>41,72</w:t>
            </w:r>
          </w:p>
        </w:tc>
      </w:tr>
      <w:tr w:rsidR="006A51FD" w:rsidRPr="008C2001" w14:paraId="247EF5A2"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581D70E8"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Hl. m. Praha</w:t>
            </w:r>
          </w:p>
        </w:tc>
        <w:tc>
          <w:tcPr>
            <w:tcW w:w="709" w:type="dxa"/>
            <w:tcBorders>
              <w:top w:val="nil"/>
              <w:left w:val="nil"/>
              <w:bottom w:val="nil"/>
              <w:right w:val="nil"/>
            </w:tcBorders>
            <w:shd w:val="clear" w:color="auto" w:fill="auto"/>
            <w:noWrap/>
            <w:vAlign w:val="bottom"/>
            <w:hideMark/>
          </w:tcPr>
          <w:p w14:paraId="7C814FD7" w14:textId="2FED3483" w:rsidR="006A51FD" w:rsidRPr="008C2001" w:rsidRDefault="006A51FD" w:rsidP="006A51FD">
            <w:pPr>
              <w:spacing w:after="0" w:line="240" w:lineRule="auto"/>
              <w:jc w:val="right"/>
              <w:rPr>
                <w:rFonts w:cs="Arial"/>
                <w:sz w:val="16"/>
                <w:szCs w:val="16"/>
              </w:rPr>
            </w:pPr>
            <w:r>
              <w:rPr>
                <w:rFonts w:ascii="Arial CE" w:hAnsi="Arial CE" w:cs="Arial CE"/>
                <w:sz w:val="16"/>
                <w:szCs w:val="16"/>
              </w:rPr>
              <w:t>34,37</w:t>
            </w:r>
          </w:p>
        </w:tc>
        <w:tc>
          <w:tcPr>
            <w:tcW w:w="700" w:type="dxa"/>
            <w:tcBorders>
              <w:top w:val="nil"/>
              <w:left w:val="nil"/>
              <w:bottom w:val="nil"/>
              <w:right w:val="nil"/>
            </w:tcBorders>
            <w:shd w:val="clear" w:color="auto" w:fill="auto"/>
            <w:noWrap/>
            <w:vAlign w:val="bottom"/>
            <w:hideMark/>
          </w:tcPr>
          <w:p w14:paraId="07E0E9F6" w14:textId="512BEA78" w:rsidR="006A51FD" w:rsidRPr="008C2001" w:rsidRDefault="006A51FD" w:rsidP="006A51FD">
            <w:pPr>
              <w:spacing w:after="0" w:line="240" w:lineRule="auto"/>
              <w:jc w:val="right"/>
              <w:rPr>
                <w:rFonts w:cs="Arial"/>
                <w:sz w:val="16"/>
                <w:szCs w:val="16"/>
              </w:rPr>
            </w:pPr>
            <w:r>
              <w:rPr>
                <w:rFonts w:ascii="Arial CE" w:hAnsi="Arial CE" w:cs="Arial CE"/>
                <w:sz w:val="16"/>
                <w:szCs w:val="16"/>
              </w:rPr>
              <w:t>37,07</w:t>
            </w:r>
          </w:p>
        </w:tc>
        <w:tc>
          <w:tcPr>
            <w:tcW w:w="700" w:type="dxa"/>
            <w:tcBorders>
              <w:top w:val="nil"/>
              <w:left w:val="nil"/>
              <w:bottom w:val="nil"/>
              <w:right w:val="nil"/>
            </w:tcBorders>
            <w:shd w:val="clear" w:color="auto" w:fill="auto"/>
            <w:noWrap/>
            <w:vAlign w:val="bottom"/>
            <w:hideMark/>
          </w:tcPr>
          <w:p w14:paraId="5A7C49C6" w14:textId="478D1F17" w:rsidR="006A51FD" w:rsidRPr="008C2001" w:rsidRDefault="006A51FD" w:rsidP="006A51FD">
            <w:pPr>
              <w:spacing w:after="0" w:line="240" w:lineRule="auto"/>
              <w:jc w:val="right"/>
              <w:rPr>
                <w:rFonts w:cs="Arial"/>
                <w:sz w:val="16"/>
                <w:szCs w:val="16"/>
              </w:rPr>
            </w:pPr>
            <w:r>
              <w:rPr>
                <w:rFonts w:ascii="Arial CE" w:hAnsi="Arial CE" w:cs="Arial CE"/>
                <w:sz w:val="16"/>
                <w:szCs w:val="16"/>
              </w:rPr>
              <w:t>38,01</w:t>
            </w:r>
          </w:p>
        </w:tc>
        <w:tc>
          <w:tcPr>
            <w:tcW w:w="700" w:type="dxa"/>
            <w:tcBorders>
              <w:top w:val="nil"/>
              <w:left w:val="nil"/>
              <w:bottom w:val="nil"/>
              <w:right w:val="nil"/>
            </w:tcBorders>
            <w:shd w:val="clear" w:color="auto" w:fill="auto"/>
            <w:noWrap/>
            <w:vAlign w:val="bottom"/>
            <w:hideMark/>
          </w:tcPr>
          <w:p w14:paraId="6D270EBD" w14:textId="58ADB1B5" w:rsidR="006A51FD" w:rsidRPr="008C2001" w:rsidRDefault="006A51FD" w:rsidP="006A51FD">
            <w:pPr>
              <w:spacing w:after="0" w:line="240" w:lineRule="auto"/>
              <w:jc w:val="right"/>
              <w:rPr>
                <w:rFonts w:cs="Arial"/>
                <w:sz w:val="16"/>
                <w:szCs w:val="16"/>
              </w:rPr>
            </w:pPr>
            <w:r>
              <w:rPr>
                <w:rFonts w:ascii="Arial CE" w:hAnsi="Arial CE" w:cs="Arial CE"/>
                <w:sz w:val="16"/>
                <w:szCs w:val="16"/>
              </w:rPr>
              <w:t>37,59</w:t>
            </w:r>
          </w:p>
        </w:tc>
        <w:tc>
          <w:tcPr>
            <w:tcW w:w="700" w:type="dxa"/>
            <w:tcBorders>
              <w:top w:val="nil"/>
              <w:left w:val="nil"/>
              <w:bottom w:val="nil"/>
              <w:right w:val="nil"/>
            </w:tcBorders>
            <w:shd w:val="clear" w:color="auto" w:fill="auto"/>
            <w:noWrap/>
            <w:vAlign w:val="bottom"/>
            <w:hideMark/>
          </w:tcPr>
          <w:p w14:paraId="0E6D5263" w14:textId="54A31042" w:rsidR="006A51FD" w:rsidRPr="008C2001" w:rsidRDefault="006A51FD" w:rsidP="006A51FD">
            <w:pPr>
              <w:spacing w:after="0" w:line="240" w:lineRule="auto"/>
              <w:jc w:val="right"/>
              <w:rPr>
                <w:rFonts w:cs="Arial"/>
                <w:sz w:val="16"/>
                <w:szCs w:val="16"/>
              </w:rPr>
            </w:pPr>
            <w:r>
              <w:rPr>
                <w:rFonts w:ascii="Arial CE" w:hAnsi="Arial CE" w:cs="Arial CE"/>
                <w:sz w:val="16"/>
                <w:szCs w:val="16"/>
              </w:rPr>
              <w:t>40,39</w:t>
            </w:r>
          </w:p>
        </w:tc>
        <w:tc>
          <w:tcPr>
            <w:tcW w:w="700" w:type="dxa"/>
            <w:tcBorders>
              <w:top w:val="nil"/>
              <w:left w:val="nil"/>
              <w:bottom w:val="nil"/>
              <w:right w:val="nil"/>
            </w:tcBorders>
            <w:shd w:val="clear" w:color="auto" w:fill="auto"/>
            <w:noWrap/>
            <w:vAlign w:val="bottom"/>
            <w:hideMark/>
          </w:tcPr>
          <w:p w14:paraId="12FE5ED5" w14:textId="1A6B300E" w:rsidR="006A51FD" w:rsidRPr="008C2001" w:rsidRDefault="006A51FD" w:rsidP="006A51FD">
            <w:pPr>
              <w:spacing w:after="0" w:line="240" w:lineRule="auto"/>
              <w:jc w:val="right"/>
              <w:rPr>
                <w:rFonts w:cs="Arial"/>
                <w:sz w:val="16"/>
                <w:szCs w:val="16"/>
              </w:rPr>
            </w:pPr>
            <w:r>
              <w:rPr>
                <w:rFonts w:ascii="Arial CE" w:hAnsi="Arial CE" w:cs="Arial CE"/>
                <w:sz w:val="16"/>
                <w:szCs w:val="16"/>
              </w:rPr>
              <w:t>37,65</w:t>
            </w:r>
          </w:p>
        </w:tc>
        <w:tc>
          <w:tcPr>
            <w:tcW w:w="700" w:type="dxa"/>
            <w:tcBorders>
              <w:top w:val="nil"/>
              <w:left w:val="nil"/>
              <w:bottom w:val="nil"/>
              <w:right w:val="nil"/>
            </w:tcBorders>
            <w:shd w:val="clear" w:color="auto" w:fill="auto"/>
            <w:noWrap/>
            <w:vAlign w:val="bottom"/>
            <w:hideMark/>
          </w:tcPr>
          <w:p w14:paraId="4388D411" w14:textId="55A7AC59" w:rsidR="006A51FD" w:rsidRPr="008C2001" w:rsidRDefault="006A51FD" w:rsidP="006A51FD">
            <w:pPr>
              <w:spacing w:after="0" w:line="240" w:lineRule="auto"/>
              <w:jc w:val="right"/>
              <w:rPr>
                <w:rFonts w:cs="Arial"/>
                <w:sz w:val="16"/>
                <w:szCs w:val="16"/>
              </w:rPr>
            </w:pPr>
            <w:r>
              <w:rPr>
                <w:rFonts w:ascii="Arial CE" w:hAnsi="Arial CE" w:cs="Arial CE"/>
                <w:sz w:val="16"/>
                <w:szCs w:val="16"/>
              </w:rPr>
              <w:t>40,00</w:t>
            </w:r>
          </w:p>
        </w:tc>
        <w:tc>
          <w:tcPr>
            <w:tcW w:w="700" w:type="dxa"/>
            <w:tcBorders>
              <w:top w:val="nil"/>
              <w:left w:val="nil"/>
              <w:bottom w:val="nil"/>
              <w:right w:val="nil"/>
            </w:tcBorders>
            <w:shd w:val="clear" w:color="auto" w:fill="auto"/>
            <w:noWrap/>
            <w:vAlign w:val="bottom"/>
            <w:hideMark/>
          </w:tcPr>
          <w:p w14:paraId="733C5CF9" w14:textId="3989156B" w:rsidR="006A51FD" w:rsidRPr="008C2001" w:rsidRDefault="006A51FD" w:rsidP="006A51FD">
            <w:pPr>
              <w:spacing w:after="0" w:line="240" w:lineRule="auto"/>
              <w:jc w:val="right"/>
              <w:rPr>
                <w:rFonts w:cs="Arial"/>
                <w:sz w:val="16"/>
                <w:szCs w:val="16"/>
              </w:rPr>
            </w:pPr>
            <w:r>
              <w:rPr>
                <w:rFonts w:ascii="Arial CE" w:hAnsi="Arial CE" w:cs="Arial CE"/>
                <w:sz w:val="16"/>
                <w:szCs w:val="16"/>
              </w:rPr>
              <w:t>38,68</w:t>
            </w:r>
          </w:p>
        </w:tc>
        <w:tc>
          <w:tcPr>
            <w:tcW w:w="700" w:type="dxa"/>
            <w:tcBorders>
              <w:top w:val="nil"/>
              <w:left w:val="nil"/>
              <w:bottom w:val="nil"/>
              <w:right w:val="nil"/>
            </w:tcBorders>
            <w:shd w:val="clear" w:color="auto" w:fill="auto"/>
            <w:noWrap/>
            <w:vAlign w:val="bottom"/>
            <w:hideMark/>
          </w:tcPr>
          <w:p w14:paraId="6DC7C3A0" w14:textId="49DED417" w:rsidR="006A51FD" w:rsidRPr="008C2001" w:rsidRDefault="006A51FD" w:rsidP="006A51FD">
            <w:pPr>
              <w:spacing w:after="0" w:line="240" w:lineRule="auto"/>
              <w:jc w:val="right"/>
              <w:rPr>
                <w:rFonts w:cs="Arial"/>
                <w:sz w:val="16"/>
                <w:szCs w:val="16"/>
              </w:rPr>
            </w:pPr>
            <w:r>
              <w:rPr>
                <w:rFonts w:ascii="Arial CE" w:hAnsi="Arial CE" w:cs="Arial CE"/>
                <w:sz w:val="16"/>
                <w:szCs w:val="16"/>
              </w:rPr>
              <w:t>37,65</w:t>
            </w:r>
          </w:p>
        </w:tc>
        <w:tc>
          <w:tcPr>
            <w:tcW w:w="700" w:type="dxa"/>
            <w:tcBorders>
              <w:top w:val="nil"/>
              <w:left w:val="nil"/>
              <w:bottom w:val="nil"/>
              <w:right w:val="nil"/>
            </w:tcBorders>
            <w:shd w:val="clear" w:color="auto" w:fill="auto"/>
            <w:noWrap/>
            <w:vAlign w:val="bottom"/>
            <w:hideMark/>
          </w:tcPr>
          <w:p w14:paraId="23A8C50B" w14:textId="0C0225D8"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38,43</w:t>
            </w:r>
          </w:p>
        </w:tc>
        <w:tc>
          <w:tcPr>
            <w:tcW w:w="700" w:type="dxa"/>
            <w:tcBorders>
              <w:top w:val="nil"/>
              <w:left w:val="nil"/>
              <w:bottom w:val="nil"/>
              <w:right w:val="nil"/>
            </w:tcBorders>
            <w:shd w:val="clear" w:color="auto" w:fill="auto"/>
            <w:noWrap/>
            <w:vAlign w:val="bottom"/>
            <w:hideMark/>
          </w:tcPr>
          <w:p w14:paraId="1C9BEA79" w14:textId="4B5DD555" w:rsidR="006A51FD" w:rsidRPr="008C2001" w:rsidRDefault="006A51FD" w:rsidP="006A51FD">
            <w:pPr>
              <w:spacing w:after="0" w:line="240" w:lineRule="auto"/>
              <w:jc w:val="right"/>
              <w:rPr>
                <w:rFonts w:cs="Arial"/>
                <w:sz w:val="16"/>
                <w:szCs w:val="16"/>
              </w:rPr>
            </w:pPr>
            <w:r>
              <w:rPr>
                <w:rFonts w:ascii="Arial CE" w:hAnsi="Arial CE" w:cs="Arial CE"/>
                <w:color w:val="000000"/>
                <w:sz w:val="16"/>
                <w:szCs w:val="16"/>
              </w:rPr>
              <w:t>38,64</w:t>
            </w:r>
          </w:p>
        </w:tc>
      </w:tr>
      <w:tr w:rsidR="006A51FD" w:rsidRPr="008C2001" w14:paraId="1B6EA47E"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35A1FAE1"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Středočeský kraj</w:t>
            </w:r>
          </w:p>
        </w:tc>
        <w:tc>
          <w:tcPr>
            <w:tcW w:w="709" w:type="dxa"/>
            <w:tcBorders>
              <w:top w:val="nil"/>
              <w:left w:val="nil"/>
              <w:bottom w:val="nil"/>
              <w:right w:val="nil"/>
            </w:tcBorders>
            <w:shd w:val="clear" w:color="auto" w:fill="auto"/>
            <w:noWrap/>
            <w:vAlign w:val="bottom"/>
            <w:hideMark/>
          </w:tcPr>
          <w:p w14:paraId="222257F7" w14:textId="1EB0737E" w:rsidR="006A51FD" w:rsidRPr="008C2001" w:rsidRDefault="006A51FD" w:rsidP="006A51FD">
            <w:pPr>
              <w:spacing w:after="0" w:line="240" w:lineRule="auto"/>
              <w:jc w:val="right"/>
              <w:rPr>
                <w:rFonts w:cs="Arial"/>
                <w:sz w:val="16"/>
                <w:szCs w:val="16"/>
              </w:rPr>
            </w:pPr>
            <w:r>
              <w:rPr>
                <w:rFonts w:ascii="Arial CE" w:hAnsi="Arial CE" w:cs="Arial CE"/>
                <w:sz w:val="16"/>
                <w:szCs w:val="16"/>
              </w:rPr>
              <w:t>38,12</w:t>
            </w:r>
          </w:p>
        </w:tc>
        <w:tc>
          <w:tcPr>
            <w:tcW w:w="700" w:type="dxa"/>
            <w:tcBorders>
              <w:top w:val="nil"/>
              <w:left w:val="nil"/>
              <w:bottom w:val="nil"/>
              <w:right w:val="nil"/>
            </w:tcBorders>
            <w:shd w:val="clear" w:color="auto" w:fill="auto"/>
            <w:noWrap/>
            <w:vAlign w:val="bottom"/>
            <w:hideMark/>
          </w:tcPr>
          <w:p w14:paraId="1A956A7C" w14:textId="501BF50D" w:rsidR="006A51FD" w:rsidRPr="008C2001" w:rsidRDefault="006A51FD" w:rsidP="006A51FD">
            <w:pPr>
              <w:spacing w:after="0" w:line="240" w:lineRule="auto"/>
              <w:jc w:val="right"/>
              <w:rPr>
                <w:rFonts w:cs="Arial"/>
                <w:sz w:val="16"/>
                <w:szCs w:val="16"/>
              </w:rPr>
            </w:pPr>
            <w:r>
              <w:rPr>
                <w:rFonts w:ascii="Arial CE" w:hAnsi="Arial CE" w:cs="Arial CE"/>
                <w:sz w:val="16"/>
                <w:szCs w:val="16"/>
              </w:rPr>
              <w:t>42,74</w:t>
            </w:r>
          </w:p>
        </w:tc>
        <w:tc>
          <w:tcPr>
            <w:tcW w:w="700" w:type="dxa"/>
            <w:tcBorders>
              <w:top w:val="nil"/>
              <w:left w:val="nil"/>
              <w:bottom w:val="nil"/>
              <w:right w:val="nil"/>
            </w:tcBorders>
            <w:shd w:val="clear" w:color="auto" w:fill="auto"/>
            <w:noWrap/>
            <w:vAlign w:val="bottom"/>
            <w:hideMark/>
          </w:tcPr>
          <w:p w14:paraId="7122E306" w14:textId="772E9884" w:rsidR="006A51FD" w:rsidRPr="008C2001" w:rsidRDefault="006A51FD" w:rsidP="006A51FD">
            <w:pPr>
              <w:spacing w:after="0" w:line="240" w:lineRule="auto"/>
              <w:jc w:val="right"/>
              <w:rPr>
                <w:rFonts w:cs="Arial"/>
                <w:sz w:val="16"/>
                <w:szCs w:val="16"/>
              </w:rPr>
            </w:pPr>
            <w:r>
              <w:rPr>
                <w:rFonts w:ascii="Arial CE" w:hAnsi="Arial CE" w:cs="Arial CE"/>
                <w:sz w:val="16"/>
                <w:szCs w:val="16"/>
              </w:rPr>
              <w:t>44,03</w:t>
            </w:r>
          </w:p>
        </w:tc>
        <w:tc>
          <w:tcPr>
            <w:tcW w:w="700" w:type="dxa"/>
            <w:tcBorders>
              <w:top w:val="nil"/>
              <w:left w:val="nil"/>
              <w:bottom w:val="nil"/>
              <w:right w:val="nil"/>
            </w:tcBorders>
            <w:shd w:val="clear" w:color="auto" w:fill="auto"/>
            <w:noWrap/>
            <w:vAlign w:val="bottom"/>
            <w:hideMark/>
          </w:tcPr>
          <w:p w14:paraId="626C3E0F" w14:textId="334569A1" w:rsidR="006A51FD" w:rsidRPr="008C2001" w:rsidRDefault="006A51FD" w:rsidP="006A51FD">
            <w:pPr>
              <w:spacing w:after="0" w:line="240" w:lineRule="auto"/>
              <w:jc w:val="right"/>
              <w:rPr>
                <w:rFonts w:cs="Arial"/>
                <w:sz w:val="16"/>
                <w:szCs w:val="16"/>
              </w:rPr>
            </w:pPr>
            <w:r>
              <w:rPr>
                <w:rFonts w:ascii="Arial CE" w:hAnsi="Arial CE" w:cs="Arial CE"/>
                <w:sz w:val="16"/>
                <w:szCs w:val="16"/>
              </w:rPr>
              <w:t>43,60</w:t>
            </w:r>
          </w:p>
        </w:tc>
        <w:tc>
          <w:tcPr>
            <w:tcW w:w="700" w:type="dxa"/>
            <w:tcBorders>
              <w:top w:val="nil"/>
              <w:left w:val="nil"/>
              <w:bottom w:val="nil"/>
              <w:right w:val="nil"/>
            </w:tcBorders>
            <w:shd w:val="clear" w:color="auto" w:fill="auto"/>
            <w:noWrap/>
            <w:vAlign w:val="bottom"/>
            <w:hideMark/>
          </w:tcPr>
          <w:p w14:paraId="6D95C067" w14:textId="47337E88" w:rsidR="006A51FD" w:rsidRPr="008C2001" w:rsidRDefault="006A51FD" w:rsidP="006A51FD">
            <w:pPr>
              <w:spacing w:after="0" w:line="240" w:lineRule="auto"/>
              <w:jc w:val="right"/>
              <w:rPr>
                <w:rFonts w:cs="Arial"/>
                <w:sz w:val="16"/>
                <w:szCs w:val="16"/>
              </w:rPr>
            </w:pPr>
            <w:r>
              <w:rPr>
                <w:rFonts w:ascii="Arial CE" w:hAnsi="Arial CE" w:cs="Arial CE"/>
                <w:sz w:val="16"/>
                <w:szCs w:val="16"/>
              </w:rPr>
              <w:t>44,69</w:t>
            </w:r>
          </w:p>
        </w:tc>
        <w:tc>
          <w:tcPr>
            <w:tcW w:w="700" w:type="dxa"/>
            <w:tcBorders>
              <w:top w:val="nil"/>
              <w:left w:val="nil"/>
              <w:bottom w:val="nil"/>
              <w:right w:val="nil"/>
            </w:tcBorders>
            <w:shd w:val="clear" w:color="auto" w:fill="auto"/>
            <w:noWrap/>
            <w:vAlign w:val="bottom"/>
            <w:hideMark/>
          </w:tcPr>
          <w:p w14:paraId="25033265" w14:textId="504517BE" w:rsidR="006A51FD" w:rsidRPr="008C2001" w:rsidRDefault="006A51FD" w:rsidP="006A51FD">
            <w:pPr>
              <w:spacing w:after="0" w:line="240" w:lineRule="auto"/>
              <w:jc w:val="right"/>
              <w:rPr>
                <w:rFonts w:cs="Arial"/>
                <w:sz w:val="16"/>
                <w:szCs w:val="16"/>
              </w:rPr>
            </w:pPr>
            <w:r>
              <w:rPr>
                <w:rFonts w:ascii="Arial CE" w:hAnsi="Arial CE" w:cs="Arial CE"/>
                <w:sz w:val="16"/>
                <w:szCs w:val="16"/>
              </w:rPr>
              <w:t>42,17</w:t>
            </w:r>
          </w:p>
        </w:tc>
        <w:tc>
          <w:tcPr>
            <w:tcW w:w="700" w:type="dxa"/>
            <w:tcBorders>
              <w:top w:val="nil"/>
              <w:left w:val="nil"/>
              <w:bottom w:val="nil"/>
              <w:right w:val="nil"/>
            </w:tcBorders>
            <w:shd w:val="clear" w:color="auto" w:fill="auto"/>
            <w:noWrap/>
            <w:vAlign w:val="bottom"/>
            <w:hideMark/>
          </w:tcPr>
          <w:p w14:paraId="06B113A7" w14:textId="4D06E3EA" w:rsidR="006A51FD" w:rsidRPr="008C2001" w:rsidRDefault="006A51FD" w:rsidP="006A51FD">
            <w:pPr>
              <w:spacing w:after="0" w:line="240" w:lineRule="auto"/>
              <w:jc w:val="right"/>
              <w:rPr>
                <w:rFonts w:cs="Arial"/>
                <w:sz w:val="16"/>
                <w:szCs w:val="16"/>
              </w:rPr>
            </w:pPr>
            <w:r>
              <w:rPr>
                <w:rFonts w:ascii="Arial CE" w:hAnsi="Arial CE" w:cs="Arial CE"/>
                <w:sz w:val="16"/>
                <w:szCs w:val="16"/>
              </w:rPr>
              <w:t>43,60</w:t>
            </w:r>
          </w:p>
        </w:tc>
        <w:tc>
          <w:tcPr>
            <w:tcW w:w="700" w:type="dxa"/>
            <w:tcBorders>
              <w:top w:val="nil"/>
              <w:left w:val="nil"/>
              <w:bottom w:val="nil"/>
              <w:right w:val="nil"/>
            </w:tcBorders>
            <w:shd w:val="clear" w:color="auto" w:fill="auto"/>
            <w:noWrap/>
            <w:vAlign w:val="bottom"/>
            <w:hideMark/>
          </w:tcPr>
          <w:p w14:paraId="524BA1AB" w14:textId="042880D4" w:rsidR="006A51FD" w:rsidRPr="008C2001" w:rsidRDefault="006A51FD" w:rsidP="006A51FD">
            <w:pPr>
              <w:spacing w:after="0" w:line="240" w:lineRule="auto"/>
              <w:jc w:val="right"/>
              <w:rPr>
                <w:rFonts w:cs="Arial"/>
                <w:sz w:val="16"/>
                <w:szCs w:val="16"/>
              </w:rPr>
            </w:pPr>
            <w:r>
              <w:rPr>
                <w:rFonts w:ascii="Arial CE" w:hAnsi="Arial CE" w:cs="Arial CE"/>
                <w:sz w:val="16"/>
                <w:szCs w:val="16"/>
              </w:rPr>
              <w:t>40,84</w:t>
            </w:r>
          </w:p>
        </w:tc>
        <w:tc>
          <w:tcPr>
            <w:tcW w:w="700" w:type="dxa"/>
            <w:tcBorders>
              <w:top w:val="nil"/>
              <w:left w:val="nil"/>
              <w:bottom w:val="nil"/>
              <w:right w:val="nil"/>
            </w:tcBorders>
            <w:shd w:val="clear" w:color="auto" w:fill="auto"/>
            <w:noWrap/>
            <w:vAlign w:val="bottom"/>
            <w:hideMark/>
          </w:tcPr>
          <w:p w14:paraId="3A85F935" w14:textId="3EB167F4" w:rsidR="006A51FD" w:rsidRPr="008C2001" w:rsidRDefault="006A51FD" w:rsidP="006A51FD">
            <w:pPr>
              <w:spacing w:after="0" w:line="240" w:lineRule="auto"/>
              <w:jc w:val="right"/>
              <w:rPr>
                <w:rFonts w:cs="Arial"/>
                <w:sz w:val="16"/>
                <w:szCs w:val="16"/>
              </w:rPr>
            </w:pPr>
            <w:r>
              <w:rPr>
                <w:rFonts w:ascii="Arial CE" w:hAnsi="Arial CE" w:cs="Arial CE"/>
                <w:sz w:val="16"/>
                <w:szCs w:val="16"/>
              </w:rPr>
              <w:t>40,61</w:t>
            </w:r>
          </w:p>
        </w:tc>
        <w:tc>
          <w:tcPr>
            <w:tcW w:w="700" w:type="dxa"/>
            <w:tcBorders>
              <w:top w:val="nil"/>
              <w:left w:val="nil"/>
              <w:bottom w:val="nil"/>
              <w:right w:val="nil"/>
            </w:tcBorders>
            <w:shd w:val="clear" w:color="auto" w:fill="auto"/>
            <w:noWrap/>
            <w:vAlign w:val="bottom"/>
            <w:hideMark/>
          </w:tcPr>
          <w:p w14:paraId="40B64929" w14:textId="5DA4FB89" w:rsidR="006A51FD" w:rsidRPr="008C2001" w:rsidRDefault="006A51FD" w:rsidP="006A51FD">
            <w:pPr>
              <w:spacing w:after="0" w:line="240" w:lineRule="auto"/>
              <w:jc w:val="right"/>
              <w:rPr>
                <w:rFonts w:cs="Arial"/>
                <w:sz w:val="16"/>
                <w:szCs w:val="16"/>
              </w:rPr>
            </w:pPr>
            <w:r>
              <w:rPr>
                <w:rFonts w:ascii="Arial CE" w:hAnsi="Arial CE" w:cs="Arial CE"/>
                <w:sz w:val="16"/>
                <w:szCs w:val="16"/>
              </w:rPr>
              <w:t>40,39</w:t>
            </w:r>
          </w:p>
        </w:tc>
        <w:tc>
          <w:tcPr>
            <w:tcW w:w="700" w:type="dxa"/>
            <w:tcBorders>
              <w:top w:val="nil"/>
              <w:left w:val="nil"/>
              <w:bottom w:val="nil"/>
              <w:right w:val="nil"/>
            </w:tcBorders>
            <w:shd w:val="clear" w:color="auto" w:fill="auto"/>
            <w:noWrap/>
            <w:vAlign w:val="bottom"/>
            <w:hideMark/>
          </w:tcPr>
          <w:p w14:paraId="2C217ABE" w14:textId="04659822" w:rsidR="006A51FD" w:rsidRPr="008C2001" w:rsidRDefault="006A51FD" w:rsidP="006A51FD">
            <w:pPr>
              <w:spacing w:after="0" w:line="240" w:lineRule="auto"/>
              <w:jc w:val="right"/>
              <w:rPr>
                <w:rFonts w:cs="Arial"/>
                <w:color w:val="000000"/>
                <w:sz w:val="16"/>
                <w:szCs w:val="16"/>
              </w:rPr>
            </w:pPr>
            <w:r>
              <w:rPr>
                <w:rFonts w:ascii="Arial CE" w:hAnsi="Arial CE" w:cs="Arial CE"/>
                <w:sz w:val="16"/>
                <w:szCs w:val="16"/>
              </w:rPr>
              <w:t>39,65</w:t>
            </w:r>
          </w:p>
        </w:tc>
      </w:tr>
      <w:tr w:rsidR="006A51FD" w:rsidRPr="008C2001" w14:paraId="4233EE58"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7EA9249A"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Jihočeský kraj</w:t>
            </w:r>
          </w:p>
        </w:tc>
        <w:tc>
          <w:tcPr>
            <w:tcW w:w="709" w:type="dxa"/>
            <w:tcBorders>
              <w:top w:val="nil"/>
              <w:left w:val="nil"/>
              <w:bottom w:val="nil"/>
              <w:right w:val="nil"/>
            </w:tcBorders>
            <w:shd w:val="clear" w:color="auto" w:fill="auto"/>
            <w:noWrap/>
            <w:vAlign w:val="bottom"/>
            <w:hideMark/>
          </w:tcPr>
          <w:p w14:paraId="39EE15F1" w14:textId="6EE4AEAA" w:rsidR="006A51FD" w:rsidRPr="008C2001" w:rsidRDefault="006A51FD" w:rsidP="006A51FD">
            <w:pPr>
              <w:spacing w:after="0" w:line="240" w:lineRule="auto"/>
              <w:jc w:val="right"/>
              <w:rPr>
                <w:rFonts w:cs="Arial"/>
                <w:sz w:val="16"/>
                <w:szCs w:val="16"/>
              </w:rPr>
            </w:pPr>
            <w:r>
              <w:rPr>
                <w:rFonts w:ascii="Arial CE" w:hAnsi="Arial CE" w:cs="Arial CE"/>
                <w:sz w:val="16"/>
                <w:szCs w:val="16"/>
              </w:rPr>
              <w:t>40,35</w:t>
            </w:r>
          </w:p>
        </w:tc>
        <w:tc>
          <w:tcPr>
            <w:tcW w:w="700" w:type="dxa"/>
            <w:tcBorders>
              <w:top w:val="nil"/>
              <w:left w:val="nil"/>
              <w:bottom w:val="nil"/>
              <w:right w:val="nil"/>
            </w:tcBorders>
            <w:shd w:val="clear" w:color="auto" w:fill="auto"/>
            <w:noWrap/>
            <w:vAlign w:val="bottom"/>
            <w:hideMark/>
          </w:tcPr>
          <w:p w14:paraId="7DCC8AE6" w14:textId="62950B2F" w:rsidR="006A51FD" w:rsidRPr="008C2001" w:rsidRDefault="006A51FD" w:rsidP="006A51FD">
            <w:pPr>
              <w:spacing w:after="0" w:line="240" w:lineRule="auto"/>
              <w:jc w:val="right"/>
              <w:rPr>
                <w:rFonts w:cs="Arial"/>
                <w:sz w:val="16"/>
                <w:szCs w:val="16"/>
              </w:rPr>
            </w:pPr>
            <w:r>
              <w:rPr>
                <w:rFonts w:ascii="Arial CE" w:hAnsi="Arial CE" w:cs="Arial CE"/>
                <w:sz w:val="16"/>
                <w:szCs w:val="16"/>
              </w:rPr>
              <w:t>47,85</w:t>
            </w:r>
          </w:p>
        </w:tc>
        <w:tc>
          <w:tcPr>
            <w:tcW w:w="700" w:type="dxa"/>
            <w:tcBorders>
              <w:top w:val="nil"/>
              <w:left w:val="nil"/>
              <w:bottom w:val="nil"/>
              <w:right w:val="nil"/>
            </w:tcBorders>
            <w:shd w:val="clear" w:color="auto" w:fill="auto"/>
            <w:noWrap/>
            <w:vAlign w:val="bottom"/>
            <w:hideMark/>
          </w:tcPr>
          <w:p w14:paraId="2AF99D48" w14:textId="0CB95EEA" w:rsidR="006A51FD" w:rsidRPr="008C2001" w:rsidRDefault="006A51FD" w:rsidP="006A51FD">
            <w:pPr>
              <w:spacing w:after="0" w:line="240" w:lineRule="auto"/>
              <w:jc w:val="right"/>
              <w:rPr>
                <w:rFonts w:cs="Arial"/>
                <w:sz w:val="16"/>
                <w:szCs w:val="16"/>
              </w:rPr>
            </w:pPr>
            <w:r>
              <w:rPr>
                <w:rFonts w:ascii="Arial CE" w:hAnsi="Arial CE" w:cs="Arial CE"/>
                <w:sz w:val="16"/>
                <w:szCs w:val="16"/>
              </w:rPr>
              <w:t>47,55</w:t>
            </w:r>
          </w:p>
        </w:tc>
        <w:tc>
          <w:tcPr>
            <w:tcW w:w="700" w:type="dxa"/>
            <w:tcBorders>
              <w:top w:val="nil"/>
              <w:left w:val="nil"/>
              <w:bottom w:val="nil"/>
              <w:right w:val="nil"/>
            </w:tcBorders>
            <w:shd w:val="clear" w:color="auto" w:fill="auto"/>
            <w:noWrap/>
            <w:vAlign w:val="bottom"/>
            <w:hideMark/>
          </w:tcPr>
          <w:p w14:paraId="45139338" w14:textId="0B155926" w:rsidR="006A51FD" w:rsidRPr="008C2001" w:rsidRDefault="006A51FD" w:rsidP="006A51FD">
            <w:pPr>
              <w:spacing w:after="0" w:line="240" w:lineRule="auto"/>
              <w:jc w:val="right"/>
              <w:rPr>
                <w:rFonts w:cs="Arial"/>
                <w:sz w:val="16"/>
                <w:szCs w:val="16"/>
              </w:rPr>
            </w:pPr>
            <w:r>
              <w:rPr>
                <w:rFonts w:ascii="Arial CE" w:hAnsi="Arial CE" w:cs="Arial CE"/>
                <w:sz w:val="16"/>
                <w:szCs w:val="16"/>
              </w:rPr>
              <w:t>48,51</w:t>
            </w:r>
          </w:p>
        </w:tc>
        <w:tc>
          <w:tcPr>
            <w:tcW w:w="700" w:type="dxa"/>
            <w:tcBorders>
              <w:top w:val="nil"/>
              <w:left w:val="nil"/>
              <w:bottom w:val="nil"/>
              <w:right w:val="nil"/>
            </w:tcBorders>
            <w:shd w:val="clear" w:color="auto" w:fill="auto"/>
            <w:noWrap/>
            <w:vAlign w:val="bottom"/>
            <w:hideMark/>
          </w:tcPr>
          <w:p w14:paraId="1B03B0CD" w14:textId="071CE646" w:rsidR="006A51FD" w:rsidRPr="008C2001" w:rsidRDefault="006A51FD" w:rsidP="006A51FD">
            <w:pPr>
              <w:spacing w:after="0" w:line="240" w:lineRule="auto"/>
              <w:jc w:val="right"/>
              <w:rPr>
                <w:rFonts w:cs="Arial"/>
                <w:sz w:val="16"/>
                <w:szCs w:val="16"/>
              </w:rPr>
            </w:pPr>
            <w:r>
              <w:rPr>
                <w:rFonts w:ascii="Arial CE" w:hAnsi="Arial CE" w:cs="Arial CE"/>
                <w:sz w:val="16"/>
                <w:szCs w:val="16"/>
              </w:rPr>
              <w:t>49,66</w:t>
            </w:r>
          </w:p>
        </w:tc>
        <w:tc>
          <w:tcPr>
            <w:tcW w:w="700" w:type="dxa"/>
            <w:tcBorders>
              <w:top w:val="nil"/>
              <w:left w:val="nil"/>
              <w:bottom w:val="nil"/>
              <w:right w:val="nil"/>
            </w:tcBorders>
            <w:shd w:val="clear" w:color="auto" w:fill="auto"/>
            <w:noWrap/>
            <w:vAlign w:val="bottom"/>
            <w:hideMark/>
          </w:tcPr>
          <w:p w14:paraId="77A259B3" w14:textId="6AE6E8AE" w:rsidR="006A51FD" w:rsidRPr="008C2001" w:rsidRDefault="006A51FD" w:rsidP="006A51FD">
            <w:pPr>
              <w:spacing w:after="0" w:line="240" w:lineRule="auto"/>
              <w:jc w:val="right"/>
              <w:rPr>
                <w:rFonts w:cs="Arial"/>
                <w:sz w:val="16"/>
                <w:szCs w:val="16"/>
              </w:rPr>
            </w:pPr>
            <w:r>
              <w:rPr>
                <w:rFonts w:ascii="Arial CE" w:hAnsi="Arial CE" w:cs="Arial CE"/>
                <w:sz w:val="16"/>
                <w:szCs w:val="16"/>
              </w:rPr>
              <w:t>46,36</w:t>
            </w:r>
          </w:p>
        </w:tc>
        <w:tc>
          <w:tcPr>
            <w:tcW w:w="700" w:type="dxa"/>
            <w:tcBorders>
              <w:top w:val="nil"/>
              <w:left w:val="nil"/>
              <w:bottom w:val="nil"/>
              <w:right w:val="nil"/>
            </w:tcBorders>
            <w:shd w:val="clear" w:color="auto" w:fill="auto"/>
            <w:noWrap/>
            <w:vAlign w:val="bottom"/>
            <w:hideMark/>
          </w:tcPr>
          <w:p w14:paraId="2A580ED5" w14:textId="459DC44A" w:rsidR="006A51FD" w:rsidRPr="008C2001" w:rsidRDefault="006A51FD" w:rsidP="006A51FD">
            <w:pPr>
              <w:spacing w:after="0" w:line="240" w:lineRule="auto"/>
              <w:jc w:val="right"/>
              <w:rPr>
                <w:rFonts w:cs="Arial"/>
                <w:sz w:val="16"/>
                <w:szCs w:val="16"/>
              </w:rPr>
            </w:pPr>
            <w:r>
              <w:rPr>
                <w:rFonts w:ascii="Arial CE" w:hAnsi="Arial CE" w:cs="Arial CE"/>
                <w:sz w:val="16"/>
                <w:szCs w:val="16"/>
              </w:rPr>
              <w:t>48,69</w:t>
            </w:r>
          </w:p>
        </w:tc>
        <w:tc>
          <w:tcPr>
            <w:tcW w:w="700" w:type="dxa"/>
            <w:tcBorders>
              <w:top w:val="nil"/>
              <w:left w:val="nil"/>
              <w:bottom w:val="nil"/>
              <w:right w:val="nil"/>
            </w:tcBorders>
            <w:shd w:val="clear" w:color="auto" w:fill="auto"/>
            <w:noWrap/>
            <w:vAlign w:val="bottom"/>
            <w:hideMark/>
          </w:tcPr>
          <w:p w14:paraId="0F3DBCF3" w14:textId="5F38BCF0" w:rsidR="006A51FD" w:rsidRPr="008C2001" w:rsidRDefault="006A51FD" w:rsidP="006A51FD">
            <w:pPr>
              <w:spacing w:after="0" w:line="240" w:lineRule="auto"/>
              <w:jc w:val="right"/>
              <w:rPr>
                <w:rFonts w:cs="Arial"/>
                <w:sz w:val="16"/>
                <w:szCs w:val="16"/>
              </w:rPr>
            </w:pPr>
            <w:r>
              <w:rPr>
                <w:rFonts w:ascii="Arial CE" w:hAnsi="Arial CE" w:cs="Arial CE"/>
                <w:sz w:val="16"/>
                <w:szCs w:val="16"/>
              </w:rPr>
              <w:t>44,32</w:t>
            </w:r>
          </w:p>
        </w:tc>
        <w:tc>
          <w:tcPr>
            <w:tcW w:w="700" w:type="dxa"/>
            <w:tcBorders>
              <w:top w:val="nil"/>
              <w:left w:val="nil"/>
              <w:bottom w:val="nil"/>
              <w:right w:val="nil"/>
            </w:tcBorders>
            <w:shd w:val="clear" w:color="auto" w:fill="auto"/>
            <w:noWrap/>
            <w:vAlign w:val="bottom"/>
            <w:hideMark/>
          </w:tcPr>
          <w:p w14:paraId="4E867943" w14:textId="27522E42" w:rsidR="006A51FD" w:rsidRPr="008C2001" w:rsidRDefault="006A51FD" w:rsidP="006A51FD">
            <w:pPr>
              <w:spacing w:after="0" w:line="240" w:lineRule="auto"/>
              <w:jc w:val="right"/>
              <w:rPr>
                <w:rFonts w:cs="Arial"/>
                <w:sz w:val="16"/>
                <w:szCs w:val="16"/>
              </w:rPr>
            </w:pPr>
            <w:r>
              <w:rPr>
                <w:rFonts w:ascii="Arial CE" w:hAnsi="Arial CE" w:cs="Arial CE"/>
                <w:sz w:val="16"/>
                <w:szCs w:val="16"/>
              </w:rPr>
              <w:t>45,51</w:t>
            </w:r>
          </w:p>
        </w:tc>
        <w:tc>
          <w:tcPr>
            <w:tcW w:w="700" w:type="dxa"/>
            <w:tcBorders>
              <w:top w:val="nil"/>
              <w:left w:val="nil"/>
              <w:bottom w:val="nil"/>
              <w:right w:val="nil"/>
            </w:tcBorders>
            <w:shd w:val="clear" w:color="auto" w:fill="auto"/>
            <w:noWrap/>
            <w:vAlign w:val="bottom"/>
            <w:hideMark/>
          </w:tcPr>
          <w:p w14:paraId="17E6E804" w14:textId="2BB1BBDF"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45,21</w:t>
            </w:r>
          </w:p>
        </w:tc>
        <w:tc>
          <w:tcPr>
            <w:tcW w:w="700" w:type="dxa"/>
            <w:tcBorders>
              <w:top w:val="nil"/>
              <w:left w:val="nil"/>
              <w:bottom w:val="nil"/>
              <w:right w:val="nil"/>
            </w:tcBorders>
            <w:shd w:val="clear" w:color="auto" w:fill="auto"/>
            <w:noWrap/>
            <w:vAlign w:val="bottom"/>
            <w:hideMark/>
          </w:tcPr>
          <w:p w14:paraId="105FB1C8" w14:textId="6333696D" w:rsidR="006A51FD" w:rsidRPr="008C2001" w:rsidRDefault="006A51FD" w:rsidP="006A51FD">
            <w:pPr>
              <w:spacing w:after="0" w:line="240" w:lineRule="auto"/>
              <w:jc w:val="right"/>
              <w:rPr>
                <w:rFonts w:cs="Arial"/>
                <w:sz w:val="16"/>
                <w:szCs w:val="16"/>
              </w:rPr>
            </w:pPr>
            <w:r>
              <w:rPr>
                <w:rFonts w:ascii="Arial CE" w:hAnsi="Arial CE" w:cs="Arial CE"/>
                <w:color w:val="000000"/>
                <w:sz w:val="16"/>
                <w:szCs w:val="16"/>
              </w:rPr>
              <w:t>43,69</w:t>
            </w:r>
          </w:p>
        </w:tc>
      </w:tr>
      <w:tr w:rsidR="006A51FD" w:rsidRPr="008C2001" w14:paraId="24A2DCE8"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5D4B71A5"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Plzeňský kraj</w:t>
            </w:r>
          </w:p>
        </w:tc>
        <w:tc>
          <w:tcPr>
            <w:tcW w:w="709" w:type="dxa"/>
            <w:tcBorders>
              <w:top w:val="nil"/>
              <w:left w:val="nil"/>
              <w:bottom w:val="nil"/>
              <w:right w:val="nil"/>
            </w:tcBorders>
            <w:shd w:val="clear" w:color="auto" w:fill="auto"/>
            <w:noWrap/>
            <w:vAlign w:val="bottom"/>
            <w:hideMark/>
          </w:tcPr>
          <w:p w14:paraId="3253B251" w14:textId="7C121623" w:rsidR="006A51FD" w:rsidRPr="008C2001" w:rsidRDefault="006A51FD" w:rsidP="006A51FD">
            <w:pPr>
              <w:spacing w:after="0" w:line="240" w:lineRule="auto"/>
              <w:jc w:val="right"/>
              <w:rPr>
                <w:rFonts w:cs="Arial"/>
                <w:sz w:val="16"/>
                <w:szCs w:val="16"/>
              </w:rPr>
            </w:pPr>
            <w:r>
              <w:rPr>
                <w:rFonts w:ascii="Arial CE" w:hAnsi="Arial CE" w:cs="Arial CE"/>
                <w:sz w:val="16"/>
                <w:szCs w:val="16"/>
              </w:rPr>
              <w:t>37,00</w:t>
            </w:r>
          </w:p>
        </w:tc>
        <w:tc>
          <w:tcPr>
            <w:tcW w:w="700" w:type="dxa"/>
            <w:tcBorders>
              <w:top w:val="nil"/>
              <w:left w:val="nil"/>
              <w:bottom w:val="nil"/>
              <w:right w:val="nil"/>
            </w:tcBorders>
            <w:shd w:val="clear" w:color="auto" w:fill="auto"/>
            <w:noWrap/>
            <w:vAlign w:val="bottom"/>
            <w:hideMark/>
          </w:tcPr>
          <w:p w14:paraId="4FEC8C11" w14:textId="520BD0D9" w:rsidR="006A51FD" w:rsidRPr="008C2001" w:rsidRDefault="006A51FD" w:rsidP="006A51FD">
            <w:pPr>
              <w:spacing w:after="0" w:line="240" w:lineRule="auto"/>
              <w:jc w:val="right"/>
              <w:rPr>
                <w:rFonts w:cs="Arial"/>
                <w:sz w:val="16"/>
                <w:szCs w:val="16"/>
              </w:rPr>
            </w:pPr>
            <w:r>
              <w:rPr>
                <w:rFonts w:ascii="Arial CE" w:hAnsi="Arial CE" w:cs="Arial CE"/>
                <w:sz w:val="16"/>
                <w:szCs w:val="16"/>
              </w:rPr>
              <w:t>42,92</w:t>
            </w:r>
          </w:p>
        </w:tc>
        <w:tc>
          <w:tcPr>
            <w:tcW w:w="700" w:type="dxa"/>
            <w:tcBorders>
              <w:top w:val="nil"/>
              <w:left w:val="nil"/>
              <w:bottom w:val="nil"/>
              <w:right w:val="nil"/>
            </w:tcBorders>
            <w:shd w:val="clear" w:color="auto" w:fill="auto"/>
            <w:noWrap/>
            <w:vAlign w:val="bottom"/>
            <w:hideMark/>
          </w:tcPr>
          <w:p w14:paraId="40C63C52" w14:textId="0AE7A899" w:rsidR="006A51FD" w:rsidRPr="008C2001" w:rsidRDefault="006A51FD" w:rsidP="006A51FD">
            <w:pPr>
              <w:spacing w:after="0" w:line="240" w:lineRule="auto"/>
              <w:jc w:val="right"/>
              <w:rPr>
                <w:rFonts w:cs="Arial"/>
                <w:sz w:val="16"/>
                <w:szCs w:val="16"/>
              </w:rPr>
            </w:pPr>
            <w:r>
              <w:rPr>
                <w:rFonts w:ascii="Arial CE" w:hAnsi="Arial CE" w:cs="Arial CE"/>
                <w:sz w:val="16"/>
                <w:szCs w:val="16"/>
              </w:rPr>
              <w:t>42,66</w:t>
            </w:r>
          </w:p>
        </w:tc>
        <w:tc>
          <w:tcPr>
            <w:tcW w:w="700" w:type="dxa"/>
            <w:tcBorders>
              <w:top w:val="nil"/>
              <w:left w:val="nil"/>
              <w:bottom w:val="nil"/>
              <w:right w:val="nil"/>
            </w:tcBorders>
            <w:shd w:val="clear" w:color="auto" w:fill="auto"/>
            <w:noWrap/>
            <w:vAlign w:val="bottom"/>
            <w:hideMark/>
          </w:tcPr>
          <w:p w14:paraId="1004EEF5" w14:textId="31F0BDAE" w:rsidR="006A51FD" w:rsidRPr="008C2001" w:rsidRDefault="006A51FD" w:rsidP="006A51FD">
            <w:pPr>
              <w:spacing w:after="0" w:line="240" w:lineRule="auto"/>
              <w:jc w:val="right"/>
              <w:rPr>
                <w:rFonts w:cs="Arial"/>
                <w:sz w:val="16"/>
                <w:szCs w:val="16"/>
              </w:rPr>
            </w:pPr>
            <w:r>
              <w:rPr>
                <w:rFonts w:ascii="Arial CE" w:hAnsi="Arial CE" w:cs="Arial CE"/>
                <w:sz w:val="16"/>
                <w:szCs w:val="16"/>
              </w:rPr>
              <w:t>40,46</w:t>
            </w:r>
          </w:p>
        </w:tc>
        <w:tc>
          <w:tcPr>
            <w:tcW w:w="700" w:type="dxa"/>
            <w:tcBorders>
              <w:top w:val="nil"/>
              <w:left w:val="nil"/>
              <w:bottom w:val="nil"/>
              <w:right w:val="nil"/>
            </w:tcBorders>
            <w:shd w:val="clear" w:color="auto" w:fill="auto"/>
            <w:noWrap/>
            <w:vAlign w:val="bottom"/>
            <w:hideMark/>
          </w:tcPr>
          <w:p w14:paraId="284FE653" w14:textId="32225716" w:rsidR="006A51FD" w:rsidRPr="008C2001" w:rsidRDefault="006A51FD" w:rsidP="006A51FD">
            <w:pPr>
              <w:spacing w:after="0" w:line="240" w:lineRule="auto"/>
              <w:jc w:val="right"/>
              <w:rPr>
                <w:rFonts w:cs="Arial"/>
                <w:sz w:val="16"/>
                <w:szCs w:val="16"/>
              </w:rPr>
            </w:pPr>
            <w:r>
              <w:rPr>
                <w:rFonts w:ascii="Arial CE" w:hAnsi="Arial CE" w:cs="Arial CE"/>
                <w:sz w:val="16"/>
                <w:szCs w:val="16"/>
              </w:rPr>
              <w:t>41,61</w:t>
            </w:r>
          </w:p>
        </w:tc>
        <w:tc>
          <w:tcPr>
            <w:tcW w:w="700" w:type="dxa"/>
            <w:tcBorders>
              <w:top w:val="nil"/>
              <w:left w:val="nil"/>
              <w:bottom w:val="nil"/>
              <w:right w:val="nil"/>
            </w:tcBorders>
            <w:shd w:val="clear" w:color="auto" w:fill="auto"/>
            <w:noWrap/>
            <w:vAlign w:val="bottom"/>
            <w:hideMark/>
          </w:tcPr>
          <w:p w14:paraId="1C43D645" w14:textId="76C1F126" w:rsidR="006A51FD" w:rsidRPr="008C2001" w:rsidRDefault="006A51FD" w:rsidP="006A51FD">
            <w:pPr>
              <w:spacing w:after="0" w:line="240" w:lineRule="auto"/>
              <w:jc w:val="right"/>
              <w:rPr>
                <w:rFonts w:cs="Arial"/>
                <w:sz w:val="16"/>
                <w:szCs w:val="16"/>
              </w:rPr>
            </w:pPr>
            <w:r>
              <w:rPr>
                <w:rFonts w:ascii="Arial CE" w:hAnsi="Arial CE" w:cs="Arial CE"/>
                <w:sz w:val="16"/>
                <w:szCs w:val="16"/>
              </w:rPr>
              <w:t>41,63</w:t>
            </w:r>
          </w:p>
        </w:tc>
        <w:tc>
          <w:tcPr>
            <w:tcW w:w="700" w:type="dxa"/>
            <w:tcBorders>
              <w:top w:val="nil"/>
              <w:left w:val="nil"/>
              <w:bottom w:val="nil"/>
              <w:right w:val="nil"/>
            </w:tcBorders>
            <w:shd w:val="clear" w:color="auto" w:fill="auto"/>
            <w:noWrap/>
            <w:vAlign w:val="bottom"/>
            <w:hideMark/>
          </w:tcPr>
          <w:p w14:paraId="717FDFEB" w14:textId="74123A7D" w:rsidR="006A51FD" w:rsidRPr="008C2001" w:rsidRDefault="006A51FD" w:rsidP="006A51FD">
            <w:pPr>
              <w:spacing w:after="0" w:line="240" w:lineRule="auto"/>
              <w:jc w:val="right"/>
              <w:rPr>
                <w:rFonts w:cs="Arial"/>
                <w:sz w:val="16"/>
                <w:szCs w:val="16"/>
              </w:rPr>
            </w:pPr>
            <w:r>
              <w:rPr>
                <w:rFonts w:ascii="Arial CE" w:hAnsi="Arial CE" w:cs="Arial CE"/>
                <w:sz w:val="16"/>
                <w:szCs w:val="16"/>
              </w:rPr>
              <w:t>42,30</w:t>
            </w:r>
          </w:p>
        </w:tc>
        <w:tc>
          <w:tcPr>
            <w:tcW w:w="700" w:type="dxa"/>
            <w:tcBorders>
              <w:top w:val="nil"/>
              <w:left w:val="nil"/>
              <w:bottom w:val="nil"/>
              <w:right w:val="nil"/>
            </w:tcBorders>
            <w:shd w:val="clear" w:color="auto" w:fill="auto"/>
            <w:noWrap/>
            <w:vAlign w:val="bottom"/>
            <w:hideMark/>
          </w:tcPr>
          <w:p w14:paraId="51BE25D1" w14:textId="04EE5B7C" w:rsidR="006A51FD" w:rsidRPr="008C2001" w:rsidRDefault="006A51FD" w:rsidP="006A51FD">
            <w:pPr>
              <w:spacing w:after="0" w:line="240" w:lineRule="auto"/>
              <w:jc w:val="right"/>
              <w:rPr>
                <w:rFonts w:cs="Arial"/>
                <w:sz w:val="16"/>
                <w:szCs w:val="16"/>
              </w:rPr>
            </w:pPr>
            <w:r>
              <w:rPr>
                <w:rFonts w:ascii="Arial CE" w:hAnsi="Arial CE" w:cs="Arial CE"/>
                <w:sz w:val="16"/>
                <w:szCs w:val="16"/>
              </w:rPr>
              <w:t>39,23</w:t>
            </w:r>
          </w:p>
        </w:tc>
        <w:tc>
          <w:tcPr>
            <w:tcW w:w="700" w:type="dxa"/>
            <w:tcBorders>
              <w:top w:val="nil"/>
              <w:left w:val="nil"/>
              <w:bottom w:val="nil"/>
              <w:right w:val="nil"/>
            </w:tcBorders>
            <w:shd w:val="clear" w:color="auto" w:fill="auto"/>
            <w:noWrap/>
            <w:vAlign w:val="bottom"/>
            <w:hideMark/>
          </w:tcPr>
          <w:p w14:paraId="06BDAF0D" w14:textId="55B6960B" w:rsidR="006A51FD" w:rsidRPr="008C2001" w:rsidRDefault="006A51FD" w:rsidP="006A51FD">
            <w:pPr>
              <w:spacing w:after="0" w:line="240" w:lineRule="auto"/>
              <w:jc w:val="right"/>
              <w:rPr>
                <w:rFonts w:cs="Arial"/>
                <w:sz w:val="16"/>
                <w:szCs w:val="16"/>
              </w:rPr>
            </w:pPr>
            <w:r>
              <w:rPr>
                <w:rFonts w:ascii="Arial CE" w:hAnsi="Arial CE" w:cs="Arial CE"/>
                <w:sz w:val="16"/>
                <w:szCs w:val="16"/>
              </w:rPr>
              <w:t>40,20</w:t>
            </w:r>
          </w:p>
        </w:tc>
        <w:tc>
          <w:tcPr>
            <w:tcW w:w="700" w:type="dxa"/>
            <w:tcBorders>
              <w:top w:val="nil"/>
              <w:left w:val="nil"/>
              <w:bottom w:val="nil"/>
              <w:right w:val="nil"/>
            </w:tcBorders>
            <w:shd w:val="clear" w:color="auto" w:fill="auto"/>
            <w:noWrap/>
            <w:vAlign w:val="bottom"/>
            <w:hideMark/>
          </w:tcPr>
          <w:p w14:paraId="35F13D52" w14:textId="1A6780C7"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39,07</w:t>
            </w:r>
          </w:p>
        </w:tc>
        <w:tc>
          <w:tcPr>
            <w:tcW w:w="700" w:type="dxa"/>
            <w:tcBorders>
              <w:top w:val="nil"/>
              <w:left w:val="nil"/>
              <w:bottom w:val="nil"/>
              <w:right w:val="nil"/>
            </w:tcBorders>
            <w:shd w:val="clear" w:color="auto" w:fill="auto"/>
            <w:noWrap/>
            <w:vAlign w:val="bottom"/>
            <w:hideMark/>
          </w:tcPr>
          <w:p w14:paraId="02CA4417" w14:textId="6FF59307"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38,38</w:t>
            </w:r>
          </w:p>
        </w:tc>
      </w:tr>
      <w:tr w:rsidR="006A51FD" w:rsidRPr="008C2001" w14:paraId="266FE237"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17016CC1"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Karlovarský kraj</w:t>
            </w:r>
          </w:p>
        </w:tc>
        <w:tc>
          <w:tcPr>
            <w:tcW w:w="709" w:type="dxa"/>
            <w:tcBorders>
              <w:top w:val="nil"/>
              <w:left w:val="nil"/>
              <w:bottom w:val="nil"/>
              <w:right w:val="nil"/>
            </w:tcBorders>
            <w:shd w:val="clear" w:color="auto" w:fill="auto"/>
            <w:noWrap/>
            <w:vAlign w:val="bottom"/>
            <w:hideMark/>
          </w:tcPr>
          <w:p w14:paraId="2CB5E2A2" w14:textId="63C5A1C6" w:rsidR="006A51FD" w:rsidRPr="008C2001" w:rsidRDefault="006A51FD" w:rsidP="006A51FD">
            <w:pPr>
              <w:spacing w:after="0" w:line="240" w:lineRule="auto"/>
              <w:jc w:val="right"/>
              <w:rPr>
                <w:rFonts w:cs="Arial"/>
                <w:sz w:val="16"/>
                <w:szCs w:val="16"/>
              </w:rPr>
            </w:pPr>
            <w:r>
              <w:rPr>
                <w:rFonts w:ascii="Arial CE" w:hAnsi="Arial CE" w:cs="Arial CE"/>
                <w:sz w:val="16"/>
                <w:szCs w:val="16"/>
              </w:rPr>
              <w:t>35,97</w:t>
            </w:r>
          </w:p>
        </w:tc>
        <w:tc>
          <w:tcPr>
            <w:tcW w:w="700" w:type="dxa"/>
            <w:tcBorders>
              <w:top w:val="nil"/>
              <w:left w:val="nil"/>
              <w:bottom w:val="nil"/>
              <w:right w:val="nil"/>
            </w:tcBorders>
            <w:shd w:val="clear" w:color="auto" w:fill="auto"/>
            <w:noWrap/>
            <w:vAlign w:val="bottom"/>
            <w:hideMark/>
          </w:tcPr>
          <w:p w14:paraId="58C4355F" w14:textId="2AC13EEF" w:rsidR="006A51FD" w:rsidRPr="008C2001" w:rsidRDefault="006A51FD" w:rsidP="006A51FD">
            <w:pPr>
              <w:spacing w:after="0" w:line="240" w:lineRule="auto"/>
              <w:jc w:val="right"/>
              <w:rPr>
                <w:rFonts w:cs="Arial"/>
                <w:sz w:val="16"/>
                <w:szCs w:val="16"/>
              </w:rPr>
            </w:pPr>
            <w:r>
              <w:rPr>
                <w:rFonts w:ascii="Arial CE" w:hAnsi="Arial CE" w:cs="Arial CE"/>
                <w:sz w:val="16"/>
                <w:szCs w:val="16"/>
              </w:rPr>
              <w:t>42,93</w:t>
            </w:r>
          </w:p>
        </w:tc>
        <w:tc>
          <w:tcPr>
            <w:tcW w:w="700" w:type="dxa"/>
            <w:tcBorders>
              <w:top w:val="nil"/>
              <w:left w:val="nil"/>
              <w:bottom w:val="nil"/>
              <w:right w:val="nil"/>
            </w:tcBorders>
            <w:shd w:val="clear" w:color="auto" w:fill="auto"/>
            <w:noWrap/>
            <w:vAlign w:val="bottom"/>
            <w:hideMark/>
          </w:tcPr>
          <w:p w14:paraId="7A405327" w14:textId="2EF81053" w:rsidR="006A51FD" w:rsidRPr="008C2001" w:rsidRDefault="006A51FD" w:rsidP="006A51FD">
            <w:pPr>
              <w:spacing w:after="0" w:line="240" w:lineRule="auto"/>
              <w:jc w:val="right"/>
              <w:rPr>
                <w:rFonts w:cs="Arial"/>
                <w:sz w:val="16"/>
                <w:szCs w:val="16"/>
              </w:rPr>
            </w:pPr>
            <w:r>
              <w:rPr>
                <w:rFonts w:ascii="Arial CE" w:hAnsi="Arial CE" w:cs="Arial CE"/>
                <w:sz w:val="16"/>
                <w:szCs w:val="16"/>
              </w:rPr>
              <w:t>40,83</w:t>
            </w:r>
          </w:p>
        </w:tc>
        <w:tc>
          <w:tcPr>
            <w:tcW w:w="700" w:type="dxa"/>
            <w:tcBorders>
              <w:top w:val="nil"/>
              <w:left w:val="nil"/>
              <w:bottom w:val="nil"/>
              <w:right w:val="nil"/>
            </w:tcBorders>
            <w:shd w:val="clear" w:color="auto" w:fill="auto"/>
            <w:noWrap/>
            <w:vAlign w:val="bottom"/>
            <w:hideMark/>
          </w:tcPr>
          <w:p w14:paraId="10C2F09D" w14:textId="285CDBFE" w:rsidR="006A51FD" w:rsidRPr="008C2001" w:rsidRDefault="006A51FD" w:rsidP="006A51FD">
            <w:pPr>
              <w:spacing w:after="0" w:line="240" w:lineRule="auto"/>
              <w:jc w:val="right"/>
              <w:rPr>
                <w:rFonts w:cs="Arial"/>
                <w:sz w:val="16"/>
                <w:szCs w:val="16"/>
              </w:rPr>
            </w:pPr>
            <w:r>
              <w:rPr>
                <w:rFonts w:ascii="Arial CE" w:hAnsi="Arial CE" w:cs="Arial CE"/>
                <w:sz w:val="16"/>
                <w:szCs w:val="16"/>
              </w:rPr>
              <w:t>39,22</w:t>
            </w:r>
          </w:p>
        </w:tc>
        <w:tc>
          <w:tcPr>
            <w:tcW w:w="700" w:type="dxa"/>
            <w:tcBorders>
              <w:top w:val="nil"/>
              <w:left w:val="nil"/>
              <w:bottom w:val="nil"/>
              <w:right w:val="nil"/>
            </w:tcBorders>
            <w:shd w:val="clear" w:color="auto" w:fill="auto"/>
            <w:noWrap/>
            <w:vAlign w:val="bottom"/>
            <w:hideMark/>
          </w:tcPr>
          <w:p w14:paraId="21956AD0" w14:textId="2A2BD587" w:rsidR="006A51FD" w:rsidRPr="008C2001" w:rsidRDefault="006A51FD" w:rsidP="006A51FD">
            <w:pPr>
              <w:spacing w:after="0" w:line="240" w:lineRule="auto"/>
              <w:jc w:val="right"/>
              <w:rPr>
                <w:rFonts w:cs="Arial"/>
                <w:sz w:val="16"/>
                <w:szCs w:val="16"/>
              </w:rPr>
            </w:pPr>
            <w:r>
              <w:rPr>
                <w:rFonts w:ascii="Arial CE" w:hAnsi="Arial CE" w:cs="Arial CE"/>
                <w:sz w:val="16"/>
                <w:szCs w:val="16"/>
              </w:rPr>
              <w:t>40,80</w:t>
            </w:r>
          </w:p>
        </w:tc>
        <w:tc>
          <w:tcPr>
            <w:tcW w:w="700" w:type="dxa"/>
            <w:tcBorders>
              <w:top w:val="nil"/>
              <w:left w:val="nil"/>
              <w:bottom w:val="nil"/>
              <w:right w:val="nil"/>
            </w:tcBorders>
            <w:shd w:val="clear" w:color="auto" w:fill="auto"/>
            <w:noWrap/>
            <w:vAlign w:val="bottom"/>
            <w:hideMark/>
          </w:tcPr>
          <w:p w14:paraId="7C2F74BE" w14:textId="3DB1AC01" w:rsidR="006A51FD" w:rsidRPr="008C2001" w:rsidRDefault="006A51FD" w:rsidP="006A51FD">
            <w:pPr>
              <w:spacing w:after="0" w:line="240" w:lineRule="auto"/>
              <w:jc w:val="right"/>
              <w:rPr>
                <w:rFonts w:cs="Arial"/>
                <w:sz w:val="16"/>
                <w:szCs w:val="16"/>
              </w:rPr>
            </w:pPr>
            <w:r>
              <w:rPr>
                <w:rFonts w:ascii="Arial CE" w:hAnsi="Arial CE" w:cs="Arial CE"/>
                <w:sz w:val="16"/>
                <w:szCs w:val="16"/>
              </w:rPr>
              <w:t>41,40</w:t>
            </w:r>
          </w:p>
        </w:tc>
        <w:tc>
          <w:tcPr>
            <w:tcW w:w="700" w:type="dxa"/>
            <w:tcBorders>
              <w:top w:val="nil"/>
              <w:left w:val="nil"/>
              <w:bottom w:val="nil"/>
              <w:right w:val="nil"/>
            </w:tcBorders>
            <w:shd w:val="clear" w:color="auto" w:fill="auto"/>
            <w:noWrap/>
            <w:vAlign w:val="bottom"/>
            <w:hideMark/>
          </w:tcPr>
          <w:p w14:paraId="439E8C4B" w14:textId="4E5D9C26" w:rsidR="006A51FD" w:rsidRPr="008C2001" w:rsidRDefault="006A51FD" w:rsidP="006A51FD">
            <w:pPr>
              <w:spacing w:after="0" w:line="240" w:lineRule="auto"/>
              <w:jc w:val="right"/>
              <w:rPr>
                <w:rFonts w:cs="Arial"/>
                <w:sz w:val="16"/>
                <w:szCs w:val="16"/>
              </w:rPr>
            </w:pPr>
            <w:r>
              <w:rPr>
                <w:rFonts w:ascii="Arial CE" w:hAnsi="Arial CE" w:cs="Arial CE"/>
                <w:sz w:val="16"/>
                <w:szCs w:val="16"/>
              </w:rPr>
              <w:t>41,96</w:t>
            </w:r>
          </w:p>
        </w:tc>
        <w:tc>
          <w:tcPr>
            <w:tcW w:w="700" w:type="dxa"/>
            <w:tcBorders>
              <w:top w:val="nil"/>
              <w:left w:val="nil"/>
              <w:bottom w:val="nil"/>
              <w:right w:val="nil"/>
            </w:tcBorders>
            <w:shd w:val="clear" w:color="auto" w:fill="auto"/>
            <w:noWrap/>
            <w:vAlign w:val="bottom"/>
            <w:hideMark/>
          </w:tcPr>
          <w:p w14:paraId="3478E90C" w14:textId="37525C15" w:rsidR="006A51FD" w:rsidRPr="008C2001" w:rsidRDefault="006A51FD" w:rsidP="006A51FD">
            <w:pPr>
              <w:spacing w:after="0" w:line="240" w:lineRule="auto"/>
              <w:jc w:val="right"/>
              <w:rPr>
                <w:rFonts w:cs="Arial"/>
                <w:sz w:val="16"/>
                <w:szCs w:val="16"/>
              </w:rPr>
            </w:pPr>
            <w:r>
              <w:rPr>
                <w:rFonts w:ascii="Arial CE" w:hAnsi="Arial CE" w:cs="Arial CE"/>
                <w:sz w:val="16"/>
                <w:szCs w:val="16"/>
              </w:rPr>
              <w:t>38,76</w:t>
            </w:r>
          </w:p>
        </w:tc>
        <w:tc>
          <w:tcPr>
            <w:tcW w:w="700" w:type="dxa"/>
            <w:tcBorders>
              <w:top w:val="nil"/>
              <w:left w:val="nil"/>
              <w:bottom w:val="nil"/>
              <w:right w:val="nil"/>
            </w:tcBorders>
            <w:shd w:val="clear" w:color="auto" w:fill="auto"/>
            <w:noWrap/>
            <w:vAlign w:val="bottom"/>
            <w:hideMark/>
          </w:tcPr>
          <w:p w14:paraId="1D9135FF" w14:textId="3056382A" w:rsidR="006A51FD" w:rsidRPr="008C2001" w:rsidRDefault="006A51FD" w:rsidP="006A51FD">
            <w:pPr>
              <w:spacing w:after="0" w:line="240" w:lineRule="auto"/>
              <w:jc w:val="right"/>
              <w:rPr>
                <w:rFonts w:cs="Arial"/>
                <w:sz w:val="16"/>
                <w:szCs w:val="16"/>
              </w:rPr>
            </w:pPr>
            <w:r>
              <w:rPr>
                <w:rFonts w:ascii="Arial CE" w:hAnsi="Arial CE" w:cs="Arial CE"/>
                <w:sz w:val="16"/>
                <w:szCs w:val="16"/>
              </w:rPr>
              <w:t>39,96</w:t>
            </w:r>
          </w:p>
        </w:tc>
        <w:tc>
          <w:tcPr>
            <w:tcW w:w="700" w:type="dxa"/>
            <w:tcBorders>
              <w:top w:val="nil"/>
              <w:left w:val="nil"/>
              <w:bottom w:val="nil"/>
              <w:right w:val="nil"/>
            </w:tcBorders>
            <w:shd w:val="clear" w:color="auto" w:fill="auto"/>
            <w:noWrap/>
            <w:vAlign w:val="bottom"/>
            <w:hideMark/>
          </w:tcPr>
          <w:p w14:paraId="66D139CC" w14:textId="2AD50208"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39,59</w:t>
            </w:r>
          </w:p>
        </w:tc>
        <w:tc>
          <w:tcPr>
            <w:tcW w:w="700" w:type="dxa"/>
            <w:tcBorders>
              <w:top w:val="nil"/>
              <w:left w:val="nil"/>
              <w:bottom w:val="nil"/>
              <w:right w:val="nil"/>
            </w:tcBorders>
            <w:shd w:val="clear" w:color="auto" w:fill="auto"/>
            <w:noWrap/>
            <w:vAlign w:val="bottom"/>
            <w:hideMark/>
          </w:tcPr>
          <w:p w14:paraId="03A32FDD" w14:textId="6600E7DA"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39,26</w:t>
            </w:r>
          </w:p>
        </w:tc>
      </w:tr>
      <w:tr w:rsidR="006A51FD" w:rsidRPr="008C2001" w14:paraId="17D4DBD5"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2D4622E9"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Ústecký kraj</w:t>
            </w:r>
          </w:p>
        </w:tc>
        <w:tc>
          <w:tcPr>
            <w:tcW w:w="709" w:type="dxa"/>
            <w:tcBorders>
              <w:top w:val="nil"/>
              <w:left w:val="nil"/>
              <w:bottom w:val="nil"/>
              <w:right w:val="nil"/>
            </w:tcBorders>
            <w:shd w:val="clear" w:color="auto" w:fill="auto"/>
            <w:noWrap/>
            <w:vAlign w:val="bottom"/>
            <w:hideMark/>
          </w:tcPr>
          <w:p w14:paraId="76B610B2" w14:textId="5845078B" w:rsidR="006A51FD" w:rsidRPr="008C2001" w:rsidRDefault="006A51FD" w:rsidP="006A51FD">
            <w:pPr>
              <w:spacing w:after="0" w:line="240" w:lineRule="auto"/>
              <w:jc w:val="right"/>
              <w:rPr>
                <w:rFonts w:cs="Arial"/>
                <w:sz w:val="16"/>
                <w:szCs w:val="16"/>
              </w:rPr>
            </w:pPr>
            <w:r>
              <w:rPr>
                <w:rFonts w:ascii="Arial CE" w:hAnsi="Arial CE" w:cs="Arial CE"/>
                <w:sz w:val="16"/>
                <w:szCs w:val="16"/>
              </w:rPr>
              <w:t>39,42</w:t>
            </w:r>
          </w:p>
        </w:tc>
        <w:tc>
          <w:tcPr>
            <w:tcW w:w="700" w:type="dxa"/>
            <w:tcBorders>
              <w:top w:val="nil"/>
              <w:left w:val="nil"/>
              <w:bottom w:val="nil"/>
              <w:right w:val="nil"/>
            </w:tcBorders>
            <w:shd w:val="clear" w:color="auto" w:fill="auto"/>
            <w:noWrap/>
            <w:vAlign w:val="bottom"/>
            <w:hideMark/>
          </w:tcPr>
          <w:p w14:paraId="41AB6484" w14:textId="72CF7230" w:rsidR="006A51FD" w:rsidRPr="008C2001" w:rsidRDefault="006A51FD" w:rsidP="006A51FD">
            <w:pPr>
              <w:spacing w:after="0" w:line="240" w:lineRule="auto"/>
              <w:jc w:val="right"/>
              <w:rPr>
                <w:rFonts w:cs="Arial"/>
                <w:sz w:val="16"/>
                <w:szCs w:val="16"/>
              </w:rPr>
            </w:pPr>
            <w:r>
              <w:rPr>
                <w:rFonts w:ascii="Arial CE" w:hAnsi="Arial CE" w:cs="Arial CE"/>
                <w:sz w:val="16"/>
                <w:szCs w:val="16"/>
              </w:rPr>
              <w:t>45,76</w:t>
            </w:r>
          </w:p>
        </w:tc>
        <w:tc>
          <w:tcPr>
            <w:tcW w:w="700" w:type="dxa"/>
            <w:tcBorders>
              <w:top w:val="nil"/>
              <w:left w:val="nil"/>
              <w:bottom w:val="nil"/>
              <w:right w:val="nil"/>
            </w:tcBorders>
            <w:shd w:val="clear" w:color="auto" w:fill="auto"/>
            <w:noWrap/>
            <w:vAlign w:val="bottom"/>
            <w:hideMark/>
          </w:tcPr>
          <w:p w14:paraId="673BEC80" w14:textId="4A083D1E" w:rsidR="006A51FD" w:rsidRPr="008C2001" w:rsidRDefault="006A51FD" w:rsidP="006A51FD">
            <w:pPr>
              <w:spacing w:after="0" w:line="240" w:lineRule="auto"/>
              <w:jc w:val="right"/>
              <w:rPr>
                <w:rFonts w:cs="Arial"/>
                <w:sz w:val="16"/>
                <w:szCs w:val="16"/>
              </w:rPr>
            </w:pPr>
            <w:r>
              <w:rPr>
                <w:rFonts w:ascii="Arial CE" w:hAnsi="Arial CE" w:cs="Arial CE"/>
                <w:sz w:val="16"/>
                <w:szCs w:val="16"/>
              </w:rPr>
              <w:t>44,93</w:t>
            </w:r>
          </w:p>
        </w:tc>
        <w:tc>
          <w:tcPr>
            <w:tcW w:w="700" w:type="dxa"/>
            <w:tcBorders>
              <w:top w:val="nil"/>
              <w:left w:val="nil"/>
              <w:bottom w:val="nil"/>
              <w:right w:val="nil"/>
            </w:tcBorders>
            <w:shd w:val="clear" w:color="auto" w:fill="auto"/>
            <w:noWrap/>
            <w:vAlign w:val="bottom"/>
            <w:hideMark/>
          </w:tcPr>
          <w:p w14:paraId="00ECCE75" w14:textId="3EC181E8" w:rsidR="006A51FD" w:rsidRPr="008C2001" w:rsidRDefault="006A51FD" w:rsidP="006A51FD">
            <w:pPr>
              <w:spacing w:after="0" w:line="240" w:lineRule="auto"/>
              <w:jc w:val="right"/>
              <w:rPr>
                <w:rFonts w:cs="Arial"/>
                <w:sz w:val="16"/>
                <w:szCs w:val="16"/>
              </w:rPr>
            </w:pPr>
            <w:r>
              <w:rPr>
                <w:rFonts w:ascii="Arial CE" w:hAnsi="Arial CE" w:cs="Arial CE"/>
                <w:sz w:val="16"/>
                <w:szCs w:val="16"/>
              </w:rPr>
              <w:t>43,93</w:t>
            </w:r>
          </w:p>
        </w:tc>
        <w:tc>
          <w:tcPr>
            <w:tcW w:w="700" w:type="dxa"/>
            <w:tcBorders>
              <w:top w:val="nil"/>
              <w:left w:val="nil"/>
              <w:bottom w:val="nil"/>
              <w:right w:val="nil"/>
            </w:tcBorders>
            <w:shd w:val="clear" w:color="auto" w:fill="auto"/>
            <w:noWrap/>
            <w:vAlign w:val="bottom"/>
            <w:hideMark/>
          </w:tcPr>
          <w:p w14:paraId="17B91DD2" w14:textId="6D538D90" w:rsidR="006A51FD" w:rsidRPr="008C2001" w:rsidRDefault="006A51FD" w:rsidP="006A51FD">
            <w:pPr>
              <w:spacing w:after="0" w:line="240" w:lineRule="auto"/>
              <w:jc w:val="right"/>
              <w:rPr>
                <w:rFonts w:cs="Arial"/>
                <w:sz w:val="16"/>
                <w:szCs w:val="16"/>
              </w:rPr>
            </w:pPr>
            <w:r>
              <w:rPr>
                <w:rFonts w:ascii="Arial CE" w:hAnsi="Arial CE" w:cs="Arial CE"/>
                <w:sz w:val="16"/>
                <w:szCs w:val="16"/>
              </w:rPr>
              <w:t>48,25</w:t>
            </w:r>
          </w:p>
        </w:tc>
        <w:tc>
          <w:tcPr>
            <w:tcW w:w="700" w:type="dxa"/>
            <w:tcBorders>
              <w:top w:val="nil"/>
              <w:left w:val="nil"/>
              <w:bottom w:val="nil"/>
              <w:right w:val="nil"/>
            </w:tcBorders>
            <w:shd w:val="clear" w:color="auto" w:fill="auto"/>
            <w:noWrap/>
            <w:vAlign w:val="bottom"/>
            <w:hideMark/>
          </w:tcPr>
          <w:p w14:paraId="33B9C76D" w14:textId="4D7B5F64" w:rsidR="006A51FD" w:rsidRPr="008C2001" w:rsidRDefault="006A51FD" w:rsidP="006A51FD">
            <w:pPr>
              <w:spacing w:after="0" w:line="240" w:lineRule="auto"/>
              <w:jc w:val="right"/>
              <w:rPr>
                <w:rFonts w:cs="Arial"/>
                <w:sz w:val="16"/>
                <w:szCs w:val="16"/>
              </w:rPr>
            </w:pPr>
            <w:r>
              <w:rPr>
                <w:rFonts w:ascii="Arial CE" w:hAnsi="Arial CE" w:cs="Arial CE"/>
                <w:sz w:val="16"/>
                <w:szCs w:val="16"/>
              </w:rPr>
              <w:t>46,66</w:t>
            </w:r>
          </w:p>
        </w:tc>
        <w:tc>
          <w:tcPr>
            <w:tcW w:w="700" w:type="dxa"/>
            <w:tcBorders>
              <w:top w:val="nil"/>
              <w:left w:val="nil"/>
              <w:bottom w:val="nil"/>
              <w:right w:val="nil"/>
            </w:tcBorders>
            <w:shd w:val="clear" w:color="auto" w:fill="auto"/>
            <w:noWrap/>
            <w:vAlign w:val="bottom"/>
            <w:hideMark/>
          </w:tcPr>
          <w:p w14:paraId="7924602C" w14:textId="64531D01" w:rsidR="006A51FD" w:rsidRPr="008C2001" w:rsidRDefault="006A51FD" w:rsidP="006A51FD">
            <w:pPr>
              <w:spacing w:after="0" w:line="240" w:lineRule="auto"/>
              <w:jc w:val="right"/>
              <w:rPr>
                <w:rFonts w:cs="Arial"/>
                <w:sz w:val="16"/>
                <w:szCs w:val="16"/>
              </w:rPr>
            </w:pPr>
            <w:r>
              <w:rPr>
                <w:rFonts w:ascii="Arial CE" w:hAnsi="Arial CE" w:cs="Arial CE"/>
                <w:sz w:val="16"/>
                <w:szCs w:val="16"/>
              </w:rPr>
              <w:t>47,53</w:t>
            </w:r>
          </w:p>
        </w:tc>
        <w:tc>
          <w:tcPr>
            <w:tcW w:w="700" w:type="dxa"/>
            <w:tcBorders>
              <w:top w:val="nil"/>
              <w:left w:val="nil"/>
              <w:bottom w:val="nil"/>
              <w:right w:val="nil"/>
            </w:tcBorders>
            <w:shd w:val="clear" w:color="auto" w:fill="auto"/>
            <w:noWrap/>
            <w:vAlign w:val="bottom"/>
            <w:hideMark/>
          </w:tcPr>
          <w:p w14:paraId="038A69B1" w14:textId="2352AC3A" w:rsidR="006A51FD" w:rsidRPr="008C2001" w:rsidRDefault="006A51FD" w:rsidP="006A51FD">
            <w:pPr>
              <w:spacing w:after="0" w:line="240" w:lineRule="auto"/>
              <w:jc w:val="right"/>
              <w:rPr>
                <w:rFonts w:cs="Arial"/>
                <w:sz w:val="16"/>
                <w:szCs w:val="16"/>
              </w:rPr>
            </w:pPr>
            <w:r>
              <w:rPr>
                <w:rFonts w:ascii="Arial CE" w:hAnsi="Arial CE" w:cs="Arial CE"/>
                <w:sz w:val="16"/>
                <w:szCs w:val="16"/>
              </w:rPr>
              <w:t>43,84</w:t>
            </w:r>
          </w:p>
        </w:tc>
        <w:tc>
          <w:tcPr>
            <w:tcW w:w="700" w:type="dxa"/>
            <w:tcBorders>
              <w:top w:val="nil"/>
              <w:left w:val="nil"/>
              <w:bottom w:val="nil"/>
              <w:right w:val="nil"/>
            </w:tcBorders>
            <w:shd w:val="clear" w:color="auto" w:fill="auto"/>
            <w:noWrap/>
            <w:vAlign w:val="bottom"/>
            <w:hideMark/>
          </w:tcPr>
          <w:p w14:paraId="7005642B" w14:textId="39283B13" w:rsidR="006A51FD" w:rsidRPr="008C2001" w:rsidRDefault="006A51FD" w:rsidP="006A51FD">
            <w:pPr>
              <w:spacing w:after="0" w:line="240" w:lineRule="auto"/>
              <w:jc w:val="right"/>
              <w:rPr>
                <w:rFonts w:cs="Arial"/>
                <w:sz w:val="16"/>
                <w:szCs w:val="16"/>
              </w:rPr>
            </w:pPr>
            <w:r>
              <w:rPr>
                <w:rFonts w:ascii="Arial CE" w:hAnsi="Arial CE" w:cs="Arial CE"/>
                <w:sz w:val="16"/>
                <w:szCs w:val="16"/>
              </w:rPr>
              <w:t>43,02</w:t>
            </w:r>
          </w:p>
        </w:tc>
        <w:tc>
          <w:tcPr>
            <w:tcW w:w="700" w:type="dxa"/>
            <w:tcBorders>
              <w:top w:val="nil"/>
              <w:left w:val="nil"/>
              <w:bottom w:val="nil"/>
              <w:right w:val="nil"/>
            </w:tcBorders>
            <w:shd w:val="clear" w:color="auto" w:fill="auto"/>
            <w:noWrap/>
            <w:vAlign w:val="bottom"/>
            <w:hideMark/>
          </w:tcPr>
          <w:p w14:paraId="19E0C0A8" w14:textId="5A7A49B5" w:rsidR="006A51FD" w:rsidRPr="008C2001" w:rsidRDefault="006A51FD" w:rsidP="006A51FD">
            <w:pPr>
              <w:spacing w:after="0" w:line="240" w:lineRule="auto"/>
              <w:jc w:val="right"/>
              <w:rPr>
                <w:rFonts w:cs="Arial"/>
                <w:sz w:val="16"/>
                <w:szCs w:val="16"/>
              </w:rPr>
            </w:pPr>
            <w:r>
              <w:rPr>
                <w:rFonts w:ascii="Arial CE" w:hAnsi="Arial CE" w:cs="Arial CE"/>
                <w:sz w:val="16"/>
                <w:szCs w:val="16"/>
              </w:rPr>
              <w:t>42,48</w:t>
            </w:r>
          </w:p>
        </w:tc>
        <w:tc>
          <w:tcPr>
            <w:tcW w:w="700" w:type="dxa"/>
            <w:tcBorders>
              <w:top w:val="nil"/>
              <w:left w:val="nil"/>
              <w:bottom w:val="nil"/>
              <w:right w:val="nil"/>
            </w:tcBorders>
            <w:shd w:val="clear" w:color="auto" w:fill="auto"/>
            <w:noWrap/>
            <w:vAlign w:val="bottom"/>
            <w:hideMark/>
          </w:tcPr>
          <w:p w14:paraId="5E4BAA65" w14:textId="31E8EEFC" w:rsidR="006A51FD" w:rsidRPr="008C2001" w:rsidRDefault="006A51FD" w:rsidP="006A51FD">
            <w:pPr>
              <w:spacing w:after="0" w:line="240" w:lineRule="auto"/>
              <w:jc w:val="right"/>
              <w:rPr>
                <w:rFonts w:cs="Arial"/>
                <w:color w:val="000000"/>
                <w:sz w:val="16"/>
                <w:szCs w:val="16"/>
              </w:rPr>
            </w:pPr>
            <w:r>
              <w:rPr>
                <w:rFonts w:ascii="Arial CE" w:hAnsi="Arial CE" w:cs="Arial CE"/>
                <w:sz w:val="16"/>
                <w:szCs w:val="16"/>
              </w:rPr>
              <w:t>42,04</w:t>
            </w:r>
          </w:p>
        </w:tc>
      </w:tr>
      <w:tr w:rsidR="006A51FD" w:rsidRPr="008C2001" w14:paraId="1348BAE0"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5C022683"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Liberecký kraj</w:t>
            </w:r>
          </w:p>
        </w:tc>
        <w:tc>
          <w:tcPr>
            <w:tcW w:w="709" w:type="dxa"/>
            <w:tcBorders>
              <w:top w:val="nil"/>
              <w:left w:val="nil"/>
              <w:bottom w:val="nil"/>
              <w:right w:val="nil"/>
            </w:tcBorders>
            <w:shd w:val="clear" w:color="auto" w:fill="auto"/>
            <w:noWrap/>
            <w:vAlign w:val="bottom"/>
            <w:hideMark/>
          </w:tcPr>
          <w:p w14:paraId="598C48E7" w14:textId="381AFD83" w:rsidR="006A51FD" w:rsidRPr="008C2001" w:rsidRDefault="006A51FD" w:rsidP="006A51FD">
            <w:pPr>
              <w:spacing w:after="0" w:line="240" w:lineRule="auto"/>
              <w:jc w:val="right"/>
              <w:rPr>
                <w:rFonts w:cs="Arial"/>
                <w:sz w:val="16"/>
                <w:szCs w:val="16"/>
              </w:rPr>
            </w:pPr>
            <w:r>
              <w:rPr>
                <w:rFonts w:ascii="Arial CE" w:hAnsi="Arial CE" w:cs="Arial CE"/>
                <w:sz w:val="16"/>
                <w:szCs w:val="16"/>
              </w:rPr>
              <w:t>40,00</w:t>
            </w:r>
          </w:p>
        </w:tc>
        <w:tc>
          <w:tcPr>
            <w:tcW w:w="700" w:type="dxa"/>
            <w:tcBorders>
              <w:top w:val="nil"/>
              <w:left w:val="nil"/>
              <w:bottom w:val="nil"/>
              <w:right w:val="nil"/>
            </w:tcBorders>
            <w:shd w:val="clear" w:color="auto" w:fill="auto"/>
            <w:noWrap/>
            <w:vAlign w:val="bottom"/>
            <w:hideMark/>
          </w:tcPr>
          <w:p w14:paraId="75D5B389" w14:textId="015CED38" w:rsidR="006A51FD" w:rsidRPr="008C2001" w:rsidRDefault="006A51FD" w:rsidP="006A51FD">
            <w:pPr>
              <w:spacing w:after="0" w:line="240" w:lineRule="auto"/>
              <w:jc w:val="right"/>
              <w:rPr>
                <w:rFonts w:cs="Arial"/>
                <w:sz w:val="16"/>
                <w:szCs w:val="16"/>
              </w:rPr>
            </w:pPr>
            <w:r>
              <w:rPr>
                <w:rFonts w:ascii="Arial CE" w:hAnsi="Arial CE" w:cs="Arial CE"/>
                <w:sz w:val="16"/>
                <w:szCs w:val="16"/>
              </w:rPr>
              <w:t>46,38</w:t>
            </w:r>
          </w:p>
        </w:tc>
        <w:tc>
          <w:tcPr>
            <w:tcW w:w="700" w:type="dxa"/>
            <w:tcBorders>
              <w:top w:val="nil"/>
              <w:left w:val="nil"/>
              <w:bottom w:val="nil"/>
              <w:right w:val="nil"/>
            </w:tcBorders>
            <w:shd w:val="clear" w:color="auto" w:fill="auto"/>
            <w:noWrap/>
            <w:vAlign w:val="bottom"/>
            <w:hideMark/>
          </w:tcPr>
          <w:p w14:paraId="22558502" w14:textId="14486D4B" w:rsidR="006A51FD" w:rsidRPr="008C2001" w:rsidRDefault="006A51FD" w:rsidP="006A51FD">
            <w:pPr>
              <w:spacing w:after="0" w:line="240" w:lineRule="auto"/>
              <w:jc w:val="right"/>
              <w:rPr>
                <w:rFonts w:cs="Arial"/>
                <w:sz w:val="16"/>
                <w:szCs w:val="16"/>
              </w:rPr>
            </w:pPr>
            <w:r>
              <w:rPr>
                <w:rFonts w:ascii="Arial CE" w:hAnsi="Arial CE" w:cs="Arial CE"/>
                <w:sz w:val="16"/>
                <w:szCs w:val="16"/>
              </w:rPr>
              <w:t>45,12</w:t>
            </w:r>
          </w:p>
        </w:tc>
        <w:tc>
          <w:tcPr>
            <w:tcW w:w="700" w:type="dxa"/>
            <w:tcBorders>
              <w:top w:val="nil"/>
              <w:left w:val="nil"/>
              <w:bottom w:val="nil"/>
              <w:right w:val="nil"/>
            </w:tcBorders>
            <w:shd w:val="clear" w:color="auto" w:fill="auto"/>
            <w:noWrap/>
            <w:vAlign w:val="bottom"/>
            <w:hideMark/>
          </w:tcPr>
          <w:p w14:paraId="45DC697B" w14:textId="376FBFC9" w:rsidR="006A51FD" w:rsidRPr="008C2001" w:rsidRDefault="006A51FD" w:rsidP="006A51FD">
            <w:pPr>
              <w:spacing w:after="0" w:line="240" w:lineRule="auto"/>
              <w:jc w:val="right"/>
              <w:rPr>
                <w:rFonts w:cs="Arial"/>
                <w:sz w:val="16"/>
                <w:szCs w:val="16"/>
              </w:rPr>
            </w:pPr>
            <w:r>
              <w:rPr>
                <w:rFonts w:ascii="Arial CE" w:hAnsi="Arial CE" w:cs="Arial CE"/>
                <w:sz w:val="16"/>
                <w:szCs w:val="16"/>
              </w:rPr>
              <w:t>43,95</w:t>
            </w:r>
          </w:p>
        </w:tc>
        <w:tc>
          <w:tcPr>
            <w:tcW w:w="700" w:type="dxa"/>
            <w:tcBorders>
              <w:top w:val="nil"/>
              <w:left w:val="nil"/>
              <w:bottom w:val="nil"/>
              <w:right w:val="nil"/>
            </w:tcBorders>
            <w:shd w:val="clear" w:color="auto" w:fill="auto"/>
            <w:noWrap/>
            <w:vAlign w:val="bottom"/>
            <w:hideMark/>
          </w:tcPr>
          <w:p w14:paraId="33C75FA9" w14:textId="6381EB45" w:rsidR="006A51FD" w:rsidRPr="008C2001" w:rsidRDefault="006A51FD" w:rsidP="006A51FD">
            <w:pPr>
              <w:spacing w:after="0" w:line="240" w:lineRule="auto"/>
              <w:jc w:val="right"/>
              <w:rPr>
                <w:rFonts w:cs="Arial"/>
                <w:sz w:val="16"/>
                <w:szCs w:val="16"/>
              </w:rPr>
            </w:pPr>
            <w:r>
              <w:rPr>
                <w:rFonts w:ascii="Arial CE" w:hAnsi="Arial CE" w:cs="Arial CE"/>
                <w:sz w:val="16"/>
                <w:szCs w:val="16"/>
              </w:rPr>
              <w:t>44,59</w:t>
            </w:r>
          </w:p>
        </w:tc>
        <w:tc>
          <w:tcPr>
            <w:tcW w:w="700" w:type="dxa"/>
            <w:tcBorders>
              <w:top w:val="nil"/>
              <w:left w:val="nil"/>
              <w:bottom w:val="nil"/>
              <w:right w:val="nil"/>
            </w:tcBorders>
            <w:shd w:val="clear" w:color="auto" w:fill="auto"/>
            <w:noWrap/>
            <w:vAlign w:val="bottom"/>
            <w:hideMark/>
          </w:tcPr>
          <w:p w14:paraId="02ADB748" w14:textId="498C2BC8" w:rsidR="006A51FD" w:rsidRPr="008C2001" w:rsidRDefault="006A51FD" w:rsidP="006A51FD">
            <w:pPr>
              <w:spacing w:after="0" w:line="240" w:lineRule="auto"/>
              <w:jc w:val="right"/>
              <w:rPr>
                <w:rFonts w:cs="Arial"/>
                <w:sz w:val="16"/>
                <w:szCs w:val="16"/>
              </w:rPr>
            </w:pPr>
            <w:r>
              <w:rPr>
                <w:rFonts w:ascii="Arial CE" w:hAnsi="Arial CE" w:cs="Arial CE"/>
                <w:sz w:val="16"/>
                <w:szCs w:val="16"/>
              </w:rPr>
              <w:t>42,45</w:t>
            </w:r>
          </w:p>
        </w:tc>
        <w:tc>
          <w:tcPr>
            <w:tcW w:w="700" w:type="dxa"/>
            <w:tcBorders>
              <w:top w:val="nil"/>
              <w:left w:val="nil"/>
              <w:bottom w:val="nil"/>
              <w:right w:val="nil"/>
            </w:tcBorders>
            <w:shd w:val="clear" w:color="auto" w:fill="auto"/>
            <w:noWrap/>
            <w:vAlign w:val="bottom"/>
            <w:hideMark/>
          </w:tcPr>
          <w:p w14:paraId="5D5CF350" w14:textId="25AC7B0B" w:rsidR="006A51FD" w:rsidRPr="008C2001" w:rsidRDefault="006A51FD" w:rsidP="006A51FD">
            <w:pPr>
              <w:spacing w:after="0" w:line="240" w:lineRule="auto"/>
              <w:jc w:val="right"/>
              <w:rPr>
                <w:rFonts w:cs="Arial"/>
                <w:sz w:val="16"/>
                <w:szCs w:val="16"/>
              </w:rPr>
            </w:pPr>
            <w:r>
              <w:rPr>
                <w:rFonts w:ascii="Arial CE" w:hAnsi="Arial CE" w:cs="Arial CE"/>
                <w:sz w:val="16"/>
                <w:szCs w:val="16"/>
              </w:rPr>
              <w:t>42,77</w:t>
            </w:r>
          </w:p>
        </w:tc>
        <w:tc>
          <w:tcPr>
            <w:tcW w:w="700" w:type="dxa"/>
            <w:tcBorders>
              <w:top w:val="nil"/>
              <w:left w:val="nil"/>
              <w:bottom w:val="nil"/>
              <w:right w:val="nil"/>
            </w:tcBorders>
            <w:shd w:val="clear" w:color="auto" w:fill="auto"/>
            <w:noWrap/>
            <w:vAlign w:val="bottom"/>
            <w:hideMark/>
          </w:tcPr>
          <w:p w14:paraId="51EF19B5" w14:textId="42002D88" w:rsidR="006A51FD" w:rsidRPr="008C2001" w:rsidRDefault="006A51FD" w:rsidP="006A51FD">
            <w:pPr>
              <w:spacing w:after="0" w:line="240" w:lineRule="auto"/>
              <w:jc w:val="right"/>
              <w:rPr>
                <w:rFonts w:cs="Arial"/>
                <w:sz w:val="16"/>
                <w:szCs w:val="16"/>
              </w:rPr>
            </w:pPr>
            <w:r>
              <w:rPr>
                <w:rFonts w:ascii="Arial CE" w:hAnsi="Arial CE" w:cs="Arial CE"/>
                <w:sz w:val="16"/>
                <w:szCs w:val="16"/>
              </w:rPr>
              <w:t>40,21</w:t>
            </w:r>
          </w:p>
        </w:tc>
        <w:tc>
          <w:tcPr>
            <w:tcW w:w="700" w:type="dxa"/>
            <w:tcBorders>
              <w:top w:val="nil"/>
              <w:left w:val="nil"/>
              <w:bottom w:val="nil"/>
              <w:right w:val="nil"/>
            </w:tcBorders>
            <w:shd w:val="clear" w:color="auto" w:fill="auto"/>
            <w:noWrap/>
            <w:vAlign w:val="bottom"/>
            <w:hideMark/>
          </w:tcPr>
          <w:p w14:paraId="5CBA16D5" w14:textId="6CE21410" w:rsidR="006A51FD" w:rsidRPr="008C2001" w:rsidRDefault="006A51FD" w:rsidP="006A51FD">
            <w:pPr>
              <w:spacing w:after="0" w:line="240" w:lineRule="auto"/>
              <w:jc w:val="right"/>
              <w:rPr>
                <w:rFonts w:cs="Arial"/>
                <w:sz w:val="16"/>
                <w:szCs w:val="16"/>
              </w:rPr>
            </w:pPr>
            <w:r>
              <w:rPr>
                <w:rFonts w:ascii="Arial CE" w:hAnsi="Arial CE" w:cs="Arial CE"/>
                <w:sz w:val="16"/>
                <w:szCs w:val="16"/>
              </w:rPr>
              <w:t>39,85</w:t>
            </w:r>
          </w:p>
        </w:tc>
        <w:tc>
          <w:tcPr>
            <w:tcW w:w="700" w:type="dxa"/>
            <w:tcBorders>
              <w:top w:val="nil"/>
              <w:left w:val="nil"/>
              <w:bottom w:val="nil"/>
              <w:right w:val="nil"/>
            </w:tcBorders>
            <w:shd w:val="clear" w:color="auto" w:fill="auto"/>
            <w:noWrap/>
            <w:vAlign w:val="bottom"/>
            <w:hideMark/>
          </w:tcPr>
          <w:p w14:paraId="6A0AE0AA" w14:textId="08EA25D4" w:rsidR="006A51FD" w:rsidRPr="008C2001" w:rsidRDefault="006A51FD" w:rsidP="006A51FD">
            <w:pPr>
              <w:spacing w:after="0" w:line="240" w:lineRule="auto"/>
              <w:jc w:val="right"/>
              <w:rPr>
                <w:rFonts w:cs="Arial"/>
                <w:sz w:val="16"/>
                <w:szCs w:val="16"/>
              </w:rPr>
            </w:pPr>
            <w:r>
              <w:rPr>
                <w:rFonts w:ascii="Arial CE" w:hAnsi="Arial CE" w:cs="Arial CE"/>
                <w:sz w:val="16"/>
                <w:szCs w:val="16"/>
              </w:rPr>
              <w:t>39,00</w:t>
            </w:r>
          </w:p>
        </w:tc>
        <w:tc>
          <w:tcPr>
            <w:tcW w:w="700" w:type="dxa"/>
            <w:tcBorders>
              <w:top w:val="nil"/>
              <w:left w:val="nil"/>
              <w:bottom w:val="nil"/>
              <w:right w:val="nil"/>
            </w:tcBorders>
            <w:shd w:val="clear" w:color="auto" w:fill="auto"/>
            <w:noWrap/>
            <w:vAlign w:val="bottom"/>
            <w:hideMark/>
          </w:tcPr>
          <w:p w14:paraId="3E59BA31" w14:textId="0F27D6F4" w:rsidR="006A51FD" w:rsidRPr="008C2001" w:rsidRDefault="006A51FD" w:rsidP="006A51FD">
            <w:pPr>
              <w:spacing w:after="0" w:line="240" w:lineRule="auto"/>
              <w:jc w:val="right"/>
              <w:rPr>
                <w:rFonts w:cs="Arial"/>
                <w:sz w:val="16"/>
                <w:szCs w:val="16"/>
              </w:rPr>
            </w:pPr>
            <w:r>
              <w:rPr>
                <w:rFonts w:ascii="Arial CE" w:hAnsi="Arial CE" w:cs="Arial CE"/>
                <w:sz w:val="16"/>
                <w:szCs w:val="16"/>
              </w:rPr>
              <w:t>37,69</w:t>
            </w:r>
          </w:p>
        </w:tc>
      </w:tr>
      <w:tr w:rsidR="006A51FD" w:rsidRPr="008C2001" w14:paraId="0BE795F1"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6835EB61"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Královéhradecký kraj</w:t>
            </w:r>
          </w:p>
        </w:tc>
        <w:tc>
          <w:tcPr>
            <w:tcW w:w="709" w:type="dxa"/>
            <w:tcBorders>
              <w:top w:val="nil"/>
              <w:left w:val="nil"/>
              <w:bottom w:val="nil"/>
              <w:right w:val="nil"/>
            </w:tcBorders>
            <w:shd w:val="clear" w:color="auto" w:fill="auto"/>
            <w:noWrap/>
            <w:vAlign w:val="bottom"/>
            <w:hideMark/>
          </w:tcPr>
          <w:p w14:paraId="7793D76E" w14:textId="46485F94" w:rsidR="006A51FD" w:rsidRPr="008C2001" w:rsidRDefault="006A51FD" w:rsidP="006A51FD">
            <w:pPr>
              <w:spacing w:after="0" w:line="240" w:lineRule="auto"/>
              <w:jc w:val="right"/>
              <w:rPr>
                <w:rFonts w:cs="Arial"/>
                <w:sz w:val="16"/>
                <w:szCs w:val="16"/>
              </w:rPr>
            </w:pPr>
            <w:r>
              <w:rPr>
                <w:rFonts w:ascii="Arial CE" w:hAnsi="Arial CE" w:cs="Arial CE"/>
                <w:sz w:val="16"/>
                <w:szCs w:val="16"/>
              </w:rPr>
              <w:t>39,58</w:t>
            </w:r>
          </w:p>
        </w:tc>
        <w:tc>
          <w:tcPr>
            <w:tcW w:w="700" w:type="dxa"/>
            <w:tcBorders>
              <w:top w:val="nil"/>
              <w:left w:val="nil"/>
              <w:bottom w:val="nil"/>
              <w:right w:val="nil"/>
            </w:tcBorders>
            <w:shd w:val="clear" w:color="auto" w:fill="auto"/>
            <w:noWrap/>
            <w:vAlign w:val="bottom"/>
            <w:hideMark/>
          </w:tcPr>
          <w:p w14:paraId="7DBC8613" w14:textId="270B576C" w:rsidR="006A51FD" w:rsidRPr="008C2001" w:rsidRDefault="006A51FD" w:rsidP="006A51FD">
            <w:pPr>
              <w:spacing w:after="0" w:line="240" w:lineRule="auto"/>
              <w:jc w:val="right"/>
              <w:rPr>
                <w:rFonts w:cs="Arial"/>
                <w:sz w:val="16"/>
                <w:szCs w:val="16"/>
              </w:rPr>
            </w:pPr>
            <w:r>
              <w:rPr>
                <w:rFonts w:ascii="Arial CE" w:hAnsi="Arial CE" w:cs="Arial CE"/>
                <w:sz w:val="16"/>
                <w:szCs w:val="16"/>
              </w:rPr>
              <w:t>45,01</w:t>
            </w:r>
          </w:p>
        </w:tc>
        <w:tc>
          <w:tcPr>
            <w:tcW w:w="700" w:type="dxa"/>
            <w:tcBorders>
              <w:top w:val="nil"/>
              <w:left w:val="nil"/>
              <w:bottom w:val="nil"/>
              <w:right w:val="nil"/>
            </w:tcBorders>
            <w:shd w:val="clear" w:color="auto" w:fill="auto"/>
            <w:noWrap/>
            <w:vAlign w:val="bottom"/>
            <w:hideMark/>
          </w:tcPr>
          <w:p w14:paraId="4470957E" w14:textId="331A29D4" w:rsidR="006A51FD" w:rsidRPr="008C2001" w:rsidRDefault="006A51FD" w:rsidP="006A51FD">
            <w:pPr>
              <w:spacing w:after="0" w:line="240" w:lineRule="auto"/>
              <w:jc w:val="right"/>
              <w:rPr>
                <w:rFonts w:cs="Arial"/>
                <w:sz w:val="16"/>
                <w:szCs w:val="16"/>
              </w:rPr>
            </w:pPr>
            <w:r>
              <w:rPr>
                <w:rFonts w:ascii="Arial CE" w:hAnsi="Arial CE" w:cs="Arial CE"/>
                <w:sz w:val="16"/>
                <w:szCs w:val="16"/>
              </w:rPr>
              <w:t>44,59</w:t>
            </w:r>
          </w:p>
        </w:tc>
        <w:tc>
          <w:tcPr>
            <w:tcW w:w="700" w:type="dxa"/>
            <w:tcBorders>
              <w:top w:val="nil"/>
              <w:left w:val="nil"/>
              <w:bottom w:val="nil"/>
              <w:right w:val="nil"/>
            </w:tcBorders>
            <w:shd w:val="clear" w:color="auto" w:fill="auto"/>
            <w:noWrap/>
            <w:vAlign w:val="bottom"/>
            <w:hideMark/>
          </w:tcPr>
          <w:p w14:paraId="2E23CFBA" w14:textId="1CD4E634" w:rsidR="006A51FD" w:rsidRPr="008C2001" w:rsidRDefault="006A51FD" w:rsidP="006A51FD">
            <w:pPr>
              <w:spacing w:after="0" w:line="240" w:lineRule="auto"/>
              <w:jc w:val="right"/>
              <w:rPr>
                <w:rFonts w:cs="Arial"/>
                <w:sz w:val="16"/>
                <w:szCs w:val="16"/>
              </w:rPr>
            </w:pPr>
            <w:r>
              <w:rPr>
                <w:rFonts w:ascii="Arial CE" w:hAnsi="Arial CE" w:cs="Arial CE"/>
                <w:sz w:val="16"/>
                <w:szCs w:val="16"/>
              </w:rPr>
              <w:t>43,09</w:t>
            </w:r>
          </w:p>
        </w:tc>
        <w:tc>
          <w:tcPr>
            <w:tcW w:w="700" w:type="dxa"/>
            <w:tcBorders>
              <w:top w:val="nil"/>
              <w:left w:val="nil"/>
              <w:bottom w:val="nil"/>
              <w:right w:val="nil"/>
            </w:tcBorders>
            <w:shd w:val="clear" w:color="auto" w:fill="auto"/>
            <w:noWrap/>
            <w:vAlign w:val="bottom"/>
            <w:hideMark/>
          </w:tcPr>
          <w:p w14:paraId="2EE4DAF4" w14:textId="6A2861EF" w:rsidR="006A51FD" w:rsidRPr="008C2001" w:rsidRDefault="006A51FD" w:rsidP="006A51FD">
            <w:pPr>
              <w:spacing w:after="0" w:line="240" w:lineRule="auto"/>
              <w:jc w:val="right"/>
              <w:rPr>
                <w:rFonts w:cs="Arial"/>
                <w:sz w:val="16"/>
                <w:szCs w:val="16"/>
              </w:rPr>
            </w:pPr>
            <w:r>
              <w:rPr>
                <w:rFonts w:ascii="Arial CE" w:hAnsi="Arial CE" w:cs="Arial CE"/>
                <w:sz w:val="16"/>
                <w:szCs w:val="16"/>
              </w:rPr>
              <w:t>44,44</w:t>
            </w:r>
          </w:p>
        </w:tc>
        <w:tc>
          <w:tcPr>
            <w:tcW w:w="700" w:type="dxa"/>
            <w:tcBorders>
              <w:top w:val="nil"/>
              <w:left w:val="nil"/>
              <w:bottom w:val="nil"/>
              <w:right w:val="nil"/>
            </w:tcBorders>
            <w:shd w:val="clear" w:color="auto" w:fill="auto"/>
            <w:noWrap/>
            <w:vAlign w:val="bottom"/>
            <w:hideMark/>
          </w:tcPr>
          <w:p w14:paraId="1CB087F4" w14:textId="423AFE90" w:rsidR="006A51FD" w:rsidRPr="008C2001" w:rsidRDefault="006A51FD" w:rsidP="006A51FD">
            <w:pPr>
              <w:spacing w:after="0" w:line="240" w:lineRule="auto"/>
              <w:jc w:val="right"/>
              <w:rPr>
                <w:rFonts w:cs="Arial"/>
                <w:sz w:val="16"/>
                <w:szCs w:val="16"/>
              </w:rPr>
            </w:pPr>
            <w:r>
              <w:rPr>
                <w:rFonts w:ascii="Arial CE" w:hAnsi="Arial CE" w:cs="Arial CE"/>
                <w:sz w:val="16"/>
                <w:szCs w:val="16"/>
              </w:rPr>
              <w:t>42,36</w:t>
            </w:r>
          </w:p>
        </w:tc>
        <w:tc>
          <w:tcPr>
            <w:tcW w:w="700" w:type="dxa"/>
            <w:tcBorders>
              <w:top w:val="nil"/>
              <w:left w:val="nil"/>
              <w:bottom w:val="nil"/>
              <w:right w:val="nil"/>
            </w:tcBorders>
            <w:shd w:val="clear" w:color="auto" w:fill="auto"/>
            <w:noWrap/>
            <w:vAlign w:val="bottom"/>
            <w:hideMark/>
          </w:tcPr>
          <w:p w14:paraId="3B5C4FCB" w14:textId="2058E985" w:rsidR="006A51FD" w:rsidRPr="008C2001" w:rsidRDefault="006A51FD" w:rsidP="006A51FD">
            <w:pPr>
              <w:spacing w:after="0" w:line="240" w:lineRule="auto"/>
              <w:jc w:val="right"/>
              <w:rPr>
                <w:rFonts w:cs="Arial"/>
                <w:sz w:val="16"/>
                <w:szCs w:val="16"/>
              </w:rPr>
            </w:pPr>
            <w:r>
              <w:rPr>
                <w:rFonts w:ascii="Arial CE" w:hAnsi="Arial CE" w:cs="Arial CE"/>
                <w:sz w:val="16"/>
                <w:szCs w:val="16"/>
              </w:rPr>
              <w:t>44,16</w:t>
            </w:r>
          </w:p>
        </w:tc>
        <w:tc>
          <w:tcPr>
            <w:tcW w:w="700" w:type="dxa"/>
            <w:tcBorders>
              <w:top w:val="nil"/>
              <w:left w:val="nil"/>
              <w:bottom w:val="nil"/>
              <w:right w:val="nil"/>
            </w:tcBorders>
            <w:shd w:val="clear" w:color="auto" w:fill="auto"/>
            <w:noWrap/>
            <w:vAlign w:val="bottom"/>
            <w:hideMark/>
          </w:tcPr>
          <w:p w14:paraId="5F6DE268" w14:textId="2E9D2CF9" w:rsidR="006A51FD" w:rsidRPr="008C2001" w:rsidRDefault="006A51FD" w:rsidP="006A51FD">
            <w:pPr>
              <w:spacing w:after="0" w:line="240" w:lineRule="auto"/>
              <w:jc w:val="right"/>
              <w:rPr>
                <w:rFonts w:cs="Arial"/>
                <w:sz w:val="16"/>
                <w:szCs w:val="16"/>
              </w:rPr>
            </w:pPr>
            <w:r>
              <w:rPr>
                <w:rFonts w:ascii="Arial CE" w:hAnsi="Arial CE" w:cs="Arial CE"/>
                <w:sz w:val="16"/>
                <w:szCs w:val="16"/>
              </w:rPr>
              <w:t>41,12</w:t>
            </w:r>
          </w:p>
        </w:tc>
        <w:tc>
          <w:tcPr>
            <w:tcW w:w="700" w:type="dxa"/>
            <w:tcBorders>
              <w:top w:val="nil"/>
              <w:left w:val="nil"/>
              <w:bottom w:val="nil"/>
              <w:right w:val="nil"/>
            </w:tcBorders>
            <w:shd w:val="clear" w:color="auto" w:fill="auto"/>
            <w:noWrap/>
            <w:vAlign w:val="bottom"/>
            <w:hideMark/>
          </w:tcPr>
          <w:p w14:paraId="15938A73" w14:textId="61497321" w:rsidR="006A51FD" w:rsidRPr="008C2001" w:rsidRDefault="006A51FD" w:rsidP="006A51FD">
            <w:pPr>
              <w:spacing w:after="0" w:line="240" w:lineRule="auto"/>
              <w:jc w:val="right"/>
              <w:rPr>
                <w:rFonts w:cs="Arial"/>
                <w:sz w:val="16"/>
                <w:szCs w:val="16"/>
              </w:rPr>
            </w:pPr>
            <w:r>
              <w:rPr>
                <w:rFonts w:ascii="Arial CE" w:hAnsi="Arial CE" w:cs="Arial CE"/>
                <w:sz w:val="16"/>
                <w:szCs w:val="16"/>
              </w:rPr>
              <w:t>40,59</w:t>
            </w:r>
          </w:p>
        </w:tc>
        <w:tc>
          <w:tcPr>
            <w:tcW w:w="700" w:type="dxa"/>
            <w:tcBorders>
              <w:top w:val="nil"/>
              <w:left w:val="nil"/>
              <w:bottom w:val="nil"/>
              <w:right w:val="nil"/>
            </w:tcBorders>
            <w:shd w:val="clear" w:color="auto" w:fill="auto"/>
            <w:noWrap/>
            <w:vAlign w:val="bottom"/>
            <w:hideMark/>
          </w:tcPr>
          <w:p w14:paraId="58330903" w14:textId="02907011"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39,85</w:t>
            </w:r>
          </w:p>
        </w:tc>
        <w:tc>
          <w:tcPr>
            <w:tcW w:w="700" w:type="dxa"/>
            <w:tcBorders>
              <w:top w:val="nil"/>
              <w:left w:val="nil"/>
              <w:bottom w:val="nil"/>
              <w:right w:val="nil"/>
            </w:tcBorders>
            <w:shd w:val="clear" w:color="auto" w:fill="auto"/>
            <w:noWrap/>
            <w:vAlign w:val="bottom"/>
            <w:hideMark/>
          </w:tcPr>
          <w:p w14:paraId="38ED8A83" w14:textId="66D185FB" w:rsidR="006A51FD" w:rsidRPr="008C2001" w:rsidRDefault="006A51FD" w:rsidP="006A51FD">
            <w:pPr>
              <w:spacing w:after="0" w:line="240" w:lineRule="auto"/>
              <w:jc w:val="right"/>
              <w:rPr>
                <w:rFonts w:cs="Arial"/>
                <w:sz w:val="16"/>
                <w:szCs w:val="16"/>
              </w:rPr>
            </w:pPr>
            <w:r>
              <w:rPr>
                <w:rFonts w:ascii="Arial CE" w:hAnsi="Arial CE" w:cs="Arial CE"/>
                <w:color w:val="000000"/>
                <w:sz w:val="16"/>
                <w:szCs w:val="16"/>
              </w:rPr>
              <w:t>38,81</w:t>
            </w:r>
          </w:p>
        </w:tc>
      </w:tr>
      <w:tr w:rsidR="006A51FD" w:rsidRPr="008C2001" w14:paraId="3298B3B9"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4E6FE391"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Pardubický kraj</w:t>
            </w:r>
          </w:p>
        </w:tc>
        <w:tc>
          <w:tcPr>
            <w:tcW w:w="709" w:type="dxa"/>
            <w:tcBorders>
              <w:top w:val="nil"/>
              <w:left w:val="nil"/>
              <w:bottom w:val="nil"/>
              <w:right w:val="nil"/>
            </w:tcBorders>
            <w:shd w:val="clear" w:color="auto" w:fill="auto"/>
            <w:noWrap/>
            <w:vAlign w:val="bottom"/>
            <w:hideMark/>
          </w:tcPr>
          <w:p w14:paraId="357A012D" w14:textId="22E13043" w:rsidR="006A51FD" w:rsidRPr="008C2001" w:rsidRDefault="006A51FD" w:rsidP="006A51FD">
            <w:pPr>
              <w:spacing w:after="0" w:line="240" w:lineRule="auto"/>
              <w:jc w:val="right"/>
              <w:rPr>
                <w:rFonts w:cs="Arial"/>
                <w:sz w:val="16"/>
                <w:szCs w:val="16"/>
              </w:rPr>
            </w:pPr>
            <w:r>
              <w:rPr>
                <w:rFonts w:ascii="Arial CE" w:hAnsi="Arial CE" w:cs="Arial CE"/>
                <w:sz w:val="16"/>
                <w:szCs w:val="16"/>
              </w:rPr>
              <w:t>39,13</w:t>
            </w:r>
          </w:p>
        </w:tc>
        <w:tc>
          <w:tcPr>
            <w:tcW w:w="700" w:type="dxa"/>
            <w:tcBorders>
              <w:top w:val="nil"/>
              <w:left w:val="nil"/>
              <w:bottom w:val="nil"/>
              <w:right w:val="nil"/>
            </w:tcBorders>
            <w:shd w:val="clear" w:color="auto" w:fill="auto"/>
            <w:noWrap/>
            <w:vAlign w:val="bottom"/>
            <w:hideMark/>
          </w:tcPr>
          <w:p w14:paraId="248BEA79" w14:textId="485C1E56" w:rsidR="006A51FD" w:rsidRPr="008C2001" w:rsidRDefault="006A51FD" w:rsidP="006A51FD">
            <w:pPr>
              <w:spacing w:after="0" w:line="240" w:lineRule="auto"/>
              <w:jc w:val="right"/>
              <w:rPr>
                <w:rFonts w:cs="Arial"/>
                <w:sz w:val="16"/>
                <w:szCs w:val="16"/>
              </w:rPr>
            </w:pPr>
            <w:r>
              <w:rPr>
                <w:rFonts w:ascii="Arial CE" w:hAnsi="Arial CE" w:cs="Arial CE"/>
                <w:sz w:val="16"/>
                <w:szCs w:val="16"/>
              </w:rPr>
              <w:t>46,50</w:t>
            </w:r>
          </w:p>
        </w:tc>
        <w:tc>
          <w:tcPr>
            <w:tcW w:w="700" w:type="dxa"/>
            <w:tcBorders>
              <w:top w:val="nil"/>
              <w:left w:val="nil"/>
              <w:bottom w:val="nil"/>
              <w:right w:val="nil"/>
            </w:tcBorders>
            <w:shd w:val="clear" w:color="auto" w:fill="auto"/>
            <w:noWrap/>
            <w:vAlign w:val="bottom"/>
            <w:hideMark/>
          </w:tcPr>
          <w:p w14:paraId="26AEF69B" w14:textId="7916B820" w:rsidR="006A51FD" w:rsidRPr="008C2001" w:rsidRDefault="006A51FD" w:rsidP="006A51FD">
            <w:pPr>
              <w:spacing w:after="0" w:line="240" w:lineRule="auto"/>
              <w:jc w:val="right"/>
              <w:rPr>
                <w:rFonts w:cs="Arial"/>
                <w:sz w:val="16"/>
                <w:szCs w:val="16"/>
              </w:rPr>
            </w:pPr>
            <w:r>
              <w:rPr>
                <w:rFonts w:ascii="Arial CE" w:hAnsi="Arial CE" w:cs="Arial CE"/>
                <w:sz w:val="16"/>
                <w:szCs w:val="16"/>
              </w:rPr>
              <w:t>45,02</w:t>
            </w:r>
          </w:p>
        </w:tc>
        <w:tc>
          <w:tcPr>
            <w:tcW w:w="700" w:type="dxa"/>
            <w:tcBorders>
              <w:top w:val="nil"/>
              <w:left w:val="nil"/>
              <w:bottom w:val="nil"/>
              <w:right w:val="nil"/>
            </w:tcBorders>
            <w:shd w:val="clear" w:color="auto" w:fill="auto"/>
            <w:noWrap/>
            <w:vAlign w:val="bottom"/>
            <w:hideMark/>
          </w:tcPr>
          <w:p w14:paraId="21375933" w14:textId="365403AD" w:rsidR="006A51FD" w:rsidRPr="008C2001" w:rsidRDefault="006A51FD" w:rsidP="006A51FD">
            <w:pPr>
              <w:spacing w:after="0" w:line="240" w:lineRule="auto"/>
              <w:jc w:val="right"/>
              <w:rPr>
                <w:rFonts w:cs="Arial"/>
                <w:sz w:val="16"/>
                <w:szCs w:val="16"/>
              </w:rPr>
            </w:pPr>
            <w:r>
              <w:rPr>
                <w:rFonts w:ascii="Arial CE" w:hAnsi="Arial CE" w:cs="Arial CE"/>
                <w:sz w:val="16"/>
                <w:szCs w:val="16"/>
              </w:rPr>
              <w:t>43,29</w:t>
            </w:r>
          </w:p>
        </w:tc>
        <w:tc>
          <w:tcPr>
            <w:tcW w:w="700" w:type="dxa"/>
            <w:tcBorders>
              <w:top w:val="nil"/>
              <w:left w:val="nil"/>
              <w:bottom w:val="nil"/>
              <w:right w:val="nil"/>
            </w:tcBorders>
            <w:shd w:val="clear" w:color="auto" w:fill="auto"/>
            <w:noWrap/>
            <w:vAlign w:val="bottom"/>
            <w:hideMark/>
          </w:tcPr>
          <w:p w14:paraId="6365B88A" w14:textId="239DC852" w:rsidR="006A51FD" w:rsidRPr="008C2001" w:rsidRDefault="006A51FD" w:rsidP="006A51FD">
            <w:pPr>
              <w:spacing w:after="0" w:line="240" w:lineRule="auto"/>
              <w:jc w:val="right"/>
              <w:rPr>
                <w:rFonts w:cs="Arial"/>
                <w:sz w:val="16"/>
                <w:szCs w:val="16"/>
              </w:rPr>
            </w:pPr>
            <w:r>
              <w:rPr>
                <w:rFonts w:ascii="Arial CE" w:hAnsi="Arial CE" w:cs="Arial CE"/>
                <w:sz w:val="16"/>
                <w:szCs w:val="16"/>
              </w:rPr>
              <w:t>45,35</w:t>
            </w:r>
          </w:p>
        </w:tc>
        <w:tc>
          <w:tcPr>
            <w:tcW w:w="700" w:type="dxa"/>
            <w:tcBorders>
              <w:top w:val="nil"/>
              <w:left w:val="nil"/>
              <w:bottom w:val="nil"/>
              <w:right w:val="nil"/>
            </w:tcBorders>
            <w:shd w:val="clear" w:color="auto" w:fill="auto"/>
            <w:noWrap/>
            <w:vAlign w:val="bottom"/>
            <w:hideMark/>
          </w:tcPr>
          <w:p w14:paraId="50657D1E" w14:textId="566ADA8B" w:rsidR="006A51FD" w:rsidRPr="008C2001" w:rsidRDefault="006A51FD" w:rsidP="006A51FD">
            <w:pPr>
              <w:spacing w:after="0" w:line="240" w:lineRule="auto"/>
              <w:jc w:val="right"/>
              <w:rPr>
                <w:rFonts w:cs="Arial"/>
                <w:sz w:val="16"/>
                <w:szCs w:val="16"/>
              </w:rPr>
            </w:pPr>
            <w:r>
              <w:rPr>
                <w:rFonts w:ascii="Arial CE" w:hAnsi="Arial CE" w:cs="Arial CE"/>
                <w:sz w:val="16"/>
                <w:szCs w:val="16"/>
              </w:rPr>
              <w:t>43,70</w:t>
            </w:r>
          </w:p>
        </w:tc>
        <w:tc>
          <w:tcPr>
            <w:tcW w:w="700" w:type="dxa"/>
            <w:tcBorders>
              <w:top w:val="nil"/>
              <w:left w:val="nil"/>
              <w:bottom w:val="nil"/>
              <w:right w:val="nil"/>
            </w:tcBorders>
            <w:shd w:val="clear" w:color="auto" w:fill="auto"/>
            <w:noWrap/>
            <w:vAlign w:val="bottom"/>
            <w:hideMark/>
          </w:tcPr>
          <w:p w14:paraId="607DD2D2" w14:textId="5B1D7C99" w:rsidR="006A51FD" w:rsidRPr="008C2001" w:rsidRDefault="006A51FD" w:rsidP="006A51FD">
            <w:pPr>
              <w:spacing w:after="0" w:line="240" w:lineRule="auto"/>
              <w:jc w:val="right"/>
              <w:rPr>
                <w:rFonts w:cs="Arial"/>
                <w:sz w:val="16"/>
                <w:szCs w:val="16"/>
              </w:rPr>
            </w:pPr>
            <w:r>
              <w:rPr>
                <w:rFonts w:ascii="Arial CE" w:hAnsi="Arial CE" w:cs="Arial CE"/>
                <w:sz w:val="16"/>
                <w:szCs w:val="16"/>
              </w:rPr>
              <w:t>46,07</w:t>
            </w:r>
          </w:p>
        </w:tc>
        <w:tc>
          <w:tcPr>
            <w:tcW w:w="700" w:type="dxa"/>
            <w:tcBorders>
              <w:top w:val="nil"/>
              <w:left w:val="nil"/>
              <w:bottom w:val="nil"/>
              <w:right w:val="nil"/>
            </w:tcBorders>
            <w:shd w:val="clear" w:color="auto" w:fill="auto"/>
            <w:noWrap/>
            <w:vAlign w:val="bottom"/>
            <w:hideMark/>
          </w:tcPr>
          <w:p w14:paraId="560DA3D8" w14:textId="1DE7B367" w:rsidR="006A51FD" w:rsidRPr="008C2001" w:rsidRDefault="006A51FD" w:rsidP="006A51FD">
            <w:pPr>
              <w:spacing w:after="0" w:line="240" w:lineRule="auto"/>
              <w:jc w:val="right"/>
              <w:rPr>
                <w:rFonts w:cs="Arial"/>
                <w:sz w:val="16"/>
                <w:szCs w:val="16"/>
              </w:rPr>
            </w:pPr>
            <w:r>
              <w:rPr>
                <w:rFonts w:ascii="Arial CE" w:hAnsi="Arial CE" w:cs="Arial CE"/>
                <w:sz w:val="16"/>
                <w:szCs w:val="16"/>
              </w:rPr>
              <w:t>42,46</w:t>
            </w:r>
          </w:p>
        </w:tc>
        <w:tc>
          <w:tcPr>
            <w:tcW w:w="700" w:type="dxa"/>
            <w:tcBorders>
              <w:top w:val="nil"/>
              <w:left w:val="nil"/>
              <w:bottom w:val="nil"/>
              <w:right w:val="nil"/>
            </w:tcBorders>
            <w:shd w:val="clear" w:color="auto" w:fill="auto"/>
            <w:noWrap/>
            <w:vAlign w:val="bottom"/>
            <w:hideMark/>
          </w:tcPr>
          <w:p w14:paraId="64538256" w14:textId="3AADEF09" w:rsidR="006A51FD" w:rsidRPr="008C2001" w:rsidRDefault="006A51FD" w:rsidP="006A51FD">
            <w:pPr>
              <w:spacing w:after="0" w:line="240" w:lineRule="auto"/>
              <w:jc w:val="right"/>
              <w:rPr>
                <w:rFonts w:cs="Arial"/>
                <w:sz w:val="16"/>
                <w:szCs w:val="16"/>
              </w:rPr>
            </w:pPr>
            <w:r>
              <w:rPr>
                <w:rFonts w:ascii="Arial CE" w:hAnsi="Arial CE" w:cs="Arial CE"/>
                <w:sz w:val="16"/>
                <w:szCs w:val="16"/>
              </w:rPr>
              <w:t>43,81</w:t>
            </w:r>
          </w:p>
        </w:tc>
        <w:tc>
          <w:tcPr>
            <w:tcW w:w="700" w:type="dxa"/>
            <w:tcBorders>
              <w:top w:val="nil"/>
              <w:left w:val="nil"/>
              <w:bottom w:val="nil"/>
              <w:right w:val="nil"/>
            </w:tcBorders>
            <w:shd w:val="clear" w:color="auto" w:fill="auto"/>
            <w:noWrap/>
            <w:vAlign w:val="bottom"/>
            <w:hideMark/>
          </w:tcPr>
          <w:p w14:paraId="72BC1A85" w14:textId="54261C01"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43,20</w:t>
            </w:r>
          </w:p>
        </w:tc>
        <w:tc>
          <w:tcPr>
            <w:tcW w:w="700" w:type="dxa"/>
            <w:tcBorders>
              <w:top w:val="nil"/>
              <w:left w:val="nil"/>
              <w:bottom w:val="nil"/>
              <w:right w:val="nil"/>
            </w:tcBorders>
            <w:shd w:val="clear" w:color="auto" w:fill="auto"/>
            <w:noWrap/>
            <w:vAlign w:val="bottom"/>
            <w:hideMark/>
          </w:tcPr>
          <w:p w14:paraId="35525521" w14:textId="7571180B"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40,90</w:t>
            </w:r>
          </w:p>
        </w:tc>
      </w:tr>
      <w:tr w:rsidR="006A51FD" w:rsidRPr="008C2001" w14:paraId="2B9DA618"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273386CB"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Vysočina</w:t>
            </w:r>
          </w:p>
        </w:tc>
        <w:tc>
          <w:tcPr>
            <w:tcW w:w="709" w:type="dxa"/>
            <w:tcBorders>
              <w:top w:val="nil"/>
              <w:left w:val="nil"/>
              <w:bottom w:val="nil"/>
              <w:right w:val="nil"/>
            </w:tcBorders>
            <w:shd w:val="clear" w:color="auto" w:fill="auto"/>
            <w:noWrap/>
            <w:vAlign w:val="bottom"/>
            <w:hideMark/>
          </w:tcPr>
          <w:p w14:paraId="7EC6D144" w14:textId="3604F981" w:rsidR="006A51FD" w:rsidRPr="008C2001" w:rsidRDefault="006A51FD" w:rsidP="006A51FD">
            <w:pPr>
              <w:spacing w:after="0" w:line="240" w:lineRule="auto"/>
              <w:jc w:val="right"/>
              <w:rPr>
                <w:rFonts w:cs="Arial"/>
                <w:sz w:val="16"/>
                <w:szCs w:val="16"/>
              </w:rPr>
            </w:pPr>
            <w:r>
              <w:rPr>
                <w:rFonts w:ascii="Arial CE" w:hAnsi="Arial CE" w:cs="Arial CE"/>
                <w:sz w:val="16"/>
                <w:szCs w:val="16"/>
              </w:rPr>
              <w:t>38,68</w:t>
            </w:r>
          </w:p>
        </w:tc>
        <w:tc>
          <w:tcPr>
            <w:tcW w:w="700" w:type="dxa"/>
            <w:tcBorders>
              <w:top w:val="nil"/>
              <w:left w:val="nil"/>
              <w:bottom w:val="nil"/>
              <w:right w:val="nil"/>
            </w:tcBorders>
            <w:shd w:val="clear" w:color="auto" w:fill="auto"/>
            <w:noWrap/>
            <w:vAlign w:val="bottom"/>
            <w:hideMark/>
          </w:tcPr>
          <w:p w14:paraId="2C570E66" w14:textId="163B86AA" w:rsidR="006A51FD" w:rsidRPr="008C2001" w:rsidRDefault="006A51FD" w:rsidP="006A51FD">
            <w:pPr>
              <w:spacing w:after="0" w:line="240" w:lineRule="auto"/>
              <w:jc w:val="right"/>
              <w:rPr>
                <w:rFonts w:cs="Arial"/>
                <w:sz w:val="16"/>
                <w:szCs w:val="16"/>
              </w:rPr>
            </w:pPr>
            <w:r>
              <w:rPr>
                <w:rFonts w:ascii="Arial CE" w:hAnsi="Arial CE" w:cs="Arial CE"/>
                <w:sz w:val="16"/>
                <w:szCs w:val="16"/>
              </w:rPr>
              <w:t>46,63</w:t>
            </w:r>
          </w:p>
        </w:tc>
        <w:tc>
          <w:tcPr>
            <w:tcW w:w="700" w:type="dxa"/>
            <w:tcBorders>
              <w:top w:val="nil"/>
              <w:left w:val="nil"/>
              <w:bottom w:val="nil"/>
              <w:right w:val="nil"/>
            </w:tcBorders>
            <w:shd w:val="clear" w:color="auto" w:fill="auto"/>
            <w:noWrap/>
            <w:vAlign w:val="bottom"/>
            <w:hideMark/>
          </w:tcPr>
          <w:p w14:paraId="22D019BA" w14:textId="058B449C" w:rsidR="006A51FD" w:rsidRPr="008C2001" w:rsidRDefault="006A51FD" w:rsidP="006A51FD">
            <w:pPr>
              <w:spacing w:after="0" w:line="240" w:lineRule="auto"/>
              <w:jc w:val="right"/>
              <w:rPr>
                <w:rFonts w:cs="Arial"/>
                <w:sz w:val="16"/>
                <w:szCs w:val="16"/>
              </w:rPr>
            </w:pPr>
            <w:r>
              <w:rPr>
                <w:rFonts w:ascii="Arial CE" w:hAnsi="Arial CE" w:cs="Arial CE"/>
                <w:sz w:val="16"/>
                <w:szCs w:val="16"/>
              </w:rPr>
              <w:t>45,15</w:t>
            </w:r>
          </w:p>
        </w:tc>
        <w:tc>
          <w:tcPr>
            <w:tcW w:w="700" w:type="dxa"/>
            <w:tcBorders>
              <w:top w:val="nil"/>
              <w:left w:val="nil"/>
              <w:bottom w:val="nil"/>
              <w:right w:val="nil"/>
            </w:tcBorders>
            <w:shd w:val="clear" w:color="auto" w:fill="auto"/>
            <w:noWrap/>
            <w:vAlign w:val="bottom"/>
            <w:hideMark/>
          </w:tcPr>
          <w:p w14:paraId="2477B0AA" w14:textId="36D80C54" w:rsidR="006A51FD" w:rsidRPr="008C2001" w:rsidRDefault="006A51FD" w:rsidP="006A51FD">
            <w:pPr>
              <w:spacing w:after="0" w:line="240" w:lineRule="auto"/>
              <w:jc w:val="right"/>
              <w:rPr>
                <w:rFonts w:cs="Arial"/>
                <w:sz w:val="16"/>
                <w:szCs w:val="16"/>
              </w:rPr>
            </w:pPr>
            <w:r>
              <w:rPr>
                <w:rFonts w:ascii="Arial CE" w:hAnsi="Arial CE" w:cs="Arial CE"/>
                <w:sz w:val="16"/>
                <w:szCs w:val="16"/>
              </w:rPr>
              <w:t>44,75</w:t>
            </w:r>
          </w:p>
        </w:tc>
        <w:tc>
          <w:tcPr>
            <w:tcW w:w="700" w:type="dxa"/>
            <w:tcBorders>
              <w:top w:val="nil"/>
              <w:left w:val="nil"/>
              <w:bottom w:val="nil"/>
              <w:right w:val="nil"/>
            </w:tcBorders>
            <w:shd w:val="clear" w:color="auto" w:fill="auto"/>
            <w:noWrap/>
            <w:vAlign w:val="bottom"/>
            <w:hideMark/>
          </w:tcPr>
          <w:p w14:paraId="1EC13729" w14:textId="3A4840D7" w:rsidR="006A51FD" w:rsidRPr="008C2001" w:rsidRDefault="006A51FD" w:rsidP="006A51FD">
            <w:pPr>
              <w:spacing w:after="0" w:line="240" w:lineRule="auto"/>
              <w:jc w:val="right"/>
              <w:rPr>
                <w:rFonts w:cs="Arial"/>
                <w:sz w:val="16"/>
                <w:szCs w:val="16"/>
              </w:rPr>
            </w:pPr>
            <w:r>
              <w:rPr>
                <w:rFonts w:ascii="Arial CE" w:hAnsi="Arial CE" w:cs="Arial CE"/>
                <w:sz w:val="16"/>
                <w:szCs w:val="16"/>
              </w:rPr>
              <w:t>45,64</w:t>
            </w:r>
          </w:p>
        </w:tc>
        <w:tc>
          <w:tcPr>
            <w:tcW w:w="700" w:type="dxa"/>
            <w:tcBorders>
              <w:top w:val="nil"/>
              <w:left w:val="nil"/>
              <w:bottom w:val="nil"/>
              <w:right w:val="nil"/>
            </w:tcBorders>
            <w:shd w:val="clear" w:color="auto" w:fill="auto"/>
            <w:noWrap/>
            <w:vAlign w:val="bottom"/>
            <w:hideMark/>
          </w:tcPr>
          <w:p w14:paraId="756DEBB8" w14:textId="04C5C5F4" w:rsidR="006A51FD" w:rsidRPr="008C2001" w:rsidRDefault="006A51FD" w:rsidP="006A51FD">
            <w:pPr>
              <w:spacing w:after="0" w:line="240" w:lineRule="auto"/>
              <w:jc w:val="right"/>
              <w:rPr>
                <w:rFonts w:cs="Arial"/>
                <w:sz w:val="16"/>
                <w:szCs w:val="16"/>
              </w:rPr>
            </w:pPr>
            <w:r>
              <w:rPr>
                <w:rFonts w:ascii="Arial CE" w:hAnsi="Arial CE" w:cs="Arial CE"/>
                <w:sz w:val="16"/>
                <w:szCs w:val="16"/>
              </w:rPr>
              <w:t>44,35</w:t>
            </w:r>
          </w:p>
        </w:tc>
        <w:tc>
          <w:tcPr>
            <w:tcW w:w="700" w:type="dxa"/>
            <w:tcBorders>
              <w:top w:val="nil"/>
              <w:left w:val="nil"/>
              <w:bottom w:val="nil"/>
              <w:right w:val="nil"/>
            </w:tcBorders>
            <w:shd w:val="clear" w:color="auto" w:fill="auto"/>
            <w:noWrap/>
            <w:vAlign w:val="bottom"/>
            <w:hideMark/>
          </w:tcPr>
          <w:p w14:paraId="14F8EB28" w14:textId="0785CB8E" w:rsidR="006A51FD" w:rsidRPr="008C2001" w:rsidRDefault="006A51FD" w:rsidP="006A51FD">
            <w:pPr>
              <w:spacing w:after="0" w:line="240" w:lineRule="auto"/>
              <w:jc w:val="right"/>
              <w:rPr>
                <w:rFonts w:cs="Arial"/>
                <w:sz w:val="16"/>
                <w:szCs w:val="16"/>
              </w:rPr>
            </w:pPr>
            <w:r>
              <w:rPr>
                <w:rFonts w:ascii="Arial CE" w:hAnsi="Arial CE" w:cs="Arial CE"/>
                <w:sz w:val="16"/>
                <w:szCs w:val="16"/>
              </w:rPr>
              <w:t>47,42</w:t>
            </w:r>
          </w:p>
        </w:tc>
        <w:tc>
          <w:tcPr>
            <w:tcW w:w="700" w:type="dxa"/>
            <w:tcBorders>
              <w:top w:val="nil"/>
              <w:left w:val="nil"/>
              <w:bottom w:val="nil"/>
              <w:right w:val="nil"/>
            </w:tcBorders>
            <w:shd w:val="clear" w:color="auto" w:fill="auto"/>
            <w:noWrap/>
            <w:vAlign w:val="bottom"/>
            <w:hideMark/>
          </w:tcPr>
          <w:p w14:paraId="2C621401" w14:textId="26BE4C1A" w:rsidR="006A51FD" w:rsidRPr="008C2001" w:rsidRDefault="006A51FD" w:rsidP="006A51FD">
            <w:pPr>
              <w:spacing w:after="0" w:line="240" w:lineRule="auto"/>
              <w:jc w:val="right"/>
              <w:rPr>
                <w:rFonts w:cs="Arial"/>
                <w:sz w:val="16"/>
                <w:szCs w:val="16"/>
              </w:rPr>
            </w:pPr>
            <w:r>
              <w:rPr>
                <w:rFonts w:ascii="Arial CE" w:hAnsi="Arial CE" w:cs="Arial CE"/>
                <w:sz w:val="16"/>
                <w:szCs w:val="16"/>
              </w:rPr>
              <w:t>44,06</w:t>
            </w:r>
          </w:p>
        </w:tc>
        <w:tc>
          <w:tcPr>
            <w:tcW w:w="700" w:type="dxa"/>
            <w:tcBorders>
              <w:top w:val="nil"/>
              <w:left w:val="nil"/>
              <w:bottom w:val="nil"/>
              <w:right w:val="nil"/>
            </w:tcBorders>
            <w:shd w:val="clear" w:color="auto" w:fill="auto"/>
            <w:noWrap/>
            <w:vAlign w:val="bottom"/>
            <w:hideMark/>
          </w:tcPr>
          <w:p w14:paraId="49A6463A" w14:textId="066DCAE7" w:rsidR="006A51FD" w:rsidRPr="008C2001" w:rsidRDefault="006A51FD" w:rsidP="006A51FD">
            <w:pPr>
              <w:spacing w:after="0" w:line="240" w:lineRule="auto"/>
              <w:jc w:val="right"/>
              <w:rPr>
                <w:rFonts w:cs="Arial"/>
                <w:sz w:val="16"/>
                <w:szCs w:val="16"/>
              </w:rPr>
            </w:pPr>
            <w:r>
              <w:rPr>
                <w:rFonts w:ascii="Arial CE" w:hAnsi="Arial CE" w:cs="Arial CE"/>
                <w:sz w:val="16"/>
                <w:szCs w:val="16"/>
              </w:rPr>
              <w:t>45,22</w:t>
            </w:r>
          </w:p>
        </w:tc>
        <w:tc>
          <w:tcPr>
            <w:tcW w:w="700" w:type="dxa"/>
            <w:tcBorders>
              <w:top w:val="nil"/>
              <w:left w:val="nil"/>
              <w:bottom w:val="nil"/>
              <w:right w:val="nil"/>
            </w:tcBorders>
            <w:shd w:val="clear" w:color="auto" w:fill="auto"/>
            <w:noWrap/>
            <w:vAlign w:val="bottom"/>
            <w:hideMark/>
          </w:tcPr>
          <w:p w14:paraId="0AE0ED13" w14:textId="526B7291"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45,11</w:t>
            </w:r>
          </w:p>
        </w:tc>
        <w:tc>
          <w:tcPr>
            <w:tcW w:w="700" w:type="dxa"/>
            <w:tcBorders>
              <w:top w:val="nil"/>
              <w:left w:val="nil"/>
              <w:bottom w:val="nil"/>
              <w:right w:val="nil"/>
            </w:tcBorders>
            <w:shd w:val="clear" w:color="auto" w:fill="auto"/>
            <w:noWrap/>
            <w:vAlign w:val="bottom"/>
            <w:hideMark/>
          </w:tcPr>
          <w:p w14:paraId="71F3A8BF" w14:textId="341CF25D"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44,19</w:t>
            </w:r>
          </w:p>
        </w:tc>
      </w:tr>
      <w:tr w:rsidR="006A51FD" w:rsidRPr="008C2001" w14:paraId="56665032"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59F9A030"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Jihomoravský kraj</w:t>
            </w:r>
          </w:p>
        </w:tc>
        <w:tc>
          <w:tcPr>
            <w:tcW w:w="709" w:type="dxa"/>
            <w:tcBorders>
              <w:top w:val="nil"/>
              <w:left w:val="nil"/>
              <w:bottom w:val="nil"/>
              <w:right w:val="nil"/>
            </w:tcBorders>
            <w:shd w:val="clear" w:color="auto" w:fill="auto"/>
            <w:noWrap/>
            <w:vAlign w:val="bottom"/>
            <w:hideMark/>
          </w:tcPr>
          <w:p w14:paraId="5883377D" w14:textId="4198FB26" w:rsidR="006A51FD" w:rsidRPr="008C2001" w:rsidRDefault="006A51FD" w:rsidP="006A51FD">
            <w:pPr>
              <w:spacing w:after="0" w:line="240" w:lineRule="auto"/>
              <w:jc w:val="right"/>
              <w:rPr>
                <w:rFonts w:cs="Arial"/>
                <w:sz w:val="16"/>
                <w:szCs w:val="16"/>
              </w:rPr>
            </w:pPr>
            <w:r>
              <w:rPr>
                <w:rFonts w:ascii="Arial CE" w:hAnsi="Arial CE" w:cs="Arial CE"/>
                <w:sz w:val="16"/>
                <w:szCs w:val="16"/>
              </w:rPr>
              <w:t>40,98</w:t>
            </w:r>
          </w:p>
        </w:tc>
        <w:tc>
          <w:tcPr>
            <w:tcW w:w="700" w:type="dxa"/>
            <w:tcBorders>
              <w:top w:val="nil"/>
              <w:left w:val="nil"/>
              <w:bottom w:val="nil"/>
              <w:right w:val="nil"/>
            </w:tcBorders>
            <w:shd w:val="clear" w:color="auto" w:fill="auto"/>
            <w:noWrap/>
            <w:vAlign w:val="bottom"/>
            <w:hideMark/>
          </w:tcPr>
          <w:p w14:paraId="3CF49F63" w14:textId="6615FE76" w:rsidR="006A51FD" w:rsidRPr="008C2001" w:rsidRDefault="006A51FD" w:rsidP="006A51FD">
            <w:pPr>
              <w:spacing w:after="0" w:line="240" w:lineRule="auto"/>
              <w:jc w:val="right"/>
              <w:rPr>
                <w:rFonts w:cs="Arial"/>
                <w:sz w:val="16"/>
                <w:szCs w:val="16"/>
              </w:rPr>
            </w:pPr>
            <w:r>
              <w:rPr>
                <w:rFonts w:ascii="Arial CE" w:hAnsi="Arial CE" w:cs="Arial CE"/>
                <w:sz w:val="16"/>
                <w:szCs w:val="16"/>
              </w:rPr>
              <w:t>47,19</w:t>
            </w:r>
          </w:p>
        </w:tc>
        <w:tc>
          <w:tcPr>
            <w:tcW w:w="700" w:type="dxa"/>
            <w:tcBorders>
              <w:top w:val="nil"/>
              <w:left w:val="nil"/>
              <w:bottom w:val="nil"/>
              <w:right w:val="nil"/>
            </w:tcBorders>
            <w:shd w:val="clear" w:color="auto" w:fill="auto"/>
            <w:noWrap/>
            <w:vAlign w:val="bottom"/>
            <w:hideMark/>
          </w:tcPr>
          <w:p w14:paraId="0F935ECD" w14:textId="64CC3551" w:rsidR="006A51FD" w:rsidRPr="008C2001" w:rsidRDefault="006A51FD" w:rsidP="006A51FD">
            <w:pPr>
              <w:spacing w:after="0" w:line="240" w:lineRule="auto"/>
              <w:jc w:val="right"/>
              <w:rPr>
                <w:rFonts w:cs="Arial"/>
                <w:sz w:val="16"/>
                <w:szCs w:val="16"/>
              </w:rPr>
            </w:pPr>
            <w:r>
              <w:rPr>
                <w:rFonts w:ascii="Arial CE" w:hAnsi="Arial CE" w:cs="Arial CE"/>
                <w:sz w:val="16"/>
                <w:szCs w:val="16"/>
              </w:rPr>
              <w:t>47,15</w:t>
            </w:r>
          </w:p>
        </w:tc>
        <w:tc>
          <w:tcPr>
            <w:tcW w:w="700" w:type="dxa"/>
            <w:tcBorders>
              <w:top w:val="nil"/>
              <w:left w:val="nil"/>
              <w:bottom w:val="nil"/>
              <w:right w:val="nil"/>
            </w:tcBorders>
            <w:shd w:val="clear" w:color="auto" w:fill="auto"/>
            <w:noWrap/>
            <w:vAlign w:val="bottom"/>
            <w:hideMark/>
          </w:tcPr>
          <w:p w14:paraId="23A89D0A" w14:textId="20AA4944" w:rsidR="006A51FD" w:rsidRPr="008C2001" w:rsidRDefault="006A51FD" w:rsidP="006A51FD">
            <w:pPr>
              <w:spacing w:after="0" w:line="240" w:lineRule="auto"/>
              <w:jc w:val="right"/>
              <w:rPr>
                <w:rFonts w:cs="Arial"/>
                <w:sz w:val="16"/>
                <w:szCs w:val="16"/>
              </w:rPr>
            </w:pPr>
            <w:r>
              <w:rPr>
                <w:rFonts w:ascii="Arial CE" w:hAnsi="Arial CE" w:cs="Arial CE"/>
                <w:sz w:val="16"/>
                <w:szCs w:val="16"/>
              </w:rPr>
              <w:t>46,41</w:t>
            </w:r>
          </w:p>
        </w:tc>
        <w:tc>
          <w:tcPr>
            <w:tcW w:w="700" w:type="dxa"/>
            <w:tcBorders>
              <w:top w:val="nil"/>
              <w:left w:val="nil"/>
              <w:bottom w:val="nil"/>
              <w:right w:val="nil"/>
            </w:tcBorders>
            <w:shd w:val="clear" w:color="auto" w:fill="auto"/>
            <w:noWrap/>
            <w:vAlign w:val="bottom"/>
            <w:hideMark/>
          </w:tcPr>
          <w:p w14:paraId="169D55D0" w14:textId="301675E1" w:rsidR="006A51FD" w:rsidRPr="008C2001" w:rsidRDefault="006A51FD" w:rsidP="006A51FD">
            <w:pPr>
              <w:spacing w:after="0" w:line="240" w:lineRule="auto"/>
              <w:jc w:val="right"/>
              <w:rPr>
                <w:rFonts w:cs="Arial"/>
                <w:sz w:val="16"/>
                <w:szCs w:val="16"/>
              </w:rPr>
            </w:pPr>
            <w:r>
              <w:rPr>
                <w:rFonts w:ascii="Arial CE" w:hAnsi="Arial CE" w:cs="Arial CE"/>
                <w:sz w:val="16"/>
                <w:szCs w:val="16"/>
              </w:rPr>
              <w:t>47,78</w:t>
            </w:r>
          </w:p>
        </w:tc>
        <w:tc>
          <w:tcPr>
            <w:tcW w:w="700" w:type="dxa"/>
            <w:tcBorders>
              <w:top w:val="nil"/>
              <w:left w:val="nil"/>
              <w:bottom w:val="nil"/>
              <w:right w:val="nil"/>
            </w:tcBorders>
            <w:shd w:val="clear" w:color="auto" w:fill="auto"/>
            <w:noWrap/>
            <w:vAlign w:val="bottom"/>
            <w:hideMark/>
          </w:tcPr>
          <w:p w14:paraId="2CF1C37D" w14:textId="04A5144E" w:rsidR="006A51FD" w:rsidRPr="008C2001" w:rsidRDefault="006A51FD" w:rsidP="006A51FD">
            <w:pPr>
              <w:spacing w:after="0" w:line="240" w:lineRule="auto"/>
              <w:jc w:val="right"/>
              <w:rPr>
                <w:rFonts w:cs="Arial"/>
                <w:sz w:val="16"/>
                <w:szCs w:val="16"/>
              </w:rPr>
            </w:pPr>
            <w:r>
              <w:rPr>
                <w:rFonts w:ascii="Arial CE" w:hAnsi="Arial CE" w:cs="Arial CE"/>
                <w:sz w:val="16"/>
                <w:szCs w:val="16"/>
              </w:rPr>
              <w:t>45,33</w:t>
            </w:r>
          </w:p>
        </w:tc>
        <w:tc>
          <w:tcPr>
            <w:tcW w:w="700" w:type="dxa"/>
            <w:tcBorders>
              <w:top w:val="nil"/>
              <w:left w:val="nil"/>
              <w:bottom w:val="nil"/>
              <w:right w:val="nil"/>
            </w:tcBorders>
            <w:shd w:val="clear" w:color="auto" w:fill="auto"/>
            <w:noWrap/>
            <w:vAlign w:val="bottom"/>
            <w:hideMark/>
          </w:tcPr>
          <w:p w14:paraId="51E54B5B" w14:textId="032BE776" w:rsidR="006A51FD" w:rsidRPr="008C2001" w:rsidRDefault="006A51FD" w:rsidP="006A51FD">
            <w:pPr>
              <w:spacing w:after="0" w:line="240" w:lineRule="auto"/>
              <w:jc w:val="right"/>
              <w:rPr>
                <w:rFonts w:cs="Arial"/>
                <w:sz w:val="16"/>
                <w:szCs w:val="16"/>
              </w:rPr>
            </w:pPr>
            <w:r>
              <w:rPr>
                <w:rFonts w:ascii="Arial CE" w:hAnsi="Arial CE" w:cs="Arial CE"/>
                <w:sz w:val="16"/>
                <w:szCs w:val="16"/>
              </w:rPr>
              <w:t>47,07</w:t>
            </w:r>
          </w:p>
        </w:tc>
        <w:tc>
          <w:tcPr>
            <w:tcW w:w="700" w:type="dxa"/>
            <w:tcBorders>
              <w:top w:val="nil"/>
              <w:left w:val="nil"/>
              <w:bottom w:val="nil"/>
              <w:right w:val="nil"/>
            </w:tcBorders>
            <w:shd w:val="clear" w:color="auto" w:fill="auto"/>
            <w:noWrap/>
            <w:vAlign w:val="bottom"/>
            <w:hideMark/>
          </w:tcPr>
          <w:p w14:paraId="6488BDB2" w14:textId="39ACE3E2" w:rsidR="006A51FD" w:rsidRPr="008C2001" w:rsidRDefault="006A51FD" w:rsidP="006A51FD">
            <w:pPr>
              <w:spacing w:after="0" w:line="240" w:lineRule="auto"/>
              <w:jc w:val="right"/>
              <w:rPr>
                <w:rFonts w:cs="Arial"/>
                <w:sz w:val="16"/>
                <w:szCs w:val="16"/>
              </w:rPr>
            </w:pPr>
            <w:r>
              <w:rPr>
                <w:rFonts w:ascii="Arial CE" w:hAnsi="Arial CE" w:cs="Arial CE"/>
                <w:sz w:val="16"/>
                <w:szCs w:val="16"/>
              </w:rPr>
              <w:t>44,08</w:t>
            </w:r>
          </w:p>
        </w:tc>
        <w:tc>
          <w:tcPr>
            <w:tcW w:w="700" w:type="dxa"/>
            <w:tcBorders>
              <w:top w:val="nil"/>
              <w:left w:val="nil"/>
              <w:bottom w:val="nil"/>
              <w:right w:val="nil"/>
            </w:tcBorders>
            <w:shd w:val="clear" w:color="auto" w:fill="auto"/>
            <w:noWrap/>
            <w:vAlign w:val="bottom"/>
            <w:hideMark/>
          </w:tcPr>
          <w:p w14:paraId="6CE2351F" w14:textId="31D41A4E" w:rsidR="006A51FD" w:rsidRPr="008C2001" w:rsidRDefault="006A51FD" w:rsidP="006A51FD">
            <w:pPr>
              <w:spacing w:after="0" w:line="240" w:lineRule="auto"/>
              <w:jc w:val="right"/>
              <w:rPr>
                <w:rFonts w:cs="Arial"/>
                <w:sz w:val="16"/>
                <w:szCs w:val="16"/>
              </w:rPr>
            </w:pPr>
            <w:r>
              <w:rPr>
                <w:rFonts w:ascii="Arial CE" w:hAnsi="Arial CE" w:cs="Arial CE"/>
                <w:sz w:val="16"/>
                <w:szCs w:val="16"/>
              </w:rPr>
              <w:t>44,94</w:t>
            </w:r>
          </w:p>
        </w:tc>
        <w:tc>
          <w:tcPr>
            <w:tcW w:w="700" w:type="dxa"/>
            <w:tcBorders>
              <w:top w:val="nil"/>
              <w:left w:val="nil"/>
              <w:bottom w:val="nil"/>
              <w:right w:val="nil"/>
            </w:tcBorders>
            <w:shd w:val="clear" w:color="auto" w:fill="auto"/>
            <w:noWrap/>
            <w:vAlign w:val="bottom"/>
            <w:hideMark/>
          </w:tcPr>
          <w:p w14:paraId="3D1CCFD6" w14:textId="31515D42" w:rsidR="006A51FD" w:rsidRPr="008C2001" w:rsidRDefault="006A51FD" w:rsidP="006A51FD">
            <w:pPr>
              <w:spacing w:after="0" w:line="240" w:lineRule="auto"/>
              <w:jc w:val="right"/>
              <w:rPr>
                <w:rFonts w:cs="Arial"/>
                <w:sz w:val="16"/>
                <w:szCs w:val="16"/>
              </w:rPr>
            </w:pPr>
            <w:r>
              <w:rPr>
                <w:rFonts w:ascii="Arial CE" w:hAnsi="Arial CE" w:cs="Arial CE"/>
                <w:sz w:val="16"/>
                <w:szCs w:val="16"/>
              </w:rPr>
              <w:t>43,98</w:t>
            </w:r>
          </w:p>
        </w:tc>
        <w:tc>
          <w:tcPr>
            <w:tcW w:w="700" w:type="dxa"/>
            <w:tcBorders>
              <w:top w:val="nil"/>
              <w:left w:val="nil"/>
              <w:bottom w:val="nil"/>
              <w:right w:val="nil"/>
            </w:tcBorders>
            <w:shd w:val="clear" w:color="auto" w:fill="auto"/>
            <w:noWrap/>
            <w:vAlign w:val="bottom"/>
            <w:hideMark/>
          </w:tcPr>
          <w:p w14:paraId="155E1C09" w14:textId="7DB4CC5D" w:rsidR="006A51FD" w:rsidRPr="008C2001" w:rsidRDefault="006A51FD" w:rsidP="006A51FD">
            <w:pPr>
              <w:spacing w:after="0" w:line="240" w:lineRule="auto"/>
              <w:jc w:val="right"/>
              <w:rPr>
                <w:rFonts w:cs="Arial"/>
                <w:color w:val="000000"/>
                <w:sz w:val="16"/>
                <w:szCs w:val="16"/>
              </w:rPr>
            </w:pPr>
            <w:r>
              <w:rPr>
                <w:rFonts w:ascii="Arial CE" w:hAnsi="Arial CE" w:cs="Arial CE"/>
                <w:sz w:val="16"/>
                <w:szCs w:val="16"/>
              </w:rPr>
              <w:t>42,62</w:t>
            </w:r>
          </w:p>
        </w:tc>
      </w:tr>
      <w:tr w:rsidR="006A51FD" w:rsidRPr="008C2001" w14:paraId="348CCAA9"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2E1F8095"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Olomoucký kraj</w:t>
            </w:r>
          </w:p>
        </w:tc>
        <w:tc>
          <w:tcPr>
            <w:tcW w:w="709" w:type="dxa"/>
            <w:tcBorders>
              <w:top w:val="nil"/>
              <w:left w:val="nil"/>
              <w:bottom w:val="nil"/>
              <w:right w:val="nil"/>
            </w:tcBorders>
            <w:shd w:val="clear" w:color="auto" w:fill="auto"/>
            <w:noWrap/>
            <w:vAlign w:val="bottom"/>
            <w:hideMark/>
          </w:tcPr>
          <w:p w14:paraId="0994959F" w14:textId="56504BDC" w:rsidR="006A51FD" w:rsidRPr="008C2001" w:rsidRDefault="006A51FD" w:rsidP="006A51FD">
            <w:pPr>
              <w:spacing w:after="0" w:line="240" w:lineRule="auto"/>
              <w:jc w:val="right"/>
              <w:rPr>
                <w:rFonts w:cs="Arial"/>
                <w:sz w:val="16"/>
                <w:szCs w:val="16"/>
              </w:rPr>
            </w:pPr>
            <w:r>
              <w:rPr>
                <w:rFonts w:ascii="Arial CE" w:hAnsi="Arial CE" w:cs="Arial CE"/>
                <w:sz w:val="16"/>
                <w:szCs w:val="16"/>
              </w:rPr>
              <w:t>42,29</w:t>
            </w:r>
          </w:p>
        </w:tc>
        <w:tc>
          <w:tcPr>
            <w:tcW w:w="700" w:type="dxa"/>
            <w:tcBorders>
              <w:top w:val="nil"/>
              <w:left w:val="nil"/>
              <w:bottom w:val="nil"/>
              <w:right w:val="nil"/>
            </w:tcBorders>
            <w:shd w:val="clear" w:color="auto" w:fill="auto"/>
            <w:noWrap/>
            <w:vAlign w:val="bottom"/>
            <w:hideMark/>
          </w:tcPr>
          <w:p w14:paraId="243C9ECC" w14:textId="493BFAA4" w:rsidR="006A51FD" w:rsidRPr="008C2001" w:rsidRDefault="006A51FD" w:rsidP="006A51FD">
            <w:pPr>
              <w:spacing w:after="0" w:line="240" w:lineRule="auto"/>
              <w:jc w:val="right"/>
              <w:rPr>
                <w:rFonts w:cs="Arial"/>
                <w:sz w:val="16"/>
                <w:szCs w:val="16"/>
              </w:rPr>
            </w:pPr>
            <w:r>
              <w:rPr>
                <w:rFonts w:ascii="Arial CE" w:hAnsi="Arial CE" w:cs="Arial CE"/>
                <w:sz w:val="16"/>
                <w:szCs w:val="16"/>
              </w:rPr>
              <w:t>51,45</w:t>
            </w:r>
          </w:p>
        </w:tc>
        <w:tc>
          <w:tcPr>
            <w:tcW w:w="700" w:type="dxa"/>
            <w:tcBorders>
              <w:top w:val="nil"/>
              <w:left w:val="nil"/>
              <w:bottom w:val="nil"/>
              <w:right w:val="nil"/>
            </w:tcBorders>
            <w:shd w:val="clear" w:color="auto" w:fill="auto"/>
            <w:noWrap/>
            <w:vAlign w:val="bottom"/>
            <w:hideMark/>
          </w:tcPr>
          <w:p w14:paraId="44A4CE21" w14:textId="54199734" w:rsidR="006A51FD" w:rsidRPr="008C2001" w:rsidRDefault="006A51FD" w:rsidP="006A51FD">
            <w:pPr>
              <w:spacing w:after="0" w:line="240" w:lineRule="auto"/>
              <w:jc w:val="right"/>
              <w:rPr>
                <w:rFonts w:cs="Arial"/>
                <w:sz w:val="16"/>
                <w:szCs w:val="16"/>
              </w:rPr>
            </w:pPr>
            <w:r>
              <w:rPr>
                <w:rFonts w:ascii="Arial CE" w:hAnsi="Arial CE" w:cs="Arial CE"/>
                <w:sz w:val="16"/>
                <w:szCs w:val="16"/>
              </w:rPr>
              <w:t>50,68</w:t>
            </w:r>
          </w:p>
        </w:tc>
        <w:tc>
          <w:tcPr>
            <w:tcW w:w="700" w:type="dxa"/>
            <w:tcBorders>
              <w:top w:val="nil"/>
              <w:left w:val="nil"/>
              <w:bottom w:val="nil"/>
              <w:right w:val="nil"/>
            </w:tcBorders>
            <w:shd w:val="clear" w:color="auto" w:fill="auto"/>
            <w:noWrap/>
            <w:vAlign w:val="bottom"/>
            <w:hideMark/>
          </w:tcPr>
          <w:p w14:paraId="01848F8D" w14:textId="1BBD6AA1" w:rsidR="006A51FD" w:rsidRPr="008C2001" w:rsidRDefault="006A51FD" w:rsidP="006A51FD">
            <w:pPr>
              <w:spacing w:after="0" w:line="240" w:lineRule="auto"/>
              <w:jc w:val="right"/>
              <w:rPr>
                <w:rFonts w:cs="Arial"/>
                <w:sz w:val="16"/>
                <w:szCs w:val="16"/>
              </w:rPr>
            </w:pPr>
            <w:r>
              <w:rPr>
                <w:rFonts w:ascii="Arial CE" w:hAnsi="Arial CE" w:cs="Arial CE"/>
                <w:sz w:val="16"/>
                <w:szCs w:val="16"/>
              </w:rPr>
              <w:t>50,87</w:t>
            </w:r>
          </w:p>
        </w:tc>
        <w:tc>
          <w:tcPr>
            <w:tcW w:w="700" w:type="dxa"/>
            <w:tcBorders>
              <w:top w:val="nil"/>
              <w:left w:val="nil"/>
              <w:bottom w:val="nil"/>
              <w:right w:val="nil"/>
            </w:tcBorders>
            <w:shd w:val="clear" w:color="auto" w:fill="auto"/>
            <w:noWrap/>
            <w:vAlign w:val="bottom"/>
            <w:hideMark/>
          </w:tcPr>
          <w:p w14:paraId="5583B33E" w14:textId="24A7ED5A" w:rsidR="006A51FD" w:rsidRPr="008C2001" w:rsidRDefault="006A51FD" w:rsidP="006A51FD">
            <w:pPr>
              <w:spacing w:after="0" w:line="240" w:lineRule="auto"/>
              <w:jc w:val="right"/>
              <w:rPr>
                <w:rFonts w:cs="Arial"/>
                <w:sz w:val="16"/>
                <w:szCs w:val="16"/>
              </w:rPr>
            </w:pPr>
            <w:r>
              <w:rPr>
                <w:rFonts w:ascii="Arial CE" w:hAnsi="Arial CE" w:cs="Arial CE"/>
                <w:sz w:val="16"/>
                <w:szCs w:val="16"/>
              </w:rPr>
              <w:t>53,52</w:t>
            </w:r>
          </w:p>
        </w:tc>
        <w:tc>
          <w:tcPr>
            <w:tcW w:w="700" w:type="dxa"/>
            <w:tcBorders>
              <w:top w:val="nil"/>
              <w:left w:val="nil"/>
              <w:bottom w:val="nil"/>
              <w:right w:val="nil"/>
            </w:tcBorders>
            <w:shd w:val="clear" w:color="auto" w:fill="auto"/>
            <w:noWrap/>
            <w:vAlign w:val="bottom"/>
            <w:hideMark/>
          </w:tcPr>
          <w:p w14:paraId="38803302" w14:textId="6E3ACF9E" w:rsidR="006A51FD" w:rsidRPr="008C2001" w:rsidRDefault="006A51FD" w:rsidP="006A51FD">
            <w:pPr>
              <w:spacing w:after="0" w:line="240" w:lineRule="auto"/>
              <w:jc w:val="right"/>
              <w:rPr>
                <w:rFonts w:cs="Arial"/>
                <w:sz w:val="16"/>
                <w:szCs w:val="16"/>
              </w:rPr>
            </w:pPr>
            <w:r>
              <w:rPr>
                <w:rFonts w:ascii="Arial CE" w:hAnsi="Arial CE" w:cs="Arial CE"/>
                <w:sz w:val="16"/>
                <w:szCs w:val="16"/>
              </w:rPr>
              <w:t>51,10</w:t>
            </w:r>
          </w:p>
        </w:tc>
        <w:tc>
          <w:tcPr>
            <w:tcW w:w="700" w:type="dxa"/>
            <w:tcBorders>
              <w:top w:val="nil"/>
              <w:left w:val="nil"/>
              <w:bottom w:val="nil"/>
              <w:right w:val="nil"/>
            </w:tcBorders>
            <w:shd w:val="clear" w:color="auto" w:fill="auto"/>
            <w:noWrap/>
            <w:vAlign w:val="bottom"/>
            <w:hideMark/>
          </w:tcPr>
          <w:p w14:paraId="29319EBB" w14:textId="4C953A33" w:rsidR="006A51FD" w:rsidRPr="008C2001" w:rsidRDefault="006A51FD" w:rsidP="006A51FD">
            <w:pPr>
              <w:spacing w:after="0" w:line="240" w:lineRule="auto"/>
              <w:jc w:val="right"/>
              <w:rPr>
                <w:rFonts w:cs="Arial"/>
                <w:sz w:val="16"/>
                <w:szCs w:val="16"/>
              </w:rPr>
            </w:pPr>
            <w:r>
              <w:rPr>
                <w:rFonts w:ascii="Arial CE" w:hAnsi="Arial CE" w:cs="Arial CE"/>
                <w:sz w:val="16"/>
                <w:szCs w:val="16"/>
              </w:rPr>
              <w:t>54,09</w:t>
            </w:r>
          </w:p>
        </w:tc>
        <w:tc>
          <w:tcPr>
            <w:tcW w:w="700" w:type="dxa"/>
            <w:tcBorders>
              <w:top w:val="nil"/>
              <w:left w:val="nil"/>
              <w:bottom w:val="nil"/>
              <w:right w:val="nil"/>
            </w:tcBorders>
            <w:shd w:val="clear" w:color="auto" w:fill="auto"/>
            <w:noWrap/>
            <w:vAlign w:val="bottom"/>
            <w:hideMark/>
          </w:tcPr>
          <w:p w14:paraId="6FA33EF4" w14:textId="0DFE262E" w:rsidR="006A51FD" w:rsidRPr="008C2001" w:rsidRDefault="006A51FD" w:rsidP="006A51FD">
            <w:pPr>
              <w:spacing w:after="0" w:line="240" w:lineRule="auto"/>
              <w:jc w:val="right"/>
              <w:rPr>
                <w:rFonts w:cs="Arial"/>
                <w:sz w:val="16"/>
                <w:szCs w:val="16"/>
              </w:rPr>
            </w:pPr>
            <w:r>
              <w:rPr>
                <w:rFonts w:ascii="Arial CE" w:hAnsi="Arial CE" w:cs="Arial CE"/>
                <w:sz w:val="16"/>
                <w:szCs w:val="16"/>
              </w:rPr>
              <w:t>47,76</w:t>
            </w:r>
          </w:p>
        </w:tc>
        <w:tc>
          <w:tcPr>
            <w:tcW w:w="700" w:type="dxa"/>
            <w:tcBorders>
              <w:top w:val="nil"/>
              <w:left w:val="nil"/>
              <w:bottom w:val="nil"/>
              <w:right w:val="nil"/>
            </w:tcBorders>
            <w:shd w:val="clear" w:color="auto" w:fill="auto"/>
            <w:noWrap/>
            <w:vAlign w:val="bottom"/>
            <w:hideMark/>
          </w:tcPr>
          <w:p w14:paraId="64B2FA5E" w14:textId="51DAB6EE" w:rsidR="006A51FD" w:rsidRPr="008C2001" w:rsidRDefault="006A51FD" w:rsidP="006A51FD">
            <w:pPr>
              <w:spacing w:after="0" w:line="240" w:lineRule="auto"/>
              <w:jc w:val="right"/>
              <w:rPr>
                <w:rFonts w:cs="Arial"/>
                <w:sz w:val="16"/>
                <w:szCs w:val="16"/>
              </w:rPr>
            </w:pPr>
            <w:r>
              <w:rPr>
                <w:rFonts w:ascii="Arial CE" w:hAnsi="Arial CE" w:cs="Arial CE"/>
                <w:sz w:val="16"/>
                <w:szCs w:val="16"/>
              </w:rPr>
              <w:t>48,59</w:t>
            </w:r>
          </w:p>
        </w:tc>
        <w:tc>
          <w:tcPr>
            <w:tcW w:w="700" w:type="dxa"/>
            <w:tcBorders>
              <w:top w:val="nil"/>
              <w:left w:val="nil"/>
              <w:bottom w:val="nil"/>
              <w:right w:val="nil"/>
            </w:tcBorders>
            <w:shd w:val="clear" w:color="auto" w:fill="auto"/>
            <w:noWrap/>
            <w:vAlign w:val="bottom"/>
            <w:hideMark/>
          </w:tcPr>
          <w:p w14:paraId="413BDF5C" w14:textId="3561A16A"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47,16</w:t>
            </w:r>
          </w:p>
        </w:tc>
        <w:tc>
          <w:tcPr>
            <w:tcW w:w="700" w:type="dxa"/>
            <w:tcBorders>
              <w:top w:val="nil"/>
              <w:left w:val="nil"/>
              <w:bottom w:val="nil"/>
              <w:right w:val="nil"/>
            </w:tcBorders>
            <w:shd w:val="clear" w:color="auto" w:fill="auto"/>
            <w:noWrap/>
            <w:vAlign w:val="bottom"/>
            <w:hideMark/>
          </w:tcPr>
          <w:p w14:paraId="30F4A5E3" w14:textId="539B0CA7" w:rsidR="006A51FD" w:rsidRPr="008C2001" w:rsidRDefault="006A51FD" w:rsidP="006A51FD">
            <w:pPr>
              <w:spacing w:after="0" w:line="240" w:lineRule="auto"/>
              <w:jc w:val="right"/>
              <w:rPr>
                <w:rFonts w:cs="Arial"/>
                <w:sz w:val="16"/>
                <w:szCs w:val="16"/>
              </w:rPr>
            </w:pPr>
            <w:r>
              <w:rPr>
                <w:rFonts w:ascii="Arial CE" w:hAnsi="Arial CE" w:cs="Arial CE"/>
                <w:color w:val="000000"/>
                <w:sz w:val="16"/>
                <w:szCs w:val="16"/>
              </w:rPr>
              <w:t>45,68</w:t>
            </w:r>
          </w:p>
        </w:tc>
      </w:tr>
      <w:tr w:rsidR="006A51FD" w:rsidRPr="008C2001" w14:paraId="1138053A"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18477D07"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Zlínský kraj</w:t>
            </w:r>
          </w:p>
        </w:tc>
        <w:tc>
          <w:tcPr>
            <w:tcW w:w="709" w:type="dxa"/>
            <w:tcBorders>
              <w:top w:val="nil"/>
              <w:left w:val="nil"/>
              <w:bottom w:val="nil"/>
              <w:right w:val="nil"/>
            </w:tcBorders>
            <w:shd w:val="clear" w:color="auto" w:fill="auto"/>
            <w:noWrap/>
            <w:vAlign w:val="bottom"/>
            <w:hideMark/>
          </w:tcPr>
          <w:p w14:paraId="099441E6" w14:textId="27A9D9AD" w:rsidR="006A51FD" w:rsidRPr="008C2001" w:rsidRDefault="006A51FD" w:rsidP="006A51FD">
            <w:pPr>
              <w:spacing w:after="0" w:line="240" w:lineRule="auto"/>
              <w:jc w:val="right"/>
              <w:rPr>
                <w:rFonts w:cs="Arial"/>
                <w:sz w:val="16"/>
                <w:szCs w:val="16"/>
              </w:rPr>
            </w:pPr>
            <w:r>
              <w:rPr>
                <w:rFonts w:ascii="Arial CE" w:hAnsi="Arial CE" w:cs="Arial CE"/>
                <w:sz w:val="16"/>
                <w:szCs w:val="16"/>
              </w:rPr>
              <w:t>44,09</w:t>
            </w:r>
          </w:p>
        </w:tc>
        <w:tc>
          <w:tcPr>
            <w:tcW w:w="700" w:type="dxa"/>
            <w:tcBorders>
              <w:top w:val="nil"/>
              <w:left w:val="nil"/>
              <w:bottom w:val="nil"/>
              <w:right w:val="nil"/>
            </w:tcBorders>
            <w:shd w:val="clear" w:color="auto" w:fill="auto"/>
            <w:noWrap/>
            <w:vAlign w:val="bottom"/>
            <w:hideMark/>
          </w:tcPr>
          <w:p w14:paraId="17B0CB8E" w14:textId="281518ED" w:rsidR="006A51FD" w:rsidRPr="008C2001" w:rsidRDefault="006A51FD" w:rsidP="006A51FD">
            <w:pPr>
              <w:spacing w:after="0" w:line="240" w:lineRule="auto"/>
              <w:jc w:val="right"/>
              <w:rPr>
                <w:rFonts w:cs="Arial"/>
                <w:sz w:val="16"/>
                <w:szCs w:val="16"/>
              </w:rPr>
            </w:pPr>
            <w:r>
              <w:rPr>
                <w:rFonts w:ascii="Arial CE" w:hAnsi="Arial CE" w:cs="Arial CE"/>
                <w:sz w:val="16"/>
                <w:szCs w:val="16"/>
              </w:rPr>
              <w:t>56,99</w:t>
            </w:r>
          </w:p>
        </w:tc>
        <w:tc>
          <w:tcPr>
            <w:tcW w:w="700" w:type="dxa"/>
            <w:tcBorders>
              <w:top w:val="nil"/>
              <w:left w:val="nil"/>
              <w:bottom w:val="nil"/>
              <w:right w:val="nil"/>
            </w:tcBorders>
            <w:shd w:val="clear" w:color="auto" w:fill="auto"/>
            <w:noWrap/>
            <w:vAlign w:val="bottom"/>
            <w:hideMark/>
          </w:tcPr>
          <w:p w14:paraId="747DC67F" w14:textId="1826DFEC" w:rsidR="006A51FD" w:rsidRPr="008C2001" w:rsidRDefault="006A51FD" w:rsidP="006A51FD">
            <w:pPr>
              <w:spacing w:after="0" w:line="240" w:lineRule="auto"/>
              <w:jc w:val="right"/>
              <w:rPr>
                <w:rFonts w:cs="Arial"/>
                <w:sz w:val="16"/>
                <w:szCs w:val="16"/>
              </w:rPr>
            </w:pPr>
            <w:r>
              <w:rPr>
                <w:rFonts w:ascii="Arial CE" w:hAnsi="Arial CE" w:cs="Arial CE"/>
                <w:sz w:val="16"/>
                <w:szCs w:val="16"/>
              </w:rPr>
              <w:t>54,84</w:t>
            </w:r>
          </w:p>
        </w:tc>
        <w:tc>
          <w:tcPr>
            <w:tcW w:w="700" w:type="dxa"/>
            <w:tcBorders>
              <w:top w:val="nil"/>
              <w:left w:val="nil"/>
              <w:bottom w:val="nil"/>
              <w:right w:val="nil"/>
            </w:tcBorders>
            <w:shd w:val="clear" w:color="auto" w:fill="auto"/>
            <w:noWrap/>
            <w:vAlign w:val="bottom"/>
            <w:hideMark/>
          </w:tcPr>
          <w:p w14:paraId="1834F405" w14:textId="27983488" w:rsidR="006A51FD" w:rsidRPr="008C2001" w:rsidRDefault="006A51FD" w:rsidP="006A51FD">
            <w:pPr>
              <w:spacing w:after="0" w:line="240" w:lineRule="auto"/>
              <w:jc w:val="right"/>
              <w:rPr>
                <w:rFonts w:cs="Arial"/>
                <w:sz w:val="16"/>
                <w:szCs w:val="16"/>
              </w:rPr>
            </w:pPr>
            <w:r>
              <w:rPr>
                <w:rFonts w:ascii="Arial CE" w:hAnsi="Arial CE" w:cs="Arial CE"/>
                <w:sz w:val="16"/>
                <w:szCs w:val="16"/>
              </w:rPr>
              <w:t>55,30</w:t>
            </w:r>
          </w:p>
        </w:tc>
        <w:tc>
          <w:tcPr>
            <w:tcW w:w="700" w:type="dxa"/>
            <w:tcBorders>
              <w:top w:val="nil"/>
              <w:left w:val="nil"/>
              <w:bottom w:val="nil"/>
              <w:right w:val="nil"/>
            </w:tcBorders>
            <w:shd w:val="clear" w:color="auto" w:fill="auto"/>
            <w:noWrap/>
            <w:vAlign w:val="bottom"/>
            <w:hideMark/>
          </w:tcPr>
          <w:p w14:paraId="42821D49" w14:textId="25D5454D" w:rsidR="006A51FD" w:rsidRPr="008C2001" w:rsidRDefault="006A51FD" w:rsidP="006A51FD">
            <w:pPr>
              <w:spacing w:after="0" w:line="240" w:lineRule="auto"/>
              <w:jc w:val="right"/>
              <w:rPr>
                <w:rFonts w:cs="Arial"/>
                <w:sz w:val="16"/>
                <w:szCs w:val="16"/>
              </w:rPr>
            </w:pPr>
            <w:r>
              <w:rPr>
                <w:rFonts w:ascii="Arial CE" w:hAnsi="Arial CE" w:cs="Arial CE"/>
                <w:sz w:val="16"/>
                <w:szCs w:val="16"/>
              </w:rPr>
              <w:t>55,66</w:t>
            </w:r>
          </w:p>
        </w:tc>
        <w:tc>
          <w:tcPr>
            <w:tcW w:w="700" w:type="dxa"/>
            <w:tcBorders>
              <w:top w:val="nil"/>
              <w:left w:val="nil"/>
              <w:bottom w:val="nil"/>
              <w:right w:val="nil"/>
            </w:tcBorders>
            <w:shd w:val="clear" w:color="auto" w:fill="auto"/>
            <w:noWrap/>
            <w:vAlign w:val="bottom"/>
            <w:hideMark/>
          </w:tcPr>
          <w:p w14:paraId="14AA5F93" w14:textId="33D0B03D" w:rsidR="006A51FD" w:rsidRPr="008C2001" w:rsidRDefault="006A51FD" w:rsidP="006A51FD">
            <w:pPr>
              <w:spacing w:after="0" w:line="240" w:lineRule="auto"/>
              <w:jc w:val="right"/>
              <w:rPr>
                <w:rFonts w:cs="Arial"/>
                <w:sz w:val="16"/>
                <w:szCs w:val="16"/>
              </w:rPr>
            </w:pPr>
            <w:r>
              <w:rPr>
                <w:rFonts w:ascii="Arial CE" w:hAnsi="Arial CE" w:cs="Arial CE"/>
                <w:sz w:val="16"/>
                <w:szCs w:val="16"/>
              </w:rPr>
              <w:t>53,79</w:t>
            </w:r>
          </w:p>
        </w:tc>
        <w:tc>
          <w:tcPr>
            <w:tcW w:w="700" w:type="dxa"/>
            <w:tcBorders>
              <w:top w:val="nil"/>
              <w:left w:val="nil"/>
              <w:bottom w:val="nil"/>
              <w:right w:val="nil"/>
            </w:tcBorders>
            <w:shd w:val="clear" w:color="auto" w:fill="auto"/>
            <w:noWrap/>
            <w:vAlign w:val="bottom"/>
            <w:hideMark/>
          </w:tcPr>
          <w:p w14:paraId="67214D03" w14:textId="435DC325" w:rsidR="006A51FD" w:rsidRPr="008C2001" w:rsidRDefault="006A51FD" w:rsidP="006A51FD">
            <w:pPr>
              <w:spacing w:after="0" w:line="240" w:lineRule="auto"/>
              <w:jc w:val="right"/>
              <w:rPr>
                <w:rFonts w:cs="Arial"/>
                <w:sz w:val="16"/>
                <w:szCs w:val="16"/>
              </w:rPr>
            </w:pPr>
            <w:r>
              <w:rPr>
                <w:rFonts w:ascii="Arial CE" w:hAnsi="Arial CE" w:cs="Arial CE"/>
                <w:sz w:val="16"/>
                <w:szCs w:val="16"/>
              </w:rPr>
              <w:t>55,52</w:t>
            </w:r>
          </w:p>
        </w:tc>
        <w:tc>
          <w:tcPr>
            <w:tcW w:w="700" w:type="dxa"/>
            <w:tcBorders>
              <w:top w:val="nil"/>
              <w:left w:val="nil"/>
              <w:bottom w:val="nil"/>
              <w:right w:val="nil"/>
            </w:tcBorders>
            <w:shd w:val="clear" w:color="auto" w:fill="auto"/>
            <w:noWrap/>
            <w:vAlign w:val="bottom"/>
            <w:hideMark/>
          </w:tcPr>
          <w:p w14:paraId="0394584A" w14:textId="469B84DB" w:rsidR="006A51FD" w:rsidRPr="008C2001" w:rsidRDefault="006A51FD" w:rsidP="006A51FD">
            <w:pPr>
              <w:spacing w:after="0" w:line="240" w:lineRule="auto"/>
              <w:jc w:val="right"/>
              <w:rPr>
                <w:rFonts w:cs="Arial"/>
                <w:sz w:val="16"/>
                <w:szCs w:val="16"/>
              </w:rPr>
            </w:pPr>
            <w:r>
              <w:rPr>
                <w:rFonts w:ascii="Arial CE" w:hAnsi="Arial CE" w:cs="Arial CE"/>
                <w:sz w:val="16"/>
                <w:szCs w:val="16"/>
              </w:rPr>
              <w:t>50,28</w:t>
            </w:r>
          </w:p>
        </w:tc>
        <w:tc>
          <w:tcPr>
            <w:tcW w:w="700" w:type="dxa"/>
            <w:tcBorders>
              <w:top w:val="nil"/>
              <w:left w:val="nil"/>
              <w:bottom w:val="nil"/>
              <w:right w:val="nil"/>
            </w:tcBorders>
            <w:shd w:val="clear" w:color="auto" w:fill="auto"/>
            <w:noWrap/>
            <w:vAlign w:val="bottom"/>
            <w:hideMark/>
          </w:tcPr>
          <w:p w14:paraId="6D0BCD72" w14:textId="7BE0BD8A" w:rsidR="006A51FD" w:rsidRPr="008C2001" w:rsidRDefault="006A51FD" w:rsidP="006A51FD">
            <w:pPr>
              <w:spacing w:after="0" w:line="240" w:lineRule="auto"/>
              <w:jc w:val="right"/>
              <w:rPr>
                <w:rFonts w:cs="Arial"/>
                <w:sz w:val="16"/>
                <w:szCs w:val="16"/>
              </w:rPr>
            </w:pPr>
            <w:r>
              <w:rPr>
                <w:rFonts w:ascii="Arial CE" w:hAnsi="Arial CE" w:cs="Arial CE"/>
                <w:sz w:val="16"/>
                <w:szCs w:val="16"/>
              </w:rPr>
              <w:t>52,09</w:t>
            </w:r>
          </w:p>
        </w:tc>
        <w:tc>
          <w:tcPr>
            <w:tcW w:w="700" w:type="dxa"/>
            <w:tcBorders>
              <w:top w:val="nil"/>
              <w:left w:val="nil"/>
              <w:bottom w:val="nil"/>
              <w:right w:val="nil"/>
            </w:tcBorders>
            <w:shd w:val="clear" w:color="auto" w:fill="auto"/>
            <w:noWrap/>
            <w:vAlign w:val="bottom"/>
            <w:hideMark/>
          </w:tcPr>
          <w:p w14:paraId="78D581F3" w14:textId="24C8F6CA"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50,28</w:t>
            </w:r>
          </w:p>
        </w:tc>
        <w:tc>
          <w:tcPr>
            <w:tcW w:w="700" w:type="dxa"/>
            <w:tcBorders>
              <w:top w:val="nil"/>
              <w:left w:val="nil"/>
              <w:bottom w:val="nil"/>
              <w:right w:val="nil"/>
            </w:tcBorders>
            <w:shd w:val="clear" w:color="auto" w:fill="auto"/>
            <w:noWrap/>
            <w:vAlign w:val="bottom"/>
            <w:hideMark/>
          </w:tcPr>
          <w:p w14:paraId="31E74B14" w14:textId="264B6D37" w:rsidR="006A51FD" w:rsidRPr="008C2001" w:rsidRDefault="006A51FD" w:rsidP="006A51FD">
            <w:pPr>
              <w:spacing w:after="0" w:line="240" w:lineRule="auto"/>
              <w:jc w:val="right"/>
              <w:rPr>
                <w:rFonts w:cs="Arial"/>
                <w:color w:val="000000"/>
                <w:sz w:val="16"/>
                <w:szCs w:val="16"/>
              </w:rPr>
            </w:pPr>
            <w:r>
              <w:rPr>
                <w:rFonts w:ascii="Arial CE" w:hAnsi="Arial CE" w:cs="Arial CE"/>
                <w:color w:val="000000"/>
                <w:sz w:val="16"/>
                <w:szCs w:val="16"/>
              </w:rPr>
              <w:t>49,21</w:t>
            </w:r>
          </w:p>
        </w:tc>
      </w:tr>
      <w:tr w:rsidR="006A51FD" w:rsidRPr="008C2001" w14:paraId="6EFDDE0A" w14:textId="77777777" w:rsidTr="006A51FD">
        <w:trPr>
          <w:trHeight w:val="300"/>
        </w:trPr>
        <w:tc>
          <w:tcPr>
            <w:tcW w:w="1831" w:type="dxa"/>
            <w:tcBorders>
              <w:top w:val="nil"/>
              <w:left w:val="nil"/>
              <w:bottom w:val="nil"/>
              <w:right w:val="single" w:sz="4" w:space="0" w:color="auto"/>
            </w:tcBorders>
            <w:shd w:val="clear" w:color="auto" w:fill="auto"/>
            <w:noWrap/>
            <w:vAlign w:val="center"/>
            <w:hideMark/>
          </w:tcPr>
          <w:p w14:paraId="2D2D3612" w14:textId="77777777" w:rsidR="006A51FD" w:rsidRPr="008C2001" w:rsidRDefault="006A51FD" w:rsidP="006A51FD">
            <w:pPr>
              <w:spacing w:after="0" w:line="240" w:lineRule="auto"/>
              <w:ind w:firstLineChars="100" w:firstLine="160"/>
              <w:rPr>
                <w:rFonts w:cs="Arial"/>
                <w:sz w:val="16"/>
                <w:szCs w:val="16"/>
              </w:rPr>
            </w:pPr>
            <w:r w:rsidRPr="008C2001">
              <w:rPr>
                <w:rFonts w:cs="Arial"/>
                <w:sz w:val="16"/>
                <w:szCs w:val="16"/>
              </w:rPr>
              <w:t>Moravskoslezský kraj</w:t>
            </w:r>
          </w:p>
        </w:tc>
        <w:tc>
          <w:tcPr>
            <w:tcW w:w="709" w:type="dxa"/>
            <w:tcBorders>
              <w:top w:val="nil"/>
              <w:left w:val="nil"/>
              <w:bottom w:val="nil"/>
              <w:right w:val="nil"/>
            </w:tcBorders>
            <w:shd w:val="clear" w:color="auto" w:fill="auto"/>
            <w:noWrap/>
            <w:vAlign w:val="bottom"/>
            <w:hideMark/>
          </w:tcPr>
          <w:p w14:paraId="3A802CA0" w14:textId="219EB743" w:rsidR="006A51FD" w:rsidRPr="008C2001" w:rsidRDefault="006A51FD" w:rsidP="006A51FD">
            <w:pPr>
              <w:spacing w:after="0" w:line="240" w:lineRule="auto"/>
              <w:jc w:val="right"/>
              <w:rPr>
                <w:rFonts w:cs="Arial"/>
                <w:sz w:val="16"/>
                <w:szCs w:val="16"/>
              </w:rPr>
            </w:pPr>
            <w:r>
              <w:rPr>
                <w:rFonts w:ascii="Arial CE" w:hAnsi="Arial CE" w:cs="Arial CE"/>
                <w:sz w:val="16"/>
                <w:szCs w:val="16"/>
              </w:rPr>
              <w:t>42,43</w:t>
            </w:r>
          </w:p>
        </w:tc>
        <w:tc>
          <w:tcPr>
            <w:tcW w:w="700" w:type="dxa"/>
            <w:tcBorders>
              <w:top w:val="nil"/>
              <w:left w:val="nil"/>
              <w:bottom w:val="nil"/>
              <w:right w:val="nil"/>
            </w:tcBorders>
            <w:shd w:val="clear" w:color="auto" w:fill="auto"/>
            <w:noWrap/>
            <w:vAlign w:val="bottom"/>
            <w:hideMark/>
          </w:tcPr>
          <w:p w14:paraId="623CD907" w14:textId="736B3F96" w:rsidR="006A51FD" w:rsidRPr="008C2001" w:rsidRDefault="006A51FD" w:rsidP="006A51FD">
            <w:pPr>
              <w:spacing w:after="0" w:line="240" w:lineRule="auto"/>
              <w:jc w:val="right"/>
              <w:rPr>
                <w:rFonts w:cs="Arial"/>
                <w:sz w:val="16"/>
                <w:szCs w:val="16"/>
              </w:rPr>
            </w:pPr>
            <w:r>
              <w:rPr>
                <w:rFonts w:ascii="Arial CE" w:hAnsi="Arial CE" w:cs="Arial CE"/>
                <w:sz w:val="16"/>
                <w:szCs w:val="16"/>
              </w:rPr>
              <w:t>51,47</w:t>
            </w:r>
          </w:p>
        </w:tc>
        <w:tc>
          <w:tcPr>
            <w:tcW w:w="700" w:type="dxa"/>
            <w:tcBorders>
              <w:top w:val="nil"/>
              <w:left w:val="nil"/>
              <w:bottom w:val="nil"/>
              <w:right w:val="nil"/>
            </w:tcBorders>
            <w:shd w:val="clear" w:color="auto" w:fill="auto"/>
            <w:noWrap/>
            <w:vAlign w:val="bottom"/>
            <w:hideMark/>
          </w:tcPr>
          <w:p w14:paraId="535ED8C1" w14:textId="09B2FDD8" w:rsidR="006A51FD" w:rsidRPr="008C2001" w:rsidRDefault="006A51FD" w:rsidP="006A51FD">
            <w:pPr>
              <w:spacing w:after="0" w:line="240" w:lineRule="auto"/>
              <w:jc w:val="right"/>
              <w:rPr>
                <w:rFonts w:cs="Arial"/>
                <w:sz w:val="16"/>
                <w:szCs w:val="16"/>
              </w:rPr>
            </w:pPr>
            <w:r>
              <w:rPr>
                <w:rFonts w:ascii="Arial CE" w:hAnsi="Arial CE" w:cs="Arial CE"/>
                <w:sz w:val="16"/>
                <w:szCs w:val="16"/>
              </w:rPr>
              <w:t>48,91</w:t>
            </w:r>
          </w:p>
        </w:tc>
        <w:tc>
          <w:tcPr>
            <w:tcW w:w="700" w:type="dxa"/>
            <w:tcBorders>
              <w:top w:val="nil"/>
              <w:left w:val="nil"/>
              <w:bottom w:val="nil"/>
              <w:right w:val="nil"/>
            </w:tcBorders>
            <w:shd w:val="clear" w:color="auto" w:fill="auto"/>
            <w:noWrap/>
            <w:vAlign w:val="bottom"/>
            <w:hideMark/>
          </w:tcPr>
          <w:p w14:paraId="78AE3D93" w14:textId="31AF98D8" w:rsidR="006A51FD" w:rsidRPr="008C2001" w:rsidRDefault="006A51FD" w:rsidP="006A51FD">
            <w:pPr>
              <w:spacing w:after="0" w:line="240" w:lineRule="auto"/>
              <w:jc w:val="right"/>
              <w:rPr>
                <w:rFonts w:cs="Arial"/>
                <w:sz w:val="16"/>
                <w:szCs w:val="16"/>
              </w:rPr>
            </w:pPr>
            <w:r>
              <w:rPr>
                <w:rFonts w:ascii="Arial CE" w:hAnsi="Arial CE" w:cs="Arial CE"/>
                <w:sz w:val="16"/>
                <w:szCs w:val="16"/>
              </w:rPr>
              <w:t>49,03</w:t>
            </w:r>
          </w:p>
        </w:tc>
        <w:tc>
          <w:tcPr>
            <w:tcW w:w="700" w:type="dxa"/>
            <w:tcBorders>
              <w:top w:val="nil"/>
              <w:left w:val="nil"/>
              <w:bottom w:val="nil"/>
              <w:right w:val="nil"/>
            </w:tcBorders>
            <w:shd w:val="clear" w:color="auto" w:fill="auto"/>
            <w:noWrap/>
            <w:vAlign w:val="bottom"/>
            <w:hideMark/>
          </w:tcPr>
          <w:p w14:paraId="4F7D2BF5" w14:textId="3D70E971" w:rsidR="006A51FD" w:rsidRPr="008C2001" w:rsidRDefault="006A51FD" w:rsidP="006A51FD">
            <w:pPr>
              <w:spacing w:after="0" w:line="240" w:lineRule="auto"/>
              <w:jc w:val="right"/>
              <w:rPr>
                <w:rFonts w:cs="Arial"/>
                <w:sz w:val="16"/>
                <w:szCs w:val="16"/>
              </w:rPr>
            </w:pPr>
            <w:r>
              <w:rPr>
                <w:rFonts w:ascii="Arial CE" w:hAnsi="Arial CE" w:cs="Arial CE"/>
                <w:sz w:val="16"/>
                <w:szCs w:val="16"/>
              </w:rPr>
              <w:t>51,63</w:t>
            </w:r>
          </w:p>
        </w:tc>
        <w:tc>
          <w:tcPr>
            <w:tcW w:w="700" w:type="dxa"/>
            <w:tcBorders>
              <w:top w:val="nil"/>
              <w:left w:val="nil"/>
              <w:bottom w:val="nil"/>
              <w:right w:val="nil"/>
            </w:tcBorders>
            <w:shd w:val="clear" w:color="auto" w:fill="auto"/>
            <w:noWrap/>
            <w:vAlign w:val="bottom"/>
            <w:hideMark/>
          </w:tcPr>
          <w:p w14:paraId="100C4414" w14:textId="5253CA61" w:rsidR="006A51FD" w:rsidRPr="008C2001" w:rsidRDefault="006A51FD" w:rsidP="006A51FD">
            <w:pPr>
              <w:spacing w:after="0" w:line="240" w:lineRule="auto"/>
              <w:jc w:val="right"/>
              <w:rPr>
                <w:rFonts w:cs="Arial"/>
                <w:sz w:val="16"/>
                <w:szCs w:val="16"/>
              </w:rPr>
            </w:pPr>
            <w:r>
              <w:rPr>
                <w:rFonts w:ascii="Arial CE" w:hAnsi="Arial CE" w:cs="Arial CE"/>
                <w:sz w:val="16"/>
                <w:szCs w:val="16"/>
              </w:rPr>
              <w:t>50,05</w:t>
            </w:r>
          </w:p>
        </w:tc>
        <w:tc>
          <w:tcPr>
            <w:tcW w:w="700" w:type="dxa"/>
            <w:tcBorders>
              <w:top w:val="nil"/>
              <w:left w:val="nil"/>
              <w:bottom w:val="nil"/>
              <w:right w:val="nil"/>
            </w:tcBorders>
            <w:shd w:val="clear" w:color="auto" w:fill="auto"/>
            <w:noWrap/>
            <w:vAlign w:val="bottom"/>
            <w:hideMark/>
          </w:tcPr>
          <w:p w14:paraId="419C6039" w14:textId="3930727E" w:rsidR="006A51FD" w:rsidRPr="008C2001" w:rsidRDefault="006A51FD" w:rsidP="006A51FD">
            <w:pPr>
              <w:spacing w:after="0" w:line="240" w:lineRule="auto"/>
              <w:jc w:val="right"/>
              <w:rPr>
                <w:rFonts w:cs="Arial"/>
                <w:sz w:val="16"/>
                <w:szCs w:val="16"/>
              </w:rPr>
            </w:pPr>
            <w:r>
              <w:rPr>
                <w:rFonts w:ascii="Arial CE" w:hAnsi="Arial CE" w:cs="Arial CE"/>
                <w:sz w:val="16"/>
                <w:szCs w:val="16"/>
              </w:rPr>
              <w:t>52,64</w:t>
            </w:r>
          </w:p>
        </w:tc>
        <w:tc>
          <w:tcPr>
            <w:tcW w:w="700" w:type="dxa"/>
            <w:tcBorders>
              <w:top w:val="nil"/>
              <w:left w:val="nil"/>
              <w:bottom w:val="nil"/>
              <w:right w:val="nil"/>
            </w:tcBorders>
            <w:shd w:val="clear" w:color="auto" w:fill="auto"/>
            <w:noWrap/>
            <w:vAlign w:val="bottom"/>
            <w:hideMark/>
          </w:tcPr>
          <w:p w14:paraId="272443F3" w14:textId="63255AC7" w:rsidR="006A51FD" w:rsidRPr="008C2001" w:rsidRDefault="006A51FD" w:rsidP="006A51FD">
            <w:pPr>
              <w:spacing w:after="0" w:line="240" w:lineRule="auto"/>
              <w:jc w:val="right"/>
              <w:rPr>
                <w:rFonts w:cs="Arial"/>
                <w:sz w:val="16"/>
                <w:szCs w:val="16"/>
              </w:rPr>
            </w:pPr>
            <w:r>
              <w:rPr>
                <w:rFonts w:ascii="Arial CE" w:hAnsi="Arial CE" w:cs="Arial CE"/>
                <w:sz w:val="16"/>
                <w:szCs w:val="16"/>
              </w:rPr>
              <w:t>48,55</w:t>
            </w:r>
          </w:p>
        </w:tc>
        <w:tc>
          <w:tcPr>
            <w:tcW w:w="700" w:type="dxa"/>
            <w:tcBorders>
              <w:top w:val="nil"/>
              <w:left w:val="nil"/>
              <w:bottom w:val="nil"/>
              <w:right w:val="nil"/>
            </w:tcBorders>
            <w:shd w:val="clear" w:color="auto" w:fill="auto"/>
            <w:noWrap/>
            <w:vAlign w:val="bottom"/>
            <w:hideMark/>
          </w:tcPr>
          <w:p w14:paraId="354F8191" w14:textId="61D744E6" w:rsidR="006A51FD" w:rsidRPr="008C2001" w:rsidRDefault="006A51FD" w:rsidP="006A51FD">
            <w:pPr>
              <w:spacing w:after="0" w:line="240" w:lineRule="auto"/>
              <w:jc w:val="right"/>
              <w:rPr>
                <w:rFonts w:cs="Arial"/>
                <w:sz w:val="16"/>
                <w:szCs w:val="16"/>
              </w:rPr>
            </w:pPr>
            <w:r>
              <w:rPr>
                <w:rFonts w:ascii="Arial CE" w:hAnsi="Arial CE" w:cs="Arial CE"/>
                <w:sz w:val="16"/>
                <w:szCs w:val="16"/>
              </w:rPr>
              <w:t>50,03</w:t>
            </w:r>
          </w:p>
        </w:tc>
        <w:tc>
          <w:tcPr>
            <w:tcW w:w="700" w:type="dxa"/>
            <w:tcBorders>
              <w:top w:val="nil"/>
              <w:left w:val="nil"/>
              <w:bottom w:val="nil"/>
              <w:right w:val="nil"/>
            </w:tcBorders>
            <w:shd w:val="clear" w:color="auto" w:fill="auto"/>
            <w:noWrap/>
            <w:vAlign w:val="bottom"/>
            <w:hideMark/>
          </w:tcPr>
          <w:p w14:paraId="462A6BAC" w14:textId="00DA93B5" w:rsidR="006A51FD" w:rsidRPr="008C2001" w:rsidRDefault="006A51FD" w:rsidP="006A51FD">
            <w:pPr>
              <w:spacing w:after="0" w:line="240" w:lineRule="auto"/>
              <w:jc w:val="right"/>
              <w:rPr>
                <w:rFonts w:cs="Arial"/>
                <w:sz w:val="16"/>
                <w:szCs w:val="16"/>
              </w:rPr>
            </w:pPr>
            <w:r>
              <w:rPr>
                <w:rFonts w:ascii="Arial CE" w:hAnsi="Arial CE" w:cs="Arial CE"/>
                <w:sz w:val="16"/>
                <w:szCs w:val="16"/>
              </w:rPr>
              <w:t>48,79</w:t>
            </w:r>
          </w:p>
        </w:tc>
        <w:tc>
          <w:tcPr>
            <w:tcW w:w="700" w:type="dxa"/>
            <w:tcBorders>
              <w:top w:val="nil"/>
              <w:left w:val="nil"/>
              <w:bottom w:val="nil"/>
              <w:right w:val="nil"/>
            </w:tcBorders>
            <w:shd w:val="clear" w:color="auto" w:fill="auto"/>
            <w:noWrap/>
            <w:vAlign w:val="bottom"/>
            <w:hideMark/>
          </w:tcPr>
          <w:p w14:paraId="647170B6" w14:textId="17828C70" w:rsidR="006A51FD" w:rsidRPr="008C2001" w:rsidRDefault="006A51FD" w:rsidP="006A51FD">
            <w:pPr>
              <w:spacing w:after="0" w:line="240" w:lineRule="auto"/>
              <w:jc w:val="right"/>
              <w:rPr>
                <w:rFonts w:cs="Arial"/>
                <w:color w:val="000000"/>
                <w:sz w:val="16"/>
                <w:szCs w:val="16"/>
              </w:rPr>
            </w:pPr>
            <w:r>
              <w:rPr>
                <w:rFonts w:ascii="Arial CE" w:hAnsi="Arial CE" w:cs="Arial CE"/>
                <w:sz w:val="16"/>
                <w:szCs w:val="16"/>
              </w:rPr>
              <w:t>47,26</w:t>
            </w:r>
          </w:p>
        </w:tc>
      </w:tr>
    </w:tbl>
    <w:p w14:paraId="2AD4150A" w14:textId="77777777" w:rsidR="006A51FD" w:rsidRDefault="006A51FD" w:rsidP="00977F2A">
      <w:pPr>
        <w:rPr>
          <w:b/>
        </w:rPr>
      </w:pPr>
    </w:p>
    <w:p w14:paraId="56ECA9CD" w14:textId="77777777" w:rsidR="006A51FD" w:rsidRDefault="006A51FD" w:rsidP="006A51FD">
      <w:pPr>
        <w:spacing w:after="0"/>
        <w:rPr>
          <w:sz w:val="18"/>
        </w:rPr>
      </w:pPr>
      <w:r w:rsidRPr="00BC3FF5">
        <w:rPr>
          <w:sz w:val="18"/>
        </w:rPr>
        <w:t>Zdroj: ČSÚ</w:t>
      </w:r>
    </w:p>
    <w:p w14:paraId="674FFC18" w14:textId="6FDA17A5" w:rsidR="006A51FD" w:rsidRDefault="006A51FD" w:rsidP="00977F2A">
      <w:pPr>
        <w:rPr>
          <w:b/>
        </w:rPr>
      </w:pPr>
    </w:p>
    <w:p w14:paraId="680A90B8" w14:textId="1C73918B" w:rsidR="00C40474" w:rsidRPr="00C40474" w:rsidRDefault="00162BC5" w:rsidP="00C40474">
      <w:pPr>
        <w:pStyle w:val="Titulek"/>
        <w:keepNext/>
        <w:rPr>
          <w:b/>
          <w:i w:val="0"/>
          <w:color w:val="auto"/>
          <w:sz w:val="20"/>
        </w:rPr>
      </w:pPr>
      <w:r>
        <w:rPr>
          <w:b/>
          <w:i w:val="0"/>
          <w:color w:val="auto"/>
          <w:sz w:val="20"/>
        </w:rPr>
        <w:t>Graf 2.</w:t>
      </w:r>
      <w:r w:rsidR="00C40474" w:rsidRPr="00C40474">
        <w:rPr>
          <w:b/>
          <w:i w:val="0"/>
          <w:color w:val="auto"/>
          <w:sz w:val="20"/>
        </w:rPr>
        <w:t>9: Průměrná délka trvání případu dočasné pracovní neschopnosti podle velikosti podniku</w:t>
      </w:r>
      <w:r w:rsidR="00C40474">
        <w:rPr>
          <w:b/>
          <w:i w:val="0"/>
          <w:color w:val="auto"/>
          <w:sz w:val="20"/>
        </w:rPr>
        <w:t xml:space="preserve"> v roce 2018</w:t>
      </w:r>
    </w:p>
    <w:p w14:paraId="1CCA1A04" w14:textId="3DD049D5" w:rsidR="001F1CA6" w:rsidRDefault="001F1CA6" w:rsidP="00977F2A">
      <w:pPr>
        <w:rPr>
          <w:b/>
        </w:rPr>
      </w:pPr>
      <w:r>
        <w:rPr>
          <w:noProof/>
        </w:rPr>
        <w:drawing>
          <wp:inline distT="0" distB="0" distL="0" distR="0" wp14:anchorId="4474138A" wp14:editId="45AC9F22">
            <wp:extent cx="5924550" cy="2695575"/>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D61BEC" w14:textId="77777777" w:rsidR="00C40474" w:rsidRDefault="00C40474" w:rsidP="00C40474">
      <w:pPr>
        <w:spacing w:after="0"/>
        <w:rPr>
          <w:sz w:val="18"/>
        </w:rPr>
      </w:pPr>
      <w:r w:rsidRPr="00BC3FF5">
        <w:rPr>
          <w:sz w:val="18"/>
        </w:rPr>
        <w:t>Zdroj: ČSÚ</w:t>
      </w:r>
    </w:p>
    <w:p w14:paraId="7AAD4CD6" w14:textId="0C389879" w:rsidR="00C40474" w:rsidRDefault="00C40474" w:rsidP="00977F2A">
      <w:pPr>
        <w:rPr>
          <w:b/>
        </w:rPr>
      </w:pPr>
    </w:p>
    <w:p w14:paraId="6F1A59D8" w14:textId="2BF5BC03" w:rsidR="00C40474" w:rsidRDefault="00C40474" w:rsidP="00C40474">
      <w:pPr>
        <w:jc w:val="both"/>
      </w:pPr>
      <w:r w:rsidRPr="00967163">
        <w:t xml:space="preserve">Zajímavá skutečnost </w:t>
      </w:r>
      <w:r w:rsidR="003D655B" w:rsidRPr="00967163">
        <w:t>nastala</w:t>
      </w:r>
      <w:r w:rsidRPr="00967163">
        <w:t xml:space="preserve"> u kategorie </w:t>
      </w:r>
      <w:r w:rsidRPr="00722773">
        <w:rPr>
          <w:b/>
        </w:rPr>
        <w:t>osob samostatně výdělečně činných</w:t>
      </w:r>
      <w:r w:rsidRPr="00967163">
        <w:t>, které do pracovní neschopnosti nastupují méně často než zaměstnanci (14 přípa</w:t>
      </w:r>
      <w:r w:rsidR="003D655B" w:rsidRPr="00967163">
        <w:t>dů na 100 pojištěnců v roce 2018</w:t>
      </w:r>
      <w:r w:rsidRPr="00967163">
        <w:t xml:space="preserve">), ale pokud </w:t>
      </w:r>
      <w:r w:rsidR="003D655B" w:rsidRPr="00967163">
        <w:t>jsou ze zdravotních důvodů z výkonu práce indisponováni</w:t>
      </w:r>
      <w:r w:rsidRPr="00967163">
        <w:t xml:space="preserve">, průměrná délka jejich pracovní neschopnosti značně převyšuje ostatní sledované kategorie </w:t>
      </w:r>
      <w:r w:rsidR="00514756">
        <w:t xml:space="preserve">týkající se typu zaměstnavatele a </w:t>
      </w:r>
      <w:r w:rsidRPr="00967163">
        <w:t xml:space="preserve">velikosti podniků (viz graf </w:t>
      </w:r>
      <w:r w:rsidRPr="00967163">
        <w:lastRenderedPageBreak/>
        <w:t xml:space="preserve">2.9). Jejich dočasná pracovní neschopnost trvá průměrně </w:t>
      </w:r>
      <w:r w:rsidR="00967163" w:rsidRPr="00967163">
        <w:t>103 dní</w:t>
      </w:r>
      <w:r w:rsidRPr="00967163">
        <w:t xml:space="preserve">, zatímco v ostatních kategoriích se pohybuje okolo 40 dnů, u kategorie podniků s 1 – 49 zaměstnanci pak </w:t>
      </w:r>
      <w:r w:rsidR="00967163" w:rsidRPr="00967163">
        <w:t>46,9</w:t>
      </w:r>
      <w:r w:rsidRPr="00967163">
        <w:t xml:space="preserve"> dne. Dokonce doba pracovní neschopnosti OSVČ z důvodu nemoci (</w:t>
      </w:r>
      <w:r w:rsidR="00967163" w:rsidRPr="00967163">
        <w:t>104,1</w:t>
      </w:r>
      <w:r w:rsidRPr="00967163">
        <w:t xml:space="preserve"> dne) převyšuje délku pracovní neschopnosti z důvodu pracovního či </w:t>
      </w:r>
      <w:r w:rsidR="00967163" w:rsidRPr="00967163">
        <w:t>jiného úrazu</w:t>
      </w:r>
      <w:r w:rsidRPr="00967163">
        <w:t xml:space="preserve">, což u </w:t>
      </w:r>
      <w:r w:rsidR="00967163" w:rsidRPr="00967163">
        <w:t xml:space="preserve">všech kategorií počtu zaměstnanců </w:t>
      </w:r>
      <w:r w:rsidRPr="00967163">
        <w:t>je přesně naopak. Delší doba trvání pracovní neschopnosti u OSVČ může souviset se skutečností, že tato skupina pojištěnců v době prvních 14</w:t>
      </w:r>
      <w:r w:rsidR="00BA3658">
        <w:t> </w:t>
      </w:r>
      <w:r w:rsidRPr="00967163">
        <w:t>dní trvání pracovní neschopnosti není finančně zabezpečena jako ostatní pojištěnci, je jim vypláceno až nemocenské od 15. dne. Vzhledem k tomuto faktu pak krátkodobé případy lehčích forem nemocí neřeší pracovní neschopností, tu si nechají vystavit až při onemocnění vážnější chorobou, která si pak vyžádá dlouhodobější pracovní neschopnost.</w:t>
      </w:r>
    </w:p>
    <w:p w14:paraId="2A26B51F" w14:textId="674255FF" w:rsidR="0047735C" w:rsidRDefault="00977F2A" w:rsidP="00B90ADC">
      <w:pPr>
        <w:pStyle w:val="Nadpis3"/>
        <w:spacing w:after="100"/>
      </w:pPr>
      <w:bookmarkStart w:id="15" w:name="_Toc10117315"/>
      <w:r>
        <w:t>4.2.3 Průměrné procento dočasné pracovní neschopnosti a průměrný denní stav práce neschopných</w:t>
      </w:r>
      <w:bookmarkEnd w:id="15"/>
    </w:p>
    <w:p w14:paraId="657242C9" w14:textId="59710EB2" w:rsidR="00B90ADC" w:rsidRDefault="00B90ADC" w:rsidP="00B90ADC">
      <w:pPr>
        <w:jc w:val="both"/>
      </w:pPr>
      <w:r w:rsidRPr="00CD6BF9">
        <w:t xml:space="preserve">Nejkomplexnějším ukazatelem statistiky pracovní neschopnosti pro nemoc a úraz je průměrné procento dočasné pracovní neschopnosti. Zohledňuje jak celkový počet případů pracovní neschopnosti (jak často lidé do pracovní neschopnosti nastupují), tak i průměrné trvání jednoho případu pracovní neschopnosti (jak dlouho v pracovní neschopnosti </w:t>
      </w:r>
      <w:r w:rsidR="00CD6BF9" w:rsidRPr="00CD6BF9">
        <w:t>setrváva</w:t>
      </w:r>
      <w:r w:rsidRPr="00CD6BF9">
        <w:t xml:space="preserve">jí). Statistiky pak doplňuje ještě další relativní ukazatel – průměrný denní stav práce neschopných, který nám říká, kolik </w:t>
      </w:r>
      <w:r w:rsidR="005874D5">
        <w:t xml:space="preserve">osob </w:t>
      </w:r>
      <w:r w:rsidRPr="00CD6BF9">
        <w:t>průměrně denně chybělo na pracovišti osob v důsledku dočasné pracovní neschopnosti pro nemoc a úraz.</w:t>
      </w:r>
    </w:p>
    <w:p w14:paraId="29FF3949" w14:textId="3B3D41B6" w:rsidR="003116A3" w:rsidRPr="003116A3" w:rsidRDefault="003116A3" w:rsidP="003116A3">
      <w:pPr>
        <w:pStyle w:val="Box1"/>
        <w:rPr>
          <w:i/>
        </w:rPr>
      </w:pPr>
      <w:r>
        <w:rPr>
          <w:b/>
          <w:i/>
        </w:rPr>
        <w:t>P</w:t>
      </w:r>
      <w:r w:rsidRPr="003116A3">
        <w:rPr>
          <w:b/>
          <w:i/>
        </w:rPr>
        <w:t xml:space="preserve">růměrné procento </w:t>
      </w:r>
      <w:r>
        <w:rPr>
          <w:b/>
          <w:i/>
        </w:rPr>
        <w:t xml:space="preserve">dočasné </w:t>
      </w:r>
      <w:r w:rsidRPr="003116A3">
        <w:rPr>
          <w:b/>
          <w:i/>
        </w:rPr>
        <w:t xml:space="preserve">pracovní neschopnosti </w:t>
      </w:r>
      <w:r w:rsidR="008701E4" w:rsidRPr="00F46EA8">
        <w:rPr>
          <w:i/>
        </w:rPr>
        <w:t xml:space="preserve">– </w:t>
      </w:r>
      <w:r>
        <w:rPr>
          <w:i/>
        </w:rPr>
        <w:t>u</w:t>
      </w:r>
      <w:r w:rsidRPr="003116A3">
        <w:rPr>
          <w:i/>
        </w:rPr>
        <w:t>kazatel udává, kolik ze 100 pojištěnců je průměrně každý den v pracovní neschopnosti pro nemoc</w:t>
      </w:r>
      <w:r>
        <w:rPr>
          <w:i/>
        </w:rPr>
        <w:t xml:space="preserve"> či úraz. </w:t>
      </w:r>
    </w:p>
    <w:p w14:paraId="3F4562E3" w14:textId="77777777" w:rsidR="003116A3" w:rsidRPr="003116A3" w:rsidRDefault="003116A3" w:rsidP="003116A3">
      <w:pPr>
        <w:pStyle w:val="Box1"/>
        <w:rPr>
          <w:i/>
          <w:u w:val="single"/>
        </w:rPr>
      </w:pPr>
      <w:r w:rsidRPr="003116A3">
        <w:rPr>
          <w:i/>
          <w:u w:val="single"/>
        </w:rPr>
        <w:t>Způsob výpočtu:</w:t>
      </w:r>
    </w:p>
    <w:p w14:paraId="63EF6F3C" w14:textId="77777777" w:rsidR="0089159B" w:rsidRDefault="003116A3" w:rsidP="003116A3">
      <w:pPr>
        <w:pStyle w:val="Box1"/>
        <w:rPr>
          <w:i/>
        </w:rPr>
      </w:pPr>
      <w:r w:rsidRPr="003116A3">
        <w:rPr>
          <w:i/>
        </w:rPr>
        <w:t xml:space="preserve">Průměrné procento </w:t>
      </w:r>
      <w:r w:rsidR="00C53647">
        <w:rPr>
          <w:i/>
        </w:rPr>
        <w:t xml:space="preserve">dočasné </w:t>
      </w:r>
      <w:r w:rsidRPr="003116A3">
        <w:rPr>
          <w:i/>
        </w:rPr>
        <w:t>pracovní neschopnosti = počet kalendářních dnů dočasné pracovní neschopnosti x 10</w:t>
      </w:r>
      <w:r w:rsidR="0089159B">
        <w:rPr>
          <w:i/>
        </w:rPr>
        <w:t>0</w:t>
      </w:r>
      <w:r w:rsidRPr="003116A3">
        <w:rPr>
          <w:i/>
        </w:rPr>
        <w:t xml:space="preserve"> / (průměrný počet osob nemocensky pojištěných x počet kalendářních dnů ve sledovaném období</w:t>
      </w:r>
      <w:r w:rsidR="0089159B">
        <w:rPr>
          <w:i/>
        </w:rPr>
        <w:t>)</w:t>
      </w:r>
      <w:r w:rsidRPr="003116A3">
        <w:rPr>
          <w:i/>
        </w:rPr>
        <w:t>.</w:t>
      </w:r>
    </w:p>
    <w:p w14:paraId="738B49A7" w14:textId="77777777" w:rsidR="0089159B" w:rsidRDefault="0089159B" w:rsidP="003116A3">
      <w:pPr>
        <w:pStyle w:val="Box1"/>
        <w:rPr>
          <w:i/>
        </w:rPr>
      </w:pPr>
    </w:p>
    <w:p w14:paraId="41958B59" w14:textId="59309F6E" w:rsidR="0089159B" w:rsidRPr="0089159B" w:rsidRDefault="0089159B" w:rsidP="0089159B">
      <w:pPr>
        <w:pStyle w:val="Box1"/>
        <w:rPr>
          <w:i/>
        </w:rPr>
      </w:pPr>
      <w:r w:rsidRPr="0089159B">
        <w:rPr>
          <w:b/>
          <w:i/>
        </w:rPr>
        <w:t>Průměrný denní stav práce neschopných</w:t>
      </w:r>
      <w:r>
        <w:rPr>
          <w:b/>
          <w:i/>
        </w:rPr>
        <w:t xml:space="preserve"> </w:t>
      </w:r>
      <w:r w:rsidRPr="00F46EA8">
        <w:rPr>
          <w:i/>
        </w:rPr>
        <w:t xml:space="preserve">– </w:t>
      </w:r>
      <w:r>
        <w:rPr>
          <w:i/>
        </w:rPr>
        <w:t>u</w:t>
      </w:r>
      <w:r w:rsidRPr="0089159B">
        <w:rPr>
          <w:i/>
        </w:rPr>
        <w:t xml:space="preserve">kazatel </w:t>
      </w:r>
      <w:r>
        <w:rPr>
          <w:i/>
        </w:rPr>
        <w:t>vyjadřuje</w:t>
      </w:r>
      <w:r w:rsidRPr="0089159B">
        <w:rPr>
          <w:i/>
        </w:rPr>
        <w:t xml:space="preserve"> </w:t>
      </w:r>
      <w:r w:rsidR="005874D5">
        <w:rPr>
          <w:i/>
        </w:rPr>
        <w:t xml:space="preserve">průměrný </w:t>
      </w:r>
      <w:r w:rsidRPr="0089159B">
        <w:rPr>
          <w:i/>
        </w:rPr>
        <w:t xml:space="preserve">počet nemocensky pojištěných, kteří byli ve sledovaném období (roce) denně nepřítomni v práci z důvodů pracovní neschopnosti. </w:t>
      </w:r>
    </w:p>
    <w:p w14:paraId="210F9C97" w14:textId="77777777" w:rsidR="0089159B" w:rsidRPr="0089159B" w:rsidRDefault="0089159B" w:rsidP="0089159B">
      <w:pPr>
        <w:pStyle w:val="Box1"/>
        <w:rPr>
          <w:i/>
          <w:u w:val="single"/>
        </w:rPr>
      </w:pPr>
      <w:r w:rsidRPr="0089159B">
        <w:rPr>
          <w:i/>
          <w:u w:val="single"/>
        </w:rPr>
        <w:t>Způsob výpočtu:</w:t>
      </w:r>
    </w:p>
    <w:p w14:paraId="6EF71CBA" w14:textId="77777777" w:rsidR="00EE4B1B" w:rsidRPr="00F46EA8" w:rsidRDefault="0089159B" w:rsidP="0089159B">
      <w:pPr>
        <w:pStyle w:val="Box1"/>
        <w:rPr>
          <w:i/>
        </w:rPr>
      </w:pPr>
      <w:r w:rsidRPr="0089159B">
        <w:rPr>
          <w:i/>
        </w:rPr>
        <w:t>Průměrný denní stav práce neschopných = kalendářní dny dočasné pracovní neschopnosti / počet kalendářních dnů ve sledovaném období</w:t>
      </w:r>
      <w:r>
        <w:rPr>
          <w:i/>
        </w:rPr>
        <w:t>.</w:t>
      </w:r>
    </w:p>
    <w:p w14:paraId="1AEC29CE" w14:textId="2577962C" w:rsidR="00B90ADC" w:rsidRDefault="00B90ADC" w:rsidP="00B90ADC">
      <w:pPr>
        <w:pStyle w:val="Zkladntextodsazen"/>
        <w:spacing w:after="240" w:line="288" w:lineRule="auto"/>
        <w:ind w:left="0"/>
        <w:jc w:val="both"/>
        <w:rPr>
          <w:rFonts w:cs="Arial"/>
          <w:szCs w:val="24"/>
        </w:rPr>
      </w:pPr>
      <w:r w:rsidRPr="00F551D0">
        <w:rPr>
          <w:rFonts w:cs="Arial"/>
        </w:rPr>
        <w:t xml:space="preserve">Hodnota ukazatele </w:t>
      </w:r>
      <w:r w:rsidRPr="00F551D0">
        <w:rPr>
          <w:rFonts w:cs="Arial"/>
          <w:b/>
        </w:rPr>
        <w:t xml:space="preserve">průměrné procento dočasné pracovní neschopnosti </w:t>
      </w:r>
      <w:r w:rsidRPr="00F551D0">
        <w:rPr>
          <w:rFonts w:cs="Arial"/>
        </w:rPr>
        <w:t xml:space="preserve">se na počátku devadesátých let pohybovala okolo 5 %, následně se postupně zvyšovala až do roku 2003, kdy dosáhla svého maxima 6,8 %. V souvislosti s postupnými legislativními změnami zpřísňujícími čerpání nemocenských dávek začaly hodnoty ukazatele od roku 2004 postupně klesat téměř až na polovinu výchozí úrovně </w:t>
      </w:r>
      <w:r w:rsidR="00F551D0" w:rsidRPr="00F551D0">
        <w:rPr>
          <w:rFonts w:cs="Arial"/>
        </w:rPr>
        <w:t xml:space="preserve">z roku 2003 </w:t>
      </w:r>
      <w:r w:rsidRPr="00F551D0">
        <w:rPr>
          <w:rFonts w:cs="Arial"/>
        </w:rPr>
        <w:t xml:space="preserve">(na 3,5 % v roce 2012). Počínaje rokem 2013 nastal obrat vycházející zřejmě ze skutečnosti, že soubor nemocensky pojištěných osob přivykl přísnějším legislativním podmínkám čerpání nemocenských dávek a </w:t>
      </w:r>
      <w:r w:rsidR="00F551D0" w:rsidRPr="00F551D0">
        <w:rPr>
          <w:rFonts w:cs="Arial"/>
        </w:rPr>
        <w:t>hodnota analyzovaného</w:t>
      </w:r>
      <w:r w:rsidRPr="00F551D0">
        <w:rPr>
          <w:rFonts w:cs="Arial"/>
        </w:rPr>
        <w:t xml:space="preserve"> ukazatele začala opět </w:t>
      </w:r>
      <w:r w:rsidR="00F551D0" w:rsidRPr="00F551D0">
        <w:rPr>
          <w:rFonts w:cs="Arial"/>
        </w:rPr>
        <w:t>růst</w:t>
      </w:r>
      <w:r w:rsidRPr="00F551D0">
        <w:rPr>
          <w:rFonts w:cs="Arial"/>
        </w:rPr>
        <w:t>. V roce 2015 překročila úroveň 4 % a v roce 201</w:t>
      </w:r>
      <w:r w:rsidR="00F551D0" w:rsidRPr="00F551D0">
        <w:rPr>
          <w:rFonts w:cs="Arial"/>
        </w:rPr>
        <w:t>8</w:t>
      </w:r>
      <w:r w:rsidRPr="00F551D0">
        <w:rPr>
          <w:rFonts w:cs="Arial"/>
        </w:rPr>
        <w:t xml:space="preserve"> dosáhla </w:t>
      </w:r>
      <w:r w:rsidR="00F551D0" w:rsidRPr="00F551D0">
        <w:rPr>
          <w:rFonts w:cs="Arial"/>
        </w:rPr>
        <w:t>téměř</w:t>
      </w:r>
      <w:r w:rsidRPr="00F551D0">
        <w:rPr>
          <w:rFonts w:cs="Arial"/>
        </w:rPr>
        <w:t xml:space="preserve"> 4,</w:t>
      </w:r>
      <w:r w:rsidR="00F551D0" w:rsidRPr="00F551D0">
        <w:rPr>
          <w:rFonts w:cs="Arial"/>
        </w:rPr>
        <w:t>5</w:t>
      </w:r>
      <w:r w:rsidRPr="00F551D0">
        <w:rPr>
          <w:rFonts w:cs="Arial"/>
        </w:rPr>
        <w:t xml:space="preserve"> % (v případě mužů </w:t>
      </w:r>
      <w:r w:rsidR="00F551D0" w:rsidRPr="00F551D0">
        <w:rPr>
          <w:rFonts w:cs="Arial"/>
        </w:rPr>
        <w:t xml:space="preserve">4 </w:t>
      </w:r>
      <w:r w:rsidRPr="00F551D0">
        <w:rPr>
          <w:rFonts w:cs="Arial"/>
        </w:rPr>
        <w:t>% a žen 4,</w:t>
      </w:r>
      <w:r w:rsidR="00F551D0" w:rsidRPr="00F551D0">
        <w:rPr>
          <w:rFonts w:cs="Arial"/>
        </w:rPr>
        <w:t>9</w:t>
      </w:r>
      <w:r w:rsidRPr="00F551D0">
        <w:rPr>
          <w:rFonts w:cs="Arial"/>
        </w:rPr>
        <w:t xml:space="preserve"> %</w:t>
      </w:r>
      <w:r w:rsidRPr="00F551D0">
        <w:rPr>
          <w:rFonts w:cs="Arial"/>
          <w:szCs w:val="24"/>
        </w:rPr>
        <w:t xml:space="preserve">). </w:t>
      </w:r>
    </w:p>
    <w:p w14:paraId="77C8CB7B" w14:textId="11F3545E" w:rsidR="00C716BD" w:rsidRPr="00B90ADC" w:rsidRDefault="00C716BD" w:rsidP="00B90ADC">
      <w:pPr>
        <w:pStyle w:val="Zkladntextodsazen"/>
        <w:spacing w:after="240" w:line="288" w:lineRule="auto"/>
        <w:ind w:left="0"/>
        <w:jc w:val="both"/>
        <w:rPr>
          <w:highlight w:val="yellow"/>
        </w:rPr>
      </w:pPr>
      <w:r>
        <w:rPr>
          <w:rFonts w:cs="Arial"/>
          <w:szCs w:val="24"/>
        </w:rPr>
        <w:t>Nejvyšší průměrné procento dočasné pracovní neschopnosti z</w:t>
      </w:r>
      <w:r w:rsidR="008E203F">
        <w:rPr>
          <w:rFonts w:cs="Arial"/>
          <w:szCs w:val="24"/>
        </w:rPr>
        <w:t xml:space="preserve"> hlediska </w:t>
      </w:r>
      <w:r w:rsidR="008E203F" w:rsidRPr="00722773">
        <w:rPr>
          <w:rFonts w:cs="Arial"/>
          <w:b/>
          <w:szCs w:val="24"/>
        </w:rPr>
        <w:t>odvětvové činnosti</w:t>
      </w:r>
      <w:r w:rsidR="008E203F">
        <w:rPr>
          <w:rFonts w:cs="Arial"/>
          <w:szCs w:val="24"/>
        </w:rPr>
        <w:t xml:space="preserve"> byl</w:t>
      </w:r>
      <w:r w:rsidR="001033B0">
        <w:rPr>
          <w:rFonts w:cs="Arial"/>
          <w:szCs w:val="24"/>
        </w:rPr>
        <w:t>o</w:t>
      </w:r>
      <w:r w:rsidR="008E203F">
        <w:rPr>
          <w:rFonts w:cs="Arial"/>
          <w:szCs w:val="24"/>
        </w:rPr>
        <w:t xml:space="preserve"> zaznamenán</w:t>
      </w:r>
      <w:r w:rsidR="001033B0">
        <w:rPr>
          <w:rFonts w:cs="Arial"/>
          <w:szCs w:val="24"/>
        </w:rPr>
        <w:t>o</w:t>
      </w:r>
      <w:r w:rsidR="008E203F">
        <w:rPr>
          <w:rFonts w:cs="Arial"/>
          <w:szCs w:val="24"/>
        </w:rPr>
        <w:t xml:space="preserve"> ve Zpracovatelském průmyslu (5,9 %). Jinými slovy v průměru 6 % </w:t>
      </w:r>
      <w:r w:rsidR="00825467">
        <w:rPr>
          <w:rFonts w:cs="Arial"/>
          <w:szCs w:val="24"/>
        </w:rPr>
        <w:t>pojištěnců pracujících</w:t>
      </w:r>
      <w:r w:rsidR="008E203F">
        <w:rPr>
          <w:rFonts w:cs="Arial"/>
          <w:szCs w:val="24"/>
        </w:rPr>
        <w:t xml:space="preserve"> ve</w:t>
      </w:r>
      <w:r w:rsidR="00BA3658">
        <w:rPr>
          <w:rFonts w:cs="Arial"/>
          <w:szCs w:val="24"/>
        </w:rPr>
        <w:t> </w:t>
      </w:r>
      <w:r w:rsidR="008E203F">
        <w:rPr>
          <w:rFonts w:cs="Arial"/>
          <w:szCs w:val="24"/>
        </w:rPr>
        <w:t>Zpracovatelském průmyslu bylo</w:t>
      </w:r>
      <w:r w:rsidR="005874D5">
        <w:rPr>
          <w:rFonts w:cs="Arial"/>
          <w:szCs w:val="24"/>
        </w:rPr>
        <w:t xml:space="preserve"> denně</w:t>
      </w:r>
      <w:r w:rsidR="008E203F">
        <w:rPr>
          <w:rFonts w:cs="Arial"/>
          <w:szCs w:val="24"/>
        </w:rPr>
        <w:t xml:space="preserve"> v pracovní neschopnosti. Další odvětví s vyšším podílem osob dočasně práce neschopných byla Těžba a dobývání (5,6 %), Administrativní a podpůrné činnosti (5,4 %) a</w:t>
      </w:r>
      <w:r w:rsidR="00BA3658">
        <w:rPr>
          <w:rFonts w:cs="Arial"/>
          <w:szCs w:val="24"/>
        </w:rPr>
        <w:t> </w:t>
      </w:r>
      <w:r w:rsidR="008E203F">
        <w:rPr>
          <w:rFonts w:cs="Arial"/>
          <w:szCs w:val="24"/>
        </w:rPr>
        <w:t xml:space="preserve">Zemědělství, lesnictví a rybářství (5,3 %). Naopak nejméně pracovníků v pracovní neschopnosti </w:t>
      </w:r>
      <w:r w:rsidR="001033B0">
        <w:rPr>
          <w:rFonts w:cs="Arial"/>
          <w:szCs w:val="24"/>
        </w:rPr>
        <w:t>ze</w:t>
      </w:r>
      <w:r w:rsidR="00E252E5">
        <w:rPr>
          <w:rFonts w:cs="Arial"/>
          <w:szCs w:val="24"/>
        </w:rPr>
        <w:t> </w:t>
      </w:r>
      <w:r w:rsidR="008E203F">
        <w:rPr>
          <w:rFonts w:cs="Arial"/>
          <w:szCs w:val="24"/>
        </w:rPr>
        <w:t>100</w:t>
      </w:r>
      <w:r w:rsidR="00BA3658">
        <w:rPr>
          <w:rFonts w:cs="Arial"/>
          <w:szCs w:val="24"/>
        </w:rPr>
        <w:t> </w:t>
      </w:r>
      <w:r w:rsidR="008E203F">
        <w:rPr>
          <w:rFonts w:cs="Arial"/>
          <w:szCs w:val="24"/>
        </w:rPr>
        <w:t xml:space="preserve">pojištěnců </w:t>
      </w:r>
      <w:r w:rsidR="00825467">
        <w:rPr>
          <w:rFonts w:cs="Arial"/>
          <w:szCs w:val="24"/>
        </w:rPr>
        <w:t>bylo evidováno v odvětví Informační a komunikační činnosti (1,9 %), Činnosti v oblasti nemovitostí a Profesní vědecké činnosti (2,4 %). Podrobněji viz graf 2.10 a tabulka 2.7.</w:t>
      </w:r>
    </w:p>
    <w:p w14:paraId="6597720A" w14:textId="53F6ECBC" w:rsidR="00735DA6" w:rsidRPr="00735DA6" w:rsidRDefault="00735DA6" w:rsidP="003728E7">
      <w:pPr>
        <w:pStyle w:val="Titulek"/>
        <w:keepNext/>
        <w:jc w:val="both"/>
        <w:rPr>
          <w:rFonts w:cs="Arial"/>
          <w:b/>
          <w:i w:val="0"/>
          <w:color w:val="000000" w:themeColor="text1"/>
          <w:sz w:val="20"/>
        </w:rPr>
      </w:pPr>
      <w:bookmarkStart w:id="16" w:name="_Toc10112625"/>
      <w:r w:rsidRPr="00735DA6">
        <w:rPr>
          <w:rFonts w:cs="Arial"/>
          <w:b/>
          <w:i w:val="0"/>
          <w:color w:val="000000" w:themeColor="text1"/>
          <w:sz w:val="20"/>
        </w:rPr>
        <w:lastRenderedPageBreak/>
        <w:t>Tab</w:t>
      </w:r>
      <w:r w:rsidR="003728E7">
        <w:rPr>
          <w:rFonts w:cs="Arial"/>
          <w:b/>
          <w:i w:val="0"/>
          <w:color w:val="000000" w:themeColor="text1"/>
          <w:sz w:val="20"/>
        </w:rPr>
        <w:t>.</w:t>
      </w:r>
      <w:r w:rsidR="00162BC5">
        <w:rPr>
          <w:rFonts w:cs="Arial"/>
          <w:b/>
          <w:i w:val="0"/>
          <w:color w:val="000000" w:themeColor="text1"/>
          <w:sz w:val="20"/>
        </w:rPr>
        <w:t xml:space="preserve"> 2.</w:t>
      </w:r>
      <w:r w:rsidRPr="00735DA6">
        <w:rPr>
          <w:rFonts w:cs="Arial"/>
          <w:b/>
          <w:i w:val="0"/>
          <w:color w:val="000000" w:themeColor="text1"/>
          <w:sz w:val="20"/>
        </w:rPr>
        <w:fldChar w:fldCharType="begin"/>
      </w:r>
      <w:r w:rsidRPr="00735DA6">
        <w:rPr>
          <w:rFonts w:cs="Arial"/>
          <w:b/>
          <w:i w:val="0"/>
          <w:color w:val="000000" w:themeColor="text1"/>
          <w:sz w:val="20"/>
        </w:rPr>
        <w:instrText xml:space="preserve"> SEQ Tabulka \* ARABIC </w:instrText>
      </w:r>
      <w:r w:rsidRPr="00735DA6">
        <w:rPr>
          <w:rFonts w:cs="Arial"/>
          <w:b/>
          <w:i w:val="0"/>
          <w:color w:val="000000" w:themeColor="text1"/>
          <w:sz w:val="20"/>
        </w:rPr>
        <w:fldChar w:fldCharType="separate"/>
      </w:r>
      <w:r w:rsidR="004426F5">
        <w:rPr>
          <w:rFonts w:cs="Arial"/>
          <w:b/>
          <w:i w:val="0"/>
          <w:noProof/>
          <w:color w:val="000000" w:themeColor="text1"/>
          <w:sz w:val="20"/>
        </w:rPr>
        <w:t>7</w:t>
      </w:r>
      <w:r w:rsidRPr="00735DA6">
        <w:rPr>
          <w:rFonts w:cs="Arial"/>
          <w:b/>
          <w:i w:val="0"/>
          <w:color w:val="000000" w:themeColor="text1"/>
          <w:sz w:val="20"/>
        </w:rPr>
        <w:fldChar w:fldCharType="end"/>
      </w:r>
      <w:r w:rsidRPr="00735DA6">
        <w:rPr>
          <w:rFonts w:cs="Arial"/>
          <w:b/>
          <w:i w:val="0"/>
          <w:color w:val="000000" w:themeColor="text1"/>
          <w:sz w:val="20"/>
        </w:rPr>
        <w:t xml:space="preserve">: Průměrné procento dočasné pracovní neschopnosti </w:t>
      </w:r>
      <w:r w:rsidR="003728E7">
        <w:rPr>
          <w:rFonts w:cs="Arial"/>
          <w:b/>
          <w:i w:val="0"/>
          <w:color w:val="000000" w:themeColor="text1"/>
          <w:sz w:val="20"/>
        </w:rPr>
        <w:t>dle odvětví ekonomické činnosti v </w:t>
      </w:r>
      <w:r w:rsidRPr="00735DA6">
        <w:rPr>
          <w:rFonts w:cs="Arial"/>
          <w:b/>
          <w:i w:val="0"/>
          <w:color w:val="000000" w:themeColor="text1"/>
          <w:sz w:val="20"/>
        </w:rPr>
        <w:t>letech 200</w:t>
      </w:r>
      <w:r w:rsidR="00922AA2">
        <w:rPr>
          <w:rFonts w:cs="Arial"/>
          <w:b/>
          <w:i w:val="0"/>
          <w:color w:val="000000" w:themeColor="text1"/>
          <w:sz w:val="20"/>
        </w:rPr>
        <w:t>8</w:t>
      </w:r>
      <w:r w:rsidRPr="00735DA6">
        <w:rPr>
          <w:rFonts w:cs="Arial"/>
          <w:b/>
          <w:i w:val="0"/>
          <w:color w:val="000000" w:themeColor="text1"/>
          <w:sz w:val="20"/>
        </w:rPr>
        <w:t>–2018</w:t>
      </w:r>
      <w:bookmarkEnd w:id="16"/>
    </w:p>
    <w:tbl>
      <w:tblPr>
        <w:tblW w:w="9812" w:type="dxa"/>
        <w:tblInd w:w="70" w:type="dxa"/>
        <w:tblCellMar>
          <w:left w:w="70" w:type="dxa"/>
          <w:right w:w="70" w:type="dxa"/>
        </w:tblCellMar>
        <w:tblLook w:val="04A0" w:firstRow="1" w:lastRow="0" w:firstColumn="1" w:lastColumn="0" w:noHBand="0" w:noVBand="1"/>
      </w:tblPr>
      <w:tblGrid>
        <w:gridCol w:w="2948"/>
        <w:gridCol w:w="624"/>
        <w:gridCol w:w="624"/>
        <w:gridCol w:w="624"/>
        <w:gridCol w:w="624"/>
        <w:gridCol w:w="624"/>
        <w:gridCol w:w="624"/>
        <w:gridCol w:w="624"/>
        <w:gridCol w:w="624"/>
        <w:gridCol w:w="624"/>
        <w:gridCol w:w="624"/>
        <w:gridCol w:w="624"/>
      </w:tblGrid>
      <w:tr w:rsidR="00922AA2" w:rsidRPr="00735DA6" w14:paraId="5B236AE7" w14:textId="77777777" w:rsidTr="00997C2A">
        <w:trPr>
          <w:trHeight w:val="300"/>
        </w:trPr>
        <w:tc>
          <w:tcPr>
            <w:tcW w:w="2948" w:type="dxa"/>
            <w:vMerge w:val="restart"/>
            <w:tcBorders>
              <w:top w:val="nil"/>
              <w:left w:val="nil"/>
              <w:bottom w:val="single" w:sz="8" w:space="0" w:color="000000"/>
              <w:right w:val="single" w:sz="4" w:space="0" w:color="auto"/>
            </w:tcBorders>
            <w:shd w:val="clear" w:color="000000" w:fill="F5DADD"/>
            <w:vAlign w:val="center"/>
            <w:hideMark/>
          </w:tcPr>
          <w:p w14:paraId="12000428"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Sekce CZ-NACE</w:t>
            </w:r>
          </w:p>
        </w:tc>
        <w:tc>
          <w:tcPr>
            <w:tcW w:w="6860" w:type="dxa"/>
            <w:gridSpan w:val="11"/>
            <w:tcBorders>
              <w:top w:val="nil"/>
              <w:left w:val="nil"/>
              <w:bottom w:val="single" w:sz="4" w:space="0" w:color="auto"/>
              <w:right w:val="nil"/>
            </w:tcBorders>
            <w:shd w:val="clear" w:color="000000" w:fill="F5DADD"/>
            <w:vAlign w:val="bottom"/>
          </w:tcPr>
          <w:p w14:paraId="25AC396A" w14:textId="2EFCA1E2" w:rsidR="00922AA2" w:rsidRPr="00735DA6" w:rsidRDefault="00922AA2" w:rsidP="00922AA2">
            <w:pPr>
              <w:spacing w:after="0" w:line="240" w:lineRule="auto"/>
              <w:jc w:val="center"/>
              <w:rPr>
                <w:rFonts w:ascii="Arial CE" w:hAnsi="Arial CE" w:cs="Arial CE"/>
                <w:sz w:val="16"/>
                <w:szCs w:val="16"/>
              </w:rPr>
            </w:pPr>
            <w:r w:rsidRPr="00735DA6">
              <w:rPr>
                <w:rFonts w:ascii="Arial CE" w:hAnsi="Arial CE" w:cs="Arial CE"/>
                <w:sz w:val="16"/>
                <w:szCs w:val="16"/>
              </w:rPr>
              <w:t xml:space="preserve">Průměrné procento </w:t>
            </w:r>
            <w:r>
              <w:rPr>
                <w:rFonts w:ascii="Arial CE" w:hAnsi="Arial CE" w:cs="Arial CE"/>
                <w:sz w:val="16"/>
                <w:szCs w:val="16"/>
              </w:rPr>
              <w:t>DPN</w:t>
            </w:r>
          </w:p>
        </w:tc>
      </w:tr>
      <w:tr w:rsidR="00922AA2" w:rsidRPr="00735DA6" w14:paraId="437BE0AE" w14:textId="77777777" w:rsidTr="00997C2A">
        <w:trPr>
          <w:trHeight w:val="315"/>
        </w:trPr>
        <w:tc>
          <w:tcPr>
            <w:tcW w:w="2948" w:type="dxa"/>
            <w:vMerge/>
            <w:tcBorders>
              <w:top w:val="nil"/>
              <w:left w:val="nil"/>
              <w:bottom w:val="single" w:sz="8" w:space="0" w:color="000000"/>
              <w:right w:val="single" w:sz="4" w:space="0" w:color="auto"/>
            </w:tcBorders>
            <w:vAlign w:val="center"/>
            <w:hideMark/>
          </w:tcPr>
          <w:p w14:paraId="78C9001F" w14:textId="77777777" w:rsidR="00922AA2" w:rsidRPr="00735DA6" w:rsidRDefault="00922AA2" w:rsidP="00735DA6">
            <w:pPr>
              <w:spacing w:after="0" w:line="240" w:lineRule="auto"/>
              <w:rPr>
                <w:rFonts w:ascii="Arial CE" w:hAnsi="Arial CE" w:cs="Arial CE"/>
                <w:sz w:val="16"/>
                <w:szCs w:val="16"/>
              </w:rPr>
            </w:pPr>
          </w:p>
        </w:tc>
        <w:tc>
          <w:tcPr>
            <w:tcW w:w="624" w:type="dxa"/>
            <w:tcBorders>
              <w:top w:val="nil"/>
              <w:left w:val="nil"/>
              <w:bottom w:val="single" w:sz="8" w:space="0" w:color="auto"/>
              <w:right w:val="nil"/>
            </w:tcBorders>
            <w:shd w:val="clear" w:color="000000" w:fill="F5DADD"/>
            <w:vAlign w:val="bottom"/>
          </w:tcPr>
          <w:p w14:paraId="2EC11AE3" w14:textId="0629A716" w:rsidR="00922AA2" w:rsidRDefault="00922AA2" w:rsidP="00997C2A">
            <w:pPr>
              <w:spacing w:after="0" w:line="240" w:lineRule="auto"/>
              <w:jc w:val="center"/>
              <w:rPr>
                <w:rFonts w:ascii="Arial CE" w:hAnsi="Arial CE" w:cs="Arial CE"/>
                <w:sz w:val="16"/>
                <w:szCs w:val="16"/>
              </w:rPr>
            </w:pPr>
            <w:r>
              <w:rPr>
                <w:rFonts w:ascii="Arial CE" w:hAnsi="Arial CE" w:cs="Arial CE"/>
                <w:sz w:val="16"/>
                <w:szCs w:val="16"/>
              </w:rPr>
              <w:t>2008</w:t>
            </w:r>
          </w:p>
        </w:tc>
        <w:tc>
          <w:tcPr>
            <w:tcW w:w="624" w:type="dxa"/>
            <w:tcBorders>
              <w:top w:val="nil"/>
              <w:left w:val="nil"/>
              <w:bottom w:val="single" w:sz="8" w:space="0" w:color="auto"/>
              <w:right w:val="nil"/>
            </w:tcBorders>
            <w:shd w:val="clear" w:color="000000" w:fill="F5DADD"/>
            <w:vAlign w:val="bottom"/>
          </w:tcPr>
          <w:p w14:paraId="12FC2AB4" w14:textId="0BA40784" w:rsidR="00922AA2" w:rsidRPr="00735DA6" w:rsidRDefault="00922AA2" w:rsidP="00BB24C4">
            <w:pPr>
              <w:spacing w:after="0" w:line="240" w:lineRule="auto"/>
              <w:jc w:val="center"/>
              <w:rPr>
                <w:rFonts w:ascii="Arial CE" w:hAnsi="Arial CE" w:cs="Arial CE"/>
                <w:sz w:val="16"/>
                <w:szCs w:val="16"/>
              </w:rPr>
            </w:pPr>
            <w:r>
              <w:rPr>
                <w:rFonts w:ascii="Arial CE" w:hAnsi="Arial CE" w:cs="Arial CE"/>
                <w:sz w:val="16"/>
                <w:szCs w:val="16"/>
              </w:rPr>
              <w:t>2009</w:t>
            </w:r>
          </w:p>
        </w:tc>
        <w:tc>
          <w:tcPr>
            <w:tcW w:w="624" w:type="dxa"/>
            <w:tcBorders>
              <w:top w:val="nil"/>
              <w:left w:val="nil"/>
              <w:bottom w:val="single" w:sz="8" w:space="0" w:color="auto"/>
              <w:right w:val="nil"/>
            </w:tcBorders>
            <w:shd w:val="clear" w:color="000000" w:fill="F5DADD"/>
            <w:noWrap/>
            <w:vAlign w:val="bottom"/>
            <w:hideMark/>
          </w:tcPr>
          <w:p w14:paraId="5216AE28" w14:textId="1775885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2010</w:t>
            </w:r>
          </w:p>
        </w:tc>
        <w:tc>
          <w:tcPr>
            <w:tcW w:w="624" w:type="dxa"/>
            <w:tcBorders>
              <w:top w:val="nil"/>
              <w:left w:val="nil"/>
              <w:bottom w:val="single" w:sz="8" w:space="0" w:color="auto"/>
              <w:right w:val="nil"/>
            </w:tcBorders>
            <w:shd w:val="clear" w:color="000000" w:fill="F5DADD"/>
            <w:noWrap/>
            <w:vAlign w:val="bottom"/>
            <w:hideMark/>
          </w:tcPr>
          <w:p w14:paraId="4B2408FA"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2011</w:t>
            </w:r>
          </w:p>
        </w:tc>
        <w:tc>
          <w:tcPr>
            <w:tcW w:w="624" w:type="dxa"/>
            <w:tcBorders>
              <w:top w:val="nil"/>
              <w:left w:val="nil"/>
              <w:bottom w:val="single" w:sz="8" w:space="0" w:color="auto"/>
              <w:right w:val="nil"/>
            </w:tcBorders>
            <w:shd w:val="clear" w:color="000000" w:fill="F5DADD"/>
            <w:noWrap/>
            <w:vAlign w:val="bottom"/>
            <w:hideMark/>
          </w:tcPr>
          <w:p w14:paraId="40792D7F"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2012</w:t>
            </w:r>
          </w:p>
        </w:tc>
        <w:tc>
          <w:tcPr>
            <w:tcW w:w="624" w:type="dxa"/>
            <w:tcBorders>
              <w:top w:val="nil"/>
              <w:left w:val="nil"/>
              <w:bottom w:val="single" w:sz="8" w:space="0" w:color="auto"/>
              <w:right w:val="nil"/>
            </w:tcBorders>
            <w:shd w:val="clear" w:color="000000" w:fill="F5DADD"/>
            <w:noWrap/>
            <w:vAlign w:val="bottom"/>
            <w:hideMark/>
          </w:tcPr>
          <w:p w14:paraId="03D33057"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2013</w:t>
            </w:r>
          </w:p>
        </w:tc>
        <w:tc>
          <w:tcPr>
            <w:tcW w:w="624" w:type="dxa"/>
            <w:tcBorders>
              <w:top w:val="nil"/>
              <w:left w:val="nil"/>
              <w:bottom w:val="single" w:sz="8" w:space="0" w:color="auto"/>
              <w:right w:val="nil"/>
            </w:tcBorders>
            <w:shd w:val="clear" w:color="000000" w:fill="F5DADD"/>
            <w:noWrap/>
            <w:vAlign w:val="bottom"/>
            <w:hideMark/>
          </w:tcPr>
          <w:p w14:paraId="57F22CDB"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2014</w:t>
            </w:r>
          </w:p>
        </w:tc>
        <w:tc>
          <w:tcPr>
            <w:tcW w:w="624" w:type="dxa"/>
            <w:tcBorders>
              <w:top w:val="nil"/>
              <w:left w:val="nil"/>
              <w:bottom w:val="single" w:sz="8" w:space="0" w:color="auto"/>
              <w:right w:val="nil"/>
            </w:tcBorders>
            <w:shd w:val="clear" w:color="000000" w:fill="F5DADD"/>
            <w:noWrap/>
            <w:vAlign w:val="bottom"/>
            <w:hideMark/>
          </w:tcPr>
          <w:p w14:paraId="00AFB0B1"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2015</w:t>
            </w:r>
          </w:p>
        </w:tc>
        <w:tc>
          <w:tcPr>
            <w:tcW w:w="624" w:type="dxa"/>
            <w:tcBorders>
              <w:top w:val="nil"/>
              <w:left w:val="nil"/>
              <w:bottom w:val="single" w:sz="8" w:space="0" w:color="auto"/>
              <w:right w:val="nil"/>
            </w:tcBorders>
            <w:shd w:val="clear" w:color="000000" w:fill="F5DADD"/>
            <w:noWrap/>
            <w:vAlign w:val="bottom"/>
            <w:hideMark/>
          </w:tcPr>
          <w:p w14:paraId="6F1A35B0"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2016</w:t>
            </w:r>
          </w:p>
        </w:tc>
        <w:tc>
          <w:tcPr>
            <w:tcW w:w="624" w:type="dxa"/>
            <w:tcBorders>
              <w:top w:val="nil"/>
              <w:left w:val="nil"/>
              <w:bottom w:val="single" w:sz="8" w:space="0" w:color="auto"/>
              <w:right w:val="nil"/>
            </w:tcBorders>
            <w:shd w:val="clear" w:color="000000" w:fill="F5DADD"/>
            <w:noWrap/>
            <w:vAlign w:val="bottom"/>
            <w:hideMark/>
          </w:tcPr>
          <w:p w14:paraId="5B8A9467"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2017</w:t>
            </w:r>
          </w:p>
        </w:tc>
        <w:tc>
          <w:tcPr>
            <w:tcW w:w="624" w:type="dxa"/>
            <w:tcBorders>
              <w:top w:val="nil"/>
              <w:left w:val="nil"/>
              <w:bottom w:val="nil"/>
              <w:right w:val="nil"/>
            </w:tcBorders>
            <w:shd w:val="clear" w:color="000000" w:fill="F5DADD"/>
            <w:noWrap/>
            <w:vAlign w:val="bottom"/>
            <w:hideMark/>
          </w:tcPr>
          <w:p w14:paraId="6E6C1559" w14:textId="77777777" w:rsidR="00922AA2" w:rsidRPr="00735DA6" w:rsidRDefault="00922AA2" w:rsidP="00735DA6">
            <w:pPr>
              <w:spacing w:after="0" w:line="240" w:lineRule="auto"/>
              <w:jc w:val="center"/>
              <w:rPr>
                <w:rFonts w:ascii="Arial CE" w:hAnsi="Arial CE" w:cs="Arial CE"/>
                <w:sz w:val="16"/>
                <w:szCs w:val="16"/>
              </w:rPr>
            </w:pPr>
            <w:r w:rsidRPr="00735DA6">
              <w:rPr>
                <w:rFonts w:ascii="Arial CE" w:hAnsi="Arial CE" w:cs="Arial CE"/>
                <w:sz w:val="16"/>
                <w:szCs w:val="16"/>
              </w:rPr>
              <w:t>2018</w:t>
            </w:r>
          </w:p>
        </w:tc>
      </w:tr>
      <w:tr w:rsidR="00922AA2" w:rsidRPr="00735DA6" w14:paraId="15C724CB"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02675C0A" w14:textId="6D3AB0DC" w:rsidR="00922AA2" w:rsidRPr="00735DA6" w:rsidRDefault="00922AA2" w:rsidP="005874D5">
            <w:pPr>
              <w:spacing w:after="0" w:line="240" w:lineRule="auto"/>
              <w:rPr>
                <w:rFonts w:ascii="Arial CE" w:hAnsi="Arial CE" w:cs="Arial CE"/>
                <w:b/>
                <w:bCs/>
                <w:sz w:val="16"/>
                <w:szCs w:val="16"/>
              </w:rPr>
            </w:pPr>
            <w:r>
              <w:rPr>
                <w:rFonts w:ascii="Arial CE" w:hAnsi="Arial CE" w:cs="Arial CE"/>
                <w:b/>
                <w:bCs/>
                <w:sz w:val="16"/>
                <w:szCs w:val="16"/>
              </w:rPr>
              <w:t>Celkem</w:t>
            </w:r>
          </w:p>
        </w:tc>
        <w:tc>
          <w:tcPr>
            <w:tcW w:w="624" w:type="dxa"/>
            <w:tcBorders>
              <w:top w:val="nil"/>
              <w:left w:val="nil"/>
              <w:bottom w:val="nil"/>
              <w:right w:val="nil"/>
            </w:tcBorders>
            <w:vAlign w:val="bottom"/>
          </w:tcPr>
          <w:p w14:paraId="184ABB65" w14:textId="77C8E261" w:rsidR="00922AA2" w:rsidRDefault="00997C2A" w:rsidP="00997C2A">
            <w:pPr>
              <w:spacing w:after="0" w:line="240" w:lineRule="auto"/>
              <w:jc w:val="right"/>
              <w:rPr>
                <w:rFonts w:ascii="Arial CE" w:hAnsi="Arial CE" w:cs="Arial CE"/>
                <w:b/>
                <w:bCs/>
                <w:sz w:val="16"/>
                <w:szCs w:val="16"/>
              </w:rPr>
            </w:pPr>
            <w:r>
              <w:rPr>
                <w:rFonts w:ascii="Arial CE" w:hAnsi="Arial CE" w:cs="Arial CE"/>
                <w:b/>
                <w:bCs/>
                <w:sz w:val="16"/>
                <w:szCs w:val="16"/>
              </w:rPr>
              <w:t>5,18</w:t>
            </w:r>
          </w:p>
        </w:tc>
        <w:tc>
          <w:tcPr>
            <w:tcW w:w="624" w:type="dxa"/>
            <w:tcBorders>
              <w:top w:val="nil"/>
              <w:left w:val="nil"/>
              <w:bottom w:val="nil"/>
              <w:right w:val="nil"/>
            </w:tcBorders>
            <w:vAlign w:val="bottom"/>
          </w:tcPr>
          <w:p w14:paraId="477A3129" w14:textId="41313854" w:rsidR="00922AA2" w:rsidRPr="00735DA6" w:rsidRDefault="00922AA2" w:rsidP="00BB24C4">
            <w:pPr>
              <w:spacing w:after="0" w:line="240" w:lineRule="auto"/>
              <w:jc w:val="right"/>
              <w:rPr>
                <w:rFonts w:ascii="Arial CE" w:hAnsi="Arial CE" w:cs="Arial CE"/>
                <w:b/>
                <w:bCs/>
                <w:sz w:val="16"/>
                <w:szCs w:val="16"/>
              </w:rPr>
            </w:pPr>
            <w:r>
              <w:rPr>
                <w:rFonts w:ascii="Arial CE" w:hAnsi="Arial CE" w:cs="Arial CE"/>
                <w:b/>
                <w:bCs/>
                <w:sz w:val="16"/>
                <w:szCs w:val="16"/>
              </w:rPr>
              <w:t>4,18</w:t>
            </w:r>
          </w:p>
        </w:tc>
        <w:tc>
          <w:tcPr>
            <w:tcW w:w="624" w:type="dxa"/>
            <w:tcBorders>
              <w:top w:val="nil"/>
              <w:left w:val="nil"/>
              <w:bottom w:val="nil"/>
              <w:right w:val="nil"/>
            </w:tcBorders>
            <w:shd w:val="clear" w:color="auto" w:fill="auto"/>
            <w:noWrap/>
            <w:vAlign w:val="bottom"/>
            <w:hideMark/>
          </w:tcPr>
          <w:p w14:paraId="5242A387" w14:textId="6EFEFE99"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3,76</w:t>
            </w:r>
          </w:p>
        </w:tc>
        <w:tc>
          <w:tcPr>
            <w:tcW w:w="624" w:type="dxa"/>
            <w:tcBorders>
              <w:top w:val="nil"/>
              <w:left w:val="nil"/>
              <w:bottom w:val="nil"/>
              <w:right w:val="nil"/>
            </w:tcBorders>
            <w:shd w:val="clear" w:color="auto" w:fill="auto"/>
            <w:noWrap/>
            <w:vAlign w:val="bottom"/>
            <w:hideMark/>
          </w:tcPr>
          <w:p w14:paraId="61885F37"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3,64</w:t>
            </w:r>
          </w:p>
        </w:tc>
        <w:tc>
          <w:tcPr>
            <w:tcW w:w="624" w:type="dxa"/>
            <w:tcBorders>
              <w:top w:val="nil"/>
              <w:left w:val="nil"/>
              <w:bottom w:val="nil"/>
              <w:right w:val="nil"/>
            </w:tcBorders>
            <w:shd w:val="clear" w:color="auto" w:fill="auto"/>
            <w:noWrap/>
            <w:vAlign w:val="bottom"/>
            <w:hideMark/>
          </w:tcPr>
          <w:p w14:paraId="47B9A469"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3,45</w:t>
            </w:r>
          </w:p>
        </w:tc>
        <w:tc>
          <w:tcPr>
            <w:tcW w:w="624" w:type="dxa"/>
            <w:tcBorders>
              <w:top w:val="nil"/>
              <w:left w:val="nil"/>
              <w:bottom w:val="nil"/>
              <w:right w:val="nil"/>
            </w:tcBorders>
            <w:shd w:val="clear" w:color="auto" w:fill="auto"/>
            <w:noWrap/>
            <w:vAlign w:val="bottom"/>
            <w:hideMark/>
          </w:tcPr>
          <w:p w14:paraId="37E52B68"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3,62</w:t>
            </w:r>
          </w:p>
        </w:tc>
        <w:tc>
          <w:tcPr>
            <w:tcW w:w="624" w:type="dxa"/>
            <w:tcBorders>
              <w:top w:val="nil"/>
              <w:left w:val="nil"/>
              <w:bottom w:val="nil"/>
              <w:right w:val="nil"/>
            </w:tcBorders>
            <w:shd w:val="clear" w:color="auto" w:fill="auto"/>
            <w:noWrap/>
            <w:vAlign w:val="bottom"/>
            <w:hideMark/>
          </w:tcPr>
          <w:p w14:paraId="6DBF17C2"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3,70</w:t>
            </w:r>
          </w:p>
        </w:tc>
        <w:tc>
          <w:tcPr>
            <w:tcW w:w="624" w:type="dxa"/>
            <w:tcBorders>
              <w:top w:val="nil"/>
              <w:left w:val="nil"/>
              <w:bottom w:val="nil"/>
              <w:right w:val="nil"/>
            </w:tcBorders>
            <w:shd w:val="clear" w:color="auto" w:fill="auto"/>
            <w:noWrap/>
            <w:vAlign w:val="bottom"/>
            <w:hideMark/>
          </w:tcPr>
          <w:p w14:paraId="56FF6BA8"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4,06</w:t>
            </w:r>
          </w:p>
        </w:tc>
        <w:tc>
          <w:tcPr>
            <w:tcW w:w="624" w:type="dxa"/>
            <w:tcBorders>
              <w:top w:val="nil"/>
              <w:left w:val="nil"/>
              <w:bottom w:val="nil"/>
              <w:right w:val="nil"/>
            </w:tcBorders>
            <w:shd w:val="clear" w:color="auto" w:fill="auto"/>
            <w:noWrap/>
            <w:vAlign w:val="bottom"/>
            <w:hideMark/>
          </w:tcPr>
          <w:p w14:paraId="1FD1E160"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4,20</w:t>
            </w:r>
          </w:p>
        </w:tc>
        <w:tc>
          <w:tcPr>
            <w:tcW w:w="624" w:type="dxa"/>
            <w:tcBorders>
              <w:top w:val="nil"/>
              <w:left w:val="nil"/>
              <w:bottom w:val="nil"/>
              <w:right w:val="nil"/>
            </w:tcBorders>
            <w:shd w:val="clear" w:color="auto" w:fill="auto"/>
            <w:noWrap/>
            <w:vAlign w:val="bottom"/>
            <w:hideMark/>
          </w:tcPr>
          <w:p w14:paraId="51BFF571"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4,26</w:t>
            </w:r>
          </w:p>
        </w:tc>
        <w:tc>
          <w:tcPr>
            <w:tcW w:w="624" w:type="dxa"/>
            <w:tcBorders>
              <w:top w:val="single" w:sz="8" w:space="0" w:color="auto"/>
              <w:left w:val="nil"/>
              <w:bottom w:val="nil"/>
              <w:right w:val="nil"/>
            </w:tcBorders>
            <w:shd w:val="clear" w:color="auto" w:fill="auto"/>
            <w:noWrap/>
            <w:vAlign w:val="bottom"/>
            <w:hideMark/>
          </w:tcPr>
          <w:p w14:paraId="4C37DA86" w14:textId="77777777" w:rsidR="00922AA2" w:rsidRPr="00735DA6" w:rsidRDefault="00922AA2" w:rsidP="00735DA6">
            <w:pPr>
              <w:spacing w:after="0" w:line="240" w:lineRule="auto"/>
              <w:jc w:val="right"/>
              <w:rPr>
                <w:rFonts w:ascii="Arial CE" w:hAnsi="Arial CE" w:cs="Arial CE"/>
                <w:b/>
                <w:bCs/>
                <w:sz w:val="16"/>
                <w:szCs w:val="16"/>
              </w:rPr>
            </w:pPr>
            <w:r w:rsidRPr="00735DA6">
              <w:rPr>
                <w:rFonts w:ascii="Arial CE" w:hAnsi="Arial CE" w:cs="Arial CE"/>
                <w:b/>
                <w:bCs/>
                <w:sz w:val="16"/>
                <w:szCs w:val="16"/>
              </w:rPr>
              <w:t>4,47</w:t>
            </w:r>
          </w:p>
        </w:tc>
      </w:tr>
      <w:tr w:rsidR="00922AA2" w:rsidRPr="00735DA6" w14:paraId="4276509A"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13DB389F" w14:textId="0E8765CE" w:rsidR="00922AA2" w:rsidRPr="00735DA6" w:rsidRDefault="00922AA2" w:rsidP="005874D5">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A </w:t>
            </w:r>
            <w:r>
              <w:rPr>
                <w:rFonts w:ascii="Arial CE" w:hAnsi="Arial CE" w:cs="Arial CE"/>
                <w:sz w:val="16"/>
                <w:szCs w:val="16"/>
              </w:rPr>
              <w:t>–</w:t>
            </w:r>
            <w:r w:rsidRPr="00735DA6">
              <w:rPr>
                <w:rFonts w:ascii="Arial CE" w:hAnsi="Arial CE" w:cs="Arial CE"/>
                <w:sz w:val="16"/>
                <w:szCs w:val="16"/>
              </w:rPr>
              <w:t xml:space="preserve"> Zemědělství, lesnictví a rybářství</w:t>
            </w:r>
          </w:p>
        </w:tc>
        <w:tc>
          <w:tcPr>
            <w:tcW w:w="624" w:type="dxa"/>
            <w:tcBorders>
              <w:top w:val="nil"/>
              <w:left w:val="nil"/>
              <w:bottom w:val="nil"/>
              <w:right w:val="nil"/>
            </w:tcBorders>
            <w:vAlign w:val="bottom"/>
          </w:tcPr>
          <w:p w14:paraId="5BC67C3D" w14:textId="744284F0" w:rsidR="00922AA2" w:rsidRPr="00BB24C4" w:rsidRDefault="00997C2A" w:rsidP="00997C2A">
            <w:pPr>
              <w:spacing w:after="0" w:line="240" w:lineRule="auto"/>
              <w:jc w:val="right"/>
              <w:rPr>
                <w:rFonts w:ascii="Arial CE" w:hAnsi="Arial CE" w:cs="Arial CE"/>
                <w:sz w:val="16"/>
                <w:szCs w:val="16"/>
              </w:rPr>
            </w:pPr>
            <w:r>
              <w:rPr>
                <w:rFonts w:ascii="Arial CE" w:hAnsi="Arial CE" w:cs="Arial CE"/>
                <w:sz w:val="16"/>
                <w:szCs w:val="16"/>
              </w:rPr>
              <w:t>6,28</w:t>
            </w:r>
          </w:p>
        </w:tc>
        <w:tc>
          <w:tcPr>
            <w:tcW w:w="624" w:type="dxa"/>
            <w:tcBorders>
              <w:top w:val="nil"/>
              <w:left w:val="nil"/>
              <w:bottom w:val="nil"/>
              <w:right w:val="nil"/>
            </w:tcBorders>
            <w:vAlign w:val="bottom"/>
          </w:tcPr>
          <w:p w14:paraId="29592085" w14:textId="0603D31C" w:rsidR="00922AA2" w:rsidRPr="00735DA6" w:rsidRDefault="00922AA2" w:rsidP="00BB24C4">
            <w:pPr>
              <w:spacing w:after="0" w:line="240" w:lineRule="auto"/>
              <w:jc w:val="right"/>
              <w:rPr>
                <w:rFonts w:ascii="Arial CE" w:hAnsi="Arial CE" w:cs="Arial CE"/>
                <w:sz w:val="16"/>
                <w:szCs w:val="16"/>
              </w:rPr>
            </w:pPr>
            <w:r w:rsidRPr="00BB24C4">
              <w:rPr>
                <w:rFonts w:ascii="Arial CE" w:hAnsi="Arial CE" w:cs="Arial CE"/>
                <w:sz w:val="16"/>
                <w:szCs w:val="16"/>
              </w:rPr>
              <w:t>5,</w:t>
            </w:r>
            <w:r>
              <w:rPr>
                <w:rFonts w:ascii="Arial CE" w:hAnsi="Arial CE" w:cs="Arial CE"/>
                <w:sz w:val="16"/>
                <w:szCs w:val="16"/>
              </w:rPr>
              <w:t>20</w:t>
            </w:r>
          </w:p>
        </w:tc>
        <w:tc>
          <w:tcPr>
            <w:tcW w:w="624" w:type="dxa"/>
            <w:tcBorders>
              <w:top w:val="nil"/>
              <w:left w:val="nil"/>
              <w:bottom w:val="nil"/>
              <w:right w:val="nil"/>
            </w:tcBorders>
            <w:shd w:val="clear" w:color="auto" w:fill="auto"/>
            <w:noWrap/>
            <w:vAlign w:val="bottom"/>
            <w:hideMark/>
          </w:tcPr>
          <w:p w14:paraId="5C17DA11" w14:textId="35BCDC38"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4,85</w:t>
            </w:r>
          </w:p>
        </w:tc>
        <w:tc>
          <w:tcPr>
            <w:tcW w:w="624" w:type="dxa"/>
            <w:tcBorders>
              <w:top w:val="nil"/>
              <w:left w:val="nil"/>
              <w:bottom w:val="nil"/>
              <w:right w:val="nil"/>
            </w:tcBorders>
            <w:shd w:val="clear" w:color="auto" w:fill="auto"/>
            <w:noWrap/>
            <w:vAlign w:val="bottom"/>
            <w:hideMark/>
          </w:tcPr>
          <w:p w14:paraId="1A15A1C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4,48</w:t>
            </w:r>
          </w:p>
        </w:tc>
        <w:tc>
          <w:tcPr>
            <w:tcW w:w="624" w:type="dxa"/>
            <w:tcBorders>
              <w:top w:val="nil"/>
              <w:left w:val="nil"/>
              <w:bottom w:val="nil"/>
              <w:right w:val="nil"/>
            </w:tcBorders>
            <w:shd w:val="clear" w:color="auto" w:fill="auto"/>
            <w:noWrap/>
            <w:vAlign w:val="bottom"/>
            <w:hideMark/>
          </w:tcPr>
          <w:p w14:paraId="4AEB525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4,12</w:t>
            </w:r>
          </w:p>
        </w:tc>
        <w:tc>
          <w:tcPr>
            <w:tcW w:w="624" w:type="dxa"/>
            <w:tcBorders>
              <w:top w:val="nil"/>
              <w:left w:val="nil"/>
              <w:bottom w:val="nil"/>
              <w:right w:val="nil"/>
            </w:tcBorders>
            <w:shd w:val="clear" w:color="auto" w:fill="auto"/>
            <w:noWrap/>
            <w:vAlign w:val="bottom"/>
            <w:hideMark/>
          </w:tcPr>
          <w:p w14:paraId="40C1A1C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4,42</w:t>
            </w:r>
          </w:p>
        </w:tc>
        <w:tc>
          <w:tcPr>
            <w:tcW w:w="624" w:type="dxa"/>
            <w:tcBorders>
              <w:top w:val="nil"/>
              <w:left w:val="nil"/>
              <w:bottom w:val="nil"/>
              <w:right w:val="nil"/>
            </w:tcBorders>
            <w:shd w:val="clear" w:color="auto" w:fill="auto"/>
            <w:noWrap/>
            <w:vAlign w:val="bottom"/>
            <w:hideMark/>
          </w:tcPr>
          <w:p w14:paraId="5F690E0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4,39</w:t>
            </w:r>
          </w:p>
        </w:tc>
        <w:tc>
          <w:tcPr>
            <w:tcW w:w="624" w:type="dxa"/>
            <w:tcBorders>
              <w:top w:val="nil"/>
              <w:left w:val="nil"/>
              <w:bottom w:val="nil"/>
              <w:right w:val="nil"/>
            </w:tcBorders>
            <w:shd w:val="clear" w:color="auto" w:fill="auto"/>
            <w:noWrap/>
            <w:vAlign w:val="bottom"/>
            <w:hideMark/>
          </w:tcPr>
          <w:p w14:paraId="5C4C63E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4,82</w:t>
            </w:r>
          </w:p>
        </w:tc>
        <w:tc>
          <w:tcPr>
            <w:tcW w:w="624" w:type="dxa"/>
            <w:tcBorders>
              <w:top w:val="nil"/>
              <w:left w:val="nil"/>
              <w:bottom w:val="nil"/>
              <w:right w:val="nil"/>
            </w:tcBorders>
            <w:shd w:val="clear" w:color="auto" w:fill="auto"/>
            <w:noWrap/>
            <w:vAlign w:val="bottom"/>
            <w:hideMark/>
          </w:tcPr>
          <w:p w14:paraId="79A29A8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4,99</w:t>
            </w:r>
          </w:p>
        </w:tc>
        <w:tc>
          <w:tcPr>
            <w:tcW w:w="624" w:type="dxa"/>
            <w:tcBorders>
              <w:top w:val="nil"/>
              <w:left w:val="nil"/>
              <w:bottom w:val="nil"/>
              <w:right w:val="nil"/>
            </w:tcBorders>
            <w:shd w:val="clear" w:color="auto" w:fill="auto"/>
            <w:noWrap/>
            <w:vAlign w:val="bottom"/>
            <w:hideMark/>
          </w:tcPr>
          <w:p w14:paraId="6E0FB4B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5,11</w:t>
            </w:r>
          </w:p>
        </w:tc>
        <w:tc>
          <w:tcPr>
            <w:tcW w:w="624" w:type="dxa"/>
            <w:tcBorders>
              <w:top w:val="nil"/>
              <w:left w:val="nil"/>
              <w:bottom w:val="nil"/>
              <w:right w:val="nil"/>
            </w:tcBorders>
            <w:shd w:val="clear" w:color="auto" w:fill="auto"/>
            <w:noWrap/>
            <w:vAlign w:val="bottom"/>
            <w:hideMark/>
          </w:tcPr>
          <w:p w14:paraId="6B94B1C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5,27</w:t>
            </w:r>
          </w:p>
        </w:tc>
      </w:tr>
      <w:tr w:rsidR="00922AA2" w:rsidRPr="00735DA6" w14:paraId="372A64B9"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4FFF0E45" w14:textId="57608250"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B </w:t>
            </w:r>
            <w:r>
              <w:rPr>
                <w:rFonts w:ascii="Arial CE" w:hAnsi="Arial CE" w:cs="Arial CE"/>
                <w:sz w:val="16"/>
                <w:szCs w:val="16"/>
              </w:rPr>
              <w:t>–</w:t>
            </w:r>
            <w:r w:rsidRPr="00735DA6">
              <w:rPr>
                <w:rFonts w:ascii="Arial CE" w:hAnsi="Arial CE" w:cs="Arial CE"/>
                <w:sz w:val="16"/>
                <w:szCs w:val="16"/>
              </w:rPr>
              <w:t xml:space="preserve"> Těžba a dobývání</w:t>
            </w:r>
          </w:p>
        </w:tc>
        <w:tc>
          <w:tcPr>
            <w:tcW w:w="624" w:type="dxa"/>
            <w:tcBorders>
              <w:top w:val="nil"/>
              <w:left w:val="nil"/>
              <w:bottom w:val="nil"/>
              <w:right w:val="nil"/>
            </w:tcBorders>
            <w:vAlign w:val="bottom"/>
          </w:tcPr>
          <w:p w14:paraId="522CF327" w14:textId="4CB9E373" w:rsidR="00922AA2" w:rsidRPr="00BB24C4" w:rsidRDefault="00997C2A" w:rsidP="00997C2A">
            <w:pPr>
              <w:spacing w:after="0" w:line="240" w:lineRule="auto"/>
              <w:jc w:val="right"/>
              <w:rPr>
                <w:rFonts w:ascii="Arial CE" w:hAnsi="Arial CE" w:cs="Arial CE"/>
                <w:sz w:val="16"/>
                <w:szCs w:val="16"/>
              </w:rPr>
            </w:pPr>
            <w:r>
              <w:rPr>
                <w:rFonts w:ascii="Arial CE" w:hAnsi="Arial CE" w:cs="Arial CE"/>
                <w:sz w:val="16"/>
                <w:szCs w:val="16"/>
              </w:rPr>
              <w:t>5,65</w:t>
            </w:r>
          </w:p>
        </w:tc>
        <w:tc>
          <w:tcPr>
            <w:tcW w:w="624" w:type="dxa"/>
            <w:tcBorders>
              <w:top w:val="nil"/>
              <w:left w:val="nil"/>
              <w:bottom w:val="nil"/>
              <w:right w:val="nil"/>
            </w:tcBorders>
            <w:vAlign w:val="bottom"/>
          </w:tcPr>
          <w:p w14:paraId="739102E1" w14:textId="68990A4C" w:rsidR="00922AA2" w:rsidRPr="00735DA6" w:rsidRDefault="00922AA2" w:rsidP="00BB24C4">
            <w:pPr>
              <w:spacing w:after="0" w:line="240" w:lineRule="auto"/>
              <w:jc w:val="right"/>
              <w:rPr>
                <w:rFonts w:ascii="Arial CE" w:hAnsi="Arial CE" w:cs="Arial CE"/>
                <w:sz w:val="16"/>
                <w:szCs w:val="16"/>
              </w:rPr>
            </w:pPr>
            <w:r w:rsidRPr="00BB24C4">
              <w:rPr>
                <w:rFonts w:ascii="Arial CE" w:hAnsi="Arial CE" w:cs="Arial CE"/>
                <w:sz w:val="16"/>
                <w:szCs w:val="16"/>
              </w:rPr>
              <w:t>4,22</w:t>
            </w:r>
          </w:p>
        </w:tc>
        <w:tc>
          <w:tcPr>
            <w:tcW w:w="624" w:type="dxa"/>
            <w:tcBorders>
              <w:top w:val="nil"/>
              <w:left w:val="nil"/>
              <w:bottom w:val="nil"/>
              <w:right w:val="nil"/>
            </w:tcBorders>
            <w:shd w:val="clear" w:color="auto" w:fill="auto"/>
            <w:noWrap/>
            <w:vAlign w:val="bottom"/>
            <w:hideMark/>
          </w:tcPr>
          <w:p w14:paraId="06D33D3E" w14:textId="5B414F6E"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4,14</w:t>
            </w:r>
          </w:p>
        </w:tc>
        <w:tc>
          <w:tcPr>
            <w:tcW w:w="624" w:type="dxa"/>
            <w:tcBorders>
              <w:top w:val="nil"/>
              <w:left w:val="nil"/>
              <w:bottom w:val="nil"/>
              <w:right w:val="nil"/>
            </w:tcBorders>
            <w:shd w:val="clear" w:color="auto" w:fill="auto"/>
            <w:noWrap/>
            <w:vAlign w:val="bottom"/>
            <w:hideMark/>
          </w:tcPr>
          <w:p w14:paraId="70E134A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4,35</w:t>
            </w:r>
          </w:p>
        </w:tc>
        <w:tc>
          <w:tcPr>
            <w:tcW w:w="624" w:type="dxa"/>
            <w:tcBorders>
              <w:top w:val="nil"/>
              <w:left w:val="nil"/>
              <w:bottom w:val="nil"/>
              <w:right w:val="nil"/>
            </w:tcBorders>
            <w:shd w:val="clear" w:color="auto" w:fill="auto"/>
            <w:noWrap/>
            <w:vAlign w:val="bottom"/>
            <w:hideMark/>
          </w:tcPr>
          <w:p w14:paraId="0AAD252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4,15</w:t>
            </w:r>
          </w:p>
        </w:tc>
        <w:tc>
          <w:tcPr>
            <w:tcW w:w="624" w:type="dxa"/>
            <w:tcBorders>
              <w:top w:val="nil"/>
              <w:left w:val="nil"/>
              <w:bottom w:val="nil"/>
              <w:right w:val="nil"/>
            </w:tcBorders>
            <w:shd w:val="clear" w:color="auto" w:fill="auto"/>
            <w:noWrap/>
            <w:vAlign w:val="bottom"/>
            <w:hideMark/>
          </w:tcPr>
          <w:p w14:paraId="2F7673F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4,77</w:t>
            </w:r>
          </w:p>
        </w:tc>
        <w:tc>
          <w:tcPr>
            <w:tcW w:w="624" w:type="dxa"/>
            <w:tcBorders>
              <w:top w:val="nil"/>
              <w:left w:val="nil"/>
              <w:bottom w:val="nil"/>
              <w:right w:val="nil"/>
            </w:tcBorders>
            <w:shd w:val="clear" w:color="auto" w:fill="auto"/>
            <w:noWrap/>
            <w:vAlign w:val="bottom"/>
            <w:hideMark/>
          </w:tcPr>
          <w:p w14:paraId="6E4C038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4,73</w:t>
            </w:r>
          </w:p>
        </w:tc>
        <w:tc>
          <w:tcPr>
            <w:tcW w:w="624" w:type="dxa"/>
            <w:tcBorders>
              <w:top w:val="nil"/>
              <w:left w:val="nil"/>
              <w:bottom w:val="nil"/>
              <w:right w:val="nil"/>
            </w:tcBorders>
            <w:shd w:val="clear" w:color="auto" w:fill="auto"/>
            <w:noWrap/>
            <w:vAlign w:val="bottom"/>
            <w:hideMark/>
          </w:tcPr>
          <w:p w14:paraId="752F42D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4,94</w:t>
            </w:r>
          </w:p>
        </w:tc>
        <w:tc>
          <w:tcPr>
            <w:tcW w:w="624" w:type="dxa"/>
            <w:tcBorders>
              <w:top w:val="nil"/>
              <w:left w:val="nil"/>
              <w:bottom w:val="nil"/>
              <w:right w:val="nil"/>
            </w:tcBorders>
            <w:shd w:val="clear" w:color="auto" w:fill="auto"/>
            <w:noWrap/>
            <w:vAlign w:val="bottom"/>
            <w:hideMark/>
          </w:tcPr>
          <w:p w14:paraId="3124A10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5,83</w:t>
            </w:r>
          </w:p>
        </w:tc>
        <w:tc>
          <w:tcPr>
            <w:tcW w:w="624" w:type="dxa"/>
            <w:tcBorders>
              <w:top w:val="nil"/>
              <w:left w:val="nil"/>
              <w:bottom w:val="nil"/>
              <w:right w:val="nil"/>
            </w:tcBorders>
            <w:shd w:val="clear" w:color="auto" w:fill="auto"/>
            <w:noWrap/>
            <w:vAlign w:val="bottom"/>
            <w:hideMark/>
          </w:tcPr>
          <w:p w14:paraId="6543534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6,02</w:t>
            </w:r>
          </w:p>
        </w:tc>
        <w:tc>
          <w:tcPr>
            <w:tcW w:w="624" w:type="dxa"/>
            <w:tcBorders>
              <w:top w:val="nil"/>
              <w:left w:val="nil"/>
              <w:bottom w:val="nil"/>
              <w:right w:val="nil"/>
            </w:tcBorders>
            <w:shd w:val="clear" w:color="auto" w:fill="auto"/>
            <w:noWrap/>
            <w:vAlign w:val="bottom"/>
            <w:hideMark/>
          </w:tcPr>
          <w:p w14:paraId="62DF9A2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5,60</w:t>
            </w:r>
          </w:p>
        </w:tc>
      </w:tr>
      <w:tr w:rsidR="00922AA2" w:rsidRPr="00735DA6" w14:paraId="653C6F73"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7066E5C5" w14:textId="272BF485"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C </w:t>
            </w:r>
            <w:r>
              <w:rPr>
                <w:rFonts w:ascii="Arial CE" w:hAnsi="Arial CE" w:cs="Arial CE"/>
                <w:sz w:val="16"/>
                <w:szCs w:val="16"/>
              </w:rPr>
              <w:t>–</w:t>
            </w:r>
            <w:r w:rsidRPr="00735DA6">
              <w:rPr>
                <w:rFonts w:ascii="Arial CE" w:hAnsi="Arial CE" w:cs="Arial CE"/>
                <w:sz w:val="16"/>
                <w:szCs w:val="16"/>
              </w:rPr>
              <w:t xml:space="preserve"> Zpracovatelský průmysl</w:t>
            </w:r>
          </w:p>
        </w:tc>
        <w:tc>
          <w:tcPr>
            <w:tcW w:w="624" w:type="dxa"/>
            <w:tcBorders>
              <w:top w:val="nil"/>
              <w:left w:val="nil"/>
              <w:bottom w:val="nil"/>
              <w:right w:val="nil"/>
            </w:tcBorders>
            <w:vAlign w:val="bottom"/>
          </w:tcPr>
          <w:p w14:paraId="3C2BAE69" w14:textId="12DF5B20"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6,65</w:t>
            </w:r>
          </w:p>
        </w:tc>
        <w:tc>
          <w:tcPr>
            <w:tcW w:w="624" w:type="dxa"/>
            <w:tcBorders>
              <w:top w:val="nil"/>
              <w:left w:val="nil"/>
              <w:bottom w:val="nil"/>
              <w:right w:val="nil"/>
            </w:tcBorders>
            <w:vAlign w:val="bottom"/>
          </w:tcPr>
          <w:p w14:paraId="306C218B" w14:textId="21790E70"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5,38</w:t>
            </w:r>
          </w:p>
        </w:tc>
        <w:tc>
          <w:tcPr>
            <w:tcW w:w="624" w:type="dxa"/>
            <w:tcBorders>
              <w:top w:val="nil"/>
              <w:left w:val="nil"/>
              <w:bottom w:val="nil"/>
              <w:right w:val="nil"/>
            </w:tcBorders>
            <w:shd w:val="clear" w:color="auto" w:fill="auto"/>
            <w:noWrap/>
            <w:vAlign w:val="bottom"/>
            <w:hideMark/>
          </w:tcPr>
          <w:p w14:paraId="3689AB3B" w14:textId="1D285C5D"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4,43</w:t>
            </w:r>
          </w:p>
        </w:tc>
        <w:tc>
          <w:tcPr>
            <w:tcW w:w="624" w:type="dxa"/>
            <w:tcBorders>
              <w:top w:val="nil"/>
              <w:left w:val="nil"/>
              <w:bottom w:val="nil"/>
              <w:right w:val="nil"/>
            </w:tcBorders>
            <w:shd w:val="clear" w:color="auto" w:fill="auto"/>
            <w:noWrap/>
            <w:vAlign w:val="bottom"/>
            <w:hideMark/>
          </w:tcPr>
          <w:p w14:paraId="5A7AC93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4,24</w:t>
            </w:r>
          </w:p>
        </w:tc>
        <w:tc>
          <w:tcPr>
            <w:tcW w:w="624" w:type="dxa"/>
            <w:tcBorders>
              <w:top w:val="nil"/>
              <w:left w:val="nil"/>
              <w:bottom w:val="nil"/>
              <w:right w:val="nil"/>
            </w:tcBorders>
            <w:shd w:val="clear" w:color="auto" w:fill="auto"/>
            <w:noWrap/>
            <w:vAlign w:val="bottom"/>
            <w:hideMark/>
          </w:tcPr>
          <w:p w14:paraId="3386AB4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4,21</w:t>
            </w:r>
          </w:p>
        </w:tc>
        <w:tc>
          <w:tcPr>
            <w:tcW w:w="624" w:type="dxa"/>
            <w:tcBorders>
              <w:top w:val="nil"/>
              <w:left w:val="nil"/>
              <w:bottom w:val="nil"/>
              <w:right w:val="nil"/>
            </w:tcBorders>
            <w:shd w:val="clear" w:color="auto" w:fill="auto"/>
            <w:noWrap/>
            <w:vAlign w:val="bottom"/>
            <w:hideMark/>
          </w:tcPr>
          <w:p w14:paraId="5064E01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4,51</w:t>
            </w:r>
          </w:p>
        </w:tc>
        <w:tc>
          <w:tcPr>
            <w:tcW w:w="624" w:type="dxa"/>
            <w:tcBorders>
              <w:top w:val="nil"/>
              <w:left w:val="nil"/>
              <w:bottom w:val="nil"/>
              <w:right w:val="nil"/>
            </w:tcBorders>
            <w:shd w:val="clear" w:color="auto" w:fill="auto"/>
            <w:noWrap/>
            <w:vAlign w:val="bottom"/>
            <w:hideMark/>
          </w:tcPr>
          <w:p w14:paraId="48F689E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4,63</w:t>
            </w:r>
          </w:p>
        </w:tc>
        <w:tc>
          <w:tcPr>
            <w:tcW w:w="624" w:type="dxa"/>
            <w:tcBorders>
              <w:top w:val="nil"/>
              <w:left w:val="nil"/>
              <w:bottom w:val="nil"/>
              <w:right w:val="nil"/>
            </w:tcBorders>
            <w:shd w:val="clear" w:color="auto" w:fill="auto"/>
            <w:noWrap/>
            <w:vAlign w:val="bottom"/>
            <w:hideMark/>
          </w:tcPr>
          <w:p w14:paraId="35156D2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5,13</w:t>
            </w:r>
          </w:p>
        </w:tc>
        <w:tc>
          <w:tcPr>
            <w:tcW w:w="624" w:type="dxa"/>
            <w:tcBorders>
              <w:top w:val="nil"/>
              <w:left w:val="nil"/>
              <w:bottom w:val="nil"/>
              <w:right w:val="nil"/>
            </w:tcBorders>
            <w:shd w:val="clear" w:color="auto" w:fill="auto"/>
            <w:noWrap/>
            <w:vAlign w:val="bottom"/>
            <w:hideMark/>
          </w:tcPr>
          <w:p w14:paraId="12099C9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5,46</w:t>
            </w:r>
          </w:p>
        </w:tc>
        <w:tc>
          <w:tcPr>
            <w:tcW w:w="624" w:type="dxa"/>
            <w:tcBorders>
              <w:top w:val="nil"/>
              <w:left w:val="nil"/>
              <w:bottom w:val="nil"/>
              <w:right w:val="nil"/>
            </w:tcBorders>
            <w:shd w:val="clear" w:color="auto" w:fill="auto"/>
            <w:noWrap/>
            <w:vAlign w:val="bottom"/>
            <w:hideMark/>
          </w:tcPr>
          <w:p w14:paraId="15C9B09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5,53</w:t>
            </w:r>
          </w:p>
        </w:tc>
        <w:tc>
          <w:tcPr>
            <w:tcW w:w="624" w:type="dxa"/>
            <w:tcBorders>
              <w:top w:val="nil"/>
              <w:left w:val="nil"/>
              <w:bottom w:val="nil"/>
              <w:right w:val="nil"/>
            </w:tcBorders>
            <w:shd w:val="clear" w:color="auto" w:fill="auto"/>
            <w:noWrap/>
            <w:vAlign w:val="bottom"/>
            <w:hideMark/>
          </w:tcPr>
          <w:p w14:paraId="75875E6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5,85</w:t>
            </w:r>
          </w:p>
        </w:tc>
      </w:tr>
      <w:tr w:rsidR="00922AA2" w:rsidRPr="00735DA6" w14:paraId="35F3F59D" w14:textId="77777777" w:rsidTr="00997C2A">
        <w:trPr>
          <w:trHeight w:val="450"/>
        </w:trPr>
        <w:tc>
          <w:tcPr>
            <w:tcW w:w="2948" w:type="dxa"/>
            <w:tcBorders>
              <w:top w:val="nil"/>
              <w:left w:val="nil"/>
              <w:bottom w:val="nil"/>
              <w:right w:val="single" w:sz="4" w:space="0" w:color="auto"/>
            </w:tcBorders>
            <w:shd w:val="clear" w:color="auto" w:fill="auto"/>
            <w:vAlign w:val="center"/>
            <w:hideMark/>
          </w:tcPr>
          <w:p w14:paraId="5437745B" w14:textId="02BDCFBB" w:rsidR="00922AA2" w:rsidRDefault="00922AA2" w:rsidP="00682D5C">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D </w:t>
            </w:r>
            <w:r>
              <w:rPr>
                <w:rFonts w:ascii="Arial CE" w:hAnsi="Arial CE" w:cs="Arial CE"/>
                <w:sz w:val="16"/>
                <w:szCs w:val="16"/>
              </w:rPr>
              <w:t xml:space="preserve">– </w:t>
            </w:r>
            <w:r w:rsidRPr="00735DA6">
              <w:rPr>
                <w:rFonts w:ascii="Arial CE" w:hAnsi="Arial CE" w:cs="Arial CE"/>
                <w:sz w:val="16"/>
                <w:szCs w:val="16"/>
              </w:rPr>
              <w:t>Výroba a rozvod elektřiny, plynu,</w:t>
            </w:r>
          </w:p>
          <w:p w14:paraId="5A8C823E" w14:textId="27D6C997" w:rsidR="00922AA2" w:rsidRPr="00735DA6" w:rsidRDefault="00922AA2" w:rsidP="00682D5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tepla a klimatizovaného vzduchu</w:t>
            </w:r>
          </w:p>
        </w:tc>
        <w:tc>
          <w:tcPr>
            <w:tcW w:w="624" w:type="dxa"/>
            <w:tcBorders>
              <w:top w:val="nil"/>
              <w:left w:val="nil"/>
              <w:bottom w:val="nil"/>
              <w:right w:val="nil"/>
            </w:tcBorders>
            <w:vAlign w:val="bottom"/>
          </w:tcPr>
          <w:p w14:paraId="03FB42A2" w14:textId="14FAD48F"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6F0AECCC" w14:textId="72CED62C"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2,32</w:t>
            </w:r>
          </w:p>
        </w:tc>
        <w:tc>
          <w:tcPr>
            <w:tcW w:w="624" w:type="dxa"/>
            <w:tcBorders>
              <w:top w:val="nil"/>
              <w:left w:val="nil"/>
              <w:bottom w:val="nil"/>
              <w:right w:val="nil"/>
            </w:tcBorders>
            <w:shd w:val="clear" w:color="auto" w:fill="auto"/>
            <w:noWrap/>
            <w:vAlign w:val="bottom"/>
            <w:hideMark/>
          </w:tcPr>
          <w:p w14:paraId="5B6D5AD7" w14:textId="3F4FAF75"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2,12</w:t>
            </w:r>
          </w:p>
        </w:tc>
        <w:tc>
          <w:tcPr>
            <w:tcW w:w="624" w:type="dxa"/>
            <w:tcBorders>
              <w:top w:val="nil"/>
              <w:left w:val="nil"/>
              <w:bottom w:val="nil"/>
              <w:right w:val="nil"/>
            </w:tcBorders>
            <w:shd w:val="clear" w:color="auto" w:fill="auto"/>
            <w:noWrap/>
            <w:vAlign w:val="bottom"/>
            <w:hideMark/>
          </w:tcPr>
          <w:p w14:paraId="0D42CD8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2,09</w:t>
            </w:r>
          </w:p>
        </w:tc>
        <w:tc>
          <w:tcPr>
            <w:tcW w:w="624" w:type="dxa"/>
            <w:tcBorders>
              <w:top w:val="nil"/>
              <w:left w:val="nil"/>
              <w:bottom w:val="nil"/>
              <w:right w:val="nil"/>
            </w:tcBorders>
            <w:shd w:val="clear" w:color="auto" w:fill="auto"/>
            <w:noWrap/>
            <w:vAlign w:val="bottom"/>
            <w:hideMark/>
          </w:tcPr>
          <w:p w14:paraId="56D3DC0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1,97</w:t>
            </w:r>
          </w:p>
        </w:tc>
        <w:tc>
          <w:tcPr>
            <w:tcW w:w="624" w:type="dxa"/>
            <w:tcBorders>
              <w:top w:val="nil"/>
              <w:left w:val="nil"/>
              <w:bottom w:val="nil"/>
              <w:right w:val="nil"/>
            </w:tcBorders>
            <w:shd w:val="clear" w:color="auto" w:fill="auto"/>
            <w:noWrap/>
            <w:vAlign w:val="bottom"/>
            <w:hideMark/>
          </w:tcPr>
          <w:p w14:paraId="18AD01E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2,13</w:t>
            </w:r>
          </w:p>
        </w:tc>
        <w:tc>
          <w:tcPr>
            <w:tcW w:w="624" w:type="dxa"/>
            <w:tcBorders>
              <w:top w:val="nil"/>
              <w:left w:val="nil"/>
              <w:bottom w:val="nil"/>
              <w:right w:val="nil"/>
            </w:tcBorders>
            <w:shd w:val="clear" w:color="auto" w:fill="auto"/>
            <w:noWrap/>
            <w:vAlign w:val="bottom"/>
            <w:hideMark/>
          </w:tcPr>
          <w:p w14:paraId="402E394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2,20</w:t>
            </w:r>
          </w:p>
        </w:tc>
        <w:tc>
          <w:tcPr>
            <w:tcW w:w="624" w:type="dxa"/>
            <w:tcBorders>
              <w:top w:val="nil"/>
              <w:left w:val="nil"/>
              <w:bottom w:val="nil"/>
              <w:right w:val="nil"/>
            </w:tcBorders>
            <w:shd w:val="clear" w:color="auto" w:fill="auto"/>
            <w:noWrap/>
            <w:vAlign w:val="bottom"/>
            <w:hideMark/>
          </w:tcPr>
          <w:p w14:paraId="4858548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2,54</w:t>
            </w:r>
          </w:p>
        </w:tc>
        <w:tc>
          <w:tcPr>
            <w:tcW w:w="624" w:type="dxa"/>
            <w:tcBorders>
              <w:top w:val="nil"/>
              <w:left w:val="nil"/>
              <w:bottom w:val="nil"/>
              <w:right w:val="nil"/>
            </w:tcBorders>
            <w:shd w:val="clear" w:color="auto" w:fill="auto"/>
            <w:noWrap/>
            <w:vAlign w:val="bottom"/>
            <w:hideMark/>
          </w:tcPr>
          <w:p w14:paraId="7FAE881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2,66</w:t>
            </w:r>
          </w:p>
        </w:tc>
        <w:tc>
          <w:tcPr>
            <w:tcW w:w="624" w:type="dxa"/>
            <w:tcBorders>
              <w:top w:val="nil"/>
              <w:left w:val="nil"/>
              <w:bottom w:val="nil"/>
              <w:right w:val="nil"/>
            </w:tcBorders>
            <w:shd w:val="clear" w:color="auto" w:fill="auto"/>
            <w:noWrap/>
            <w:vAlign w:val="bottom"/>
            <w:hideMark/>
          </w:tcPr>
          <w:p w14:paraId="65A6DEA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2,79</w:t>
            </w:r>
          </w:p>
        </w:tc>
        <w:tc>
          <w:tcPr>
            <w:tcW w:w="624" w:type="dxa"/>
            <w:tcBorders>
              <w:top w:val="nil"/>
              <w:left w:val="nil"/>
              <w:bottom w:val="nil"/>
              <w:right w:val="nil"/>
            </w:tcBorders>
            <w:shd w:val="clear" w:color="auto" w:fill="auto"/>
            <w:noWrap/>
            <w:vAlign w:val="bottom"/>
            <w:hideMark/>
          </w:tcPr>
          <w:p w14:paraId="4DB8647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2,94</w:t>
            </w:r>
          </w:p>
        </w:tc>
      </w:tr>
      <w:tr w:rsidR="00922AA2" w:rsidRPr="00735DA6" w14:paraId="617FBE8B" w14:textId="77777777" w:rsidTr="00997C2A">
        <w:trPr>
          <w:trHeight w:val="675"/>
        </w:trPr>
        <w:tc>
          <w:tcPr>
            <w:tcW w:w="2948" w:type="dxa"/>
            <w:tcBorders>
              <w:top w:val="nil"/>
              <w:left w:val="nil"/>
              <w:bottom w:val="nil"/>
              <w:right w:val="single" w:sz="4" w:space="0" w:color="auto"/>
            </w:tcBorders>
            <w:shd w:val="clear" w:color="auto" w:fill="auto"/>
            <w:vAlign w:val="center"/>
            <w:hideMark/>
          </w:tcPr>
          <w:p w14:paraId="4FC9417E" w14:textId="183BAA11" w:rsidR="00922AA2"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E </w:t>
            </w:r>
            <w:r>
              <w:rPr>
                <w:rFonts w:ascii="Arial CE" w:hAnsi="Arial CE" w:cs="Arial CE"/>
                <w:sz w:val="16"/>
                <w:szCs w:val="16"/>
              </w:rPr>
              <w:t xml:space="preserve">– </w:t>
            </w:r>
            <w:r w:rsidRPr="00735DA6">
              <w:rPr>
                <w:rFonts w:ascii="Arial CE" w:hAnsi="Arial CE" w:cs="Arial CE"/>
                <w:sz w:val="16"/>
                <w:szCs w:val="16"/>
              </w:rPr>
              <w:t>Zásobování vodou; činnosti</w:t>
            </w:r>
          </w:p>
          <w:p w14:paraId="79F5564C" w14:textId="3B251266" w:rsidR="00922AA2" w:rsidRDefault="00922AA2" w:rsidP="00682D5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 xml:space="preserve"> </w:t>
            </w:r>
            <w:r>
              <w:rPr>
                <w:rFonts w:ascii="Arial CE" w:hAnsi="Arial CE" w:cs="Arial CE"/>
                <w:sz w:val="16"/>
                <w:szCs w:val="16"/>
              </w:rPr>
              <w:t xml:space="preserve"> </w:t>
            </w:r>
            <w:r w:rsidRPr="00735DA6">
              <w:rPr>
                <w:rFonts w:ascii="Arial CE" w:hAnsi="Arial CE" w:cs="Arial CE"/>
                <w:sz w:val="16"/>
                <w:szCs w:val="16"/>
              </w:rPr>
              <w:t xml:space="preserve">související s odpadními </w:t>
            </w:r>
            <w:r>
              <w:rPr>
                <w:rFonts w:ascii="Arial CE" w:hAnsi="Arial CE" w:cs="Arial CE"/>
                <w:sz w:val="16"/>
                <w:szCs w:val="16"/>
              </w:rPr>
              <w:t>v</w:t>
            </w:r>
            <w:r w:rsidRPr="00735DA6">
              <w:rPr>
                <w:rFonts w:ascii="Arial CE" w:hAnsi="Arial CE" w:cs="Arial CE"/>
                <w:sz w:val="16"/>
                <w:szCs w:val="16"/>
              </w:rPr>
              <w:t xml:space="preserve">odami, </w:t>
            </w:r>
          </w:p>
          <w:p w14:paraId="6B225895" w14:textId="791B851E" w:rsidR="00922AA2" w:rsidRPr="00735DA6" w:rsidRDefault="00922AA2" w:rsidP="00682D5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odpady a sanacemi</w:t>
            </w:r>
          </w:p>
        </w:tc>
        <w:tc>
          <w:tcPr>
            <w:tcW w:w="624" w:type="dxa"/>
            <w:tcBorders>
              <w:top w:val="nil"/>
              <w:left w:val="nil"/>
              <w:bottom w:val="nil"/>
              <w:right w:val="nil"/>
            </w:tcBorders>
            <w:vAlign w:val="bottom"/>
          </w:tcPr>
          <w:p w14:paraId="54D872D7" w14:textId="69551FC6"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45DDFF6F" w14:textId="59380303"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4,32</w:t>
            </w:r>
          </w:p>
        </w:tc>
        <w:tc>
          <w:tcPr>
            <w:tcW w:w="624" w:type="dxa"/>
            <w:tcBorders>
              <w:top w:val="nil"/>
              <w:left w:val="nil"/>
              <w:bottom w:val="nil"/>
              <w:right w:val="nil"/>
            </w:tcBorders>
            <w:shd w:val="clear" w:color="auto" w:fill="auto"/>
            <w:noWrap/>
            <w:vAlign w:val="bottom"/>
            <w:hideMark/>
          </w:tcPr>
          <w:p w14:paraId="1FAD3016" w14:textId="112B5163"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3,84</w:t>
            </w:r>
          </w:p>
        </w:tc>
        <w:tc>
          <w:tcPr>
            <w:tcW w:w="624" w:type="dxa"/>
            <w:tcBorders>
              <w:top w:val="nil"/>
              <w:left w:val="nil"/>
              <w:bottom w:val="nil"/>
              <w:right w:val="nil"/>
            </w:tcBorders>
            <w:shd w:val="clear" w:color="auto" w:fill="auto"/>
            <w:noWrap/>
            <w:vAlign w:val="bottom"/>
            <w:hideMark/>
          </w:tcPr>
          <w:p w14:paraId="521A7B75"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3,61</w:t>
            </w:r>
          </w:p>
        </w:tc>
        <w:tc>
          <w:tcPr>
            <w:tcW w:w="624" w:type="dxa"/>
            <w:tcBorders>
              <w:top w:val="nil"/>
              <w:left w:val="nil"/>
              <w:bottom w:val="nil"/>
              <w:right w:val="nil"/>
            </w:tcBorders>
            <w:shd w:val="clear" w:color="auto" w:fill="auto"/>
            <w:noWrap/>
            <w:vAlign w:val="bottom"/>
            <w:hideMark/>
          </w:tcPr>
          <w:p w14:paraId="5CFF0B9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3,36</w:t>
            </w:r>
          </w:p>
        </w:tc>
        <w:tc>
          <w:tcPr>
            <w:tcW w:w="624" w:type="dxa"/>
            <w:tcBorders>
              <w:top w:val="nil"/>
              <w:left w:val="nil"/>
              <w:bottom w:val="nil"/>
              <w:right w:val="nil"/>
            </w:tcBorders>
            <w:shd w:val="clear" w:color="auto" w:fill="auto"/>
            <w:noWrap/>
            <w:vAlign w:val="bottom"/>
            <w:hideMark/>
          </w:tcPr>
          <w:p w14:paraId="3F6BD89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3,69</w:t>
            </w:r>
          </w:p>
        </w:tc>
        <w:tc>
          <w:tcPr>
            <w:tcW w:w="624" w:type="dxa"/>
            <w:tcBorders>
              <w:top w:val="nil"/>
              <w:left w:val="nil"/>
              <w:bottom w:val="nil"/>
              <w:right w:val="nil"/>
            </w:tcBorders>
            <w:shd w:val="clear" w:color="auto" w:fill="auto"/>
            <w:noWrap/>
            <w:vAlign w:val="bottom"/>
            <w:hideMark/>
          </w:tcPr>
          <w:p w14:paraId="2761496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3,92</w:t>
            </w:r>
          </w:p>
        </w:tc>
        <w:tc>
          <w:tcPr>
            <w:tcW w:w="624" w:type="dxa"/>
            <w:tcBorders>
              <w:top w:val="nil"/>
              <w:left w:val="nil"/>
              <w:bottom w:val="nil"/>
              <w:right w:val="nil"/>
            </w:tcBorders>
            <w:shd w:val="clear" w:color="auto" w:fill="auto"/>
            <w:noWrap/>
            <w:vAlign w:val="bottom"/>
            <w:hideMark/>
          </w:tcPr>
          <w:p w14:paraId="5A4932B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4,25</w:t>
            </w:r>
          </w:p>
        </w:tc>
        <w:tc>
          <w:tcPr>
            <w:tcW w:w="624" w:type="dxa"/>
            <w:tcBorders>
              <w:top w:val="nil"/>
              <w:left w:val="nil"/>
              <w:bottom w:val="nil"/>
              <w:right w:val="nil"/>
            </w:tcBorders>
            <w:shd w:val="clear" w:color="auto" w:fill="auto"/>
            <w:noWrap/>
            <w:vAlign w:val="bottom"/>
            <w:hideMark/>
          </w:tcPr>
          <w:p w14:paraId="452B182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4,43</w:t>
            </w:r>
          </w:p>
        </w:tc>
        <w:tc>
          <w:tcPr>
            <w:tcW w:w="624" w:type="dxa"/>
            <w:tcBorders>
              <w:top w:val="nil"/>
              <w:left w:val="nil"/>
              <w:bottom w:val="nil"/>
              <w:right w:val="nil"/>
            </w:tcBorders>
            <w:shd w:val="clear" w:color="auto" w:fill="auto"/>
            <w:noWrap/>
            <w:vAlign w:val="bottom"/>
            <w:hideMark/>
          </w:tcPr>
          <w:p w14:paraId="214983A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4,60</w:t>
            </w:r>
          </w:p>
        </w:tc>
        <w:tc>
          <w:tcPr>
            <w:tcW w:w="624" w:type="dxa"/>
            <w:tcBorders>
              <w:top w:val="nil"/>
              <w:left w:val="nil"/>
              <w:bottom w:val="nil"/>
              <w:right w:val="nil"/>
            </w:tcBorders>
            <w:shd w:val="clear" w:color="auto" w:fill="auto"/>
            <w:noWrap/>
            <w:vAlign w:val="bottom"/>
            <w:hideMark/>
          </w:tcPr>
          <w:p w14:paraId="1C4D6DF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4,93</w:t>
            </w:r>
          </w:p>
        </w:tc>
      </w:tr>
      <w:tr w:rsidR="00922AA2" w:rsidRPr="00735DA6" w14:paraId="6DE81DC6"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7CBDCE55" w14:textId="56232C56"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F </w:t>
            </w:r>
            <w:r>
              <w:rPr>
                <w:rFonts w:ascii="Arial CE" w:hAnsi="Arial CE" w:cs="Arial CE"/>
                <w:sz w:val="16"/>
                <w:szCs w:val="16"/>
              </w:rPr>
              <w:t xml:space="preserve">– </w:t>
            </w:r>
            <w:r w:rsidRPr="00735DA6">
              <w:rPr>
                <w:rFonts w:ascii="Arial CE" w:hAnsi="Arial CE" w:cs="Arial CE"/>
                <w:sz w:val="16"/>
                <w:szCs w:val="16"/>
              </w:rPr>
              <w:t>Stavebnictví</w:t>
            </w:r>
          </w:p>
        </w:tc>
        <w:tc>
          <w:tcPr>
            <w:tcW w:w="624" w:type="dxa"/>
            <w:tcBorders>
              <w:top w:val="nil"/>
              <w:left w:val="nil"/>
              <w:bottom w:val="nil"/>
              <w:right w:val="nil"/>
            </w:tcBorders>
            <w:vAlign w:val="bottom"/>
          </w:tcPr>
          <w:p w14:paraId="22D008FC" w14:textId="3AB395CF"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5,77</w:t>
            </w:r>
          </w:p>
        </w:tc>
        <w:tc>
          <w:tcPr>
            <w:tcW w:w="624" w:type="dxa"/>
            <w:tcBorders>
              <w:top w:val="nil"/>
              <w:left w:val="nil"/>
              <w:bottom w:val="nil"/>
              <w:right w:val="nil"/>
            </w:tcBorders>
            <w:vAlign w:val="bottom"/>
          </w:tcPr>
          <w:p w14:paraId="545D1B7A" w14:textId="0EBA7966"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4,79</w:t>
            </w:r>
          </w:p>
        </w:tc>
        <w:tc>
          <w:tcPr>
            <w:tcW w:w="624" w:type="dxa"/>
            <w:tcBorders>
              <w:top w:val="nil"/>
              <w:left w:val="nil"/>
              <w:bottom w:val="nil"/>
              <w:right w:val="nil"/>
            </w:tcBorders>
            <w:shd w:val="clear" w:color="auto" w:fill="auto"/>
            <w:noWrap/>
            <w:vAlign w:val="bottom"/>
            <w:hideMark/>
          </w:tcPr>
          <w:p w14:paraId="18A18C0A" w14:textId="709D0F33"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4,84</w:t>
            </w:r>
          </w:p>
        </w:tc>
        <w:tc>
          <w:tcPr>
            <w:tcW w:w="624" w:type="dxa"/>
            <w:tcBorders>
              <w:top w:val="nil"/>
              <w:left w:val="nil"/>
              <w:bottom w:val="nil"/>
              <w:right w:val="nil"/>
            </w:tcBorders>
            <w:shd w:val="clear" w:color="auto" w:fill="auto"/>
            <w:noWrap/>
            <w:vAlign w:val="bottom"/>
            <w:hideMark/>
          </w:tcPr>
          <w:p w14:paraId="08862A8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4,72</w:t>
            </w:r>
          </w:p>
        </w:tc>
        <w:tc>
          <w:tcPr>
            <w:tcW w:w="624" w:type="dxa"/>
            <w:tcBorders>
              <w:top w:val="nil"/>
              <w:left w:val="nil"/>
              <w:bottom w:val="nil"/>
              <w:right w:val="nil"/>
            </w:tcBorders>
            <w:shd w:val="clear" w:color="auto" w:fill="auto"/>
            <w:noWrap/>
            <w:vAlign w:val="bottom"/>
            <w:hideMark/>
          </w:tcPr>
          <w:p w14:paraId="1E1A878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4,24</w:t>
            </w:r>
          </w:p>
        </w:tc>
        <w:tc>
          <w:tcPr>
            <w:tcW w:w="624" w:type="dxa"/>
            <w:tcBorders>
              <w:top w:val="nil"/>
              <w:left w:val="nil"/>
              <w:bottom w:val="nil"/>
              <w:right w:val="nil"/>
            </w:tcBorders>
            <w:shd w:val="clear" w:color="auto" w:fill="auto"/>
            <w:noWrap/>
            <w:vAlign w:val="bottom"/>
            <w:hideMark/>
          </w:tcPr>
          <w:p w14:paraId="7ACD79D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4,52</w:t>
            </w:r>
          </w:p>
        </w:tc>
        <w:tc>
          <w:tcPr>
            <w:tcW w:w="624" w:type="dxa"/>
            <w:tcBorders>
              <w:top w:val="nil"/>
              <w:left w:val="nil"/>
              <w:bottom w:val="nil"/>
              <w:right w:val="nil"/>
            </w:tcBorders>
            <w:shd w:val="clear" w:color="auto" w:fill="auto"/>
            <w:noWrap/>
            <w:vAlign w:val="bottom"/>
            <w:hideMark/>
          </w:tcPr>
          <w:p w14:paraId="37C8115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4,38</w:t>
            </w:r>
          </w:p>
        </w:tc>
        <w:tc>
          <w:tcPr>
            <w:tcW w:w="624" w:type="dxa"/>
            <w:tcBorders>
              <w:top w:val="nil"/>
              <w:left w:val="nil"/>
              <w:bottom w:val="nil"/>
              <w:right w:val="nil"/>
            </w:tcBorders>
            <w:shd w:val="clear" w:color="auto" w:fill="auto"/>
            <w:noWrap/>
            <w:vAlign w:val="bottom"/>
            <w:hideMark/>
          </w:tcPr>
          <w:p w14:paraId="114ED1C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4,55</w:t>
            </w:r>
          </w:p>
        </w:tc>
        <w:tc>
          <w:tcPr>
            <w:tcW w:w="624" w:type="dxa"/>
            <w:tcBorders>
              <w:top w:val="nil"/>
              <w:left w:val="nil"/>
              <w:bottom w:val="nil"/>
              <w:right w:val="nil"/>
            </w:tcBorders>
            <w:shd w:val="clear" w:color="auto" w:fill="auto"/>
            <w:noWrap/>
            <w:vAlign w:val="bottom"/>
            <w:hideMark/>
          </w:tcPr>
          <w:p w14:paraId="17D1E96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4,65</w:t>
            </w:r>
          </w:p>
        </w:tc>
        <w:tc>
          <w:tcPr>
            <w:tcW w:w="624" w:type="dxa"/>
            <w:tcBorders>
              <w:top w:val="nil"/>
              <w:left w:val="nil"/>
              <w:bottom w:val="nil"/>
              <w:right w:val="nil"/>
            </w:tcBorders>
            <w:shd w:val="clear" w:color="auto" w:fill="auto"/>
            <w:noWrap/>
            <w:vAlign w:val="bottom"/>
            <w:hideMark/>
          </w:tcPr>
          <w:p w14:paraId="6AF4CE4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4,67</w:t>
            </w:r>
          </w:p>
        </w:tc>
        <w:tc>
          <w:tcPr>
            <w:tcW w:w="624" w:type="dxa"/>
            <w:tcBorders>
              <w:top w:val="nil"/>
              <w:left w:val="nil"/>
              <w:bottom w:val="nil"/>
              <w:right w:val="nil"/>
            </w:tcBorders>
            <w:shd w:val="clear" w:color="auto" w:fill="auto"/>
            <w:noWrap/>
            <w:vAlign w:val="bottom"/>
            <w:hideMark/>
          </w:tcPr>
          <w:p w14:paraId="4C9AE8F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4,67</w:t>
            </w:r>
          </w:p>
        </w:tc>
      </w:tr>
      <w:tr w:rsidR="00922AA2" w:rsidRPr="00735DA6" w14:paraId="0F5AD46A" w14:textId="77777777" w:rsidTr="00997C2A">
        <w:trPr>
          <w:trHeight w:val="675"/>
        </w:trPr>
        <w:tc>
          <w:tcPr>
            <w:tcW w:w="2948" w:type="dxa"/>
            <w:tcBorders>
              <w:top w:val="nil"/>
              <w:left w:val="nil"/>
              <w:bottom w:val="nil"/>
              <w:right w:val="single" w:sz="4" w:space="0" w:color="auto"/>
            </w:tcBorders>
            <w:shd w:val="clear" w:color="auto" w:fill="auto"/>
            <w:vAlign w:val="center"/>
            <w:hideMark/>
          </w:tcPr>
          <w:p w14:paraId="0A10EF17" w14:textId="6FE6B990" w:rsidR="00922AA2"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G </w:t>
            </w:r>
            <w:r>
              <w:rPr>
                <w:rFonts w:ascii="Arial CE" w:hAnsi="Arial CE" w:cs="Arial CE"/>
                <w:sz w:val="16"/>
                <w:szCs w:val="16"/>
              </w:rPr>
              <w:t xml:space="preserve">– </w:t>
            </w:r>
            <w:r w:rsidRPr="00735DA6">
              <w:rPr>
                <w:rFonts w:ascii="Arial CE" w:hAnsi="Arial CE" w:cs="Arial CE"/>
                <w:sz w:val="16"/>
                <w:szCs w:val="16"/>
              </w:rPr>
              <w:t xml:space="preserve">Velkoobchod a maloobchod; </w:t>
            </w:r>
          </w:p>
          <w:p w14:paraId="21DFC48C" w14:textId="7949F786" w:rsidR="00922AA2" w:rsidRDefault="00922AA2" w:rsidP="00735DA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opravy a údržba </w:t>
            </w:r>
            <w:r w:rsidRPr="00735DA6">
              <w:rPr>
                <w:rFonts w:ascii="Arial CE" w:hAnsi="Arial CE" w:cs="Arial CE"/>
                <w:sz w:val="16"/>
                <w:szCs w:val="16"/>
              </w:rPr>
              <w:t xml:space="preserve">motorových </w:t>
            </w:r>
          </w:p>
          <w:p w14:paraId="7CCB3128" w14:textId="1AF7A856" w:rsidR="00922AA2" w:rsidRPr="00735DA6" w:rsidRDefault="00922AA2" w:rsidP="00735DA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vozidel</w:t>
            </w:r>
          </w:p>
        </w:tc>
        <w:tc>
          <w:tcPr>
            <w:tcW w:w="624" w:type="dxa"/>
            <w:tcBorders>
              <w:top w:val="nil"/>
              <w:left w:val="nil"/>
              <w:bottom w:val="nil"/>
              <w:right w:val="nil"/>
            </w:tcBorders>
            <w:vAlign w:val="bottom"/>
          </w:tcPr>
          <w:p w14:paraId="60FA106E" w14:textId="4EBF3245"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5,05</w:t>
            </w:r>
          </w:p>
        </w:tc>
        <w:tc>
          <w:tcPr>
            <w:tcW w:w="624" w:type="dxa"/>
            <w:tcBorders>
              <w:top w:val="nil"/>
              <w:left w:val="nil"/>
              <w:bottom w:val="nil"/>
              <w:right w:val="nil"/>
            </w:tcBorders>
            <w:vAlign w:val="bottom"/>
          </w:tcPr>
          <w:p w14:paraId="32B9CC1A" w14:textId="21F5779A"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4,14</w:t>
            </w:r>
          </w:p>
        </w:tc>
        <w:tc>
          <w:tcPr>
            <w:tcW w:w="624" w:type="dxa"/>
            <w:tcBorders>
              <w:top w:val="nil"/>
              <w:left w:val="nil"/>
              <w:bottom w:val="nil"/>
              <w:right w:val="nil"/>
            </w:tcBorders>
            <w:shd w:val="clear" w:color="auto" w:fill="auto"/>
            <w:noWrap/>
            <w:vAlign w:val="bottom"/>
            <w:hideMark/>
          </w:tcPr>
          <w:p w14:paraId="1A29D208" w14:textId="12F3EC38"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3,86</w:t>
            </w:r>
          </w:p>
        </w:tc>
        <w:tc>
          <w:tcPr>
            <w:tcW w:w="624" w:type="dxa"/>
            <w:tcBorders>
              <w:top w:val="nil"/>
              <w:left w:val="nil"/>
              <w:bottom w:val="nil"/>
              <w:right w:val="nil"/>
            </w:tcBorders>
            <w:shd w:val="clear" w:color="auto" w:fill="auto"/>
            <w:noWrap/>
            <w:vAlign w:val="bottom"/>
            <w:hideMark/>
          </w:tcPr>
          <w:p w14:paraId="516B322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3,62</w:t>
            </w:r>
          </w:p>
        </w:tc>
        <w:tc>
          <w:tcPr>
            <w:tcW w:w="624" w:type="dxa"/>
            <w:tcBorders>
              <w:top w:val="nil"/>
              <w:left w:val="nil"/>
              <w:bottom w:val="nil"/>
              <w:right w:val="nil"/>
            </w:tcBorders>
            <w:shd w:val="clear" w:color="auto" w:fill="auto"/>
            <w:noWrap/>
            <w:vAlign w:val="bottom"/>
            <w:hideMark/>
          </w:tcPr>
          <w:p w14:paraId="1870EE2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3,36</w:t>
            </w:r>
          </w:p>
        </w:tc>
        <w:tc>
          <w:tcPr>
            <w:tcW w:w="624" w:type="dxa"/>
            <w:tcBorders>
              <w:top w:val="nil"/>
              <w:left w:val="nil"/>
              <w:bottom w:val="nil"/>
              <w:right w:val="nil"/>
            </w:tcBorders>
            <w:shd w:val="clear" w:color="auto" w:fill="auto"/>
            <w:noWrap/>
            <w:vAlign w:val="bottom"/>
            <w:hideMark/>
          </w:tcPr>
          <w:p w14:paraId="3F6DD13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3,55</w:t>
            </w:r>
          </w:p>
        </w:tc>
        <w:tc>
          <w:tcPr>
            <w:tcW w:w="624" w:type="dxa"/>
            <w:tcBorders>
              <w:top w:val="nil"/>
              <w:left w:val="nil"/>
              <w:bottom w:val="nil"/>
              <w:right w:val="nil"/>
            </w:tcBorders>
            <w:shd w:val="clear" w:color="auto" w:fill="auto"/>
            <w:noWrap/>
            <w:vAlign w:val="bottom"/>
            <w:hideMark/>
          </w:tcPr>
          <w:p w14:paraId="72FF426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3,63</w:t>
            </w:r>
          </w:p>
        </w:tc>
        <w:tc>
          <w:tcPr>
            <w:tcW w:w="624" w:type="dxa"/>
            <w:tcBorders>
              <w:top w:val="nil"/>
              <w:left w:val="nil"/>
              <w:bottom w:val="nil"/>
              <w:right w:val="nil"/>
            </w:tcBorders>
            <w:shd w:val="clear" w:color="auto" w:fill="auto"/>
            <w:noWrap/>
            <w:vAlign w:val="bottom"/>
            <w:hideMark/>
          </w:tcPr>
          <w:p w14:paraId="45A26D9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3,87</w:t>
            </w:r>
          </w:p>
        </w:tc>
        <w:tc>
          <w:tcPr>
            <w:tcW w:w="624" w:type="dxa"/>
            <w:tcBorders>
              <w:top w:val="nil"/>
              <w:left w:val="nil"/>
              <w:bottom w:val="nil"/>
              <w:right w:val="nil"/>
            </w:tcBorders>
            <w:shd w:val="clear" w:color="auto" w:fill="auto"/>
            <w:noWrap/>
            <w:vAlign w:val="bottom"/>
            <w:hideMark/>
          </w:tcPr>
          <w:p w14:paraId="0351FD9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4,14</w:t>
            </w:r>
          </w:p>
        </w:tc>
        <w:tc>
          <w:tcPr>
            <w:tcW w:w="624" w:type="dxa"/>
            <w:tcBorders>
              <w:top w:val="nil"/>
              <w:left w:val="nil"/>
              <w:bottom w:val="nil"/>
              <w:right w:val="nil"/>
            </w:tcBorders>
            <w:shd w:val="clear" w:color="auto" w:fill="auto"/>
            <w:noWrap/>
            <w:vAlign w:val="bottom"/>
            <w:hideMark/>
          </w:tcPr>
          <w:p w14:paraId="7B79456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4,24</w:t>
            </w:r>
          </w:p>
        </w:tc>
        <w:tc>
          <w:tcPr>
            <w:tcW w:w="624" w:type="dxa"/>
            <w:tcBorders>
              <w:top w:val="nil"/>
              <w:left w:val="nil"/>
              <w:bottom w:val="nil"/>
              <w:right w:val="nil"/>
            </w:tcBorders>
            <w:shd w:val="clear" w:color="auto" w:fill="auto"/>
            <w:noWrap/>
            <w:vAlign w:val="bottom"/>
            <w:hideMark/>
          </w:tcPr>
          <w:p w14:paraId="7668037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4,55</w:t>
            </w:r>
          </w:p>
        </w:tc>
      </w:tr>
      <w:tr w:rsidR="00922AA2" w:rsidRPr="00735DA6" w14:paraId="6E45C095"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2A939FAE" w14:textId="72B49755"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H </w:t>
            </w:r>
            <w:r>
              <w:rPr>
                <w:rFonts w:ascii="Arial CE" w:hAnsi="Arial CE" w:cs="Arial CE"/>
                <w:sz w:val="16"/>
                <w:szCs w:val="16"/>
              </w:rPr>
              <w:t xml:space="preserve">– </w:t>
            </w:r>
            <w:r w:rsidRPr="00735DA6">
              <w:rPr>
                <w:rFonts w:ascii="Arial CE" w:hAnsi="Arial CE" w:cs="Arial CE"/>
                <w:sz w:val="16"/>
                <w:szCs w:val="16"/>
              </w:rPr>
              <w:t>Doprava a skladování</w:t>
            </w:r>
          </w:p>
        </w:tc>
        <w:tc>
          <w:tcPr>
            <w:tcW w:w="624" w:type="dxa"/>
            <w:tcBorders>
              <w:top w:val="nil"/>
              <w:left w:val="nil"/>
              <w:bottom w:val="nil"/>
              <w:right w:val="nil"/>
            </w:tcBorders>
            <w:vAlign w:val="bottom"/>
          </w:tcPr>
          <w:p w14:paraId="05ED893B" w14:textId="025F9195"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20774C05" w14:textId="745542B8"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4,17</w:t>
            </w:r>
          </w:p>
        </w:tc>
        <w:tc>
          <w:tcPr>
            <w:tcW w:w="624" w:type="dxa"/>
            <w:tcBorders>
              <w:top w:val="nil"/>
              <w:left w:val="nil"/>
              <w:bottom w:val="nil"/>
              <w:right w:val="nil"/>
            </w:tcBorders>
            <w:shd w:val="clear" w:color="auto" w:fill="auto"/>
            <w:noWrap/>
            <w:vAlign w:val="bottom"/>
            <w:hideMark/>
          </w:tcPr>
          <w:p w14:paraId="7C61A063" w14:textId="1CD7DE49"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3,85</w:t>
            </w:r>
          </w:p>
        </w:tc>
        <w:tc>
          <w:tcPr>
            <w:tcW w:w="624" w:type="dxa"/>
            <w:tcBorders>
              <w:top w:val="nil"/>
              <w:left w:val="nil"/>
              <w:bottom w:val="nil"/>
              <w:right w:val="nil"/>
            </w:tcBorders>
            <w:shd w:val="clear" w:color="auto" w:fill="auto"/>
            <w:noWrap/>
            <w:vAlign w:val="bottom"/>
            <w:hideMark/>
          </w:tcPr>
          <w:p w14:paraId="4852EF6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3,63</w:t>
            </w:r>
          </w:p>
        </w:tc>
        <w:tc>
          <w:tcPr>
            <w:tcW w:w="624" w:type="dxa"/>
            <w:tcBorders>
              <w:top w:val="nil"/>
              <w:left w:val="nil"/>
              <w:bottom w:val="nil"/>
              <w:right w:val="nil"/>
            </w:tcBorders>
            <w:shd w:val="clear" w:color="auto" w:fill="auto"/>
            <w:noWrap/>
            <w:vAlign w:val="bottom"/>
            <w:hideMark/>
          </w:tcPr>
          <w:p w14:paraId="30B7ED0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3,45</w:t>
            </w:r>
          </w:p>
        </w:tc>
        <w:tc>
          <w:tcPr>
            <w:tcW w:w="624" w:type="dxa"/>
            <w:tcBorders>
              <w:top w:val="nil"/>
              <w:left w:val="nil"/>
              <w:bottom w:val="nil"/>
              <w:right w:val="nil"/>
            </w:tcBorders>
            <w:shd w:val="clear" w:color="auto" w:fill="auto"/>
            <w:noWrap/>
            <w:vAlign w:val="bottom"/>
            <w:hideMark/>
          </w:tcPr>
          <w:p w14:paraId="1B0C395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3,77</w:t>
            </w:r>
          </w:p>
        </w:tc>
        <w:tc>
          <w:tcPr>
            <w:tcW w:w="624" w:type="dxa"/>
            <w:tcBorders>
              <w:top w:val="nil"/>
              <w:left w:val="nil"/>
              <w:bottom w:val="nil"/>
              <w:right w:val="nil"/>
            </w:tcBorders>
            <w:shd w:val="clear" w:color="auto" w:fill="auto"/>
            <w:noWrap/>
            <w:vAlign w:val="bottom"/>
            <w:hideMark/>
          </w:tcPr>
          <w:p w14:paraId="3F00DA15"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3,80</w:t>
            </w:r>
          </w:p>
        </w:tc>
        <w:tc>
          <w:tcPr>
            <w:tcW w:w="624" w:type="dxa"/>
            <w:tcBorders>
              <w:top w:val="nil"/>
              <w:left w:val="nil"/>
              <w:bottom w:val="nil"/>
              <w:right w:val="nil"/>
            </w:tcBorders>
            <w:shd w:val="clear" w:color="auto" w:fill="auto"/>
            <w:noWrap/>
            <w:vAlign w:val="bottom"/>
            <w:hideMark/>
          </w:tcPr>
          <w:p w14:paraId="1EBB2DC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4,07</w:t>
            </w:r>
          </w:p>
        </w:tc>
        <w:tc>
          <w:tcPr>
            <w:tcW w:w="624" w:type="dxa"/>
            <w:tcBorders>
              <w:top w:val="nil"/>
              <w:left w:val="nil"/>
              <w:bottom w:val="nil"/>
              <w:right w:val="nil"/>
            </w:tcBorders>
            <w:shd w:val="clear" w:color="auto" w:fill="auto"/>
            <w:noWrap/>
            <w:vAlign w:val="bottom"/>
            <w:hideMark/>
          </w:tcPr>
          <w:p w14:paraId="0DD8C09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4,21</w:t>
            </w:r>
          </w:p>
        </w:tc>
        <w:tc>
          <w:tcPr>
            <w:tcW w:w="624" w:type="dxa"/>
            <w:tcBorders>
              <w:top w:val="nil"/>
              <w:left w:val="nil"/>
              <w:bottom w:val="nil"/>
              <w:right w:val="nil"/>
            </w:tcBorders>
            <w:shd w:val="clear" w:color="auto" w:fill="auto"/>
            <w:noWrap/>
            <w:vAlign w:val="bottom"/>
            <w:hideMark/>
          </w:tcPr>
          <w:p w14:paraId="4F61B77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4,41</w:t>
            </w:r>
          </w:p>
        </w:tc>
        <w:tc>
          <w:tcPr>
            <w:tcW w:w="624" w:type="dxa"/>
            <w:tcBorders>
              <w:top w:val="nil"/>
              <w:left w:val="nil"/>
              <w:bottom w:val="nil"/>
              <w:right w:val="nil"/>
            </w:tcBorders>
            <w:shd w:val="clear" w:color="auto" w:fill="auto"/>
            <w:noWrap/>
            <w:vAlign w:val="bottom"/>
            <w:hideMark/>
          </w:tcPr>
          <w:p w14:paraId="72C7990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4,75</w:t>
            </w:r>
          </w:p>
        </w:tc>
      </w:tr>
      <w:tr w:rsidR="00922AA2" w:rsidRPr="00735DA6" w14:paraId="3874006C" w14:textId="77777777" w:rsidTr="00997C2A">
        <w:trPr>
          <w:trHeight w:val="450"/>
        </w:trPr>
        <w:tc>
          <w:tcPr>
            <w:tcW w:w="2948" w:type="dxa"/>
            <w:tcBorders>
              <w:top w:val="nil"/>
              <w:left w:val="nil"/>
              <w:bottom w:val="nil"/>
              <w:right w:val="single" w:sz="4" w:space="0" w:color="auto"/>
            </w:tcBorders>
            <w:shd w:val="clear" w:color="auto" w:fill="auto"/>
            <w:vAlign w:val="center"/>
            <w:hideMark/>
          </w:tcPr>
          <w:p w14:paraId="6281851F" w14:textId="77777777" w:rsidR="00776E3B"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I </w:t>
            </w:r>
            <w:r>
              <w:rPr>
                <w:rFonts w:ascii="Arial CE" w:hAnsi="Arial CE" w:cs="Arial CE"/>
                <w:sz w:val="16"/>
                <w:szCs w:val="16"/>
              </w:rPr>
              <w:t xml:space="preserve">– </w:t>
            </w:r>
            <w:r w:rsidRPr="00735DA6">
              <w:rPr>
                <w:rFonts w:ascii="Arial CE" w:hAnsi="Arial CE" w:cs="Arial CE"/>
                <w:sz w:val="16"/>
                <w:szCs w:val="16"/>
              </w:rPr>
              <w:t xml:space="preserve">Ubytování, stravování </w:t>
            </w:r>
          </w:p>
          <w:p w14:paraId="04FA12D6" w14:textId="20B4A166" w:rsidR="00922AA2" w:rsidRPr="00735DA6" w:rsidRDefault="00776E3B" w:rsidP="00776E3B">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00922AA2" w:rsidRPr="00735DA6">
              <w:rPr>
                <w:rFonts w:ascii="Arial CE" w:hAnsi="Arial CE" w:cs="Arial CE"/>
                <w:sz w:val="16"/>
                <w:szCs w:val="16"/>
              </w:rPr>
              <w:t>a</w:t>
            </w:r>
            <w:r w:rsidR="00542131">
              <w:rPr>
                <w:rFonts w:ascii="Arial CE" w:hAnsi="Arial CE" w:cs="Arial CE"/>
                <w:sz w:val="16"/>
                <w:szCs w:val="16"/>
              </w:rPr>
              <w:t xml:space="preserve"> </w:t>
            </w:r>
            <w:r w:rsidR="00922AA2" w:rsidRPr="00735DA6">
              <w:rPr>
                <w:rFonts w:ascii="Arial CE" w:hAnsi="Arial CE" w:cs="Arial CE"/>
                <w:sz w:val="16"/>
                <w:szCs w:val="16"/>
              </w:rPr>
              <w:t>pohostinství</w:t>
            </w:r>
          </w:p>
        </w:tc>
        <w:tc>
          <w:tcPr>
            <w:tcW w:w="624" w:type="dxa"/>
            <w:tcBorders>
              <w:top w:val="nil"/>
              <w:left w:val="nil"/>
              <w:bottom w:val="nil"/>
              <w:right w:val="nil"/>
            </w:tcBorders>
            <w:vAlign w:val="bottom"/>
          </w:tcPr>
          <w:p w14:paraId="5E670EDF" w14:textId="4CD11A59"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5,31</w:t>
            </w:r>
          </w:p>
        </w:tc>
        <w:tc>
          <w:tcPr>
            <w:tcW w:w="624" w:type="dxa"/>
            <w:tcBorders>
              <w:top w:val="nil"/>
              <w:left w:val="nil"/>
              <w:bottom w:val="nil"/>
              <w:right w:val="nil"/>
            </w:tcBorders>
            <w:vAlign w:val="bottom"/>
          </w:tcPr>
          <w:p w14:paraId="36CD1423" w14:textId="04B63DA1"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4,60</w:t>
            </w:r>
          </w:p>
        </w:tc>
        <w:tc>
          <w:tcPr>
            <w:tcW w:w="624" w:type="dxa"/>
            <w:tcBorders>
              <w:top w:val="nil"/>
              <w:left w:val="nil"/>
              <w:bottom w:val="nil"/>
              <w:right w:val="nil"/>
            </w:tcBorders>
            <w:shd w:val="clear" w:color="auto" w:fill="auto"/>
            <w:noWrap/>
            <w:vAlign w:val="bottom"/>
            <w:hideMark/>
          </w:tcPr>
          <w:p w14:paraId="08B15537" w14:textId="1BAC29D2"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4,31</w:t>
            </w:r>
          </w:p>
        </w:tc>
        <w:tc>
          <w:tcPr>
            <w:tcW w:w="624" w:type="dxa"/>
            <w:tcBorders>
              <w:top w:val="nil"/>
              <w:left w:val="nil"/>
              <w:bottom w:val="nil"/>
              <w:right w:val="nil"/>
            </w:tcBorders>
            <w:shd w:val="clear" w:color="auto" w:fill="auto"/>
            <w:noWrap/>
            <w:vAlign w:val="bottom"/>
            <w:hideMark/>
          </w:tcPr>
          <w:p w14:paraId="161EDEA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4,16</w:t>
            </w:r>
          </w:p>
        </w:tc>
        <w:tc>
          <w:tcPr>
            <w:tcW w:w="624" w:type="dxa"/>
            <w:tcBorders>
              <w:top w:val="nil"/>
              <w:left w:val="nil"/>
              <w:bottom w:val="nil"/>
              <w:right w:val="nil"/>
            </w:tcBorders>
            <w:shd w:val="clear" w:color="auto" w:fill="auto"/>
            <w:noWrap/>
            <w:vAlign w:val="bottom"/>
            <w:hideMark/>
          </w:tcPr>
          <w:p w14:paraId="39512F1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3,57</w:t>
            </w:r>
          </w:p>
        </w:tc>
        <w:tc>
          <w:tcPr>
            <w:tcW w:w="624" w:type="dxa"/>
            <w:tcBorders>
              <w:top w:val="nil"/>
              <w:left w:val="nil"/>
              <w:bottom w:val="nil"/>
              <w:right w:val="nil"/>
            </w:tcBorders>
            <w:shd w:val="clear" w:color="auto" w:fill="auto"/>
            <w:noWrap/>
            <w:vAlign w:val="bottom"/>
            <w:hideMark/>
          </w:tcPr>
          <w:p w14:paraId="7A8897E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3,74</w:t>
            </w:r>
          </w:p>
        </w:tc>
        <w:tc>
          <w:tcPr>
            <w:tcW w:w="624" w:type="dxa"/>
            <w:tcBorders>
              <w:top w:val="nil"/>
              <w:left w:val="nil"/>
              <w:bottom w:val="nil"/>
              <w:right w:val="nil"/>
            </w:tcBorders>
            <w:shd w:val="clear" w:color="auto" w:fill="auto"/>
            <w:noWrap/>
            <w:vAlign w:val="bottom"/>
            <w:hideMark/>
          </w:tcPr>
          <w:p w14:paraId="6538D0E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3,80</w:t>
            </w:r>
          </w:p>
        </w:tc>
        <w:tc>
          <w:tcPr>
            <w:tcW w:w="624" w:type="dxa"/>
            <w:tcBorders>
              <w:top w:val="nil"/>
              <w:left w:val="nil"/>
              <w:bottom w:val="nil"/>
              <w:right w:val="nil"/>
            </w:tcBorders>
            <w:shd w:val="clear" w:color="auto" w:fill="auto"/>
            <w:noWrap/>
            <w:vAlign w:val="bottom"/>
            <w:hideMark/>
          </w:tcPr>
          <w:p w14:paraId="4FB4547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4,06</w:t>
            </w:r>
          </w:p>
        </w:tc>
        <w:tc>
          <w:tcPr>
            <w:tcW w:w="624" w:type="dxa"/>
            <w:tcBorders>
              <w:top w:val="nil"/>
              <w:left w:val="nil"/>
              <w:bottom w:val="nil"/>
              <w:right w:val="nil"/>
            </w:tcBorders>
            <w:shd w:val="clear" w:color="auto" w:fill="auto"/>
            <w:noWrap/>
            <w:vAlign w:val="bottom"/>
            <w:hideMark/>
          </w:tcPr>
          <w:p w14:paraId="541830F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4,17</w:t>
            </w:r>
          </w:p>
        </w:tc>
        <w:tc>
          <w:tcPr>
            <w:tcW w:w="624" w:type="dxa"/>
            <w:tcBorders>
              <w:top w:val="nil"/>
              <w:left w:val="nil"/>
              <w:bottom w:val="nil"/>
              <w:right w:val="nil"/>
            </w:tcBorders>
            <w:shd w:val="clear" w:color="auto" w:fill="auto"/>
            <w:noWrap/>
            <w:vAlign w:val="bottom"/>
            <w:hideMark/>
          </w:tcPr>
          <w:p w14:paraId="3F1A68B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4,19</w:t>
            </w:r>
          </w:p>
        </w:tc>
        <w:tc>
          <w:tcPr>
            <w:tcW w:w="624" w:type="dxa"/>
            <w:tcBorders>
              <w:top w:val="nil"/>
              <w:left w:val="nil"/>
              <w:bottom w:val="nil"/>
              <w:right w:val="nil"/>
            </w:tcBorders>
            <w:shd w:val="clear" w:color="auto" w:fill="auto"/>
            <w:noWrap/>
            <w:vAlign w:val="bottom"/>
            <w:hideMark/>
          </w:tcPr>
          <w:p w14:paraId="7330F6A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4,41</w:t>
            </w:r>
          </w:p>
        </w:tc>
      </w:tr>
      <w:tr w:rsidR="00922AA2" w:rsidRPr="00735DA6" w14:paraId="2CF18655"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29142C2B" w14:textId="77777777" w:rsidR="00922AA2"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J </w:t>
            </w:r>
            <w:r>
              <w:rPr>
                <w:rFonts w:ascii="Arial CE" w:hAnsi="Arial CE" w:cs="Arial CE"/>
                <w:sz w:val="16"/>
                <w:szCs w:val="16"/>
              </w:rPr>
              <w:t xml:space="preserve">– </w:t>
            </w:r>
            <w:r w:rsidRPr="00735DA6">
              <w:rPr>
                <w:rFonts w:ascii="Arial CE" w:hAnsi="Arial CE" w:cs="Arial CE"/>
                <w:sz w:val="16"/>
                <w:szCs w:val="16"/>
              </w:rPr>
              <w:t xml:space="preserve">Informační a komunikační </w:t>
            </w:r>
          </w:p>
          <w:p w14:paraId="55410447" w14:textId="09A47C8E" w:rsidR="00922AA2" w:rsidRPr="00735DA6" w:rsidRDefault="00922AA2" w:rsidP="00735DA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činnosti</w:t>
            </w:r>
          </w:p>
        </w:tc>
        <w:tc>
          <w:tcPr>
            <w:tcW w:w="624" w:type="dxa"/>
            <w:tcBorders>
              <w:top w:val="nil"/>
              <w:left w:val="nil"/>
              <w:bottom w:val="nil"/>
              <w:right w:val="nil"/>
            </w:tcBorders>
            <w:vAlign w:val="bottom"/>
          </w:tcPr>
          <w:p w14:paraId="007961AE" w14:textId="6078DDBC"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7AD407D7" w14:textId="32B2627F"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2,21</w:t>
            </w:r>
          </w:p>
        </w:tc>
        <w:tc>
          <w:tcPr>
            <w:tcW w:w="624" w:type="dxa"/>
            <w:tcBorders>
              <w:top w:val="nil"/>
              <w:left w:val="nil"/>
              <w:bottom w:val="nil"/>
              <w:right w:val="nil"/>
            </w:tcBorders>
            <w:shd w:val="clear" w:color="auto" w:fill="auto"/>
            <w:noWrap/>
            <w:vAlign w:val="bottom"/>
            <w:hideMark/>
          </w:tcPr>
          <w:p w14:paraId="3A4DF7DA" w14:textId="748A5B0D"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2,01</w:t>
            </w:r>
          </w:p>
        </w:tc>
        <w:tc>
          <w:tcPr>
            <w:tcW w:w="624" w:type="dxa"/>
            <w:tcBorders>
              <w:top w:val="nil"/>
              <w:left w:val="nil"/>
              <w:bottom w:val="nil"/>
              <w:right w:val="nil"/>
            </w:tcBorders>
            <w:shd w:val="clear" w:color="auto" w:fill="auto"/>
            <w:noWrap/>
            <w:vAlign w:val="bottom"/>
            <w:hideMark/>
          </w:tcPr>
          <w:p w14:paraId="5C2A3AC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1,93</w:t>
            </w:r>
          </w:p>
        </w:tc>
        <w:tc>
          <w:tcPr>
            <w:tcW w:w="624" w:type="dxa"/>
            <w:tcBorders>
              <w:top w:val="nil"/>
              <w:left w:val="nil"/>
              <w:bottom w:val="nil"/>
              <w:right w:val="nil"/>
            </w:tcBorders>
            <w:shd w:val="clear" w:color="auto" w:fill="auto"/>
            <w:noWrap/>
            <w:vAlign w:val="bottom"/>
            <w:hideMark/>
          </w:tcPr>
          <w:p w14:paraId="5B1E33F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1,64</w:t>
            </w:r>
          </w:p>
        </w:tc>
        <w:tc>
          <w:tcPr>
            <w:tcW w:w="624" w:type="dxa"/>
            <w:tcBorders>
              <w:top w:val="nil"/>
              <w:left w:val="nil"/>
              <w:bottom w:val="nil"/>
              <w:right w:val="nil"/>
            </w:tcBorders>
            <w:shd w:val="clear" w:color="auto" w:fill="auto"/>
            <w:noWrap/>
            <w:vAlign w:val="bottom"/>
            <w:hideMark/>
          </w:tcPr>
          <w:p w14:paraId="30BD849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1,62</w:t>
            </w:r>
          </w:p>
        </w:tc>
        <w:tc>
          <w:tcPr>
            <w:tcW w:w="624" w:type="dxa"/>
            <w:tcBorders>
              <w:top w:val="nil"/>
              <w:left w:val="nil"/>
              <w:bottom w:val="nil"/>
              <w:right w:val="nil"/>
            </w:tcBorders>
            <w:shd w:val="clear" w:color="auto" w:fill="auto"/>
            <w:noWrap/>
            <w:vAlign w:val="bottom"/>
            <w:hideMark/>
          </w:tcPr>
          <w:p w14:paraId="7194959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1,65</w:t>
            </w:r>
          </w:p>
        </w:tc>
        <w:tc>
          <w:tcPr>
            <w:tcW w:w="624" w:type="dxa"/>
            <w:tcBorders>
              <w:top w:val="nil"/>
              <w:left w:val="nil"/>
              <w:bottom w:val="nil"/>
              <w:right w:val="nil"/>
            </w:tcBorders>
            <w:shd w:val="clear" w:color="auto" w:fill="auto"/>
            <w:noWrap/>
            <w:vAlign w:val="bottom"/>
            <w:hideMark/>
          </w:tcPr>
          <w:p w14:paraId="6C3B513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1,74</w:t>
            </w:r>
          </w:p>
        </w:tc>
        <w:tc>
          <w:tcPr>
            <w:tcW w:w="624" w:type="dxa"/>
            <w:tcBorders>
              <w:top w:val="nil"/>
              <w:left w:val="nil"/>
              <w:bottom w:val="nil"/>
              <w:right w:val="nil"/>
            </w:tcBorders>
            <w:shd w:val="clear" w:color="auto" w:fill="auto"/>
            <w:noWrap/>
            <w:vAlign w:val="bottom"/>
            <w:hideMark/>
          </w:tcPr>
          <w:p w14:paraId="3AA78DF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1,70</w:t>
            </w:r>
          </w:p>
        </w:tc>
        <w:tc>
          <w:tcPr>
            <w:tcW w:w="624" w:type="dxa"/>
            <w:tcBorders>
              <w:top w:val="nil"/>
              <w:left w:val="nil"/>
              <w:bottom w:val="nil"/>
              <w:right w:val="nil"/>
            </w:tcBorders>
            <w:shd w:val="clear" w:color="auto" w:fill="auto"/>
            <w:noWrap/>
            <w:vAlign w:val="bottom"/>
            <w:hideMark/>
          </w:tcPr>
          <w:p w14:paraId="48FDEE4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1,77</w:t>
            </w:r>
          </w:p>
        </w:tc>
        <w:tc>
          <w:tcPr>
            <w:tcW w:w="624" w:type="dxa"/>
            <w:tcBorders>
              <w:top w:val="nil"/>
              <w:left w:val="nil"/>
              <w:bottom w:val="nil"/>
              <w:right w:val="nil"/>
            </w:tcBorders>
            <w:shd w:val="clear" w:color="auto" w:fill="auto"/>
            <w:noWrap/>
            <w:vAlign w:val="bottom"/>
            <w:hideMark/>
          </w:tcPr>
          <w:p w14:paraId="50AA364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1,86</w:t>
            </w:r>
          </w:p>
        </w:tc>
      </w:tr>
      <w:tr w:rsidR="00922AA2" w:rsidRPr="00735DA6" w14:paraId="24C30B8F"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48BB2F5D" w14:textId="1E376118"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K </w:t>
            </w:r>
            <w:r>
              <w:rPr>
                <w:rFonts w:ascii="Arial CE" w:hAnsi="Arial CE" w:cs="Arial CE"/>
                <w:sz w:val="16"/>
                <w:szCs w:val="16"/>
              </w:rPr>
              <w:t>–</w:t>
            </w:r>
            <w:r w:rsidRPr="00735DA6">
              <w:rPr>
                <w:rFonts w:ascii="Arial CE" w:hAnsi="Arial CE" w:cs="Arial CE"/>
                <w:sz w:val="16"/>
                <w:szCs w:val="16"/>
              </w:rPr>
              <w:t xml:space="preserve"> Peněžnictví a pojišťovnictví</w:t>
            </w:r>
          </w:p>
        </w:tc>
        <w:tc>
          <w:tcPr>
            <w:tcW w:w="624" w:type="dxa"/>
            <w:tcBorders>
              <w:top w:val="nil"/>
              <w:left w:val="nil"/>
              <w:bottom w:val="nil"/>
              <w:right w:val="nil"/>
            </w:tcBorders>
            <w:vAlign w:val="bottom"/>
          </w:tcPr>
          <w:p w14:paraId="14B9468B" w14:textId="00871BBC"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64497622" w14:textId="4BA504E3"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2,81</w:t>
            </w:r>
          </w:p>
        </w:tc>
        <w:tc>
          <w:tcPr>
            <w:tcW w:w="624" w:type="dxa"/>
            <w:tcBorders>
              <w:top w:val="nil"/>
              <w:left w:val="nil"/>
              <w:bottom w:val="nil"/>
              <w:right w:val="nil"/>
            </w:tcBorders>
            <w:shd w:val="clear" w:color="auto" w:fill="auto"/>
            <w:noWrap/>
            <w:vAlign w:val="bottom"/>
            <w:hideMark/>
          </w:tcPr>
          <w:p w14:paraId="5014DD5F" w14:textId="333DC8B4"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2,67</w:t>
            </w:r>
          </w:p>
        </w:tc>
        <w:tc>
          <w:tcPr>
            <w:tcW w:w="624" w:type="dxa"/>
            <w:tcBorders>
              <w:top w:val="nil"/>
              <w:left w:val="nil"/>
              <w:bottom w:val="nil"/>
              <w:right w:val="nil"/>
            </w:tcBorders>
            <w:shd w:val="clear" w:color="auto" w:fill="auto"/>
            <w:noWrap/>
            <w:vAlign w:val="bottom"/>
            <w:hideMark/>
          </w:tcPr>
          <w:p w14:paraId="4B7D768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2,53</w:t>
            </w:r>
          </w:p>
        </w:tc>
        <w:tc>
          <w:tcPr>
            <w:tcW w:w="624" w:type="dxa"/>
            <w:tcBorders>
              <w:top w:val="nil"/>
              <w:left w:val="nil"/>
              <w:bottom w:val="nil"/>
              <w:right w:val="nil"/>
            </w:tcBorders>
            <w:shd w:val="clear" w:color="auto" w:fill="auto"/>
            <w:noWrap/>
            <w:vAlign w:val="bottom"/>
            <w:hideMark/>
          </w:tcPr>
          <w:p w14:paraId="2738096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2,20</w:t>
            </w:r>
          </w:p>
        </w:tc>
        <w:tc>
          <w:tcPr>
            <w:tcW w:w="624" w:type="dxa"/>
            <w:tcBorders>
              <w:top w:val="nil"/>
              <w:left w:val="nil"/>
              <w:bottom w:val="nil"/>
              <w:right w:val="nil"/>
            </w:tcBorders>
            <w:shd w:val="clear" w:color="auto" w:fill="auto"/>
            <w:noWrap/>
            <w:vAlign w:val="bottom"/>
            <w:hideMark/>
          </w:tcPr>
          <w:p w14:paraId="2BCDACC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2,27</w:t>
            </w:r>
          </w:p>
        </w:tc>
        <w:tc>
          <w:tcPr>
            <w:tcW w:w="624" w:type="dxa"/>
            <w:tcBorders>
              <w:top w:val="nil"/>
              <w:left w:val="nil"/>
              <w:bottom w:val="nil"/>
              <w:right w:val="nil"/>
            </w:tcBorders>
            <w:shd w:val="clear" w:color="auto" w:fill="auto"/>
            <w:noWrap/>
            <w:vAlign w:val="bottom"/>
            <w:hideMark/>
          </w:tcPr>
          <w:p w14:paraId="0C69370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2,37</w:t>
            </w:r>
          </w:p>
        </w:tc>
        <w:tc>
          <w:tcPr>
            <w:tcW w:w="624" w:type="dxa"/>
            <w:tcBorders>
              <w:top w:val="nil"/>
              <w:left w:val="nil"/>
              <w:bottom w:val="nil"/>
              <w:right w:val="nil"/>
            </w:tcBorders>
            <w:shd w:val="clear" w:color="auto" w:fill="auto"/>
            <w:noWrap/>
            <w:vAlign w:val="bottom"/>
            <w:hideMark/>
          </w:tcPr>
          <w:p w14:paraId="3B70523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2,56</w:t>
            </w:r>
          </w:p>
        </w:tc>
        <w:tc>
          <w:tcPr>
            <w:tcW w:w="624" w:type="dxa"/>
            <w:tcBorders>
              <w:top w:val="nil"/>
              <w:left w:val="nil"/>
              <w:bottom w:val="nil"/>
              <w:right w:val="nil"/>
            </w:tcBorders>
            <w:shd w:val="clear" w:color="auto" w:fill="auto"/>
            <w:noWrap/>
            <w:vAlign w:val="bottom"/>
            <w:hideMark/>
          </w:tcPr>
          <w:p w14:paraId="5F0E156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2,46</w:t>
            </w:r>
          </w:p>
        </w:tc>
        <w:tc>
          <w:tcPr>
            <w:tcW w:w="624" w:type="dxa"/>
            <w:tcBorders>
              <w:top w:val="nil"/>
              <w:left w:val="nil"/>
              <w:bottom w:val="nil"/>
              <w:right w:val="nil"/>
            </w:tcBorders>
            <w:shd w:val="clear" w:color="auto" w:fill="auto"/>
            <w:noWrap/>
            <w:vAlign w:val="bottom"/>
            <w:hideMark/>
          </w:tcPr>
          <w:p w14:paraId="3A5867C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2,53</w:t>
            </w:r>
          </w:p>
        </w:tc>
        <w:tc>
          <w:tcPr>
            <w:tcW w:w="624" w:type="dxa"/>
            <w:tcBorders>
              <w:top w:val="nil"/>
              <w:left w:val="nil"/>
              <w:bottom w:val="nil"/>
              <w:right w:val="nil"/>
            </w:tcBorders>
            <w:shd w:val="clear" w:color="auto" w:fill="auto"/>
            <w:noWrap/>
            <w:vAlign w:val="bottom"/>
            <w:hideMark/>
          </w:tcPr>
          <w:p w14:paraId="6C917F0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2,57</w:t>
            </w:r>
          </w:p>
        </w:tc>
      </w:tr>
      <w:tr w:rsidR="00922AA2" w:rsidRPr="00735DA6" w14:paraId="3004D91A"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699F2285" w14:textId="41EF0FBD"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L </w:t>
            </w:r>
            <w:r>
              <w:rPr>
                <w:rFonts w:ascii="Arial CE" w:hAnsi="Arial CE" w:cs="Arial CE"/>
                <w:sz w:val="16"/>
                <w:szCs w:val="16"/>
              </w:rPr>
              <w:t>–</w:t>
            </w:r>
            <w:r w:rsidRPr="00735DA6">
              <w:rPr>
                <w:rFonts w:ascii="Arial CE" w:hAnsi="Arial CE" w:cs="Arial CE"/>
                <w:sz w:val="16"/>
                <w:szCs w:val="16"/>
              </w:rPr>
              <w:t xml:space="preserve"> Činnosti v oblasti nemovitostí</w:t>
            </w:r>
          </w:p>
        </w:tc>
        <w:tc>
          <w:tcPr>
            <w:tcW w:w="624" w:type="dxa"/>
            <w:tcBorders>
              <w:top w:val="nil"/>
              <w:left w:val="nil"/>
              <w:bottom w:val="nil"/>
              <w:right w:val="nil"/>
            </w:tcBorders>
            <w:vAlign w:val="bottom"/>
          </w:tcPr>
          <w:p w14:paraId="3BD49D7F" w14:textId="7175035D"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20D1BCA3" w14:textId="22D40BC7"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3,13</w:t>
            </w:r>
          </w:p>
        </w:tc>
        <w:tc>
          <w:tcPr>
            <w:tcW w:w="624" w:type="dxa"/>
            <w:tcBorders>
              <w:top w:val="nil"/>
              <w:left w:val="nil"/>
              <w:bottom w:val="nil"/>
              <w:right w:val="nil"/>
            </w:tcBorders>
            <w:shd w:val="clear" w:color="auto" w:fill="auto"/>
            <w:noWrap/>
            <w:vAlign w:val="bottom"/>
            <w:hideMark/>
          </w:tcPr>
          <w:p w14:paraId="18FC43A7" w14:textId="7145E0E6"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3,02</w:t>
            </w:r>
          </w:p>
        </w:tc>
        <w:tc>
          <w:tcPr>
            <w:tcW w:w="624" w:type="dxa"/>
            <w:tcBorders>
              <w:top w:val="nil"/>
              <w:left w:val="nil"/>
              <w:bottom w:val="nil"/>
              <w:right w:val="nil"/>
            </w:tcBorders>
            <w:shd w:val="clear" w:color="auto" w:fill="auto"/>
            <w:noWrap/>
            <w:vAlign w:val="bottom"/>
            <w:hideMark/>
          </w:tcPr>
          <w:p w14:paraId="20BC106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2,96</w:t>
            </w:r>
          </w:p>
        </w:tc>
        <w:tc>
          <w:tcPr>
            <w:tcW w:w="624" w:type="dxa"/>
            <w:tcBorders>
              <w:top w:val="nil"/>
              <w:left w:val="nil"/>
              <w:bottom w:val="nil"/>
              <w:right w:val="nil"/>
            </w:tcBorders>
            <w:shd w:val="clear" w:color="auto" w:fill="auto"/>
            <w:noWrap/>
            <w:vAlign w:val="bottom"/>
            <w:hideMark/>
          </w:tcPr>
          <w:p w14:paraId="69CDCB6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2,12</w:t>
            </w:r>
          </w:p>
        </w:tc>
        <w:tc>
          <w:tcPr>
            <w:tcW w:w="624" w:type="dxa"/>
            <w:tcBorders>
              <w:top w:val="nil"/>
              <w:left w:val="nil"/>
              <w:bottom w:val="nil"/>
              <w:right w:val="nil"/>
            </w:tcBorders>
            <w:shd w:val="clear" w:color="auto" w:fill="auto"/>
            <w:noWrap/>
            <w:vAlign w:val="bottom"/>
            <w:hideMark/>
          </w:tcPr>
          <w:p w14:paraId="17013105"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2,19</w:t>
            </w:r>
          </w:p>
        </w:tc>
        <w:tc>
          <w:tcPr>
            <w:tcW w:w="624" w:type="dxa"/>
            <w:tcBorders>
              <w:top w:val="nil"/>
              <w:left w:val="nil"/>
              <w:bottom w:val="nil"/>
              <w:right w:val="nil"/>
            </w:tcBorders>
            <w:shd w:val="clear" w:color="auto" w:fill="auto"/>
            <w:noWrap/>
            <w:vAlign w:val="bottom"/>
            <w:hideMark/>
          </w:tcPr>
          <w:p w14:paraId="23C2574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2,15</w:t>
            </w:r>
          </w:p>
        </w:tc>
        <w:tc>
          <w:tcPr>
            <w:tcW w:w="624" w:type="dxa"/>
            <w:tcBorders>
              <w:top w:val="nil"/>
              <w:left w:val="nil"/>
              <w:bottom w:val="nil"/>
              <w:right w:val="nil"/>
            </w:tcBorders>
            <w:shd w:val="clear" w:color="auto" w:fill="auto"/>
            <w:noWrap/>
            <w:vAlign w:val="bottom"/>
            <w:hideMark/>
          </w:tcPr>
          <w:p w14:paraId="719BC73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2,33</w:t>
            </w:r>
          </w:p>
        </w:tc>
        <w:tc>
          <w:tcPr>
            <w:tcW w:w="624" w:type="dxa"/>
            <w:tcBorders>
              <w:top w:val="nil"/>
              <w:left w:val="nil"/>
              <w:bottom w:val="nil"/>
              <w:right w:val="nil"/>
            </w:tcBorders>
            <w:shd w:val="clear" w:color="auto" w:fill="auto"/>
            <w:noWrap/>
            <w:vAlign w:val="bottom"/>
            <w:hideMark/>
          </w:tcPr>
          <w:p w14:paraId="0036633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2,38</w:t>
            </w:r>
          </w:p>
        </w:tc>
        <w:tc>
          <w:tcPr>
            <w:tcW w:w="624" w:type="dxa"/>
            <w:tcBorders>
              <w:top w:val="nil"/>
              <w:left w:val="nil"/>
              <w:bottom w:val="nil"/>
              <w:right w:val="nil"/>
            </w:tcBorders>
            <w:shd w:val="clear" w:color="auto" w:fill="auto"/>
            <w:noWrap/>
            <w:vAlign w:val="bottom"/>
            <w:hideMark/>
          </w:tcPr>
          <w:p w14:paraId="4188435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2,31</w:t>
            </w:r>
          </w:p>
        </w:tc>
        <w:tc>
          <w:tcPr>
            <w:tcW w:w="624" w:type="dxa"/>
            <w:tcBorders>
              <w:top w:val="nil"/>
              <w:left w:val="nil"/>
              <w:bottom w:val="nil"/>
              <w:right w:val="nil"/>
            </w:tcBorders>
            <w:shd w:val="clear" w:color="auto" w:fill="auto"/>
            <w:noWrap/>
            <w:vAlign w:val="bottom"/>
            <w:hideMark/>
          </w:tcPr>
          <w:p w14:paraId="238B3F3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2,43</w:t>
            </w:r>
          </w:p>
        </w:tc>
      </w:tr>
      <w:tr w:rsidR="00922AA2" w:rsidRPr="00735DA6" w14:paraId="43470756" w14:textId="77777777" w:rsidTr="00997C2A">
        <w:trPr>
          <w:trHeight w:val="450"/>
        </w:trPr>
        <w:tc>
          <w:tcPr>
            <w:tcW w:w="2948" w:type="dxa"/>
            <w:tcBorders>
              <w:top w:val="nil"/>
              <w:left w:val="nil"/>
              <w:bottom w:val="nil"/>
              <w:right w:val="single" w:sz="4" w:space="0" w:color="auto"/>
            </w:tcBorders>
            <w:shd w:val="clear" w:color="auto" w:fill="auto"/>
            <w:vAlign w:val="center"/>
            <w:hideMark/>
          </w:tcPr>
          <w:p w14:paraId="0E377C46" w14:textId="2300BB57" w:rsidR="00922AA2" w:rsidRDefault="00922AA2" w:rsidP="00682D5C">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M </w:t>
            </w:r>
            <w:r>
              <w:rPr>
                <w:rFonts w:ascii="Arial CE" w:hAnsi="Arial CE" w:cs="Arial CE"/>
                <w:sz w:val="16"/>
                <w:szCs w:val="16"/>
              </w:rPr>
              <w:t>–</w:t>
            </w:r>
            <w:r w:rsidRPr="00735DA6">
              <w:rPr>
                <w:rFonts w:ascii="Arial CE" w:hAnsi="Arial CE" w:cs="Arial CE"/>
                <w:sz w:val="16"/>
                <w:szCs w:val="16"/>
              </w:rPr>
              <w:t xml:space="preserve"> Profesní, vědecké a technické </w:t>
            </w:r>
          </w:p>
          <w:p w14:paraId="45099628" w14:textId="6B3DB618" w:rsidR="00922AA2" w:rsidRPr="00735DA6" w:rsidRDefault="00922AA2" w:rsidP="00682D5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činnosti</w:t>
            </w:r>
          </w:p>
        </w:tc>
        <w:tc>
          <w:tcPr>
            <w:tcW w:w="624" w:type="dxa"/>
            <w:tcBorders>
              <w:top w:val="nil"/>
              <w:left w:val="nil"/>
              <w:bottom w:val="nil"/>
              <w:right w:val="nil"/>
            </w:tcBorders>
            <w:vAlign w:val="bottom"/>
          </w:tcPr>
          <w:p w14:paraId="4475BC78" w14:textId="2A187D9B"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5B1051A5" w14:textId="66AAE08F"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2,67</w:t>
            </w:r>
          </w:p>
        </w:tc>
        <w:tc>
          <w:tcPr>
            <w:tcW w:w="624" w:type="dxa"/>
            <w:tcBorders>
              <w:top w:val="nil"/>
              <w:left w:val="nil"/>
              <w:bottom w:val="nil"/>
              <w:right w:val="nil"/>
            </w:tcBorders>
            <w:shd w:val="clear" w:color="auto" w:fill="auto"/>
            <w:noWrap/>
            <w:vAlign w:val="bottom"/>
            <w:hideMark/>
          </w:tcPr>
          <w:p w14:paraId="1BD262F6" w14:textId="293E6E0A"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2,68</w:t>
            </w:r>
          </w:p>
        </w:tc>
        <w:tc>
          <w:tcPr>
            <w:tcW w:w="624" w:type="dxa"/>
            <w:tcBorders>
              <w:top w:val="nil"/>
              <w:left w:val="nil"/>
              <w:bottom w:val="nil"/>
              <w:right w:val="nil"/>
            </w:tcBorders>
            <w:shd w:val="clear" w:color="auto" w:fill="auto"/>
            <w:noWrap/>
            <w:vAlign w:val="bottom"/>
            <w:hideMark/>
          </w:tcPr>
          <w:p w14:paraId="712B367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2,55</w:t>
            </w:r>
          </w:p>
        </w:tc>
        <w:tc>
          <w:tcPr>
            <w:tcW w:w="624" w:type="dxa"/>
            <w:tcBorders>
              <w:top w:val="nil"/>
              <w:left w:val="nil"/>
              <w:bottom w:val="nil"/>
              <w:right w:val="nil"/>
            </w:tcBorders>
            <w:shd w:val="clear" w:color="auto" w:fill="auto"/>
            <w:noWrap/>
            <w:vAlign w:val="bottom"/>
            <w:hideMark/>
          </w:tcPr>
          <w:p w14:paraId="21D4FE1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2,10</w:t>
            </w:r>
          </w:p>
        </w:tc>
        <w:tc>
          <w:tcPr>
            <w:tcW w:w="624" w:type="dxa"/>
            <w:tcBorders>
              <w:top w:val="nil"/>
              <w:left w:val="nil"/>
              <w:bottom w:val="nil"/>
              <w:right w:val="nil"/>
            </w:tcBorders>
            <w:shd w:val="clear" w:color="auto" w:fill="auto"/>
            <w:noWrap/>
            <w:vAlign w:val="bottom"/>
            <w:hideMark/>
          </w:tcPr>
          <w:p w14:paraId="0324C59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2,06</w:t>
            </w:r>
          </w:p>
        </w:tc>
        <w:tc>
          <w:tcPr>
            <w:tcW w:w="624" w:type="dxa"/>
            <w:tcBorders>
              <w:top w:val="nil"/>
              <w:left w:val="nil"/>
              <w:bottom w:val="nil"/>
              <w:right w:val="nil"/>
            </w:tcBorders>
            <w:shd w:val="clear" w:color="auto" w:fill="auto"/>
            <w:noWrap/>
            <w:vAlign w:val="bottom"/>
            <w:hideMark/>
          </w:tcPr>
          <w:p w14:paraId="34BD411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2,06</w:t>
            </w:r>
          </w:p>
        </w:tc>
        <w:tc>
          <w:tcPr>
            <w:tcW w:w="624" w:type="dxa"/>
            <w:tcBorders>
              <w:top w:val="nil"/>
              <w:left w:val="nil"/>
              <w:bottom w:val="nil"/>
              <w:right w:val="nil"/>
            </w:tcBorders>
            <w:shd w:val="clear" w:color="auto" w:fill="auto"/>
            <w:noWrap/>
            <w:vAlign w:val="bottom"/>
            <w:hideMark/>
          </w:tcPr>
          <w:p w14:paraId="5B78012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2,24</w:t>
            </w:r>
          </w:p>
        </w:tc>
        <w:tc>
          <w:tcPr>
            <w:tcW w:w="624" w:type="dxa"/>
            <w:tcBorders>
              <w:top w:val="nil"/>
              <w:left w:val="nil"/>
              <w:bottom w:val="nil"/>
              <w:right w:val="nil"/>
            </w:tcBorders>
            <w:shd w:val="clear" w:color="auto" w:fill="auto"/>
            <w:noWrap/>
            <w:vAlign w:val="bottom"/>
            <w:hideMark/>
          </w:tcPr>
          <w:p w14:paraId="25D028A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2,25</w:t>
            </w:r>
          </w:p>
        </w:tc>
        <w:tc>
          <w:tcPr>
            <w:tcW w:w="624" w:type="dxa"/>
            <w:tcBorders>
              <w:top w:val="nil"/>
              <w:left w:val="nil"/>
              <w:bottom w:val="nil"/>
              <w:right w:val="nil"/>
            </w:tcBorders>
            <w:shd w:val="clear" w:color="auto" w:fill="auto"/>
            <w:noWrap/>
            <w:vAlign w:val="bottom"/>
            <w:hideMark/>
          </w:tcPr>
          <w:p w14:paraId="3DB55EF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2,34</w:t>
            </w:r>
          </w:p>
        </w:tc>
        <w:tc>
          <w:tcPr>
            <w:tcW w:w="624" w:type="dxa"/>
            <w:tcBorders>
              <w:top w:val="nil"/>
              <w:left w:val="nil"/>
              <w:bottom w:val="nil"/>
              <w:right w:val="nil"/>
            </w:tcBorders>
            <w:shd w:val="clear" w:color="auto" w:fill="auto"/>
            <w:noWrap/>
            <w:vAlign w:val="bottom"/>
            <w:hideMark/>
          </w:tcPr>
          <w:p w14:paraId="72084B8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2,44</w:t>
            </w:r>
          </w:p>
        </w:tc>
      </w:tr>
      <w:tr w:rsidR="00922AA2" w:rsidRPr="00735DA6" w14:paraId="4E7010CA" w14:textId="77777777" w:rsidTr="00997C2A">
        <w:trPr>
          <w:trHeight w:val="450"/>
        </w:trPr>
        <w:tc>
          <w:tcPr>
            <w:tcW w:w="2948" w:type="dxa"/>
            <w:tcBorders>
              <w:top w:val="nil"/>
              <w:left w:val="nil"/>
              <w:bottom w:val="nil"/>
              <w:right w:val="single" w:sz="4" w:space="0" w:color="auto"/>
            </w:tcBorders>
            <w:shd w:val="clear" w:color="auto" w:fill="auto"/>
            <w:vAlign w:val="center"/>
            <w:hideMark/>
          </w:tcPr>
          <w:p w14:paraId="61FE1AC1" w14:textId="419F6607" w:rsidR="00922AA2"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N </w:t>
            </w:r>
            <w:r>
              <w:rPr>
                <w:rFonts w:ascii="Arial CE" w:hAnsi="Arial CE" w:cs="Arial CE"/>
                <w:sz w:val="16"/>
                <w:szCs w:val="16"/>
              </w:rPr>
              <w:t>–</w:t>
            </w:r>
            <w:r w:rsidRPr="00735DA6">
              <w:rPr>
                <w:rFonts w:ascii="Arial CE" w:hAnsi="Arial CE" w:cs="Arial CE"/>
                <w:sz w:val="16"/>
                <w:szCs w:val="16"/>
              </w:rPr>
              <w:t xml:space="preserve"> Administrativní a podpůrné</w:t>
            </w:r>
          </w:p>
          <w:p w14:paraId="16F14131" w14:textId="0A8B1163" w:rsidR="00922AA2" w:rsidRPr="00735DA6" w:rsidRDefault="00922AA2" w:rsidP="00735DA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 xml:space="preserve"> </w:t>
            </w:r>
            <w:r>
              <w:rPr>
                <w:rFonts w:ascii="Arial CE" w:hAnsi="Arial CE" w:cs="Arial CE"/>
                <w:sz w:val="16"/>
                <w:szCs w:val="16"/>
              </w:rPr>
              <w:t xml:space="preserve">  </w:t>
            </w:r>
            <w:r w:rsidRPr="00735DA6">
              <w:rPr>
                <w:rFonts w:ascii="Arial CE" w:hAnsi="Arial CE" w:cs="Arial CE"/>
                <w:sz w:val="16"/>
                <w:szCs w:val="16"/>
              </w:rPr>
              <w:t>činnosti</w:t>
            </w:r>
          </w:p>
        </w:tc>
        <w:tc>
          <w:tcPr>
            <w:tcW w:w="624" w:type="dxa"/>
            <w:tcBorders>
              <w:top w:val="nil"/>
              <w:left w:val="nil"/>
              <w:bottom w:val="nil"/>
              <w:right w:val="nil"/>
            </w:tcBorders>
            <w:vAlign w:val="bottom"/>
          </w:tcPr>
          <w:p w14:paraId="78B5964C" w14:textId="11DB60FE"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069046B6" w14:textId="73CC1E5C"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4,65</w:t>
            </w:r>
          </w:p>
        </w:tc>
        <w:tc>
          <w:tcPr>
            <w:tcW w:w="624" w:type="dxa"/>
            <w:tcBorders>
              <w:top w:val="nil"/>
              <w:left w:val="nil"/>
              <w:bottom w:val="nil"/>
              <w:right w:val="nil"/>
            </w:tcBorders>
            <w:shd w:val="clear" w:color="auto" w:fill="auto"/>
            <w:noWrap/>
            <w:vAlign w:val="bottom"/>
            <w:hideMark/>
          </w:tcPr>
          <w:p w14:paraId="405EAB33" w14:textId="1C1902E2"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4,23</w:t>
            </w:r>
          </w:p>
        </w:tc>
        <w:tc>
          <w:tcPr>
            <w:tcW w:w="624" w:type="dxa"/>
            <w:tcBorders>
              <w:top w:val="nil"/>
              <w:left w:val="nil"/>
              <w:bottom w:val="nil"/>
              <w:right w:val="nil"/>
            </w:tcBorders>
            <w:shd w:val="clear" w:color="auto" w:fill="auto"/>
            <w:noWrap/>
            <w:vAlign w:val="bottom"/>
            <w:hideMark/>
          </w:tcPr>
          <w:p w14:paraId="0ADA986D"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4,14</w:t>
            </w:r>
          </w:p>
        </w:tc>
        <w:tc>
          <w:tcPr>
            <w:tcW w:w="624" w:type="dxa"/>
            <w:tcBorders>
              <w:top w:val="nil"/>
              <w:left w:val="nil"/>
              <w:bottom w:val="nil"/>
              <w:right w:val="nil"/>
            </w:tcBorders>
            <w:shd w:val="clear" w:color="auto" w:fill="auto"/>
            <w:noWrap/>
            <w:vAlign w:val="bottom"/>
            <w:hideMark/>
          </w:tcPr>
          <w:p w14:paraId="7F16395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3,87</w:t>
            </w:r>
          </w:p>
        </w:tc>
        <w:tc>
          <w:tcPr>
            <w:tcW w:w="624" w:type="dxa"/>
            <w:tcBorders>
              <w:top w:val="nil"/>
              <w:left w:val="nil"/>
              <w:bottom w:val="nil"/>
              <w:right w:val="nil"/>
            </w:tcBorders>
            <w:shd w:val="clear" w:color="auto" w:fill="auto"/>
            <w:noWrap/>
            <w:vAlign w:val="bottom"/>
            <w:hideMark/>
          </w:tcPr>
          <w:p w14:paraId="12A334E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4,12</w:t>
            </w:r>
          </w:p>
        </w:tc>
        <w:tc>
          <w:tcPr>
            <w:tcW w:w="624" w:type="dxa"/>
            <w:tcBorders>
              <w:top w:val="nil"/>
              <w:left w:val="nil"/>
              <w:bottom w:val="nil"/>
              <w:right w:val="nil"/>
            </w:tcBorders>
            <w:shd w:val="clear" w:color="auto" w:fill="auto"/>
            <w:noWrap/>
            <w:vAlign w:val="bottom"/>
            <w:hideMark/>
          </w:tcPr>
          <w:p w14:paraId="1A31112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4,56</w:t>
            </w:r>
          </w:p>
        </w:tc>
        <w:tc>
          <w:tcPr>
            <w:tcW w:w="624" w:type="dxa"/>
            <w:tcBorders>
              <w:top w:val="nil"/>
              <w:left w:val="nil"/>
              <w:bottom w:val="nil"/>
              <w:right w:val="nil"/>
            </w:tcBorders>
            <w:shd w:val="clear" w:color="auto" w:fill="auto"/>
            <w:noWrap/>
            <w:vAlign w:val="bottom"/>
            <w:hideMark/>
          </w:tcPr>
          <w:p w14:paraId="676AF3F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5,08</w:t>
            </w:r>
          </w:p>
        </w:tc>
        <w:tc>
          <w:tcPr>
            <w:tcW w:w="624" w:type="dxa"/>
            <w:tcBorders>
              <w:top w:val="nil"/>
              <w:left w:val="nil"/>
              <w:bottom w:val="nil"/>
              <w:right w:val="nil"/>
            </w:tcBorders>
            <w:shd w:val="clear" w:color="auto" w:fill="auto"/>
            <w:noWrap/>
            <w:vAlign w:val="bottom"/>
            <w:hideMark/>
          </w:tcPr>
          <w:p w14:paraId="0D1DD71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5,17</w:t>
            </w:r>
          </w:p>
        </w:tc>
        <w:tc>
          <w:tcPr>
            <w:tcW w:w="624" w:type="dxa"/>
            <w:tcBorders>
              <w:top w:val="nil"/>
              <w:left w:val="nil"/>
              <w:bottom w:val="nil"/>
              <w:right w:val="nil"/>
            </w:tcBorders>
            <w:shd w:val="clear" w:color="auto" w:fill="auto"/>
            <w:noWrap/>
            <w:vAlign w:val="bottom"/>
            <w:hideMark/>
          </w:tcPr>
          <w:p w14:paraId="4CD18C6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5,21</w:t>
            </w:r>
          </w:p>
        </w:tc>
        <w:tc>
          <w:tcPr>
            <w:tcW w:w="624" w:type="dxa"/>
            <w:tcBorders>
              <w:top w:val="nil"/>
              <w:left w:val="nil"/>
              <w:bottom w:val="nil"/>
              <w:right w:val="nil"/>
            </w:tcBorders>
            <w:shd w:val="clear" w:color="auto" w:fill="auto"/>
            <w:noWrap/>
            <w:vAlign w:val="bottom"/>
            <w:hideMark/>
          </w:tcPr>
          <w:p w14:paraId="1E055A90"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5,39</w:t>
            </w:r>
          </w:p>
        </w:tc>
      </w:tr>
      <w:tr w:rsidR="00922AA2" w:rsidRPr="00735DA6" w14:paraId="2DC08FF3" w14:textId="77777777" w:rsidTr="00997C2A">
        <w:trPr>
          <w:trHeight w:val="450"/>
        </w:trPr>
        <w:tc>
          <w:tcPr>
            <w:tcW w:w="2948" w:type="dxa"/>
            <w:tcBorders>
              <w:top w:val="nil"/>
              <w:left w:val="nil"/>
              <w:bottom w:val="nil"/>
              <w:right w:val="single" w:sz="4" w:space="0" w:color="auto"/>
            </w:tcBorders>
            <w:shd w:val="clear" w:color="auto" w:fill="auto"/>
            <w:vAlign w:val="center"/>
            <w:hideMark/>
          </w:tcPr>
          <w:p w14:paraId="680B0DD7" w14:textId="453295D8" w:rsidR="00922AA2"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O </w:t>
            </w:r>
            <w:r>
              <w:rPr>
                <w:rFonts w:ascii="Arial CE" w:hAnsi="Arial CE" w:cs="Arial CE"/>
                <w:sz w:val="16"/>
                <w:szCs w:val="16"/>
              </w:rPr>
              <w:t>–</w:t>
            </w:r>
            <w:r w:rsidRPr="00735DA6">
              <w:rPr>
                <w:rFonts w:ascii="Arial CE" w:hAnsi="Arial CE" w:cs="Arial CE"/>
                <w:sz w:val="16"/>
                <w:szCs w:val="16"/>
              </w:rPr>
              <w:t xml:space="preserve"> Veřejná správa a obrana; </w:t>
            </w:r>
          </w:p>
          <w:p w14:paraId="3C41045A" w14:textId="09EAE352" w:rsidR="00922AA2" w:rsidRPr="00735DA6" w:rsidRDefault="00922AA2" w:rsidP="00682D5C">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povinné sociální zabezpečení</w:t>
            </w:r>
          </w:p>
        </w:tc>
        <w:tc>
          <w:tcPr>
            <w:tcW w:w="624" w:type="dxa"/>
            <w:tcBorders>
              <w:top w:val="nil"/>
              <w:left w:val="nil"/>
              <w:bottom w:val="nil"/>
              <w:right w:val="nil"/>
            </w:tcBorders>
            <w:vAlign w:val="bottom"/>
          </w:tcPr>
          <w:p w14:paraId="4E8FA266" w14:textId="4F620EB2"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3,69</w:t>
            </w:r>
          </w:p>
        </w:tc>
        <w:tc>
          <w:tcPr>
            <w:tcW w:w="624" w:type="dxa"/>
            <w:tcBorders>
              <w:top w:val="nil"/>
              <w:left w:val="nil"/>
              <w:bottom w:val="nil"/>
              <w:right w:val="nil"/>
            </w:tcBorders>
            <w:vAlign w:val="bottom"/>
          </w:tcPr>
          <w:p w14:paraId="4C77452F" w14:textId="6953CA95"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2,98</w:t>
            </w:r>
          </w:p>
        </w:tc>
        <w:tc>
          <w:tcPr>
            <w:tcW w:w="624" w:type="dxa"/>
            <w:tcBorders>
              <w:top w:val="nil"/>
              <w:left w:val="nil"/>
              <w:bottom w:val="nil"/>
              <w:right w:val="nil"/>
            </w:tcBorders>
            <w:shd w:val="clear" w:color="auto" w:fill="auto"/>
            <w:noWrap/>
            <w:vAlign w:val="bottom"/>
            <w:hideMark/>
          </w:tcPr>
          <w:p w14:paraId="2550CAE9" w14:textId="67F566D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2,73</w:t>
            </w:r>
          </w:p>
        </w:tc>
        <w:tc>
          <w:tcPr>
            <w:tcW w:w="624" w:type="dxa"/>
            <w:tcBorders>
              <w:top w:val="nil"/>
              <w:left w:val="nil"/>
              <w:bottom w:val="nil"/>
              <w:right w:val="nil"/>
            </w:tcBorders>
            <w:shd w:val="clear" w:color="auto" w:fill="auto"/>
            <w:noWrap/>
            <w:vAlign w:val="bottom"/>
            <w:hideMark/>
          </w:tcPr>
          <w:p w14:paraId="27851AC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3,07</w:t>
            </w:r>
          </w:p>
        </w:tc>
        <w:tc>
          <w:tcPr>
            <w:tcW w:w="624" w:type="dxa"/>
            <w:tcBorders>
              <w:top w:val="nil"/>
              <w:left w:val="nil"/>
              <w:bottom w:val="nil"/>
              <w:right w:val="nil"/>
            </w:tcBorders>
            <w:shd w:val="clear" w:color="auto" w:fill="auto"/>
            <w:noWrap/>
            <w:vAlign w:val="bottom"/>
            <w:hideMark/>
          </w:tcPr>
          <w:p w14:paraId="3861C8E5"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2,66</w:t>
            </w:r>
          </w:p>
        </w:tc>
        <w:tc>
          <w:tcPr>
            <w:tcW w:w="624" w:type="dxa"/>
            <w:tcBorders>
              <w:top w:val="nil"/>
              <w:left w:val="nil"/>
              <w:bottom w:val="nil"/>
              <w:right w:val="nil"/>
            </w:tcBorders>
            <w:shd w:val="clear" w:color="auto" w:fill="auto"/>
            <w:noWrap/>
            <w:vAlign w:val="bottom"/>
            <w:hideMark/>
          </w:tcPr>
          <w:p w14:paraId="1A64C94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2,68</w:t>
            </w:r>
          </w:p>
        </w:tc>
        <w:tc>
          <w:tcPr>
            <w:tcW w:w="624" w:type="dxa"/>
            <w:tcBorders>
              <w:top w:val="nil"/>
              <w:left w:val="nil"/>
              <w:bottom w:val="nil"/>
              <w:right w:val="nil"/>
            </w:tcBorders>
            <w:shd w:val="clear" w:color="auto" w:fill="auto"/>
            <w:noWrap/>
            <w:vAlign w:val="bottom"/>
            <w:hideMark/>
          </w:tcPr>
          <w:p w14:paraId="278AFC6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2,74</w:t>
            </w:r>
          </w:p>
        </w:tc>
        <w:tc>
          <w:tcPr>
            <w:tcW w:w="624" w:type="dxa"/>
            <w:tcBorders>
              <w:top w:val="nil"/>
              <w:left w:val="nil"/>
              <w:bottom w:val="nil"/>
              <w:right w:val="nil"/>
            </w:tcBorders>
            <w:shd w:val="clear" w:color="auto" w:fill="auto"/>
            <w:noWrap/>
            <w:vAlign w:val="bottom"/>
            <w:hideMark/>
          </w:tcPr>
          <w:p w14:paraId="1A01605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3,09</w:t>
            </w:r>
          </w:p>
        </w:tc>
        <w:tc>
          <w:tcPr>
            <w:tcW w:w="624" w:type="dxa"/>
            <w:tcBorders>
              <w:top w:val="nil"/>
              <w:left w:val="nil"/>
              <w:bottom w:val="nil"/>
              <w:right w:val="nil"/>
            </w:tcBorders>
            <w:shd w:val="clear" w:color="auto" w:fill="auto"/>
            <w:noWrap/>
            <w:vAlign w:val="bottom"/>
            <w:hideMark/>
          </w:tcPr>
          <w:p w14:paraId="41DAE06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3,13</w:t>
            </w:r>
          </w:p>
        </w:tc>
        <w:tc>
          <w:tcPr>
            <w:tcW w:w="624" w:type="dxa"/>
            <w:tcBorders>
              <w:top w:val="nil"/>
              <w:left w:val="nil"/>
              <w:bottom w:val="nil"/>
              <w:right w:val="nil"/>
            </w:tcBorders>
            <w:shd w:val="clear" w:color="auto" w:fill="auto"/>
            <w:noWrap/>
            <w:vAlign w:val="bottom"/>
            <w:hideMark/>
          </w:tcPr>
          <w:p w14:paraId="04DF724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3,10</w:t>
            </w:r>
          </w:p>
        </w:tc>
        <w:tc>
          <w:tcPr>
            <w:tcW w:w="624" w:type="dxa"/>
            <w:tcBorders>
              <w:top w:val="nil"/>
              <w:left w:val="nil"/>
              <w:bottom w:val="nil"/>
              <w:right w:val="nil"/>
            </w:tcBorders>
            <w:shd w:val="clear" w:color="auto" w:fill="auto"/>
            <w:noWrap/>
            <w:vAlign w:val="bottom"/>
            <w:hideMark/>
          </w:tcPr>
          <w:p w14:paraId="0B2F399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3,25</w:t>
            </w:r>
          </w:p>
        </w:tc>
      </w:tr>
      <w:tr w:rsidR="00922AA2" w:rsidRPr="00735DA6" w14:paraId="069F2D11"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4F5F250F" w14:textId="67A3A954"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P </w:t>
            </w:r>
            <w:r>
              <w:rPr>
                <w:rFonts w:ascii="Arial CE" w:hAnsi="Arial CE" w:cs="Arial CE"/>
                <w:sz w:val="16"/>
                <w:szCs w:val="16"/>
              </w:rPr>
              <w:t xml:space="preserve">– </w:t>
            </w:r>
            <w:r w:rsidRPr="00735DA6">
              <w:rPr>
                <w:rFonts w:ascii="Arial CE" w:hAnsi="Arial CE" w:cs="Arial CE"/>
                <w:sz w:val="16"/>
                <w:szCs w:val="16"/>
              </w:rPr>
              <w:t>Vzdělávání</w:t>
            </w:r>
          </w:p>
        </w:tc>
        <w:tc>
          <w:tcPr>
            <w:tcW w:w="624" w:type="dxa"/>
            <w:tcBorders>
              <w:top w:val="nil"/>
              <w:left w:val="nil"/>
              <w:bottom w:val="nil"/>
              <w:right w:val="nil"/>
            </w:tcBorders>
            <w:vAlign w:val="bottom"/>
          </w:tcPr>
          <w:p w14:paraId="3B886FB2" w14:textId="3BC6C16B"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3,27</w:t>
            </w:r>
          </w:p>
        </w:tc>
        <w:tc>
          <w:tcPr>
            <w:tcW w:w="624" w:type="dxa"/>
            <w:tcBorders>
              <w:top w:val="nil"/>
              <w:left w:val="nil"/>
              <w:bottom w:val="nil"/>
              <w:right w:val="nil"/>
            </w:tcBorders>
            <w:vAlign w:val="bottom"/>
          </w:tcPr>
          <w:p w14:paraId="7833DF8A" w14:textId="77560EF3"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2,65</w:t>
            </w:r>
          </w:p>
        </w:tc>
        <w:tc>
          <w:tcPr>
            <w:tcW w:w="624" w:type="dxa"/>
            <w:tcBorders>
              <w:top w:val="nil"/>
              <w:left w:val="nil"/>
              <w:bottom w:val="nil"/>
              <w:right w:val="nil"/>
            </w:tcBorders>
            <w:shd w:val="clear" w:color="auto" w:fill="auto"/>
            <w:noWrap/>
            <w:vAlign w:val="bottom"/>
            <w:hideMark/>
          </w:tcPr>
          <w:p w14:paraId="101D8ABE" w14:textId="16A5F850"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2,48</w:t>
            </w:r>
          </w:p>
        </w:tc>
        <w:tc>
          <w:tcPr>
            <w:tcW w:w="624" w:type="dxa"/>
            <w:tcBorders>
              <w:top w:val="nil"/>
              <w:left w:val="nil"/>
              <w:bottom w:val="nil"/>
              <w:right w:val="nil"/>
            </w:tcBorders>
            <w:shd w:val="clear" w:color="auto" w:fill="auto"/>
            <w:noWrap/>
            <w:vAlign w:val="bottom"/>
            <w:hideMark/>
          </w:tcPr>
          <w:p w14:paraId="586049C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2,43</w:t>
            </w:r>
          </w:p>
        </w:tc>
        <w:tc>
          <w:tcPr>
            <w:tcW w:w="624" w:type="dxa"/>
            <w:tcBorders>
              <w:top w:val="nil"/>
              <w:left w:val="nil"/>
              <w:bottom w:val="nil"/>
              <w:right w:val="nil"/>
            </w:tcBorders>
            <w:shd w:val="clear" w:color="auto" w:fill="auto"/>
            <w:noWrap/>
            <w:vAlign w:val="bottom"/>
            <w:hideMark/>
          </w:tcPr>
          <w:p w14:paraId="00FB3E5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2,18</w:t>
            </w:r>
          </w:p>
        </w:tc>
        <w:tc>
          <w:tcPr>
            <w:tcW w:w="624" w:type="dxa"/>
            <w:tcBorders>
              <w:top w:val="nil"/>
              <w:left w:val="nil"/>
              <w:bottom w:val="nil"/>
              <w:right w:val="nil"/>
            </w:tcBorders>
            <w:shd w:val="clear" w:color="auto" w:fill="auto"/>
            <w:noWrap/>
            <w:vAlign w:val="bottom"/>
            <w:hideMark/>
          </w:tcPr>
          <w:p w14:paraId="4192A04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2,32</w:t>
            </w:r>
          </w:p>
        </w:tc>
        <w:tc>
          <w:tcPr>
            <w:tcW w:w="624" w:type="dxa"/>
            <w:tcBorders>
              <w:top w:val="nil"/>
              <w:left w:val="nil"/>
              <w:bottom w:val="nil"/>
              <w:right w:val="nil"/>
            </w:tcBorders>
            <w:shd w:val="clear" w:color="auto" w:fill="auto"/>
            <w:noWrap/>
            <w:vAlign w:val="bottom"/>
            <w:hideMark/>
          </w:tcPr>
          <w:p w14:paraId="311B075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2,38</w:t>
            </w:r>
          </w:p>
        </w:tc>
        <w:tc>
          <w:tcPr>
            <w:tcW w:w="624" w:type="dxa"/>
            <w:tcBorders>
              <w:top w:val="nil"/>
              <w:left w:val="nil"/>
              <w:bottom w:val="nil"/>
              <w:right w:val="nil"/>
            </w:tcBorders>
            <w:shd w:val="clear" w:color="auto" w:fill="auto"/>
            <w:noWrap/>
            <w:vAlign w:val="bottom"/>
            <w:hideMark/>
          </w:tcPr>
          <w:p w14:paraId="74F4F06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2,72</w:t>
            </w:r>
          </w:p>
        </w:tc>
        <w:tc>
          <w:tcPr>
            <w:tcW w:w="624" w:type="dxa"/>
            <w:tcBorders>
              <w:top w:val="nil"/>
              <w:left w:val="nil"/>
              <w:bottom w:val="nil"/>
              <w:right w:val="nil"/>
            </w:tcBorders>
            <w:shd w:val="clear" w:color="auto" w:fill="auto"/>
            <w:noWrap/>
            <w:vAlign w:val="bottom"/>
            <w:hideMark/>
          </w:tcPr>
          <w:p w14:paraId="73B7F69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2,77</w:t>
            </w:r>
          </w:p>
        </w:tc>
        <w:tc>
          <w:tcPr>
            <w:tcW w:w="624" w:type="dxa"/>
            <w:tcBorders>
              <w:top w:val="nil"/>
              <w:left w:val="nil"/>
              <w:bottom w:val="nil"/>
              <w:right w:val="nil"/>
            </w:tcBorders>
            <w:shd w:val="clear" w:color="auto" w:fill="auto"/>
            <w:noWrap/>
            <w:vAlign w:val="bottom"/>
            <w:hideMark/>
          </w:tcPr>
          <w:p w14:paraId="737CB24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2,88</w:t>
            </w:r>
          </w:p>
        </w:tc>
        <w:tc>
          <w:tcPr>
            <w:tcW w:w="624" w:type="dxa"/>
            <w:tcBorders>
              <w:top w:val="nil"/>
              <w:left w:val="nil"/>
              <w:bottom w:val="nil"/>
              <w:right w:val="nil"/>
            </w:tcBorders>
            <w:shd w:val="clear" w:color="auto" w:fill="auto"/>
            <w:noWrap/>
            <w:vAlign w:val="bottom"/>
            <w:hideMark/>
          </w:tcPr>
          <w:p w14:paraId="11D07ED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3,01</w:t>
            </w:r>
          </w:p>
        </w:tc>
      </w:tr>
      <w:tr w:rsidR="00922AA2" w:rsidRPr="00735DA6" w14:paraId="6D52FE06"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23909DAC" w14:textId="5DBE40C2"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Q </w:t>
            </w:r>
            <w:r>
              <w:rPr>
                <w:rFonts w:ascii="Arial CE" w:hAnsi="Arial CE" w:cs="Arial CE"/>
                <w:sz w:val="16"/>
                <w:szCs w:val="16"/>
              </w:rPr>
              <w:t xml:space="preserve">– </w:t>
            </w:r>
            <w:r w:rsidRPr="00735DA6">
              <w:rPr>
                <w:rFonts w:ascii="Arial CE" w:hAnsi="Arial CE" w:cs="Arial CE"/>
                <w:sz w:val="16"/>
                <w:szCs w:val="16"/>
              </w:rPr>
              <w:t>Zdravotní a sociální péče</w:t>
            </w:r>
          </w:p>
        </w:tc>
        <w:tc>
          <w:tcPr>
            <w:tcW w:w="624" w:type="dxa"/>
            <w:tcBorders>
              <w:top w:val="nil"/>
              <w:left w:val="nil"/>
              <w:bottom w:val="nil"/>
              <w:right w:val="nil"/>
            </w:tcBorders>
            <w:vAlign w:val="bottom"/>
          </w:tcPr>
          <w:p w14:paraId="200774D0" w14:textId="4EF7DFA6"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4,69</w:t>
            </w:r>
          </w:p>
        </w:tc>
        <w:tc>
          <w:tcPr>
            <w:tcW w:w="624" w:type="dxa"/>
            <w:tcBorders>
              <w:top w:val="nil"/>
              <w:left w:val="nil"/>
              <w:bottom w:val="nil"/>
              <w:right w:val="nil"/>
            </w:tcBorders>
            <w:vAlign w:val="bottom"/>
          </w:tcPr>
          <w:p w14:paraId="00F1DFBD" w14:textId="7C31DD65"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3,66</w:t>
            </w:r>
          </w:p>
        </w:tc>
        <w:tc>
          <w:tcPr>
            <w:tcW w:w="624" w:type="dxa"/>
            <w:tcBorders>
              <w:top w:val="nil"/>
              <w:left w:val="nil"/>
              <w:bottom w:val="nil"/>
              <w:right w:val="nil"/>
            </w:tcBorders>
            <w:shd w:val="clear" w:color="auto" w:fill="auto"/>
            <w:noWrap/>
            <w:vAlign w:val="bottom"/>
            <w:hideMark/>
          </w:tcPr>
          <w:p w14:paraId="7DFDA7AC" w14:textId="7913A019"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3,39</w:t>
            </w:r>
          </w:p>
        </w:tc>
        <w:tc>
          <w:tcPr>
            <w:tcW w:w="624" w:type="dxa"/>
            <w:tcBorders>
              <w:top w:val="nil"/>
              <w:left w:val="nil"/>
              <w:bottom w:val="nil"/>
              <w:right w:val="nil"/>
            </w:tcBorders>
            <w:shd w:val="clear" w:color="auto" w:fill="auto"/>
            <w:noWrap/>
            <w:vAlign w:val="bottom"/>
            <w:hideMark/>
          </w:tcPr>
          <w:p w14:paraId="071669A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3,42</w:t>
            </w:r>
          </w:p>
        </w:tc>
        <w:tc>
          <w:tcPr>
            <w:tcW w:w="624" w:type="dxa"/>
            <w:tcBorders>
              <w:top w:val="nil"/>
              <w:left w:val="nil"/>
              <w:bottom w:val="nil"/>
              <w:right w:val="nil"/>
            </w:tcBorders>
            <w:shd w:val="clear" w:color="auto" w:fill="auto"/>
            <w:noWrap/>
            <w:vAlign w:val="bottom"/>
            <w:hideMark/>
          </w:tcPr>
          <w:p w14:paraId="01E0AC74"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3,21</w:t>
            </w:r>
          </w:p>
        </w:tc>
        <w:tc>
          <w:tcPr>
            <w:tcW w:w="624" w:type="dxa"/>
            <w:tcBorders>
              <w:top w:val="nil"/>
              <w:left w:val="nil"/>
              <w:bottom w:val="nil"/>
              <w:right w:val="nil"/>
            </w:tcBorders>
            <w:shd w:val="clear" w:color="auto" w:fill="auto"/>
            <w:noWrap/>
            <w:vAlign w:val="bottom"/>
            <w:hideMark/>
          </w:tcPr>
          <w:p w14:paraId="23447DC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3,42</w:t>
            </w:r>
          </w:p>
        </w:tc>
        <w:tc>
          <w:tcPr>
            <w:tcW w:w="624" w:type="dxa"/>
            <w:tcBorders>
              <w:top w:val="nil"/>
              <w:left w:val="nil"/>
              <w:bottom w:val="nil"/>
              <w:right w:val="nil"/>
            </w:tcBorders>
            <w:shd w:val="clear" w:color="auto" w:fill="auto"/>
            <w:noWrap/>
            <w:vAlign w:val="bottom"/>
            <w:hideMark/>
          </w:tcPr>
          <w:p w14:paraId="15996E59"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3,60</w:t>
            </w:r>
          </w:p>
        </w:tc>
        <w:tc>
          <w:tcPr>
            <w:tcW w:w="624" w:type="dxa"/>
            <w:tcBorders>
              <w:top w:val="nil"/>
              <w:left w:val="nil"/>
              <w:bottom w:val="nil"/>
              <w:right w:val="nil"/>
            </w:tcBorders>
            <w:shd w:val="clear" w:color="auto" w:fill="auto"/>
            <w:noWrap/>
            <w:vAlign w:val="bottom"/>
            <w:hideMark/>
          </w:tcPr>
          <w:p w14:paraId="3A2B01E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3,91</w:t>
            </w:r>
          </w:p>
        </w:tc>
        <w:tc>
          <w:tcPr>
            <w:tcW w:w="624" w:type="dxa"/>
            <w:tcBorders>
              <w:top w:val="nil"/>
              <w:left w:val="nil"/>
              <w:bottom w:val="nil"/>
              <w:right w:val="nil"/>
            </w:tcBorders>
            <w:shd w:val="clear" w:color="auto" w:fill="auto"/>
            <w:noWrap/>
            <w:vAlign w:val="bottom"/>
            <w:hideMark/>
          </w:tcPr>
          <w:p w14:paraId="1EF4F64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4,06</w:t>
            </w:r>
          </w:p>
        </w:tc>
        <w:tc>
          <w:tcPr>
            <w:tcW w:w="624" w:type="dxa"/>
            <w:tcBorders>
              <w:top w:val="nil"/>
              <w:left w:val="nil"/>
              <w:bottom w:val="nil"/>
              <w:right w:val="nil"/>
            </w:tcBorders>
            <w:shd w:val="clear" w:color="auto" w:fill="auto"/>
            <w:noWrap/>
            <w:vAlign w:val="bottom"/>
            <w:hideMark/>
          </w:tcPr>
          <w:p w14:paraId="3697CE5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4,11</w:t>
            </w:r>
          </w:p>
        </w:tc>
        <w:tc>
          <w:tcPr>
            <w:tcW w:w="624" w:type="dxa"/>
            <w:tcBorders>
              <w:top w:val="nil"/>
              <w:left w:val="nil"/>
              <w:bottom w:val="nil"/>
              <w:right w:val="nil"/>
            </w:tcBorders>
            <w:shd w:val="clear" w:color="auto" w:fill="auto"/>
            <w:noWrap/>
            <w:vAlign w:val="bottom"/>
            <w:hideMark/>
          </w:tcPr>
          <w:p w14:paraId="78D3B85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4,25</w:t>
            </w:r>
          </w:p>
        </w:tc>
      </w:tr>
      <w:tr w:rsidR="00922AA2" w:rsidRPr="00735DA6" w14:paraId="3FEFE2B5" w14:textId="77777777" w:rsidTr="00997C2A">
        <w:trPr>
          <w:trHeight w:val="450"/>
        </w:trPr>
        <w:tc>
          <w:tcPr>
            <w:tcW w:w="2948" w:type="dxa"/>
            <w:tcBorders>
              <w:top w:val="nil"/>
              <w:left w:val="nil"/>
              <w:bottom w:val="nil"/>
              <w:right w:val="single" w:sz="4" w:space="0" w:color="auto"/>
            </w:tcBorders>
            <w:shd w:val="clear" w:color="auto" w:fill="auto"/>
            <w:vAlign w:val="center"/>
            <w:hideMark/>
          </w:tcPr>
          <w:p w14:paraId="196CDAE7" w14:textId="7A4D78F0" w:rsidR="00922AA2"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R </w:t>
            </w:r>
            <w:r>
              <w:rPr>
                <w:rFonts w:ascii="Arial CE" w:hAnsi="Arial CE" w:cs="Arial CE"/>
                <w:sz w:val="16"/>
                <w:szCs w:val="16"/>
              </w:rPr>
              <w:t xml:space="preserve">– </w:t>
            </w:r>
            <w:r w:rsidRPr="00735DA6">
              <w:rPr>
                <w:rFonts w:ascii="Arial CE" w:hAnsi="Arial CE" w:cs="Arial CE"/>
                <w:sz w:val="16"/>
                <w:szCs w:val="16"/>
              </w:rPr>
              <w:t xml:space="preserve">Kulturní, zábavní a rekreační </w:t>
            </w:r>
          </w:p>
          <w:p w14:paraId="23E81D19" w14:textId="1A9EE5F5" w:rsidR="00922AA2" w:rsidRPr="00735DA6" w:rsidRDefault="00922AA2" w:rsidP="00735DA6">
            <w:pPr>
              <w:spacing w:after="0" w:line="240" w:lineRule="auto"/>
              <w:ind w:firstLineChars="100" w:firstLine="160"/>
              <w:rPr>
                <w:rFonts w:ascii="Arial CE" w:hAnsi="Arial CE" w:cs="Arial CE"/>
                <w:sz w:val="16"/>
                <w:szCs w:val="16"/>
              </w:rPr>
            </w:pPr>
            <w:r>
              <w:rPr>
                <w:rFonts w:ascii="Arial CE" w:hAnsi="Arial CE" w:cs="Arial CE"/>
                <w:sz w:val="16"/>
                <w:szCs w:val="16"/>
              </w:rPr>
              <w:t xml:space="preserve">      </w:t>
            </w:r>
            <w:r w:rsidRPr="00735DA6">
              <w:rPr>
                <w:rFonts w:ascii="Arial CE" w:hAnsi="Arial CE" w:cs="Arial CE"/>
                <w:sz w:val="16"/>
                <w:szCs w:val="16"/>
              </w:rPr>
              <w:t>činnosti</w:t>
            </w:r>
          </w:p>
        </w:tc>
        <w:tc>
          <w:tcPr>
            <w:tcW w:w="624" w:type="dxa"/>
            <w:tcBorders>
              <w:top w:val="nil"/>
              <w:left w:val="nil"/>
              <w:bottom w:val="nil"/>
              <w:right w:val="nil"/>
            </w:tcBorders>
            <w:vAlign w:val="bottom"/>
          </w:tcPr>
          <w:p w14:paraId="31EC4D68" w14:textId="625C1072"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3FB61D68" w14:textId="5919129F"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2,94</w:t>
            </w:r>
          </w:p>
        </w:tc>
        <w:tc>
          <w:tcPr>
            <w:tcW w:w="624" w:type="dxa"/>
            <w:tcBorders>
              <w:top w:val="nil"/>
              <w:left w:val="nil"/>
              <w:bottom w:val="nil"/>
              <w:right w:val="nil"/>
            </w:tcBorders>
            <w:shd w:val="clear" w:color="auto" w:fill="auto"/>
            <w:noWrap/>
            <w:vAlign w:val="bottom"/>
            <w:hideMark/>
          </w:tcPr>
          <w:p w14:paraId="1AB117BC" w14:textId="5A21047D"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2,74</w:t>
            </w:r>
          </w:p>
        </w:tc>
        <w:tc>
          <w:tcPr>
            <w:tcW w:w="624" w:type="dxa"/>
            <w:tcBorders>
              <w:top w:val="nil"/>
              <w:left w:val="nil"/>
              <w:bottom w:val="nil"/>
              <w:right w:val="nil"/>
            </w:tcBorders>
            <w:shd w:val="clear" w:color="auto" w:fill="auto"/>
            <w:noWrap/>
            <w:vAlign w:val="bottom"/>
            <w:hideMark/>
          </w:tcPr>
          <w:p w14:paraId="16E83DF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2,66</w:t>
            </w:r>
          </w:p>
        </w:tc>
        <w:tc>
          <w:tcPr>
            <w:tcW w:w="624" w:type="dxa"/>
            <w:tcBorders>
              <w:top w:val="nil"/>
              <w:left w:val="nil"/>
              <w:bottom w:val="nil"/>
              <w:right w:val="nil"/>
            </w:tcBorders>
            <w:shd w:val="clear" w:color="auto" w:fill="auto"/>
            <w:noWrap/>
            <w:vAlign w:val="bottom"/>
            <w:hideMark/>
          </w:tcPr>
          <w:p w14:paraId="669F2A0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2,30</w:t>
            </w:r>
          </w:p>
        </w:tc>
        <w:tc>
          <w:tcPr>
            <w:tcW w:w="624" w:type="dxa"/>
            <w:tcBorders>
              <w:top w:val="nil"/>
              <w:left w:val="nil"/>
              <w:bottom w:val="nil"/>
              <w:right w:val="nil"/>
            </w:tcBorders>
            <w:shd w:val="clear" w:color="auto" w:fill="auto"/>
            <w:noWrap/>
            <w:vAlign w:val="bottom"/>
            <w:hideMark/>
          </w:tcPr>
          <w:p w14:paraId="031CA9A3"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2,45</w:t>
            </w:r>
          </w:p>
        </w:tc>
        <w:tc>
          <w:tcPr>
            <w:tcW w:w="624" w:type="dxa"/>
            <w:tcBorders>
              <w:top w:val="nil"/>
              <w:left w:val="nil"/>
              <w:bottom w:val="nil"/>
              <w:right w:val="nil"/>
            </w:tcBorders>
            <w:shd w:val="clear" w:color="auto" w:fill="auto"/>
            <w:noWrap/>
            <w:vAlign w:val="bottom"/>
            <w:hideMark/>
          </w:tcPr>
          <w:p w14:paraId="7DA48A2F"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2,49</w:t>
            </w:r>
          </w:p>
        </w:tc>
        <w:tc>
          <w:tcPr>
            <w:tcW w:w="624" w:type="dxa"/>
            <w:tcBorders>
              <w:top w:val="nil"/>
              <w:left w:val="nil"/>
              <w:bottom w:val="nil"/>
              <w:right w:val="nil"/>
            </w:tcBorders>
            <w:shd w:val="clear" w:color="auto" w:fill="auto"/>
            <w:noWrap/>
            <w:vAlign w:val="bottom"/>
            <w:hideMark/>
          </w:tcPr>
          <w:p w14:paraId="2C562138"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2,73</w:t>
            </w:r>
          </w:p>
        </w:tc>
        <w:tc>
          <w:tcPr>
            <w:tcW w:w="624" w:type="dxa"/>
            <w:tcBorders>
              <w:top w:val="nil"/>
              <w:left w:val="nil"/>
              <w:bottom w:val="nil"/>
              <w:right w:val="nil"/>
            </w:tcBorders>
            <w:shd w:val="clear" w:color="auto" w:fill="auto"/>
            <w:noWrap/>
            <w:vAlign w:val="bottom"/>
            <w:hideMark/>
          </w:tcPr>
          <w:p w14:paraId="7F451A5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2,82</w:t>
            </w:r>
          </w:p>
        </w:tc>
        <w:tc>
          <w:tcPr>
            <w:tcW w:w="624" w:type="dxa"/>
            <w:tcBorders>
              <w:top w:val="nil"/>
              <w:left w:val="nil"/>
              <w:bottom w:val="nil"/>
              <w:right w:val="nil"/>
            </w:tcBorders>
            <w:shd w:val="clear" w:color="auto" w:fill="auto"/>
            <w:noWrap/>
            <w:vAlign w:val="bottom"/>
            <w:hideMark/>
          </w:tcPr>
          <w:p w14:paraId="19114465"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2,86</w:t>
            </w:r>
          </w:p>
        </w:tc>
        <w:tc>
          <w:tcPr>
            <w:tcW w:w="624" w:type="dxa"/>
            <w:tcBorders>
              <w:top w:val="nil"/>
              <w:left w:val="nil"/>
              <w:bottom w:val="nil"/>
              <w:right w:val="nil"/>
            </w:tcBorders>
            <w:shd w:val="clear" w:color="auto" w:fill="auto"/>
            <w:noWrap/>
            <w:vAlign w:val="bottom"/>
            <w:hideMark/>
          </w:tcPr>
          <w:p w14:paraId="46798BAA"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3,03</w:t>
            </w:r>
          </w:p>
        </w:tc>
      </w:tr>
      <w:tr w:rsidR="00922AA2" w:rsidRPr="00735DA6" w14:paraId="75CA98EC" w14:textId="77777777" w:rsidTr="00997C2A">
        <w:trPr>
          <w:trHeight w:val="300"/>
        </w:trPr>
        <w:tc>
          <w:tcPr>
            <w:tcW w:w="2948" w:type="dxa"/>
            <w:tcBorders>
              <w:top w:val="nil"/>
              <w:left w:val="nil"/>
              <w:bottom w:val="nil"/>
              <w:right w:val="single" w:sz="4" w:space="0" w:color="auto"/>
            </w:tcBorders>
            <w:shd w:val="clear" w:color="auto" w:fill="auto"/>
            <w:vAlign w:val="center"/>
            <w:hideMark/>
          </w:tcPr>
          <w:p w14:paraId="70D90D72" w14:textId="08A528F2" w:rsidR="00922AA2" w:rsidRPr="00735DA6" w:rsidRDefault="00922AA2" w:rsidP="00735DA6">
            <w:pPr>
              <w:spacing w:after="0" w:line="240" w:lineRule="auto"/>
              <w:ind w:firstLineChars="100" w:firstLine="160"/>
              <w:rPr>
                <w:rFonts w:ascii="Arial CE" w:hAnsi="Arial CE" w:cs="Arial CE"/>
                <w:sz w:val="16"/>
                <w:szCs w:val="16"/>
              </w:rPr>
            </w:pPr>
            <w:r w:rsidRPr="00735DA6">
              <w:rPr>
                <w:rFonts w:ascii="Arial CE" w:hAnsi="Arial CE" w:cs="Arial CE"/>
                <w:sz w:val="16"/>
                <w:szCs w:val="16"/>
              </w:rPr>
              <w:t xml:space="preserve">S </w:t>
            </w:r>
            <w:r>
              <w:rPr>
                <w:rFonts w:ascii="Arial CE" w:hAnsi="Arial CE" w:cs="Arial CE"/>
                <w:sz w:val="16"/>
                <w:szCs w:val="16"/>
              </w:rPr>
              <w:t xml:space="preserve">– </w:t>
            </w:r>
            <w:r w:rsidRPr="00735DA6">
              <w:rPr>
                <w:rFonts w:ascii="Arial CE" w:hAnsi="Arial CE" w:cs="Arial CE"/>
                <w:sz w:val="16"/>
                <w:szCs w:val="16"/>
              </w:rPr>
              <w:t>Ostatní činnosti</w:t>
            </w:r>
          </w:p>
        </w:tc>
        <w:tc>
          <w:tcPr>
            <w:tcW w:w="624" w:type="dxa"/>
            <w:tcBorders>
              <w:top w:val="nil"/>
              <w:left w:val="nil"/>
              <w:bottom w:val="nil"/>
              <w:right w:val="nil"/>
            </w:tcBorders>
            <w:vAlign w:val="bottom"/>
          </w:tcPr>
          <w:p w14:paraId="454944F9" w14:textId="6222BB84" w:rsidR="00922AA2" w:rsidRDefault="00997C2A" w:rsidP="00997C2A">
            <w:pPr>
              <w:spacing w:after="0" w:line="240" w:lineRule="auto"/>
              <w:jc w:val="right"/>
              <w:rPr>
                <w:rFonts w:ascii="Arial CE" w:hAnsi="Arial CE" w:cs="Arial CE"/>
                <w:sz w:val="16"/>
                <w:szCs w:val="16"/>
              </w:rPr>
            </w:pPr>
            <w:r>
              <w:rPr>
                <w:rFonts w:ascii="Arial CE" w:hAnsi="Arial CE" w:cs="Arial CE"/>
                <w:sz w:val="16"/>
                <w:szCs w:val="16"/>
              </w:rPr>
              <w:t>.</w:t>
            </w:r>
          </w:p>
        </w:tc>
        <w:tc>
          <w:tcPr>
            <w:tcW w:w="624" w:type="dxa"/>
            <w:tcBorders>
              <w:top w:val="nil"/>
              <w:left w:val="nil"/>
              <w:bottom w:val="nil"/>
              <w:right w:val="nil"/>
            </w:tcBorders>
            <w:vAlign w:val="bottom"/>
          </w:tcPr>
          <w:p w14:paraId="490B20ED" w14:textId="51625AFC" w:rsidR="00922AA2" w:rsidRPr="00735DA6" w:rsidRDefault="00922AA2" w:rsidP="00BB24C4">
            <w:pPr>
              <w:spacing w:after="0" w:line="240" w:lineRule="auto"/>
              <w:jc w:val="right"/>
              <w:rPr>
                <w:rFonts w:ascii="Arial CE" w:hAnsi="Arial CE" w:cs="Arial CE"/>
                <w:sz w:val="16"/>
                <w:szCs w:val="16"/>
              </w:rPr>
            </w:pPr>
            <w:r>
              <w:rPr>
                <w:rFonts w:ascii="Arial CE" w:hAnsi="Arial CE" w:cs="Arial CE"/>
                <w:sz w:val="16"/>
                <w:szCs w:val="16"/>
              </w:rPr>
              <w:t>3,43</w:t>
            </w:r>
          </w:p>
        </w:tc>
        <w:tc>
          <w:tcPr>
            <w:tcW w:w="624" w:type="dxa"/>
            <w:tcBorders>
              <w:top w:val="nil"/>
              <w:left w:val="nil"/>
              <w:bottom w:val="nil"/>
              <w:right w:val="nil"/>
            </w:tcBorders>
            <w:shd w:val="clear" w:color="auto" w:fill="auto"/>
            <w:noWrap/>
            <w:vAlign w:val="bottom"/>
            <w:hideMark/>
          </w:tcPr>
          <w:p w14:paraId="51E5CA7F" w14:textId="4892F699"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3,53</w:t>
            </w:r>
          </w:p>
        </w:tc>
        <w:tc>
          <w:tcPr>
            <w:tcW w:w="624" w:type="dxa"/>
            <w:tcBorders>
              <w:top w:val="nil"/>
              <w:left w:val="nil"/>
              <w:bottom w:val="nil"/>
              <w:right w:val="nil"/>
            </w:tcBorders>
            <w:shd w:val="clear" w:color="auto" w:fill="auto"/>
            <w:noWrap/>
            <w:vAlign w:val="bottom"/>
            <w:hideMark/>
          </w:tcPr>
          <w:p w14:paraId="77963C2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3,48</w:t>
            </w:r>
          </w:p>
        </w:tc>
        <w:tc>
          <w:tcPr>
            <w:tcW w:w="624" w:type="dxa"/>
            <w:tcBorders>
              <w:top w:val="nil"/>
              <w:left w:val="nil"/>
              <w:bottom w:val="nil"/>
              <w:right w:val="nil"/>
            </w:tcBorders>
            <w:shd w:val="clear" w:color="auto" w:fill="auto"/>
            <w:noWrap/>
            <w:vAlign w:val="bottom"/>
            <w:hideMark/>
          </w:tcPr>
          <w:p w14:paraId="598FACF1"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2,91</w:t>
            </w:r>
          </w:p>
        </w:tc>
        <w:tc>
          <w:tcPr>
            <w:tcW w:w="624" w:type="dxa"/>
            <w:tcBorders>
              <w:top w:val="nil"/>
              <w:left w:val="nil"/>
              <w:bottom w:val="nil"/>
              <w:right w:val="nil"/>
            </w:tcBorders>
            <w:shd w:val="clear" w:color="auto" w:fill="auto"/>
            <w:noWrap/>
            <w:vAlign w:val="bottom"/>
            <w:hideMark/>
          </w:tcPr>
          <w:p w14:paraId="77EA79AE"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3,11</w:t>
            </w:r>
          </w:p>
        </w:tc>
        <w:tc>
          <w:tcPr>
            <w:tcW w:w="624" w:type="dxa"/>
            <w:tcBorders>
              <w:top w:val="nil"/>
              <w:left w:val="nil"/>
              <w:bottom w:val="nil"/>
              <w:right w:val="nil"/>
            </w:tcBorders>
            <w:shd w:val="clear" w:color="auto" w:fill="auto"/>
            <w:noWrap/>
            <w:vAlign w:val="bottom"/>
            <w:hideMark/>
          </w:tcPr>
          <w:p w14:paraId="794B0A22"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3,20</w:t>
            </w:r>
          </w:p>
        </w:tc>
        <w:tc>
          <w:tcPr>
            <w:tcW w:w="624" w:type="dxa"/>
            <w:tcBorders>
              <w:top w:val="nil"/>
              <w:left w:val="nil"/>
              <w:bottom w:val="nil"/>
              <w:right w:val="nil"/>
            </w:tcBorders>
            <w:shd w:val="clear" w:color="auto" w:fill="auto"/>
            <w:noWrap/>
            <w:vAlign w:val="bottom"/>
            <w:hideMark/>
          </w:tcPr>
          <w:p w14:paraId="4ED0B95B"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3,62</w:t>
            </w:r>
          </w:p>
        </w:tc>
        <w:tc>
          <w:tcPr>
            <w:tcW w:w="624" w:type="dxa"/>
            <w:tcBorders>
              <w:top w:val="nil"/>
              <w:left w:val="nil"/>
              <w:bottom w:val="nil"/>
              <w:right w:val="nil"/>
            </w:tcBorders>
            <w:shd w:val="clear" w:color="auto" w:fill="auto"/>
            <w:noWrap/>
            <w:vAlign w:val="bottom"/>
            <w:hideMark/>
          </w:tcPr>
          <w:p w14:paraId="3863AD67"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3,76</w:t>
            </w:r>
          </w:p>
        </w:tc>
        <w:tc>
          <w:tcPr>
            <w:tcW w:w="624" w:type="dxa"/>
            <w:tcBorders>
              <w:top w:val="nil"/>
              <w:left w:val="nil"/>
              <w:bottom w:val="nil"/>
              <w:right w:val="nil"/>
            </w:tcBorders>
            <w:shd w:val="clear" w:color="auto" w:fill="auto"/>
            <w:noWrap/>
            <w:vAlign w:val="bottom"/>
            <w:hideMark/>
          </w:tcPr>
          <w:p w14:paraId="63001DFC"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3,58</w:t>
            </w:r>
          </w:p>
        </w:tc>
        <w:tc>
          <w:tcPr>
            <w:tcW w:w="624" w:type="dxa"/>
            <w:tcBorders>
              <w:top w:val="nil"/>
              <w:left w:val="nil"/>
              <w:bottom w:val="nil"/>
              <w:right w:val="nil"/>
            </w:tcBorders>
            <w:shd w:val="clear" w:color="auto" w:fill="auto"/>
            <w:noWrap/>
            <w:vAlign w:val="bottom"/>
            <w:hideMark/>
          </w:tcPr>
          <w:p w14:paraId="168B3706" w14:textId="77777777" w:rsidR="00922AA2" w:rsidRPr="00735DA6" w:rsidRDefault="00922AA2" w:rsidP="00735DA6">
            <w:pPr>
              <w:spacing w:after="0" w:line="240" w:lineRule="auto"/>
              <w:jc w:val="right"/>
              <w:rPr>
                <w:rFonts w:ascii="Arial CE" w:hAnsi="Arial CE" w:cs="Arial CE"/>
                <w:sz w:val="16"/>
                <w:szCs w:val="16"/>
              </w:rPr>
            </w:pPr>
            <w:r w:rsidRPr="00735DA6">
              <w:rPr>
                <w:rFonts w:ascii="Arial CE" w:hAnsi="Arial CE" w:cs="Arial CE"/>
                <w:sz w:val="16"/>
                <w:szCs w:val="16"/>
              </w:rPr>
              <w:t>3,75</w:t>
            </w:r>
          </w:p>
        </w:tc>
      </w:tr>
    </w:tbl>
    <w:p w14:paraId="15E4781E" w14:textId="528E63CA" w:rsidR="00B90ADC" w:rsidRDefault="00B90ADC" w:rsidP="00B90ADC">
      <w:pPr>
        <w:rPr>
          <w:rFonts w:cs="Arial"/>
          <w:szCs w:val="20"/>
        </w:rPr>
      </w:pPr>
    </w:p>
    <w:p w14:paraId="066D4D1A" w14:textId="77777777" w:rsidR="00735DA6" w:rsidRDefault="00735DA6" w:rsidP="00735DA6">
      <w:pPr>
        <w:spacing w:after="0"/>
        <w:rPr>
          <w:sz w:val="18"/>
        </w:rPr>
      </w:pPr>
      <w:r w:rsidRPr="00BC3FF5">
        <w:rPr>
          <w:sz w:val="18"/>
        </w:rPr>
        <w:t>Zdroj: ČSÚ</w:t>
      </w:r>
    </w:p>
    <w:p w14:paraId="70387E1B" w14:textId="77777777" w:rsidR="00735DA6" w:rsidRDefault="00735DA6" w:rsidP="00735DA6">
      <w:pPr>
        <w:jc w:val="both"/>
        <w:rPr>
          <w:rFonts w:cs="Arial"/>
        </w:rPr>
      </w:pPr>
    </w:p>
    <w:p w14:paraId="76828A6F" w14:textId="26D71E57" w:rsidR="001E0499" w:rsidRPr="001E0499" w:rsidRDefault="0018047C" w:rsidP="00D758FD">
      <w:pPr>
        <w:jc w:val="both"/>
        <w:rPr>
          <w:rFonts w:cs="Arial"/>
        </w:rPr>
      </w:pPr>
      <w:r>
        <w:rPr>
          <w:rFonts w:cs="Arial"/>
        </w:rPr>
        <w:t>Z </w:t>
      </w:r>
      <w:r w:rsidRPr="00722773">
        <w:rPr>
          <w:rFonts w:cs="Arial"/>
          <w:b/>
        </w:rPr>
        <w:t>regionálního pohledu</w:t>
      </w:r>
      <w:r>
        <w:rPr>
          <w:rFonts w:cs="Arial"/>
        </w:rPr>
        <w:t xml:space="preserve"> zaznamenal n</w:t>
      </w:r>
      <w:r w:rsidR="001E0499">
        <w:rPr>
          <w:rFonts w:cs="Arial"/>
        </w:rPr>
        <w:t xml:space="preserve">ejvyšší </w:t>
      </w:r>
      <w:r>
        <w:rPr>
          <w:rFonts w:cs="Arial"/>
        </w:rPr>
        <w:t xml:space="preserve">hodnotu </w:t>
      </w:r>
      <w:r w:rsidR="001E0499">
        <w:rPr>
          <w:rFonts w:cs="Arial"/>
        </w:rPr>
        <w:t>průměrné</w:t>
      </w:r>
      <w:r>
        <w:rPr>
          <w:rFonts w:cs="Arial"/>
        </w:rPr>
        <w:t>ho procenta</w:t>
      </w:r>
      <w:r w:rsidR="003350EA">
        <w:rPr>
          <w:rFonts w:cs="Arial"/>
        </w:rPr>
        <w:t xml:space="preserve"> pracovní neschopnosti</w:t>
      </w:r>
      <w:r>
        <w:rPr>
          <w:rFonts w:cs="Arial"/>
        </w:rPr>
        <w:t xml:space="preserve"> Moravskoslezský (5,4 %), Zlínský (5</w:t>
      </w:r>
      <w:r w:rsidR="00D758FD">
        <w:rPr>
          <w:rFonts w:cs="Arial"/>
        </w:rPr>
        <w:t xml:space="preserve">,3 %) a Jihočeský kraj (5,2 %). Hl. m. Praha díky nejnižšímu počtu případů na 100 pojištěnců a díky relativně krátké průměrné době trvání těchto pracovní neschopností zaujímá nejnižší procento práce neschopných na 100 pojištěnců denně. Zatímco hodnoty všech ostatních </w:t>
      </w:r>
      <w:r w:rsidR="00E16CCE">
        <w:rPr>
          <w:rFonts w:cs="Arial"/>
        </w:rPr>
        <w:t>13</w:t>
      </w:r>
      <w:r w:rsidR="00BA3658">
        <w:rPr>
          <w:rFonts w:cs="Arial"/>
        </w:rPr>
        <w:t> </w:t>
      </w:r>
      <w:r w:rsidR="00D758FD">
        <w:rPr>
          <w:rFonts w:cs="Arial"/>
        </w:rPr>
        <w:t>krajů se nachází v rozmezí 4,4–5,4 %, ukazatel v Praze v roce 2018 dosáhl hodnoty pouze 3,4 %. Toto výsadní postavení si kraj hl. m. Praha drží už řadu let, jak je zřejmé z tabulky 2.8.</w:t>
      </w:r>
    </w:p>
    <w:p w14:paraId="26228885" w14:textId="1F0AA885" w:rsidR="00735DA6" w:rsidRDefault="00735DA6" w:rsidP="00735DA6">
      <w:pPr>
        <w:jc w:val="both"/>
      </w:pPr>
      <w:r w:rsidRPr="00545F75">
        <w:t>Podle detailnějšího ú</w:t>
      </w:r>
      <w:r w:rsidR="004B4514" w:rsidRPr="00545F75">
        <w:t xml:space="preserve">zemního členění </w:t>
      </w:r>
      <w:r w:rsidR="00545F75" w:rsidRPr="00545F75">
        <w:t>se okresem s nejvyšším průměrným procentem dočasné pracovní neschopnosti</w:t>
      </w:r>
      <w:r w:rsidR="004B4514" w:rsidRPr="00545F75">
        <w:t xml:space="preserve"> v roce 2018</w:t>
      </w:r>
      <w:r w:rsidRPr="00545F75">
        <w:t xml:space="preserve"> </w:t>
      </w:r>
      <w:r w:rsidR="00545F75" w:rsidRPr="00545F75">
        <w:t>staly Prachatice (6,5 %), následovan</w:t>
      </w:r>
      <w:r w:rsidR="003728E7">
        <w:t>é</w:t>
      </w:r>
      <w:r w:rsidR="00545F75" w:rsidRPr="00545F75">
        <w:t xml:space="preserve"> okresy Strakonice (6,3 %) a Břeclav (6,2</w:t>
      </w:r>
      <w:r w:rsidR="003728E7">
        <w:t> </w:t>
      </w:r>
      <w:r w:rsidR="00545F75" w:rsidRPr="00545F75">
        <w:t xml:space="preserve">%). </w:t>
      </w:r>
      <w:r w:rsidRPr="00545F75">
        <w:lastRenderedPageBreak/>
        <w:t xml:space="preserve">Nejnižší hodnotu průměrného procenta pracovní neschopnosti </w:t>
      </w:r>
      <w:r w:rsidR="00545F75" w:rsidRPr="00545F75">
        <w:t>vykazovaly</w:t>
      </w:r>
      <w:r w:rsidRPr="00545F75">
        <w:t xml:space="preserve"> okresy Jeseník</w:t>
      </w:r>
      <w:r w:rsidR="004F2630">
        <w:rPr>
          <w:rStyle w:val="Znakapoznpodarou"/>
        </w:rPr>
        <w:footnoteReference w:id="7"/>
      </w:r>
      <w:r w:rsidRPr="00545F75">
        <w:t xml:space="preserve"> (2,</w:t>
      </w:r>
      <w:r w:rsidR="00545F75" w:rsidRPr="00545F75">
        <w:t>2 %</w:t>
      </w:r>
      <w:r w:rsidRPr="00545F75">
        <w:t>) a</w:t>
      </w:r>
      <w:r w:rsidR="00BA3658">
        <w:t> </w:t>
      </w:r>
      <w:r w:rsidR="003728E7">
        <w:t xml:space="preserve">již zmíněná </w:t>
      </w:r>
      <w:r w:rsidR="00545F75" w:rsidRPr="00545F75">
        <w:t>Praha</w:t>
      </w:r>
      <w:r w:rsidRPr="00545F75">
        <w:t xml:space="preserve"> (3,4</w:t>
      </w:r>
      <w:r w:rsidR="00545F75" w:rsidRPr="00545F75">
        <w:t xml:space="preserve"> %</w:t>
      </w:r>
      <w:r w:rsidRPr="00545F75">
        <w:t xml:space="preserve">). Hodnotu ukazatele pod hranicí 4 % </w:t>
      </w:r>
      <w:r w:rsidR="003728E7">
        <w:t>zaznamenaly</w:t>
      </w:r>
      <w:r w:rsidRPr="00545F75">
        <w:t xml:space="preserve"> ještě okresy </w:t>
      </w:r>
      <w:r w:rsidR="00545F75" w:rsidRPr="00545F75">
        <w:t>Brno-město (3,5</w:t>
      </w:r>
      <w:r w:rsidR="003728E7">
        <w:t> </w:t>
      </w:r>
      <w:r w:rsidR="00545F75" w:rsidRPr="00545F75">
        <w:t>%), Pardubice (3,8 %) a Mělník (3,9 %). Podrobné</w:t>
      </w:r>
      <w:r w:rsidRPr="00545F75">
        <w:t xml:space="preserve"> informace </w:t>
      </w:r>
      <w:r w:rsidR="00545F75" w:rsidRPr="00545F75">
        <w:t xml:space="preserve">za celou Českou republiku </w:t>
      </w:r>
      <w:r w:rsidRPr="00545F75">
        <w:t>nabízí kartogram 2.1.</w:t>
      </w:r>
    </w:p>
    <w:p w14:paraId="54320FB5" w14:textId="0D00B460" w:rsidR="00861DCA" w:rsidRPr="00861DCA" w:rsidRDefault="00162BC5" w:rsidP="00861DCA">
      <w:pPr>
        <w:pStyle w:val="Titulek"/>
        <w:keepNext/>
        <w:jc w:val="both"/>
        <w:rPr>
          <w:b/>
          <w:i w:val="0"/>
          <w:color w:val="000000" w:themeColor="text1"/>
          <w:sz w:val="20"/>
        </w:rPr>
      </w:pPr>
      <w:r>
        <w:rPr>
          <w:b/>
          <w:i w:val="0"/>
          <w:color w:val="000000" w:themeColor="text1"/>
          <w:sz w:val="20"/>
        </w:rPr>
        <w:t>Graf 2.</w:t>
      </w:r>
      <w:r w:rsidR="00861DCA" w:rsidRPr="00861DCA">
        <w:rPr>
          <w:b/>
          <w:i w:val="0"/>
          <w:color w:val="000000" w:themeColor="text1"/>
          <w:sz w:val="20"/>
        </w:rPr>
        <w:t xml:space="preserve">10: Průměrné procento </w:t>
      </w:r>
      <w:r w:rsidR="005346F3">
        <w:rPr>
          <w:b/>
          <w:i w:val="0"/>
          <w:color w:val="000000" w:themeColor="text1"/>
          <w:sz w:val="20"/>
        </w:rPr>
        <w:t xml:space="preserve">dočasné </w:t>
      </w:r>
      <w:r w:rsidR="00861DCA" w:rsidRPr="00861DCA">
        <w:rPr>
          <w:b/>
          <w:i w:val="0"/>
          <w:color w:val="000000" w:themeColor="text1"/>
          <w:sz w:val="20"/>
        </w:rPr>
        <w:t>pracovní neschopnosti dle odvětví ekonomické činnosti v roce 2018</w:t>
      </w:r>
    </w:p>
    <w:p w14:paraId="64BA53E7" w14:textId="720D43ED" w:rsidR="003E3CA0" w:rsidRDefault="005346F3" w:rsidP="00735DA6">
      <w:pPr>
        <w:jc w:val="both"/>
      </w:pPr>
      <w:r>
        <w:rPr>
          <w:noProof/>
        </w:rPr>
        <w:drawing>
          <wp:inline distT="0" distB="0" distL="0" distR="0" wp14:anchorId="01F3DD67" wp14:editId="5B7AD0F8">
            <wp:extent cx="6120130" cy="329882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11DBCA" w14:textId="77777777" w:rsidR="00861DCA" w:rsidRDefault="00861DCA" w:rsidP="00861DCA">
      <w:pPr>
        <w:spacing w:after="0"/>
        <w:rPr>
          <w:sz w:val="18"/>
        </w:rPr>
      </w:pPr>
      <w:r w:rsidRPr="00BC3FF5">
        <w:rPr>
          <w:sz w:val="18"/>
        </w:rPr>
        <w:t>Zdroj: ČSÚ</w:t>
      </w:r>
    </w:p>
    <w:p w14:paraId="28B3B52F" w14:textId="77107737" w:rsidR="00861DCA" w:rsidRDefault="00861DCA" w:rsidP="00B90ADC">
      <w:pPr>
        <w:rPr>
          <w:b/>
        </w:rPr>
      </w:pPr>
    </w:p>
    <w:p w14:paraId="0F754D9B" w14:textId="6106C92F" w:rsidR="00861DCA" w:rsidRDefault="00162BC5" w:rsidP="00861DCA">
      <w:pPr>
        <w:pStyle w:val="Titulek"/>
        <w:keepNext/>
        <w:jc w:val="both"/>
      </w:pPr>
      <w:r>
        <w:rPr>
          <w:b/>
          <w:i w:val="0"/>
          <w:color w:val="000000" w:themeColor="text1"/>
          <w:sz w:val="20"/>
          <w:szCs w:val="20"/>
        </w:rPr>
        <w:lastRenderedPageBreak/>
        <w:t>Graf 2.</w:t>
      </w:r>
      <w:r w:rsidR="00861DCA" w:rsidRPr="00861DCA">
        <w:rPr>
          <w:b/>
          <w:i w:val="0"/>
          <w:color w:val="000000" w:themeColor="text1"/>
          <w:sz w:val="20"/>
          <w:szCs w:val="20"/>
        </w:rPr>
        <w:t xml:space="preserve">11: Průměrné procento </w:t>
      </w:r>
      <w:r w:rsidR="005346F3">
        <w:rPr>
          <w:b/>
          <w:i w:val="0"/>
          <w:color w:val="000000" w:themeColor="text1"/>
          <w:sz w:val="20"/>
          <w:szCs w:val="20"/>
        </w:rPr>
        <w:t xml:space="preserve">dočasné </w:t>
      </w:r>
      <w:r w:rsidR="00861DCA" w:rsidRPr="00861DCA">
        <w:rPr>
          <w:b/>
          <w:i w:val="0"/>
          <w:color w:val="000000" w:themeColor="text1"/>
          <w:sz w:val="20"/>
          <w:szCs w:val="20"/>
        </w:rPr>
        <w:t xml:space="preserve">pracovní neschopnosti </w:t>
      </w:r>
      <w:r w:rsidR="00861DCA">
        <w:rPr>
          <w:b/>
          <w:i w:val="0"/>
          <w:color w:val="000000" w:themeColor="text1"/>
          <w:sz w:val="20"/>
          <w:szCs w:val="20"/>
        </w:rPr>
        <w:t>po</w:t>
      </w:r>
      <w:r w:rsidR="00861DCA" w:rsidRPr="00861DCA">
        <w:rPr>
          <w:b/>
          <w:i w:val="0"/>
          <w:color w:val="000000" w:themeColor="text1"/>
          <w:sz w:val="20"/>
          <w:szCs w:val="20"/>
        </w:rPr>
        <w:t xml:space="preserve">dle </w:t>
      </w:r>
      <w:r w:rsidR="00861DCA">
        <w:rPr>
          <w:b/>
          <w:i w:val="0"/>
          <w:color w:val="000000" w:themeColor="text1"/>
          <w:sz w:val="20"/>
          <w:szCs w:val="20"/>
        </w:rPr>
        <w:t>krajů ČR</w:t>
      </w:r>
      <w:r w:rsidR="00861DCA" w:rsidRPr="00861DCA">
        <w:rPr>
          <w:b/>
          <w:i w:val="0"/>
          <w:color w:val="000000" w:themeColor="text1"/>
          <w:sz w:val="20"/>
          <w:szCs w:val="20"/>
        </w:rPr>
        <w:t xml:space="preserve"> v roce 2018</w:t>
      </w:r>
    </w:p>
    <w:p w14:paraId="4DBA707E" w14:textId="39F6ACA5" w:rsidR="00861DCA" w:rsidRDefault="009B39CA" w:rsidP="00B90ADC">
      <w:pPr>
        <w:rPr>
          <w:b/>
        </w:rPr>
      </w:pPr>
      <w:r>
        <w:rPr>
          <w:noProof/>
        </w:rPr>
        <w:drawing>
          <wp:inline distT="0" distB="0" distL="0" distR="0" wp14:anchorId="4749F8B4" wp14:editId="177FF2F4">
            <wp:extent cx="6057900" cy="321945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8DBD84" w14:textId="75A1A53F" w:rsidR="009B39CA" w:rsidRDefault="00861DCA" w:rsidP="00861DCA">
      <w:pPr>
        <w:spacing w:after="0"/>
        <w:rPr>
          <w:sz w:val="18"/>
        </w:rPr>
      </w:pPr>
      <w:r w:rsidRPr="00BC3FF5">
        <w:rPr>
          <w:sz w:val="18"/>
        </w:rPr>
        <w:t>Zdroj: ČSÚ</w:t>
      </w:r>
    </w:p>
    <w:p w14:paraId="554D63D0" w14:textId="77777777" w:rsidR="009B39CA" w:rsidRDefault="009B39CA">
      <w:pPr>
        <w:spacing w:after="0" w:line="240" w:lineRule="auto"/>
        <w:rPr>
          <w:sz w:val="18"/>
        </w:rPr>
      </w:pPr>
      <w:r>
        <w:rPr>
          <w:sz w:val="18"/>
        </w:rPr>
        <w:br w:type="page"/>
      </w:r>
    </w:p>
    <w:p w14:paraId="4D640D04" w14:textId="60FD9927" w:rsidR="00861DCA" w:rsidRDefault="00861DCA" w:rsidP="00861DCA">
      <w:pPr>
        <w:jc w:val="both"/>
        <w:rPr>
          <w:b/>
        </w:rPr>
      </w:pPr>
      <w:r>
        <w:rPr>
          <w:b/>
        </w:rPr>
        <w:lastRenderedPageBreak/>
        <w:t>Kartogram 2.1</w:t>
      </w:r>
      <w:r w:rsidR="00162BC5">
        <w:rPr>
          <w:b/>
        </w:rPr>
        <w:t>:</w:t>
      </w:r>
      <w:r>
        <w:rPr>
          <w:b/>
        </w:rPr>
        <w:t xml:space="preserve"> Průměrné procento dočasné pracovní neschop</w:t>
      </w:r>
      <w:r w:rsidR="00FB1AE3">
        <w:rPr>
          <w:b/>
        </w:rPr>
        <w:t>nosti v regionech ČR v roce 2018</w:t>
      </w:r>
    </w:p>
    <w:p w14:paraId="125439DB" w14:textId="123C9363" w:rsidR="00861DCA" w:rsidRDefault="00FB1AE3" w:rsidP="00861DCA">
      <w:r w:rsidRPr="00FB1AE3">
        <w:rPr>
          <w:noProof/>
        </w:rPr>
        <w:drawing>
          <wp:inline distT="0" distB="0" distL="0" distR="0" wp14:anchorId="5C650409" wp14:editId="0B86699F">
            <wp:extent cx="6118860" cy="3924300"/>
            <wp:effectExtent l="0" t="0" r="0" b="0"/>
            <wp:docPr id="26" name="Obrázek 26" descr="D:\PN\2018\publikace\kar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N\2018\publikace\kartogram.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5062" b="4247"/>
                    <a:stretch/>
                  </pic:blipFill>
                  <pic:spPr bwMode="auto">
                    <a:xfrm>
                      <a:off x="0" y="0"/>
                      <a:ext cx="6120130" cy="3925115"/>
                    </a:xfrm>
                    <a:prstGeom prst="rect">
                      <a:avLst/>
                    </a:prstGeom>
                    <a:noFill/>
                    <a:ln>
                      <a:noFill/>
                    </a:ln>
                    <a:extLst>
                      <a:ext uri="{53640926-AAD7-44D8-BBD7-CCE9431645EC}">
                        <a14:shadowObscured xmlns:a14="http://schemas.microsoft.com/office/drawing/2010/main"/>
                      </a:ext>
                    </a:extLst>
                  </pic:spPr>
                </pic:pic>
              </a:graphicData>
            </a:graphic>
          </wp:inline>
        </w:drawing>
      </w:r>
    </w:p>
    <w:p w14:paraId="443C5383" w14:textId="77777777" w:rsidR="00861DCA" w:rsidRDefault="00861DCA" w:rsidP="00861DCA">
      <w:pPr>
        <w:jc w:val="both"/>
        <w:rPr>
          <w:rFonts w:cs="Arial"/>
          <w:sz w:val="16"/>
          <w:szCs w:val="16"/>
        </w:rPr>
      </w:pPr>
      <w:r>
        <w:rPr>
          <w:rFonts w:cs="Arial"/>
          <w:sz w:val="16"/>
          <w:szCs w:val="16"/>
        </w:rPr>
        <w:t>Zdroj: ČSÚ</w:t>
      </w:r>
    </w:p>
    <w:p w14:paraId="502A59A2" w14:textId="2C0B0CE3" w:rsidR="00C57E6B" w:rsidRDefault="00C57E6B" w:rsidP="00C57E6B">
      <w:pPr>
        <w:jc w:val="both"/>
      </w:pPr>
      <w:bookmarkStart w:id="17" w:name="_Toc10112626"/>
      <w:r w:rsidRPr="00C57E6B">
        <w:rPr>
          <w:b/>
          <w:color w:val="000000" w:themeColor="text1"/>
        </w:rPr>
        <w:t>Tab</w:t>
      </w:r>
      <w:r w:rsidR="009B39CA">
        <w:rPr>
          <w:b/>
          <w:color w:val="000000" w:themeColor="text1"/>
        </w:rPr>
        <w:t>.</w:t>
      </w:r>
      <w:r w:rsidR="00162BC5">
        <w:rPr>
          <w:b/>
          <w:color w:val="000000" w:themeColor="text1"/>
        </w:rPr>
        <w:t xml:space="preserve"> 2.</w:t>
      </w:r>
      <w:r w:rsidRPr="00C57E6B">
        <w:rPr>
          <w:b/>
          <w:color w:val="000000" w:themeColor="text1"/>
        </w:rPr>
        <w:fldChar w:fldCharType="begin"/>
      </w:r>
      <w:r w:rsidRPr="00C57E6B">
        <w:rPr>
          <w:b/>
          <w:color w:val="000000" w:themeColor="text1"/>
        </w:rPr>
        <w:instrText xml:space="preserve"> SEQ Tabulka \* ARABIC </w:instrText>
      </w:r>
      <w:r w:rsidRPr="00C57E6B">
        <w:rPr>
          <w:b/>
          <w:color w:val="000000" w:themeColor="text1"/>
        </w:rPr>
        <w:fldChar w:fldCharType="separate"/>
      </w:r>
      <w:r w:rsidR="004426F5">
        <w:rPr>
          <w:b/>
          <w:noProof/>
          <w:color w:val="000000" w:themeColor="text1"/>
        </w:rPr>
        <w:t>8</w:t>
      </w:r>
      <w:r w:rsidRPr="00C57E6B">
        <w:rPr>
          <w:b/>
          <w:color w:val="000000" w:themeColor="text1"/>
        </w:rPr>
        <w:fldChar w:fldCharType="end"/>
      </w:r>
      <w:r w:rsidRPr="00C57E6B">
        <w:rPr>
          <w:b/>
          <w:color w:val="000000" w:themeColor="text1"/>
        </w:rPr>
        <w:t>: Průměrné procento dočasné pracovní neschopnosti podle krajů ČR v letech 2008–2018</w:t>
      </w:r>
      <w:bookmarkEnd w:id="17"/>
    </w:p>
    <w:tbl>
      <w:tblPr>
        <w:tblW w:w="9580" w:type="dxa"/>
        <w:tblInd w:w="70" w:type="dxa"/>
        <w:tblCellMar>
          <w:left w:w="70" w:type="dxa"/>
          <w:right w:w="70" w:type="dxa"/>
        </w:tblCellMar>
        <w:tblLook w:val="04A0" w:firstRow="1" w:lastRow="0" w:firstColumn="1" w:lastColumn="0" w:noHBand="0" w:noVBand="1"/>
      </w:tblPr>
      <w:tblGrid>
        <w:gridCol w:w="1870"/>
        <w:gridCol w:w="710"/>
        <w:gridCol w:w="700"/>
        <w:gridCol w:w="700"/>
        <w:gridCol w:w="700"/>
        <w:gridCol w:w="700"/>
        <w:gridCol w:w="700"/>
        <w:gridCol w:w="700"/>
        <w:gridCol w:w="700"/>
        <w:gridCol w:w="700"/>
        <w:gridCol w:w="700"/>
        <w:gridCol w:w="700"/>
      </w:tblGrid>
      <w:tr w:rsidR="00861DCA" w:rsidRPr="00861DCA" w14:paraId="054C4606" w14:textId="77777777" w:rsidTr="00861DCA">
        <w:trPr>
          <w:trHeight w:val="300"/>
        </w:trPr>
        <w:tc>
          <w:tcPr>
            <w:tcW w:w="1870" w:type="dxa"/>
            <w:vMerge w:val="restart"/>
            <w:tcBorders>
              <w:top w:val="nil"/>
              <w:left w:val="nil"/>
              <w:bottom w:val="single" w:sz="8" w:space="0" w:color="000000"/>
              <w:right w:val="single" w:sz="4" w:space="0" w:color="auto"/>
            </w:tcBorders>
            <w:shd w:val="clear" w:color="000000" w:fill="F5DADD"/>
            <w:vAlign w:val="center"/>
            <w:hideMark/>
          </w:tcPr>
          <w:p w14:paraId="0386A556"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Kraj ČR</w:t>
            </w:r>
          </w:p>
        </w:tc>
        <w:tc>
          <w:tcPr>
            <w:tcW w:w="7710" w:type="dxa"/>
            <w:gridSpan w:val="11"/>
            <w:tcBorders>
              <w:top w:val="nil"/>
              <w:left w:val="nil"/>
              <w:bottom w:val="single" w:sz="4" w:space="0" w:color="auto"/>
              <w:right w:val="nil"/>
            </w:tcBorders>
            <w:shd w:val="clear" w:color="000000" w:fill="F5DADD"/>
            <w:noWrap/>
            <w:vAlign w:val="bottom"/>
            <w:hideMark/>
          </w:tcPr>
          <w:p w14:paraId="5F817AAE" w14:textId="479F71AA" w:rsidR="00861DCA" w:rsidRPr="00861DCA" w:rsidRDefault="00861DCA" w:rsidP="009B39CA">
            <w:pPr>
              <w:spacing w:after="0" w:line="240" w:lineRule="auto"/>
              <w:jc w:val="center"/>
              <w:rPr>
                <w:rFonts w:ascii="Arial CE" w:hAnsi="Arial CE" w:cs="Arial CE"/>
                <w:sz w:val="16"/>
                <w:szCs w:val="16"/>
              </w:rPr>
            </w:pPr>
            <w:r w:rsidRPr="00861DCA">
              <w:rPr>
                <w:rFonts w:ascii="Arial CE" w:hAnsi="Arial CE" w:cs="Arial CE"/>
                <w:sz w:val="16"/>
                <w:szCs w:val="16"/>
              </w:rPr>
              <w:t xml:space="preserve">Průměrné procento </w:t>
            </w:r>
            <w:r w:rsidR="009B39CA">
              <w:rPr>
                <w:rFonts w:ascii="Arial CE" w:hAnsi="Arial CE" w:cs="Arial CE"/>
                <w:sz w:val="16"/>
                <w:szCs w:val="16"/>
              </w:rPr>
              <w:t>DPM</w:t>
            </w:r>
          </w:p>
        </w:tc>
      </w:tr>
      <w:tr w:rsidR="00861DCA" w:rsidRPr="00861DCA" w14:paraId="0CF3608D" w14:textId="77777777" w:rsidTr="00861DCA">
        <w:trPr>
          <w:trHeight w:val="315"/>
        </w:trPr>
        <w:tc>
          <w:tcPr>
            <w:tcW w:w="1870" w:type="dxa"/>
            <w:vMerge/>
            <w:tcBorders>
              <w:top w:val="nil"/>
              <w:left w:val="nil"/>
              <w:bottom w:val="single" w:sz="8" w:space="0" w:color="000000"/>
              <w:right w:val="single" w:sz="4" w:space="0" w:color="auto"/>
            </w:tcBorders>
            <w:vAlign w:val="center"/>
            <w:hideMark/>
          </w:tcPr>
          <w:p w14:paraId="5A26FB5E" w14:textId="77777777" w:rsidR="00861DCA" w:rsidRPr="00861DCA" w:rsidRDefault="00861DCA" w:rsidP="00861DCA">
            <w:pPr>
              <w:spacing w:after="0" w:line="240" w:lineRule="auto"/>
              <w:rPr>
                <w:rFonts w:ascii="Arial CE" w:hAnsi="Arial CE" w:cs="Arial CE"/>
                <w:sz w:val="16"/>
                <w:szCs w:val="16"/>
              </w:rPr>
            </w:pPr>
          </w:p>
        </w:tc>
        <w:tc>
          <w:tcPr>
            <w:tcW w:w="710" w:type="dxa"/>
            <w:tcBorders>
              <w:top w:val="nil"/>
              <w:left w:val="nil"/>
              <w:bottom w:val="single" w:sz="8" w:space="0" w:color="auto"/>
              <w:right w:val="nil"/>
            </w:tcBorders>
            <w:shd w:val="clear" w:color="000000" w:fill="F5DADD"/>
            <w:noWrap/>
            <w:vAlign w:val="bottom"/>
            <w:hideMark/>
          </w:tcPr>
          <w:p w14:paraId="24861EEA"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2008</w:t>
            </w:r>
          </w:p>
        </w:tc>
        <w:tc>
          <w:tcPr>
            <w:tcW w:w="700" w:type="dxa"/>
            <w:tcBorders>
              <w:top w:val="nil"/>
              <w:left w:val="nil"/>
              <w:bottom w:val="single" w:sz="8" w:space="0" w:color="auto"/>
              <w:right w:val="nil"/>
            </w:tcBorders>
            <w:shd w:val="clear" w:color="000000" w:fill="F5DADD"/>
            <w:noWrap/>
            <w:vAlign w:val="bottom"/>
            <w:hideMark/>
          </w:tcPr>
          <w:p w14:paraId="485CC1B6"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2009</w:t>
            </w:r>
          </w:p>
        </w:tc>
        <w:tc>
          <w:tcPr>
            <w:tcW w:w="700" w:type="dxa"/>
            <w:tcBorders>
              <w:top w:val="nil"/>
              <w:left w:val="nil"/>
              <w:bottom w:val="single" w:sz="8" w:space="0" w:color="auto"/>
              <w:right w:val="nil"/>
            </w:tcBorders>
            <w:shd w:val="clear" w:color="000000" w:fill="F5DADD"/>
            <w:noWrap/>
            <w:vAlign w:val="bottom"/>
            <w:hideMark/>
          </w:tcPr>
          <w:p w14:paraId="298040A1"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2010</w:t>
            </w:r>
          </w:p>
        </w:tc>
        <w:tc>
          <w:tcPr>
            <w:tcW w:w="700" w:type="dxa"/>
            <w:tcBorders>
              <w:top w:val="nil"/>
              <w:left w:val="nil"/>
              <w:bottom w:val="single" w:sz="8" w:space="0" w:color="auto"/>
              <w:right w:val="nil"/>
            </w:tcBorders>
            <w:shd w:val="clear" w:color="000000" w:fill="F5DADD"/>
            <w:noWrap/>
            <w:vAlign w:val="bottom"/>
            <w:hideMark/>
          </w:tcPr>
          <w:p w14:paraId="383C2E57"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2011</w:t>
            </w:r>
          </w:p>
        </w:tc>
        <w:tc>
          <w:tcPr>
            <w:tcW w:w="700" w:type="dxa"/>
            <w:tcBorders>
              <w:top w:val="nil"/>
              <w:left w:val="nil"/>
              <w:bottom w:val="single" w:sz="8" w:space="0" w:color="auto"/>
              <w:right w:val="nil"/>
            </w:tcBorders>
            <w:shd w:val="clear" w:color="000000" w:fill="F5DADD"/>
            <w:noWrap/>
            <w:vAlign w:val="bottom"/>
            <w:hideMark/>
          </w:tcPr>
          <w:p w14:paraId="77CA8EE0"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2012</w:t>
            </w:r>
          </w:p>
        </w:tc>
        <w:tc>
          <w:tcPr>
            <w:tcW w:w="700" w:type="dxa"/>
            <w:tcBorders>
              <w:top w:val="nil"/>
              <w:left w:val="nil"/>
              <w:bottom w:val="single" w:sz="8" w:space="0" w:color="auto"/>
              <w:right w:val="nil"/>
            </w:tcBorders>
            <w:shd w:val="clear" w:color="000000" w:fill="F5DADD"/>
            <w:noWrap/>
            <w:vAlign w:val="bottom"/>
            <w:hideMark/>
          </w:tcPr>
          <w:p w14:paraId="30D82E52"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2013</w:t>
            </w:r>
          </w:p>
        </w:tc>
        <w:tc>
          <w:tcPr>
            <w:tcW w:w="700" w:type="dxa"/>
            <w:tcBorders>
              <w:top w:val="nil"/>
              <w:left w:val="nil"/>
              <w:bottom w:val="single" w:sz="8" w:space="0" w:color="auto"/>
              <w:right w:val="nil"/>
            </w:tcBorders>
            <w:shd w:val="clear" w:color="000000" w:fill="F5DADD"/>
            <w:noWrap/>
            <w:vAlign w:val="bottom"/>
            <w:hideMark/>
          </w:tcPr>
          <w:p w14:paraId="7075DEDF"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2014</w:t>
            </w:r>
          </w:p>
        </w:tc>
        <w:tc>
          <w:tcPr>
            <w:tcW w:w="700" w:type="dxa"/>
            <w:tcBorders>
              <w:top w:val="nil"/>
              <w:left w:val="nil"/>
              <w:bottom w:val="single" w:sz="8" w:space="0" w:color="auto"/>
              <w:right w:val="nil"/>
            </w:tcBorders>
            <w:shd w:val="clear" w:color="000000" w:fill="F5DADD"/>
            <w:noWrap/>
            <w:vAlign w:val="bottom"/>
            <w:hideMark/>
          </w:tcPr>
          <w:p w14:paraId="74F3FE1B"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2015</w:t>
            </w:r>
          </w:p>
        </w:tc>
        <w:tc>
          <w:tcPr>
            <w:tcW w:w="700" w:type="dxa"/>
            <w:tcBorders>
              <w:top w:val="nil"/>
              <w:left w:val="nil"/>
              <w:bottom w:val="single" w:sz="8" w:space="0" w:color="auto"/>
              <w:right w:val="nil"/>
            </w:tcBorders>
            <w:shd w:val="clear" w:color="000000" w:fill="F5DADD"/>
            <w:noWrap/>
            <w:vAlign w:val="bottom"/>
            <w:hideMark/>
          </w:tcPr>
          <w:p w14:paraId="4F683DA1"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2016</w:t>
            </w:r>
          </w:p>
        </w:tc>
        <w:tc>
          <w:tcPr>
            <w:tcW w:w="700" w:type="dxa"/>
            <w:tcBorders>
              <w:top w:val="nil"/>
              <w:left w:val="nil"/>
              <w:bottom w:val="single" w:sz="8" w:space="0" w:color="auto"/>
              <w:right w:val="nil"/>
            </w:tcBorders>
            <w:shd w:val="clear" w:color="000000" w:fill="F5DADD"/>
            <w:noWrap/>
            <w:vAlign w:val="bottom"/>
            <w:hideMark/>
          </w:tcPr>
          <w:p w14:paraId="6D113203"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2017</w:t>
            </w:r>
          </w:p>
        </w:tc>
        <w:tc>
          <w:tcPr>
            <w:tcW w:w="700" w:type="dxa"/>
            <w:tcBorders>
              <w:top w:val="nil"/>
              <w:left w:val="nil"/>
              <w:bottom w:val="single" w:sz="8" w:space="0" w:color="auto"/>
              <w:right w:val="nil"/>
            </w:tcBorders>
            <w:shd w:val="clear" w:color="000000" w:fill="F5DADD"/>
            <w:noWrap/>
            <w:vAlign w:val="bottom"/>
            <w:hideMark/>
          </w:tcPr>
          <w:p w14:paraId="47B885D7" w14:textId="77777777" w:rsidR="00861DCA" w:rsidRPr="00861DCA" w:rsidRDefault="00861DCA" w:rsidP="00861DCA">
            <w:pPr>
              <w:spacing w:after="0" w:line="240" w:lineRule="auto"/>
              <w:jc w:val="center"/>
              <w:rPr>
                <w:rFonts w:ascii="Arial CE" w:hAnsi="Arial CE" w:cs="Arial CE"/>
                <w:sz w:val="16"/>
                <w:szCs w:val="16"/>
              </w:rPr>
            </w:pPr>
            <w:r w:rsidRPr="00861DCA">
              <w:rPr>
                <w:rFonts w:ascii="Arial CE" w:hAnsi="Arial CE" w:cs="Arial CE"/>
                <w:sz w:val="16"/>
                <w:szCs w:val="16"/>
              </w:rPr>
              <w:t>2018</w:t>
            </w:r>
          </w:p>
        </w:tc>
      </w:tr>
      <w:tr w:rsidR="00861DCA" w:rsidRPr="00861DCA" w14:paraId="6322A58B"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6FCBB3B9" w14:textId="77777777" w:rsidR="00861DCA" w:rsidRPr="00861DCA" w:rsidRDefault="00861DCA" w:rsidP="00C57E6B">
            <w:pPr>
              <w:spacing w:after="0" w:line="240" w:lineRule="auto"/>
              <w:rPr>
                <w:rFonts w:ascii="Arial CE" w:hAnsi="Arial CE" w:cs="Arial CE"/>
                <w:b/>
                <w:bCs/>
                <w:sz w:val="16"/>
                <w:szCs w:val="16"/>
              </w:rPr>
            </w:pPr>
            <w:r w:rsidRPr="00861DCA">
              <w:rPr>
                <w:rFonts w:ascii="Arial CE" w:hAnsi="Arial CE" w:cs="Arial CE"/>
                <w:b/>
                <w:bCs/>
                <w:sz w:val="16"/>
                <w:szCs w:val="16"/>
              </w:rPr>
              <w:t>ČR celkem</w:t>
            </w:r>
          </w:p>
        </w:tc>
        <w:tc>
          <w:tcPr>
            <w:tcW w:w="710" w:type="dxa"/>
            <w:tcBorders>
              <w:top w:val="nil"/>
              <w:left w:val="nil"/>
              <w:bottom w:val="nil"/>
              <w:right w:val="nil"/>
            </w:tcBorders>
            <w:shd w:val="clear" w:color="auto" w:fill="auto"/>
            <w:noWrap/>
            <w:vAlign w:val="center"/>
            <w:hideMark/>
          </w:tcPr>
          <w:p w14:paraId="74BAAA61"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5,18</w:t>
            </w:r>
          </w:p>
        </w:tc>
        <w:tc>
          <w:tcPr>
            <w:tcW w:w="700" w:type="dxa"/>
            <w:tcBorders>
              <w:top w:val="nil"/>
              <w:left w:val="nil"/>
              <w:bottom w:val="nil"/>
              <w:right w:val="nil"/>
            </w:tcBorders>
            <w:shd w:val="clear" w:color="auto" w:fill="auto"/>
            <w:noWrap/>
            <w:vAlign w:val="center"/>
            <w:hideMark/>
          </w:tcPr>
          <w:p w14:paraId="382733EA"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4,18</w:t>
            </w:r>
          </w:p>
        </w:tc>
        <w:tc>
          <w:tcPr>
            <w:tcW w:w="700" w:type="dxa"/>
            <w:tcBorders>
              <w:top w:val="nil"/>
              <w:left w:val="nil"/>
              <w:bottom w:val="nil"/>
              <w:right w:val="nil"/>
            </w:tcBorders>
            <w:shd w:val="clear" w:color="auto" w:fill="auto"/>
            <w:noWrap/>
            <w:vAlign w:val="center"/>
            <w:hideMark/>
          </w:tcPr>
          <w:p w14:paraId="52FF6868"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3,76</w:t>
            </w:r>
          </w:p>
        </w:tc>
        <w:tc>
          <w:tcPr>
            <w:tcW w:w="700" w:type="dxa"/>
            <w:tcBorders>
              <w:top w:val="nil"/>
              <w:left w:val="nil"/>
              <w:bottom w:val="nil"/>
              <w:right w:val="nil"/>
            </w:tcBorders>
            <w:shd w:val="clear" w:color="auto" w:fill="auto"/>
            <w:noWrap/>
            <w:vAlign w:val="center"/>
            <w:hideMark/>
          </w:tcPr>
          <w:p w14:paraId="2B5533CD"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3,64</w:t>
            </w:r>
          </w:p>
        </w:tc>
        <w:tc>
          <w:tcPr>
            <w:tcW w:w="700" w:type="dxa"/>
            <w:tcBorders>
              <w:top w:val="nil"/>
              <w:left w:val="nil"/>
              <w:bottom w:val="nil"/>
              <w:right w:val="nil"/>
            </w:tcBorders>
            <w:shd w:val="clear" w:color="auto" w:fill="auto"/>
            <w:noWrap/>
            <w:vAlign w:val="center"/>
            <w:hideMark/>
          </w:tcPr>
          <w:p w14:paraId="7EB10707"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3,45</w:t>
            </w:r>
          </w:p>
        </w:tc>
        <w:tc>
          <w:tcPr>
            <w:tcW w:w="700" w:type="dxa"/>
            <w:tcBorders>
              <w:top w:val="nil"/>
              <w:left w:val="nil"/>
              <w:bottom w:val="nil"/>
              <w:right w:val="nil"/>
            </w:tcBorders>
            <w:shd w:val="clear" w:color="auto" w:fill="auto"/>
            <w:noWrap/>
            <w:vAlign w:val="center"/>
            <w:hideMark/>
          </w:tcPr>
          <w:p w14:paraId="6867834A"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3,62</w:t>
            </w:r>
          </w:p>
        </w:tc>
        <w:tc>
          <w:tcPr>
            <w:tcW w:w="700" w:type="dxa"/>
            <w:tcBorders>
              <w:top w:val="nil"/>
              <w:left w:val="nil"/>
              <w:bottom w:val="nil"/>
              <w:right w:val="nil"/>
            </w:tcBorders>
            <w:shd w:val="clear" w:color="auto" w:fill="auto"/>
            <w:noWrap/>
            <w:vAlign w:val="center"/>
            <w:hideMark/>
          </w:tcPr>
          <w:p w14:paraId="66248F83"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3,70</w:t>
            </w:r>
          </w:p>
        </w:tc>
        <w:tc>
          <w:tcPr>
            <w:tcW w:w="700" w:type="dxa"/>
            <w:tcBorders>
              <w:top w:val="nil"/>
              <w:left w:val="nil"/>
              <w:bottom w:val="nil"/>
              <w:right w:val="nil"/>
            </w:tcBorders>
            <w:shd w:val="clear" w:color="auto" w:fill="auto"/>
            <w:noWrap/>
            <w:vAlign w:val="center"/>
            <w:hideMark/>
          </w:tcPr>
          <w:p w14:paraId="23A2886E"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4,06</w:t>
            </w:r>
          </w:p>
        </w:tc>
        <w:tc>
          <w:tcPr>
            <w:tcW w:w="700" w:type="dxa"/>
            <w:tcBorders>
              <w:top w:val="nil"/>
              <w:left w:val="nil"/>
              <w:bottom w:val="nil"/>
              <w:right w:val="nil"/>
            </w:tcBorders>
            <w:shd w:val="clear" w:color="auto" w:fill="auto"/>
            <w:noWrap/>
            <w:vAlign w:val="center"/>
            <w:hideMark/>
          </w:tcPr>
          <w:p w14:paraId="2D58B6C2"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4,20</w:t>
            </w:r>
          </w:p>
        </w:tc>
        <w:tc>
          <w:tcPr>
            <w:tcW w:w="700" w:type="dxa"/>
            <w:tcBorders>
              <w:top w:val="nil"/>
              <w:left w:val="nil"/>
              <w:bottom w:val="nil"/>
              <w:right w:val="nil"/>
            </w:tcBorders>
            <w:shd w:val="clear" w:color="auto" w:fill="auto"/>
            <w:noWrap/>
            <w:vAlign w:val="center"/>
            <w:hideMark/>
          </w:tcPr>
          <w:p w14:paraId="3F67FF4D"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4,26</w:t>
            </w:r>
          </w:p>
        </w:tc>
        <w:tc>
          <w:tcPr>
            <w:tcW w:w="700" w:type="dxa"/>
            <w:tcBorders>
              <w:top w:val="nil"/>
              <w:left w:val="nil"/>
              <w:bottom w:val="nil"/>
              <w:right w:val="nil"/>
            </w:tcBorders>
            <w:shd w:val="clear" w:color="auto" w:fill="auto"/>
            <w:noWrap/>
            <w:vAlign w:val="center"/>
            <w:hideMark/>
          </w:tcPr>
          <w:p w14:paraId="13BA0A1D" w14:textId="77777777" w:rsidR="00861DCA" w:rsidRPr="00861DCA" w:rsidRDefault="00861DCA" w:rsidP="00C57E6B">
            <w:pPr>
              <w:spacing w:after="0" w:line="240" w:lineRule="auto"/>
              <w:jc w:val="right"/>
              <w:rPr>
                <w:rFonts w:ascii="Arial CE" w:hAnsi="Arial CE" w:cs="Arial CE"/>
                <w:b/>
                <w:bCs/>
                <w:sz w:val="16"/>
                <w:szCs w:val="16"/>
              </w:rPr>
            </w:pPr>
            <w:r w:rsidRPr="00861DCA">
              <w:rPr>
                <w:rFonts w:ascii="Arial CE" w:hAnsi="Arial CE" w:cs="Arial CE"/>
                <w:b/>
                <w:bCs/>
                <w:sz w:val="16"/>
                <w:szCs w:val="16"/>
              </w:rPr>
              <w:t>4,47</w:t>
            </w:r>
          </w:p>
        </w:tc>
      </w:tr>
      <w:tr w:rsidR="00861DCA" w:rsidRPr="00861DCA" w14:paraId="0E8209F9"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4335A960"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Hl. m. Praha</w:t>
            </w:r>
          </w:p>
        </w:tc>
        <w:tc>
          <w:tcPr>
            <w:tcW w:w="710" w:type="dxa"/>
            <w:tcBorders>
              <w:top w:val="nil"/>
              <w:left w:val="nil"/>
              <w:bottom w:val="nil"/>
              <w:right w:val="nil"/>
            </w:tcBorders>
            <w:shd w:val="clear" w:color="auto" w:fill="auto"/>
            <w:noWrap/>
            <w:vAlign w:val="center"/>
            <w:hideMark/>
          </w:tcPr>
          <w:p w14:paraId="7CAFA69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3,96</w:t>
            </w:r>
          </w:p>
        </w:tc>
        <w:tc>
          <w:tcPr>
            <w:tcW w:w="700" w:type="dxa"/>
            <w:tcBorders>
              <w:top w:val="nil"/>
              <w:left w:val="nil"/>
              <w:bottom w:val="nil"/>
              <w:right w:val="nil"/>
            </w:tcBorders>
            <w:shd w:val="clear" w:color="auto" w:fill="auto"/>
            <w:noWrap/>
            <w:vAlign w:val="center"/>
            <w:hideMark/>
          </w:tcPr>
          <w:p w14:paraId="799692B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3,32</w:t>
            </w:r>
          </w:p>
        </w:tc>
        <w:tc>
          <w:tcPr>
            <w:tcW w:w="700" w:type="dxa"/>
            <w:tcBorders>
              <w:top w:val="nil"/>
              <w:left w:val="nil"/>
              <w:bottom w:val="nil"/>
              <w:right w:val="nil"/>
            </w:tcBorders>
            <w:shd w:val="clear" w:color="auto" w:fill="auto"/>
            <w:noWrap/>
            <w:vAlign w:val="center"/>
            <w:hideMark/>
          </w:tcPr>
          <w:p w14:paraId="20888387"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3,04</w:t>
            </w:r>
          </w:p>
        </w:tc>
        <w:tc>
          <w:tcPr>
            <w:tcW w:w="700" w:type="dxa"/>
            <w:tcBorders>
              <w:top w:val="nil"/>
              <w:left w:val="nil"/>
              <w:bottom w:val="nil"/>
              <w:right w:val="nil"/>
            </w:tcBorders>
            <w:shd w:val="clear" w:color="auto" w:fill="auto"/>
            <w:noWrap/>
            <w:vAlign w:val="center"/>
            <w:hideMark/>
          </w:tcPr>
          <w:p w14:paraId="302A994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2,93</w:t>
            </w:r>
          </w:p>
        </w:tc>
        <w:tc>
          <w:tcPr>
            <w:tcW w:w="700" w:type="dxa"/>
            <w:tcBorders>
              <w:top w:val="nil"/>
              <w:left w:val="nil"/>
              <w:bottom w:val="nil"/>
              <w:right w:val="nil"/>
            </w:tcBorders>
            <w:shd w:val="clear" w:color="auto" w:fill="auto"/>
            <w:noWrap/>
            <w:vAlign w:val="center"/>
            <w:hideMark/>
          </w:tcPr>
          <w:p w14:paraId="6D47EED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2,62</w:t>
            </w:r>
          </w:p>
        </w:tc>
        <w:tc>
          <w:tcPr>
            <w:tcW w:w="700" w:type="dxa"/>
            <w:tcBorders>
              <w:top w:val="nil"/>
              <w:left w:val="nil"/>
              <w:bottom w:val="nil"/>
              <w:right w:val="nil"/>
            </w:tcBorders>
            <w:shd w:val="clear" w:color="auto" w:fill="auto"/>
            <w:noWrap/>
            <w:vAlign w:val="center"/>
            <w:hideMark/>
          </w:tcPr>
          <w:p w14:paraId="7BA2C66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2,65</w:t>
            </w:r>
          </w:p>
        </w:tc>
        <w:tc>
          <w:tcPr>
            <w:tcW w:w="700" w:type="dxa"/>
            <w:tcBorders>
              <w:top w:val="nil"/>
              <w:left w:val="nil"/>
              <w:bottom w:val="nil"/>
              <w:right w:val="nil"/>
            </w:tcBorders>
            <w:shd w:val="clear" w:color="auto" w:fill="auto"/>
            <w:noWrap/>
            <w:vAlign w:val="center"/>
            <w:hideMark/>
          </w:tcPr>
          <w:p w14:paraId="2EA374C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2,82</w:t>
            </w:r>
          </w:p>
        </w:tc>
        <w:tc>
          <w:tcPr>
            <w:tcW w:w="700" w:type="dxa"/>
            <w:tcBorders>
              <w:top w:val="nil"/>
              <w:left w:val="nil"/>
              <w:bottom w:val="nil"/>
              <w:right w:val="nil"/>
            </w:tcBorders>
            <w:shd w:val="clear" w:color="auto" w:fill="auto"/>
            <w:noWrap/>
            <w:vAlign w:val="center"/>
            <w:hideMark/>
          </w:tcPr>
          <w:p w14:paraId="4FC4CCA4"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3,12</w:t>
            </w:r>
          </w:p>
        </w:tc>
        <w:tc>
          <w:tcPr>
            <w:tcW w:w="700" w:type="dxa"/>
            <w:tcBorders>
              <w:top w:val="nil"/>
              <w:left w:val="nil"/>
              <w:bottom w:val="nil"/>
              <w:right w:val="nil"/>
            </w:tcBorders>
            <w:shd w:val="clear" w:color="auto" w:fill="auto"/>
            <w:noWrap/>
            <w:vAlign w:val="center"/>
            <w:hideMark/>
          </w:tcPr>
          <w:p w14:paraId="4BEB863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3,10</w:t>
            </w:r>
          </w:p>
        </w:tc>
        <w:tc>
          <w:tcPr>
            <w:tcW w:w="700" w:type="dxa"/>
            <w:tcBorders>
              <w:top w:val="nil"/>
              <w:left w:val="nil"/>
              <w:bottom w:val="nil"/>
              <w:right w:val="nil"/>
            </w:tcBorders>
            <w:shd w:val="clear" w:color="auto" w:fill="auto"/>
            <w:noWrap/>
            <w:vAlign w:val="center"/>
            <w:hideMark/>
          </w:tcPr>
          <w:p w14:paraId="2588051B"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3,19</w:t>
            </w:r>
          </w:p>
        </w:tc>
        <w:tc>
          <w:tcPr>
            <w:tcW w:w="700" w:type="dxa"/>
            <w:tcBorders>
              <w:top w:val="nil"/>
              <w:left w:val="nil"/>
              <w:bottom w:val="nil"/>
              <w:right w:val="nil"/>
            </w:tcBorders>
            <w:shd w:val="clear" w:color="auto" w:fill="auto"/>
            <w:noWrap/>
            <w:vAlign w:val="center"/>
            <w:hideMark/>
          </w:tcPr>
          <w:p w14:paraId="6E38A796"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3,38</w:t>
            </w:r>
          </w:p>
        </w:tc>
      </w:tr>
      <w:tr w:rsidR="00861DCA" w:rsidRPr="00861DCA" w14:paraId="497ABE3A"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2DC55F43"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Středočeský kraj</w:t>
            </w:r>
          </w:p>
        </w:tc>
        <w:tc>
          <w:tcPr>
            <w:tcW w:w="710" w:type="dxa"/>
            <w:tcBorders>
              <w:top w:val="nil"/>
              <w:left w:val="nil"/>
              <w:bottom w:val="nil"/>
              <w:right w:val="nil"/>
            </w:tcBorders>
            <w:shd w:val="clear" w:color="auto" w:fill="auto"/>
            <w:noWrap/>
            <w:vAlign w:val="center"/>
            <w:hideMark/>
          </w:tcPr>
          <w:p w14:paraId="07E463F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5,16</w:t>
            </w:r>
          </w:p>
        </w:tc>
        <w:tc>
          <w:tcPr>
            <w:tcW w:w="700" w:type="dxa"/>
            <w:tcBorders>
              <w:top w:val="nil"/>
              <w:left w:val="nil"/>
              <w:bottom w:val="nil"/>
              <w:right w:val="nil"/>
            </w:tcBorders>
            <w:shd w:val="clear" w:color="auto" w:fill="auto"/>
            <w:noWrap/>
            <w:vAlign w:val="center"/>
            <w:hideMark/>
          </w:tcPr>
          <w:p w14:paraId="5FDB86F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4,25</w:t>
            </w:r>
          </w:p>
        </w:tc>
        <w:tc>
          <w:tcPr>
            <w:tcW w:w="700" w:type="dxa"/>
            <w:tcBorders>
              <w:top w:val="nil"/>
              <w:left w:val="nil"/>
              <w:bottom w:val="nil"/>
              <w:right w:val="nil"/>
            </w:tcBorders>
            <w:shd w:val="clear" w:color="auto" w:fill="auto"/>
            <w:noWrap/>
            <w:vAlign w:val="center"/>
            <w:hideMark/>
          </w:tcPr>
          <w:p w14:paraId="03D4BCB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3,88</w:t>
            </w:r>
          </w:p>
        </w:tc>
        <w:tc>
          <w:tcPr>
            <w:tcW w:w="700" w:type="dxa"/>
            <w:tcBorders>
              <w:top w:val="nil"/>
              <w:left w:val="nil"/>
              <w:bottom w:val="nil"/>
              <w:right w:val="nil"/>
            </w:tcBorders>
            <w:shd w:val="clear" w:color="auto" w:fill="auto"/>
            <w:noWrap/>
            <w:vAlign w:val="center"/>
            <w:hideMark/>
          </w:tcPr>
          <w:p w14:paraId="1357B6C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3,75</w:t>
            </w:r>
          </w:p>
        </w:tc>
        <w:tc>
          <w:tcPr>
            <w:tcW w:w="700" w:type="dxa"/>
            <w:tcBorders>
              <w:top w:val="nil"/>
              <w:left w:val="nil"/>
              <w:bottom w:val="nil"/>
              <w:right w:val="nil"/>
            </w:tcBorders>
            <w:shd w:val="clear" w:color="auto" w:fill="auto"/>
            <w:noWrap/>
            <w:vAlign w:val="center"/>
            <w:hideMark/>
          </w:tcPr>
          <w:p w14:paraId="270BE06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3,54</w:t>
            </w:r>
          </w:p>
        </w:tc>
        <w:tc>
          <w:tcPr>
            <w:tcW w:w="700" w:type="dxa"/>
            <w:tcBorders>
              <w:top w:val="nil"/>
              <w:left w:val="nil"/>
              <w:bottom w:val="nil"/>
              <w:right w:val="nil"/>
            </w:tcBorders>
            <w:shd w:val="clear" w:color="auto" w:fill="auto"/>
            <w:noWrap/>
            <w:vAlign w:val="center"/>
            <w:hideMark/>
          </w:tcPr>
          <w:p w14:paraId="0DAC059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3,64</w:t>
            </w:r>
          </w:p>
        </w:tc>
        <w:tc>
          <w:tcPr>
            <w:tcW w:w="700" w:type="dxa"/>
            <w:tcBorders>
              <w:top w:val="nil"/>
              <w:left w:val="nil"/>
              <w:bottom w:val="nil"/>
              <w:right w:val="nil"/>
            </w:tcBorders>
            <w:shd w:val="clear" w:color="auto" w:fill="auto"/>
            <w:noWrap/>
            <w:vAlign w:val="center"/>
            <w:hideMark/>
          </w:tcPr>
          <w:p w14:paraId="1B603519"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3,75</w:t>
            </w:r>
          </w:p>
        </w:tc>
        <w:tc>
          <w:tcPr>
            <w:tcW w:w="700" w:type="dxa"/>
            <w:tcBorders>
              <w:top w:val="nil"/>
              <w:left w:val="nil"/>
              <w:bottom w:val="nil"/>
              <w:right w:val="nil"/>
            </w:tcBorders>
            <w:shd w:val="clear" w:color="auto" w:fill="auto"/>
            <w:noWrap/>
            <w:vAlign w:val="center"/>
            <w:hideMark/>
          </w:tcPr>
          <w:p w14:paraId="54E1CA7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4,09</w:t>
            </w:r>
          </w:p>
        </w:tc>
        <w:tc>
          <w:tcPr>
            <w:tcW w:w="700" w:type="dxa"/>
            <w:tcBorders>
              <w:top w:val="nil"/>
              <w:left w:val="nil"/>
              <w:bottom w:val="nil"/>
              <w:right w:val="nil"/>
            </w:tcBorders>
            <w:shd w:val="clear" w:color="auto" w:fill="auto"/>
            <w:noWrap/>
            <w:vAlign w:val="center"/>
            <w:hideMark/>
          </w:tcPr>
          <w:p w14:paraId="7521DF0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4,22</w:t>
            </w:r>
          </w:p>
        </w:tc>
        <w:tc>
          <w:tcPr>
            <w:tcW w:w="700" w:type="dxa"/>
            <w:tcBorders>
              <w:top w:val="nil"/>
              <w:left w:val="nil"/>
              <w:bottom w:val="nil"/>
              <w:right w:val="nil"/>
            </w:tcBorders>
            <w:shd w:val="clear" w:color="auto" w:fill="auto"/>
            <w:noWrap/>
            <w:vAlign w:val="center"/>
            <w:hideMark/>
          </w:tcPr>
          <w:p w14:paraId="2F76ADB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4,34</w:t>
            </w:r>
          </w:p>
        </w:tc>
        <w:tc>
          <w:tcPr>
            <w:tcW w:w="700" w:type="dxa"/>
            <w:tcBorders>
              <w:top w:val="nil"/>
              <w:left w:val="nil"/>
              <w:bottom w:val="nil"/>
              <w:right w:val="nil"/>
            </w:tcBorders>
            <w:shd w:val="clear" w:color="auto" w:fill="auto"/>
            <w:noWrap/>
            <w:vAlign w:val="center"/>
            <w:hideMark/>
          </w:tcPr>
          <w:p w14:paraId="76F2538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4,57</w:t>
            </w:r>
          </w:p>
        </w:tc>
      </w:tr>
      <w:tr w:rsidR="00861DCA" w:rsidRPr="00861DCA" w14:paraId="3C5E828E"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04E097CF"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Jihočeský kraj</w:t>
            </w:r>
          </w:p>
        </w:tc>
        <w:tc>
          <w:tcPr>
            <w:tcW w:w="710" w:type="dxa"/>
            <w:tcBorders>
              <w:top w:val="nil"/>
              <w:left w:val="nil"/>
              <w:bottom w:val="nil"/>
              <w:right w:val="nil"/>
            </w:tcBorders>
            <w:shd w:val="clear" w:color="auto" w:fill="auto"/>
            <w:noWrap/>
            <w:vAlign w:val="center"/>
            <w:hideMark/>
          </w:tcPr>
          <w:p w14:paraId="372C806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5,60</w:t>
            </w:r>
          </w:p>
        </w:tc>
        <w:tc>
          <w:tcPr>
            <w:tcW w:w="700" w:type="dxa"/>
            <w:tcBorders>
              <w:top w:val="nil"/>
              <w:left w:val="nil"/>
              <w:bottom w:val="nil"/>
              <w:right w:val="nil"/>
            </w:tcBorders>
            <w:shd w:val="clear" w:color="auto" w:fill="auto"/>
            <w:noWrap/>
            <w:vAlign w:val="center"/>
            <w:hideMark/>
          </w:tcPr>
          <w:p w14:paraId="414766C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4,57</w:t>
            </w:r>
          </w:p>
        </w:tc>
        <w:tc>
          <w:tcPr>
            <w:tcW w:w="700" w:type="dxa"/>
            <w:tcBorders>
              <w:top w:val="nil"/>
              <w:left w:val="nil"/>
              <w:bottom w:val="nil"/>
              <w:right w:val="nil"/>
            </w:tcBorders>
            <w:shd w:val="clear" w:color="auto" w:fill="auto"/>
            <w:noWrap/>
            <w:vAlign w:val="center"/>
            <w:hideMark/>
          </w:tcPr>
          <w:p w14:paraId="6B3DEAC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4,21</w:t>
            </w:r>
          </w:p>
        </w:tc>
        <w:tc>
          <w:tcPr>
            <w:tcW w:w="700" w:type="dxa"/>
            <w:tcBorders>
              <w:top w:val="nil"/>
              <w:left w:val="nil"/>
              <w:bottom w:val="nil"/>
              <w:right w:val="nil"/>
            </w:tcBorders>
            <w:shd w:val="clear" w:color="auto" w:fill="auto"/>
            <w:noWrap/>
            <w:vAlign w:val="center"/>
            <w:hideMark/>
          </w:tcPr>
          <w:p w14:paraId="4165C1D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4,19</w:t>
            </w:r>
          </w:p>
        </w:tc>
        <w:tc>
          <w:tcPr>
            <w:tcW w:w="700" w:type="dxa"/>
            <w:tcBorders>
              <w:top w:val="nil"/>
              <w:left w:val="nil"/>
              <w:bottom w:val="nil"/>
              <w:right w:val="nil"/>
            </w:tcBorders>
            <w:shd w:val="clear" w:color="auto" w:fill="auto"/>
            <w:noWrap/>
            <w:vAlign w:val="center"/>
            <w:hideMark/>
          </w:tcPr>
          <w:p w14:paraId="77CB442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4,12</w:t>
            </w:r>
          </w:p>
        </w:tc>
        <w:tc>
          <w:tcPr>
            <w:tcW w:w="700" w:type="dxa"/>
            <w:tcBorders>
              <w:top w:val="nil"/>
              <w:left w:val="nil"/>
              <w:bottom w:val="nil"/>
              <w:right w:val="nil"/>
            </w:tcBorders>
            <w:shd w:val="clear" w:color="auto" w:fill="auto"/>
            <w:noWrap/>
            <w:vAlign w:val="center"/>
            <w:hideMark/>
          </w:tcPr>
          <w:p w14:paraId="4C036D14"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4,35</w:t>
            </w:r>
          </w:p>
        </w:tc>
        <w:tc>
          <w:tcPr>
            <w:tcW w:w="700" w:type="dxa"/>
            <w:tcBorders>
              <w:top w:val="nil"/>
              <w:left w:val="nil"/>
              <w:bottom w:val="nil"/>
              <w:right w:val="nil"/>
            </w:tcBorders>
            <w:shd w:val="clear" w:color="auto" w:fill="auto"/>
            <w:noWrap/>
            <w:vAlign w:val="center"/>
            <w:hideMark/>
          </w:tcPr>
          <w:p w14:paraId="3A7C867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4,40</w:t>
            </w:r>
          </w:p>
        </w:tc>
        <w:tc>
          <w:tcPr>
            <w:tcW w:w="700" w:type="dxa"/>
            <w:tcBorders>
              <w:top w:val="nil"/>
              <w:left w:val="nil"/>
              <w:bottom w:val="nil"/>
              <w:right w:val="nil"/>
            </w:tcBorders>
            <w:shd w:val="clear" w:color="auto" w:fill="auto"/>
            <w:noWrap/>
            <w:vAlign w:val="center"/>
            <w:hideMark/>
          </w:tcPr>
          <w:p w14:paraId="5640244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4,77</w:t>
            </w:r>
          </w:p>
        </w:tc>
        <w:tc>
          <w:tcPr>
            <w:tcW w:w="700" w:type="dxa"/>
            <w:tcBorders>
              <w:top w:val="nil"/>
              <w:left w:val="nil"/>
              <w:bottom w:val="nil"/>
              <w:right w:val="nil"/>
            </w:tcBorders>
            <w:shd w:val="clear" w:color="auto" w:fill="auto"/>
            <w:noWrap/>
            <w:vAlign w:val="center"/>
            <w:hideMark/>
          </w:tcPr>
          <w:p w14:paraId="75BD955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5,02</w:t>
            </w:r>
          </w:p>
        </w:tc>
        <w:tc>
          <w:tcPr>
            <w:tcW w:w="700" w:type="dxa"/>
            <w:tcBorders>
              <w:top w:val="nil"/>
              <w:left w:val="nil"/>
              <w:bottom w:val="nil"/>
              <w:right w:val="nil"/>
            </w:tcBorders>
            <w:shd w:val="clear" w:color="auto" w:fill="auto"/>
            <w:noWrap/>
            <w:vAlign w:val="center"/>
            <w:hideMark/>
          </w:tcPr>
          <w:p w14:paraId="0516C549"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5,09</w:t>
            </w:r>
          </w:p>
        </w:tc>
        <w:tc>
          <w:tcPr>
            <w:tcW w:w="700" w:type="dxa"/>
            <w:tcBorders>
              <w:top w:val="nil"/>
              <w:left w:val="nil"/>
              <w:bottom w:val="nil"/>
              <w:right w:val="nil"/>
            </w:tcBorders>
            <w:shd w:val="clear" w:color="auto" w:fill="auto"/>
            <w:noWrap/>
            <w:vAlign w:val="center"/>
            <w:hideMark/>
          </w:tcPr>
          <w:p w14:paraId="559B281B"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5,19</w:t>
            </w:r>
          </w:p>
        </w:tc>
      </w:tr>
      <w:tr w:rsidR="00861DCA" w:rsidRPr="00861DCA" w14:paraId="1EA52584"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10C346E6"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Plzeňský kraj</w:t>
            </w:r>
          </w:p>
        </w:tc>
        <w:tc>
          <w:tcPr>
            <w:tcW w:w="710" w:type="dxa"/>
            <w:tcBorders>
              <w:top w:val="nil"/>
              <w:left w:val="nil"/>
              <w:bottom w:val="nil"/>
              <w:right w:val="nil"/>
            </w:tcBorders>
            <w:shd w:val="clear" w:color="auto" w:fill="auto"/>
            <w:noWrap/>
            <w:vAlign w:val="center"/>
            <w:hideMark/>
          </w:tcPr>
          <w:p w14:paraId="2E8399B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5,50</w:t>
            </w:r>
          </w:p>
        </w:tc>
        <w:tc>
          <w:tcPr>
            <w:tcW w:w="700" w:type="dxa"/>
            <w:tcBorders>
              <w:top w:val="nil"/>
              <w:left w:val="nil"/>
              <w:bottom w:val="nil"/>
              <w:right w:val="nil"/>
            </w:tcBorders>
            <w:shd w:val="clear" w:color="auto" w:fill="auto"/>
            <w:noWrap/>
            <w:vAlign w:val="center"/>
            <w:hideMark/>
          </w:tcPr>
          <w:p w14:paraId="09AC786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4,39</w:t>
            </w:r>
          </w:p>
        </w:tc>
        <w:tc>
          <w:tcPr>
            <w:tcW w:w="700" w:type="dxa"/>
            <w:tcBorders>
              <w:top w:val="nil"/>
              <w:left w:val="nil"/>
              <w:bottom w:val="nil"/>
              <w:right w:val="nil"/>
            </w:tcBorders>
            <w:shd w:val="clear" w:color="auto" w:fill="auto"/>
            <w:noWrap/>
            <w:vAlign w:val="center"/>
            <w:hideMark/>
          </w:tcPr>
          <w:p w14:paraId="3894552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3,95</w:t>
            </w:r>
          </w:p>
        </w:tc>
        <w:tc>
          <w:tcPr>
            <w:tcW w:w="700" w:type="dxa"/>
            <w:tcBorders>
              <w:top w:val="nil"/>
              <w:left w:val="nil"/>
              <w:bottom w:val="nil"/>
              <w:right w:val="nil"/>
            </w:tcBorders>
            <w:shd w:val="clear" w:color="auto" w:fill="auto"/>
            <w:noWrap/>
            <w:vAlign w:val="center"/>
            <w:hideMark/>
          </w:tcPr>
          <w:p w14:paraId="2D944A9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3,81</w:t>
            </w:r>
          </w:p>
        </w:tc>
        <w:tc>
          <w:tcPr>
            <w:tcW w:w="700" w:type="dxa"/>
            <w:tcBorders>
              <w:top w:val="nil"/>
              <w:left w:val="nil"/>
              <w:bottom w:val="nil"/>
              <w:right w:val="nil"/>
            </w:tcBorders>
            <w:shd w:val="clear" w:color="auto" w:fill="auto"/>
            <w:noWrap/>
            <w:vAlign w:val="center"/>
            <w:hideMark/>
          </w:tcPr>
          <w:p w14:paraId="2CFE088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3,83</w:t>
            </w:r>
          </w:p>
        </w:tc>
        <w:tc>
          <w:tcPr>
            <w:tcW w:w="700" w:type="dxa"/>
            <w:tcBorders>
              <w:top w:val="nil"/>
              <w:left w:val="nil"/>
              <w:bottom w:val="nil"/>
              <w:right w:val="nil"/>
            </w:tcBorders>
            <w:shd w:val="clear" w:color="auto" w:fill="auto"/>
            <w:noWrap/>
            <w:vAlign w:val="center"/>
            <w:hideMark/>
          </w:tcPr>
          <w:p w14:paraId="289ADB9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4,05</w:t>
            </w:r>
          </w:p>
        </w:tc>
        <w:tc>
          <w:tcPr>
            <w:tcW w:w="700" w:type="dxa"/>
            <w:tcBorders>
              <w:top w:val="nil"/>
              <w:left w:val="nil"/>
              <w:bottom w:val="nil"/>
              <w:right w:val="nil"/>
            </w:tcBorders>
            <w:shd w:val="clear" w:color="auto" w:fill="auto"/>
            <w:noWrap/>
            <w:vAlign w:val="center"/>
            <w:hideMark/>
          </w:tcPr>
          <w:p w14:paraId="57E63B6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4,12</w:t>
            </w:r>
          </w:p>
        </w:tc>
        <w:tc>
          <w:tcPr>
            <w:tcW w:w="700" w:type="dxa"/>
            <w:tcBorders>
              <w:top w:val="nil"/>
              <w:left w:val="nil"/>
              <w:bottom w:val="nil"/>
              <w:right w:val="nil"/>
            </w:tcBorders>
            <w:shd w:val="clear" w:color="auto" w:fill="auto"/>
            <w:noWrap/>
            <w:vAlign w:val="center"/>
            <w:hideMark/>
          </w:tcPr>
          <w:p w14:paraId="3682475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4,57</w:t>
            </w:r>
          </w:p>
        </w:tc>
        <w:tc>
          <w:tcPr>
            <w:tcW w:w="700" w:type="dxa"/>
            <w:tcBorders>
              <w:top w:val="nil"/>
              <w:left w:val="nil"/>
              <w:bottom w:val="nil"/>
              <w:right w:val="nil"/>
            </w:tcBorders>
            <w:shd w:val="clear" w:color="auto" w:fill="auto"/>
            <w:noWrap/>
            <w:vAlign w:val="center"/>
            <w:hideMark/>
          </w:tcPr>
          <w:p w14:paraId="3EF8D6A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4,71</w:t>
            </w:r>
          </w:p>
        </w:tc>
        <w:tc>
          <w:tcPr>
            <w:tcW w:w="700" w:type="dxa"/>
            <w:tcBorders>
              <w:top w:val="nil"/>
              <w:left w:val="nil"/>
              <w:bottom w:val="nil"/>
              <w:right w:val="nil"/>
            </w:tcBorders>
            <w:shd w:val="clear" w:color="auto" w:fill="auto"/>
            <w:noWrap/>
            <w:vAlign w:val="center"/>
            <w:hideMark/>
          </w:tcPr>
          <w:p w14:paraId="6B4EFDDC"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4,69</w:t>
            </w:r>
          </w:p>
        </w:tc>
        <w:tc>
          <w:tcPr>
            <w:tcW w:w="700" w:type="dxa"/>
            <w:tcBorders>
              <w:top w:val="nil"/>
              <w:left w:val="nil"/>
              <w:bottom w:val="nil"/>
              <w:right w:val="nil"/>
            </w:tcBorders>
            <w:shd w:val="clear" w:color="auto" w:fill="auto"/>
            <w:noWrap/>
            <w:vAlign w:val="center"/>
            <w:hideMark/>
          </w:tcPr>
          <w:p w14:paraId="506DC82C"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4,84</w:t>
            </w:r>
          </w:p>
        </w:tc>
      </w:tr>
      <w:tr w:rsidR="00861DCA" w:rsidRPr="00861DCA" w14:paraId="0BB5B788"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409CF126"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Karlovarský kraj</w:t>
            </w:r>
          </w:p>
        </w:tc>
        <w:tc>
          <w:tcPr>
            <w:tcW w:w="710" w:type="dxa"/>
            <w:tcBorders>
              <w:top w:val="nil"/>
              <w:left w:val="nil"/>
              <w:bottom w:val="nil"/>
              <w:right w:val="nil"/>
            </w:tcBorders>
            <w:shd w:val="clear" w:color="auto" w:fill="auto"/>
            <w:noWrap/>
            <w:vAlign w:val="center"/>
            <w:hideMark/>
          </w:tcPr>
          <w:p w14:paraId="5FDC217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5,22</w:t>
            </w:r>
          </w:p>
        </w:tc>
        <w:tc>
          <w:tcPr>
            <w:tcW w:w="700" w:type="dxa"/>
            <w:tcBorders>
              <w:top w:val="nil"/>
              <w:left w:val="nil"/>
              <w:bottom w:val="nil"/>
              <w:right w:val="nil"/>
            </w:tcBorders>
            <w:shd w:val="clear" w:color="auto" w:fill="auto"/>
            <w:noWrap/>
            <w:vAlign w:val="center"/>
            <w:hideMark/>
          </w:tcPr>
          <w:p w14:paraId="1AFD745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4,11</w:t>
            </w:r>
          </w:p>
        </w:tc>
        <w:tc>
          <w:tcPr>
            <w:tcW w:w="700" w:type="dxa"/>
            <w:tcBorders>
              <w:top w:val="nil"/>
              <w:left w:val="nil"/>
              <w:bottom w:val="nil"/>
              <w:right w:val="nil"/>
            </w:tcBorders>
            <w:shd w:val="clear" w:color="auto" w:fill="auto"/>
            <w:noWrap/>
            <w:vAlign w:val="center"/>
            <w:hideMark/>
          </w:tcPr>
          <w:p w14:paraId="08658687"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3,61</w:t>
            </w:r>
          </w:p>
        </w:tc>
        <w:tc>
          <w:tcPr>
            <w:tcW w:w="700" w:type="dxa"/>
            <w:tcBorders>
              <w:top w:val="nil"/>
              <w:left w:val="nil"/>
              <w:bottom w:val="nil"/>
              <w:right w:val="nil"/>
            </w:tcBorders>
            <w:shd w:val="clear" w:color="auto" w:fill="auto"/>
            <w:noWrap/>
            <w:vAlign w:val="center"/>
            <w:hideMark/>
          </w:tcPr>
          <w:p w14:paraId="39E696C0"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3,47</w:t>
            </w:r>
          </w:p>
        </w:tc>
        <w:tc>
          <w:tcPr>
            <w:tcW w:w="700" w:type="dxa"/>
            <w:tcBorders>
              <w:top w:val="nil"/>
              <w:left w:val="nil"/>
              <w:bottom w:val="nil"/>
              <w:right w:val="nil"/>
            </w:tcBorders>
            <w:shd w:val="clear" w:color="auto" w:fill="auto"/>
            <w:noWrap/>
            <w:vAlign w:val="center"/>
            <w:hideMark/>
          </w:tcPr>
          <w:p w14:paraId="5E3215F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3,50</w:t>
            </w:r>
          </w:p>
        </w:tc>
        <w:tc>
          <w:tcPr>
            <w:tcW w:w="700" w:type="dxa"/>
            <w:tcBorders>
              <w:top w:val="nil"/>
              <w:left w:val="nil"/>
              <w:bottom w:val="nil"/>
              <w:right w:val="nil"/>
            </w:tcBorders>
            <w:shd w:val="clear" w:color="auto" w:fill="auto"/>
            <w:noWrap/>
            <w:vAlign w:val="center"/>
            <w:hideMark/>
          </w:tcPr>
          <w:p w14:paraId="4280C8B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3,79</w:t>
            </w:r>
          </w:p>
        </w:tc>
        <w:tc>
          <w:tcPr>
            <w:tcW w:w="700" w:type="dxa"/>
            <w:tcBorders>
              <w:top w:val="nil"/>
              <w:left w:val="nil"/>
              <w:bottom w:val="nil"/>
              <w:right w:val="nil"/>
            </w:tcBorders>
            <w:shd w:val="clear" w:color="auto" w:fill="auto"/>
            <w:noWrap/>
            <w:vAlign w:val="center"/>
            <w:hideMark/>
          </w:tcPr>
          <w:p w14:paraId="61A1129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3,95</w:t>
            </w:r>
          </w:p>
        </w:tc>
        <w:tc>
          <w:tcPr>
            <w:tcW w:w="700" w:type="dxa"/>
            <w:tcBorders>
              <w:top w:val="nil"/>
              <w:left w:val="nil"/>
              <w:bottom w:val="nil"/>
              <w:right w:val="nil"/>
            </w:tcBorders>
            <w:shd w:val="clear" w:color="auto" w:fill="auto"/>
            <w:noWrap/>
            <w:vAlign w:val="center"/>
            <w:hideMark/>
          </w:tcPr>
          <w:p w14:paraId="7B52D2D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4,38</w:t>
            </w:r>
          </w:p>
        </w:tc>
        <w:tc>
          <w:tcPr>
            <w:tcW w:w="700" w:type="dxa"/>
            <w:tcBorders>
              <w:top w:val="nil"/>
              <w:left w:val="nil"/>
              <w:bottom w:val="nil"/>
              <w:right w:val="nil"/>
            </w:tcBorders>
            <w:shd w:val="clear" w:color="auto" w:fill="auto"/>
            <w:noWrap/>
            <w:vAlign w:val="center"/>
            <w:hideMark/>
          </w:tcPr>
          <w:p w14:paraId="33706857"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4,46</w:t>
            </w:r>
          </w:p>
        </w:tc>
        <w:tc>
          <w:tcPr>
            <w:tcW w:w="700" w:type="dxa"/>
            <w:tcBorders>
              <w:top w:val="nil"/>
              <w:left w:val="nil"/>
              <w:bottom w:val="nil"/>
              <w:right w:val="nil"/>
            </w:tcBorders>
            <w:shd w:val="clear" w:color="auto" w:fill="auto"/>
            <w:noWrap/>
            <w:vAlign w:val="center"/>
            <w:hideMark/>
          </w:tcPr>
          <w:p w14:paraId="7A5F956A"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4,41</w:t>
            </w:r>
          </w:p>
        </w:tc>
        <w:tc>
          <w:tcPr>
            <w:tcW w:w="700" w:type="dxa"/>
            <w:tcBorders>
              <w:top w:val="nil"/>
              <w:left w:val="nil"/>
              <w:bottom w:val="nil"/>
              <w:right w:val="nil"/>
            </w:tcBorders>
            <w:shd w:val="clear" w:color="auto" w:fill="auto"/>
            <w:noWrap/>
            <w:vAlign w:val="center"/>
            <w:hideMark/>
          </w:tcPr>
          <w:p w14:paraId="3FF3EC1C"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4,80</w:t>
            </w:r>
          </w:p>
        </w:tc>
      </w:tr>
      <w:tr w:rsidR="00861DCA" w:rsidRPr="00861DCA" w14:paraId="276C2DBE"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554E8936"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Ústecký kraj</w:t>
            </w:r>
          </w:p>
        </w:tc>
        <w:tc>
          <w:tcPr>
            <w:tcW w:w="710" w:type="dxa"/>
            <w:tcBorders>
              <w:top w:val="nil"/>
              <w:left w:val="nil"/>
              <w:bottom w:val="nil"/>
              <w:right w:val="nil"/>
            </w:tcBorders>
            <w:shd w:val="clear" w:color="auto" w:fill="auto"/>
            <w:noWrap/>
            <w:vAlign w:val="center"/>
            <w:hideMark/>
          </w:tcPr>
          <w:p w14:paraId="40F2CE49"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5,26</w:t>
            </w:r>
          </w:p>
        </w:tc>
        <w:tc>
          <w:tcPr>
            <w:tcW w:w="700" w:type="dxa"/>
            <w:tcBorders>
              <w:top w:val="nil"/>
              <w:left w:val="nil"/>
              <w:bottom w:val="nil"/>
              <w:right w:val="nil"/>
            </w:tcBorders>
            <w:shd w:val="clear" w:color="auto" w:fill="auto"/>
            <w:noWrap/>
            <w:vAlign w:val="center"/>
            <w:hideMark/>
          </w:tcPr>
          <w:p w14:paraId="3DE08F0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4,10</w:t>
            </w:r>
          </w:p>
        </w:tc>
        <w:tc>
          <w:tcPr>
            <w:tcW w:w="700" w:type="dxa"/>
            <w:tcBorders>
              <w:top w:val="nil"/>
              <w:left w:val="nil"/>
              <w:bottom w:val="nil"/>
              <w:right w:val="nil"/>
            </w:tcBorders>
            <w:shd w:val="clear" w:color="auto" w:fill="auto"/>
            <w:noWrap/>
            <w:vAlign w:val="center"/>
            <w:hideMark/>
          </w:tcPr>
          <w:p w14:paraId="6ADCB8F7"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3,69</w:t>
            </w:r>
          </w:p>
        </w:tc>
        <w:tc>
          <w:tcPr>
            <w:tcW w:w="700" w:type="dxa"/>
            <w:tcBorders>
              <w:top w:val="nil"/>
              <w:left w:val="nil"/>
              <w:bottom w:val="nil"/>
              <w:right w:val="nil"/>
            </w:tcBorders>
            <w:shd w:val="clear" w:color="auto" w:fill="auto"/>
            <w:noWrap/>
            <w:vAlign w:val="center"/>
            <w:hideMark/>
          </w:tcPr>
          <w:p w14:paraId="30B0D45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3,60</w:t>
            </w:r>
          </w:p>
        </w:tc>
        <w:tc>
          <w:tcPr>
            <w:tcW w:w="700" w:type="dxa"/>
            <w:tcBorders>
              <w:top w:val="nil"/>
              <w:left w:val="nil"/>
              <w:bottom w:val="nil"/>
              <w:right w:val="nil"/>
            </w:tcBorders>
            <w:shd w:val="clear" w:color="auto" w:fill="auto"/>
            <w:noWrap/>
            <w:vAlign w:val="center"/>
            <w:hideMark/>
          </w:tcPr>
          <w:p w14:paraId="0ACFDEB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3,69</w:t>
            </w:r>
          </w:p>
        </w:tc>
        <w:tc>
          <w:tcPr>
            <w:tcW w:w="700" w:type="dxa"/>
            <w:tcBorders>
              <w:top w:val="nil"/>
              <w:left w:val="nil"/>
              <w:bottom w:val="nil"/>
              <w:right w:val="nil"/>
            </w:tcBorders>
            <w:shd w:val="clear" w:color="auto" w:fill="auto"/>
            <w:noWrap/>
            <w:vAlign w:val="center"/>
            <w:hideMark/>
          </w:tcPr>
          <w:p w14:paraId="639FA74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3,95</w:t>
            </w:r>
          </w:p>
        </w:tc>
        <w:tc>
          <w:tcPr>
            <w:tcW w:w="700" w:type="dxa"/>
            <w:tcBorders>
              <w:top w:val="nil"/>
              <w:left w:val="nil"/>
              <w:bottom w:val="nil"/>
              <w:right w:val="nil"/>
            </w:tcBorders>
            <w:shd w:val="clear" w:color="auto" w:fill="auto"/>
            <w:noWrap/>
            <w:vAlign w:val="center"/>
            <w:hideMark/>
          </w:tcPr>
          <w:p w14:paraId="7EE26E9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3,97</w:t>
            </w:r>
          </w:p>
        </w:tc>
        <w:tc>
          <w:tcPr>
            <w:tcW w:w="700" w:type="dxa"/>
            <w:tcBorders>
              <w:top w:val="nil"/>
              <w:left w:val="nil"/>
              <w:bottom w:val="nil"/>
              <w:right w:val="nil"/>
            </w:tcBorders>
            <w:shd w:val="clear" w:color="auto" w:fill="auto"/>
            <w:noWrap/>
            <w:vAlign w:val="center"/>
            <w:hideMark/>
          </w:tcPr>
          <w:p w14:paraId="4FB8ADF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4,34</w:t>
            </w:r>
          </w:p>
        </w:tc>
        <w:tc>
          <w:tcPr>
            <w:tcW w:w="700" w:type="dxa"/>
            <w:tcBorders>
              <w:top w:val="nil"/>
              <w:left w:val="nil"/>
              <w:bottom w:val="nil"/>
              <w:right w:val="nil"/>
            </w:tcBorders>
            <w:shd w:val="clear" w:color="auto" w:fill="auto"/>
            <w:noWrap/>
            <w:vAlign w:val="center"/>
            <w:hideMark/>
          </w:tcPr>
          <w:p w14:paraId="7AF65E7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4,49</w:t>
            </w:r>
          </w:p>
        </w:tc>
        <w:tc>
          <w:tcPr>
            <w:tcW w:w="700" w:type="dxa"/>
            <w:tcBorders>
              <w:top w:val="nil"/>
              <w:left w:val="nil"/>
              <w:bottom w:val="nil"/>
              <w:right w:val="nil"/>
            </w:tcBorders>
            <w:shd w:val="clear" w:color="auto" w:fill="auto"/>
            <w:noWrap/>
            <w:vAlign w:val="center"/>
            <w:hideMark/>
          </w:tcPr>
          <w:p w14:paraId="589268C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4,55</w:t>
            </w:r>
          </w:p>
        </w:tc>
        <w:tc>
          <w:tcPr>
            <w:tcW w:w="700" w:type="dxa"/>
            <w:tcBorders>
              <w:top w:val="nil"/>
              <w:left w:val="nil"/>
              <w:bottom w:val="nil"/>
              <w:right w:val="nil"/>
            </w:tcBorders>
            <w:shd w:val="clear" w:color="auto" w:fill="auto"/>
            <w:noWrap/>
            <w:vAlign w:val="center"/>
            <w:hideMark/>
          </w:tcPr>
          <w:p w14:paraId="03CB403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4,92</w:t>
            </w:r>
          </w:p>
        </w:tc>
      </w:tr>
      <w:tr w:rsidR="00861DCA" w:rsidRPr="00861DCA" w14:paraId="7A3F3B25"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7C2393BB"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Liberecký kraj</w:t>
            </w:r>
          </w:p>
        </w:tc>
        <w:tc>
          <w:tcPr>
            <w:tcW w:w="710" w:type="dxa"/>
            <w:tcBorders>
              <w:top w:val="nil"/>
              <w:left w:val="nil"/>
              <w:bottom w:val="nil"/>
              <w:right w:val="nil"/>
            </w:tcBorders>
            <w:shd w:val="clear" w:color="auto" w:fill="auto"/>
            <w:noWrap/>
            <w:vAlign w:val="center"/>
            <w:hideMark/>
          </w:tcPr>
          <w:p w14:paraId="7BE77899"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5,91</w:t>
            </w:r>
          </w:p>
        </w:tc>
        <w:tc>
          <w:tcPr>
            <w:tcW w:w="700" w:type="dxa"/>
            <w:tcBorders>
              <w:top w:val="nil"/>
              <w:left w:val="nil"/>
              <w:bottom w:val="nil"/>
              <w:right w:val="nil"/>
            </w:tcBorders>
            <w:shd w:val="clear" w:color="auto" w:fill="auto"/>
            <w:noWrap/>
            <w:vAlign w:val="center"/>
            <w:hideMark/>
          </w:tcPr>
          <w:p w14:paraId="7A0A7599"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4,67</w:t>
            </w:r>
          </w:p>
        </w:tc>
        <w:tc>
          <w:tcPr>
            <w:tcW w:w="700" w:type="dxa"/>
            <w:tcBorders>
              <w:top w:val="nil"/>
              <w:left w:val="nil"/>
              <w:bottom w:val="nil"/>
              <w:right w:val="nil"/>
            </w:tcBorders>
            <w:shd w:val="clear" w:color="auto" w:fill="auto"/>
            <w:noWrap/>
            <w:vAlign w:val="center"/>
            <w:hideMark/>
          </w:tcPr>
          <w:p w14:paraId="7E4E5DB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4,05</w:t>
            </w:r>
          </w:p>
        </w:tc>
        <w:tc>
          <w:tcPr>
            <w:tcW w:w="700" w:type="dxa"/>
            <w:tcBorders>
              <w:top w:val="nil"/>
              <w:left w:val="nil"/>
              <w:bottom w:val="nil"/>
              <w:right w:val="nil"/>
            </w:tcBorders>
            <w:shd w:val="clear" w:color="auto" w:fill="auto"/>
            <w:noWrap/>
            <w:vAlign w:val="center"/>
            <w:hideMark/>
          </w:tcPr>
          <w:p w14:paraId="1F6D844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3,92</w:t>
            </w:r>
          </w:p>
        </w:tc>
        <w:tc>
          <w:tcPr>
            <w:tcW w:w="700" w:type="dxa"/>
            <w:tcBorders>
              <w:top w:val="nil"/>
              <w:left w:val="nil"/>
              <w:bottom w:val="nil"/>
              <w:right w:val="nil"/>
            </w:tcBorders>
            <w:shd w:val="clear" w:color="auto" w:fill="auto"/>
            <w:noWrap/>
            <w:vAlign w:val="center"/>
            <w:hideMark/>
          </w:tcPr>
          <w:p w14:paraId="47777E9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3,91</w:t>
            </w:r>
          </w:p>
        </w:tc>
        <w:tc>
          <w:tcPr>
            <w:tcW w:w="700" w:type="dxa"/>
            <w:tcBorders>
              <w:top w:val="nil"/>
              <w:left w:val="nil"/>
              <w:bottom w:val="nil"/>
              <w:right w:val="nil"/>
            </w:tcBorders>
            <w:shd w:val="clear" w:color="auto" w:fill="auto"/>
            <w:noWrap/>
            <w:vAlign w:val="center"/>
            <w:hideMark/>
          </w:tcPr>
          <w:p w14:paraId="4E3F490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4,15</w:t>
            </w:r>
          </w:p>
        </w:tc>
        <w:tc>
          <w:tcPr>
            <w:tcW w:w="700" w:type="dxa"/>
            <w:tcBorders>
              <w:top w:val="nil"/>
              <w:left w:val="nil"/>
              <w:bottom w:val="nil"/>
              <w:right w:val="nil"/>
            </w:tcBorders>
            <w:shd w:val="clear" w:color="auto" w:fill="auto"/>
            <w:noWrap/>
            <w:vAlign w:val="center"/>
            <w:hideMark/>
          </w:tcPr>
          <w:p w14:paraId="6CE289C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4,07</w:t>
            </w:r>
          </w:p>
        </w:tc>
        <w:tc>
          <w:tcPr>
            <w:tcW w:w="700" w:type="dxa"/>
            <w:tcBorders>
              <w:top w:val="nil"/>
              <w:left w:val="nil"/>
              <w:bottom w:val="nil"/>
              <w:right w:val="nil"/>
            </w:tcBorders>
            <w:shd w:val="clear" w:color="auto" w:fill="auto"/>
            <w:noWrap/>
            <w:vAlign w:val="center"/>
            <w:hideMark/>
          </w:tcPr>
          <w:p w14:paraId="49CBB1F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4,45</w:t>
            </w:r>
          </w:p>
        </w:tc>
        <w:tc>
          <w:tcPr>
            <w:tcW w:w="700" w:type="dxa"/>
            <w:tcBorders>
              <w:top w:val="nil"/>
              <w:left w:val="nil"/>
              <w:bottom w:val="nil"/>
              <w:right w:val="nil"/>
            </w:tcBorders>
            <w:shd w:val="clear" w:color="auto" w:fill="auto"/>
            <w:noWrap/>
            <w:vAlign w:val="center"/>
            <w:hideMark/>
          </w:tcPr>
          <w:p w14:paraId="267820F0"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4,70</w:t>
            </w:r>
          </w:p>
        </w:tc>
        <w:tc>
          <w:tcPr>
            <w:tcW w:w="700" w:type="dxa"/>
            <w:tcBorders>
              <w:top w:val="nil"/>
              <w:left w:val="nil"/>
              <w:bottom w:val="nil"/>
              <w:right w:val="nil"/>
            </w:tcBorders>
            <w:shd w:val="clear" w:color="auto" w:fill="auto"/>
            <w:noWrap/>
            <w:vAlign w:val="center"/>
            <w:hideMark/>
          </w:tcPr>
          <w:p w14:paraId="69944B7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4,73</w:t>
            </w:r>
          </w:p>
        </w:tc>
        <w:tc>
          <w:tcPr>
            <w:tcW w:w="700" w:type="dxa"/>
            <w:tcBorders>
              <w:top w:val="nil"/>
              <w:left w:val="nil"/>
              <w:bottom w:val="nil"/>
              <w:right w:val="nil"/>
            </w:tcBorders>
            <w:shd w:val="clear" w:color="auto" w:fill="auto"/>
            <w:noWrap/>
            <w:vAlign w:val="center"/>
            <w:hideMark/>
          </w:tcPr>
          <w:p w14:paraId="7920CC0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4,97</w:t>
            </w:r>
          </w:p>
        </w:tc>
      </w:tr>
      <w:tr w:rsidR="00861DCA" w:rsidRPr="00861DCA" w14:paraId="52FF439D"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66CCF326"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Královéhradecký kraj</w:t>
            </w:r>
          </w:p>
        </w:tc>
        <w:tc>
          <w:tcPr>
            <w:tcW w:w="710" w:type="dxa"/>
            <w:tcBorders>
              <w:top w:val="nil"/>
              <w:left w:val="nil"/>
              <w:bottom w:val="nil"/>
              <w:right w:val="nil"/>
            </w:tcBorders>
            <w:shd w:val="clear" w:color="auto" w:fill="auto"/>
            <w:noWrap/>
            <w:vAlign w:val="center"/>
            <w:hideMark/>
          </w:tcPr>
          <w:p w14:paraId="5F98EA9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5,28</w:t>
            </w:r>
          </w:p>
        </w:tc>
        <w:tc>
          <w:tcPr>
            <w:tcW w:w="700" w:type="dxa"/>
            <w:tcBorders>
              <w:top w:val="nil"/>
              <w:left w:val="nil"/>
              <w:bottom w:val="nil"/>
              <w:right w:val="nil"/>
            </w:tcBorders>
            <w:shd w:val="clear" w:color="auto" w:fill="auto"/>
            <w:noWrap/>
            <w:vAlign w:val="center"/>
            <w:hideMark/>
          </w:tcPr>
          <w:p w14:paraId="086DAC3C"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4,15</w:t>
            </w:r>
          </w:p>
        </w:tc>
        <w:tc>
          <w:tcPr>
            <w:tcW w:w="700" w:type="dxa"/>
            <w:tcBorders>
              <w:top w:val="nil"/>
              <w:left w:val="nil"/>
              <w:bottom w:val="nil"/>
              <w:right w:val="nil"/>
            </w:tcBorders>
            <w:shd w:val="clear" w:color="auto" w:fill="auto"/>
            <w:noWrap/>
            <w:vAlign w:val="center"/>
            <w:hideMark/>
          </w:tcPr>
          <w:p w14:paraId="72751E6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3,73</w:t>
            </w:r>
          </w:p>
        </w:tc>
        <w:tc>
          <w:tcPr>
            <w:tcW w:w="700" w:type="dxa"/>
            <w:tcBorders>
              <w:top w:val="nil"/>
              <w:left w:val="nil"/>
              <w:bottom w:val="nil"/>
              <w:right w:val="nil"/>
            </w:tcBorders>
            <w:shd w:val="clear" w:color="auto" w:fill="auto"/>
            <w:noWrap/>
            <w:vAlign w:val="center"/>
            <w:hideMark/>
          </w:tcPr>
          <w:p w14:paraId="121D81B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3,63</w:t>
            </w:r>
          </w:p>
        </w:tc>
        <w:tc>
          <w:tcPr>
            <w:tcW w:w="700" w:type="dxa"/>
            <w:tcBorders>
              <w:top w:val="nil"/>
              <w:left w:val="nil"/>
              <w:bottom w:val="nil"/>
              <w:right w:val="nil"/>
            </w:tcBorders>
            <w:shd w:val="clear" w:color="auto" w:fill="auto"/>
            <w:noWrap/>
            <w:vAlign w:val="center"/>
            <w:hideMark/>
          </w:tcPr>
          <w:p w14:paraId="1105E07D"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3,48</w:t>
            </w:r>
          </w:p>
        </w:tc>
        <w:tc>
          <w:tcPr>
            <w:tcW w:w="700" w:type="dxa"/>
            <w:tcBorders>
              <w:top w:val="nil"/>
              <w:left w:val="nil"/>
              <w:bottom w:val="nil"/>
              <w:right w:val="nil"/>
            </w:tcBorders>
            <w:shd w:val="clear" w:color="auto" w:fill="auto"/>
            <w:noWrap/>
            <w:vAlign w:val="center"/>
            <w:hideMark/>
          </w:tcPr>
          <w:p w14:paraId="2981C5D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3,66</w:t>
            </w:r>
          </w:p>
        </w:tc>
        <w:tc>
          <w:tcPr>
            <w:tcW w:w="700" w:type="dxa"/>
            <w:tcBorders>
              <w:top w:val="nil"/>
              <w:left w:val="nil"/>
              <w:bottom w:val="nil"/>
              <w:right w:val="nil"/>
            </w:tcBorders>
            <w:shd w:val="clear" w:color="auto" w:fill="auto"/>
            <w:noWrap/>
            <w:vAlign w:val="center"/>
            <w:hideMark/>
          </w:tcPr>
          <w:p w14:paraId="728EDBC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3,66</w:t>
            </w:r>
          </w:p>
        </w:tc>
        <w:tc>
          <w:tcPr>
            <w:tcW w:w="700" w:type="dxa"/>
            <w:tcBorders>
              <w:top w:val="nil"/>
              <w:left w:val="nil"/>
              <w:bottom w:val="nil"/>
              <w:right w:val="nil"/>
            </w:tcBorders>
            <w:shd w:val="clear" w:color="auto" w:fill="auto"/>
            <w:noWrap/>
            <w:vAlign w:val="center"/>
            <w:hideMark/>
          </w:tcPr>
          <w:p w14:paraId="6D92875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4,05</w:t>
            </w:r>
          </w:p>
        </w:tc>
        <w:tc>
          <w:tcPr>
            <w:tcW w:w="700" w:type="dxa"/>
            <w:tcBorders>
              <w:top w:val="nil"/>
              <w:left w:val="nil"/>
              <w:bottom w:val="nil"/>
              <w:right w:val="nil"/>
            </w:tcBorders>
            <w:shd w:val="clear" w:color="auto" w:fill="auto"/>
            <w:noWrap/>
            <w:vAlign w:val="center"/>
            <w:hideMark/>
          </w:tcPr>
          <w:p w14:paraId="295EB580"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4,27</w:t>
            </w:r>
          </w:p>
        </w:tc>
        <w:tc>
          <w:tcPr>
            <w:tcW w:w="700" w:type="dxa"/>
            <w:tcBorders>
              <w:top w:val="nil"/>
              <w:left w:val="nil"/>
              <w:bottom w:val="nil"/>
              <w:right w:val="nil"/>
            </w:tcBorders>
            <w:shd w:val="clear" w:color="auto" w:fill="auto"/>
            <w:noWrap/>
            <w:vAlign w:val="center"/>
            <w:hideMark/>
          </w:tcPr>
          <w:p w14:paraId="3165BF73"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4,43</w:t>
            </w:r>
          </w:p>
        </w:tc>
        <w:tc>
          <w:tcPr>
            <w:tcW w:w="700" w:type="dxa"/>
            <w:tcBorders>
              <w:top w:val="nil"/>
              <w:left w:val="nil"/>
              <w:bottom w:val="nil"/>
              <w:right w:val="nil"/>
            </w:tcBorders>
            <w:shd w:val="clear" w:color="auto" w:fill="auto"/>
            <w:noWrap/>
            <w:vAlign w:val="center"/>
            <w:hideMark/>
          </w:tcPr>
          <w:p w14:paraId="276E715A"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4,68</w:t>
            </w:r>
          </w:p>
        </w:tc>
      </w:tr>
      <w:tr w:rsidR="00861DCA" w:rsidRPr="00861DCA" w14:paraId="26BD700A"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25D1C789"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Pardubický kraj</w:t>
            </w:r>
          </w:p>
        </w:tc>
        <w:tc>
          <w:tcPr>
            <w:tcW w:w="710" w:type="dxa"/>
            <w:tcBorders>
              <w:top w:val="nil"/>
              <w:left w:val="nil"/>
              <w:bottom w:val="nil"/>
              <w:right w:val="nil"/>
            </w:tcBorders>
            <w:shd w:val="clear" w:color="auto" w:fill="auto"/>
            <w:noWrap/>
            <w:vAlign w:val="center"/>
            <w:hideMark/>
          </w:tcPr>
          <w:p w14:paraId="7BE0A304"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5,31</w:t>
            </w:r>
          </w:p>
        </w:tc>
        <w:tc>
          <w:tcPr>
            <w:tcW w:w="700" w:type="dxa"/>
            <w:tcBorders>
              <w:top w:val="nil"/>
              <w:left w:val="nil"/>
              <w:bottom w:val="nil"/>
              <w:right w:val="nil"/>
            </w:tcBorders>
            <w:shd w:val="clear" w:color="auto" w:fill="auto"/>
            <w:noWrap/>
            <w:vAlign w:val="center"/>
            <w:hideMark/>
          </w:tcPr>
          <w:p w14:paraId="73DABEE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4,28</w:t>
            </w:r>
          </w:p>
        </w:tc>
        <w:tc>
          <w:tcPr>
            <w:tcW w:w="700" w:type="dxa"/>
            <w:tcBorders>
              <w:top w:val="nil"/>
              <w:left w:val="nil"/>
              <w:bottom w:val="nil"/>
              <w:right w:val="nil"/>
            </w:tcBorders>
            <w:shd w:val="clear" w:color="auto" w:fill="auto"/>
            <w:noWrap/>
            <w:vAlign w:val="center"/>
            <w:hideMark/>
          </w:tcPr>
          <w:p w14:paraId="29DA4D8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3,77</w:t>
            </w:r>
          </w:p>
        </w:tc>
        <w:tc>
          <w:tcPr>
            <w:tcW w:w="700" w:type="dxa"/>
            <w:tcBorders>
              <w:top w:val="nil"/>
              <w:left w:val="nil"/>
              <w:bottom w:val="nil"/>
              <w:right w:val="nil"/>
            </w:tcBorders>
            <w:shd w:val="clear" w:color="auto" w:fill="auto"/>
            <w:noWrap/>
            <w:vAlign w:val="center"/>
            <w:hideMark/>
          </w:tcPr>
          <w:p w14:paraId="36DC208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3,63</w:t>
            </w:r>
          </w:p>
        </w:tc>
        <w:tc>
          <w:tcPr>
            <w:tcW w:w="700" w:type="dxa"/>
            <w:tcBorders>
              <w:top w:val="nil"/>
              <w:left w:val="nil"/>
              <w:bottom w:val="nil"/>
              <w:right w:val="nil"/>
            </w:tcBorders>
            <w:shd w:val="clear" w:color="auto" w:fill="auto"/>
            <w:noWrap/>
            <w:vAlign w:val="center"/>
            <w:hideMark/>
          </w:tcPr>
          <w:p w14:paraId="35D8027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3,53</w:t>
            </w:r>
          </w:p>
        </w:tc>
        <w:tc>
          <w:tcPr>
            <w:tcW w:w="700" w:type="dxa"/>
            <w:tcBorders>
              <w:top w:val="nil"/>
              <w:left w:val="nil"/>
              <w:bottom w:val="nil"/>
              <w:right w:val="nil"/>
            </w:tcBorders>
            <w:shd w:val="clear" w:color="auto" w:fill="auto"/>
            <w:noWrap/>
            <w:vAlign w:val="center"/>
            <w:hideMark/>
          </w:tcPr>
          <w:p w14:paraId="3AE3E7B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3,69</w:t>
            </w:r>
          </w:p>
        </w:tc>
        <w:tc>
          <w:tcPr>
            <w:tcW w:w="700" w:type="dxa"/>
            <w:tcBorders>
              <w:top w:val="nil"/>
              <w:left w:val="nil"/>
              <w:bottom w:val="nil"/>
              <w:right w:val="nil"/>
            </w:tcBorders>
            <w:shd w:val="clear" w:color="auto" w:fill="auto"/>
            <w:noWrap/>
            <w:vAlign w:val="center"/>
            <w:hideMark/>
          </w:tcPr>
          <w:p w14:paraId="543C8EA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3,85</w:t>
            </w:r>
          </w:p>
        </w:tc>
        <w:tc>
          <w:tcPr>
            <w:tcW w:w="700" w:type="dxa"/>
            <w:tcBorders>
              <w:top w:val="nil"/>
              <w:left w:val="nil"/>
              <w:bottom w:val="nil"/>
              <w:right w:val="nil"/>
            </w:tcBorders>
            <w:shd w:val="clear" w:color="auto" w:fill="auto"/>
            <w:noWrap/>
            <w:vAlign w:val="center"/>
            <w:hideMark/>
          </w:tcPr>
          <w:p w14:paraId="3239613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4,26</w:t>
            </w:r>
          </w:p>
        </w:tc>
        <w:tc>
          <w:tcPr>
            <w:tcW w:w="700" w:type="dxa"/>
            <w:tcBorders>
              <w:top w:val="nil"/>
              <w:left w:val="nil"/>
              <w:bottom w:val="nil"/>
              <w:right w:val="nil"/>
            </w:tcBorders>
            <w:shd w:val="clear" w:color="auto" w:fill="auto"/>
            <w:noWrap/>
            <w:vAlign w:val="center"/>
            <w:hideMark/>
          </w:tcPr>
          <w:p w14:paraId="5E53CFA0"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4,46</w:t>
            </w:r>
          </w:p>
        </w:tc>
        <w:tc>
          <w:tcPr>
            <w:tcW w:w="700" w:type="dxa"/>
            <w:tcBorders>
              <w:top w:val="nil"/>
              <w:left w:val="nil"/>
              <w:bottom w:val="nil"/>
              <w:right w:val="nil"/>
            </w:tcBorders>
            <w:shd w:val="clear" w:color="auto" w:fill="auto"/>
            <w:noWrap/>
            <w:vAlign w:val="center"/>
            <w:hideMark/>
          </w:tcPr>
          <w:p w14:paraId="505119FF"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4,55</w:t>
            </w:r>
          </w:p>
        </w:tc>
        <w:tc>
          <w:tcPr>
            <w:tcW w:w="700" w:type="dxa"/>
            <w:tcBorders>
              <w:top w:val="nil"/>
              <w:left w:val="nil"/>
              <w:bottom w:val="nil"/>
              <w:right w:val="nil"/>
            </w:tcBorders>
            <w:shd w:val="clear" w:color="auto" w:fill="auto"/>
            <w:noWrap/>
            <w:vAlign w:val="center"/>
            <w:hideMark/>
          </w:tcPr>
          <w:p w14:paraId="525F228E"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4,69</w:t>
            </w:r>
          </w:p>
        </w:tc>
      </w:tr>
      <w:tr w:rsidR="00861DCA" w:rsidRPr="00861DCA" w14:paraId="5F5F44B3"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4C7FE9ED"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Vysočina</w:t>
            </w:r>
          </w:p>
        </w:tc>
        <w:tc>
          <w:tcPr>
            <w:tcW w:w="710" w:type="dxa"/>
            <w:tcBorders>
              <w:top w:val="nil"/>
              <w:left w:val="nil"/>
              <w:bottom w:val="nil"/>
              <w:right w:val="nil"/>
            </w:tcBorders>
            <w:shd w:val="clear" w:color="auto" w:fill="auto"/>
            <w:noWrap/>
            <w:vAlign w:val="center"/>
            <w:hideMark/>
          </w:tcPr>
          <w:p w14:paraId="623E0F1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5,45</w:t>
            </w:r>
          </w:p>
        </w:tc>
        <w:tc>
          <w:tcPr>
            <w:tcW w:w="700" w:type="dxa"/>
            <w:tcBorders>
              <w:top w:val="nil"/>
              <w:left w:val="nil"/>
              <w:bottom w:val="nil"/>
              <w:right w:val="nil"/>
            </w:tcBorders>
            <w:shd w:val="clear" w:color="auto" w:fill="auto"/>
            <w:noWrap/>
            <w:vAlign w:val="center"/>
            <w:hideMark/>
          </w:tcPr>
          <w:p w14:paraId="01D52DE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4,31</w:t>
            </w:r>
          </w:p>
        </w:tc>
        <w:tc>
          <w:tcPr>
            <w:tcW w:w="700" w:type="dxa"/>
            <w:tcBorders>
              <w:top w:val="nil"/>
              <w:left w:val="nil"/>
              <w:bottom w:val="nil"/>
              <w:right w:val="nil"/>
            </w:tcBorders>
            <w:shd w:val="clear" w:color="auto" w:fill="auto"/>
            <w:noWrap/>
            <w:vAlign w:val="center"/>
            <w:hideMark/>
          </w:tcPr>
          <w:p w14:paraId="6A4F0D99"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3,92</w:t>
            </w:r>
          </w:p>
        </w:tc>
        <w:tc>
          <w:tcPr>
            <w:tcW w:w="700" w:type="dxa"/>
            <w:tcBorders>
              <w:top w:val="nil"/>
              <w:left w:val="nil"/>
              <w:bottom w:val="nil"/>
              <w:right w:val="nil"/>
            </w:tcBorders>
            <w:shd w:val="clear" w:color="auto" w:fill="auto"/>
            <w:noWrap/>
            <w:vAlign w:val="center"/>
            <w:hideMark/>
          </w:tcPr>
          <w:p w14:paraId="75C98B2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3,79</w:t>
            </w:r>
          </w:p>
        </w:tc>
        <w:tc>
          <w:tcPr>
            <w:tcW w:w="700" w:type="dxa"/>
            <w:tcBorders>
              <w:top w:val="nil"/>
              <w:left w:val="nil"/>
              <w:bottom w:val="nil"/>
              <w:right w:val="nil"/>
            </w:tcBorders>
            <w:shd w:val="clear" w:color="auto" w:fill="auto"/>
            <w:noWrap/>
            <w:vAlign w:val="center"/>
            <w:hideMark/>
          </w:tcPr>
          <w:p w14:paraId="4FEBA56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3,57</w:t>
            </w:r>
          </w:p>
        </w:tc>
        <w:tc>
          <w:tcPr>
            <w:tcW w:w="700" w:type="dxa"/>
            <w:tcBorders>
              <w:top w:val="nil"/>
              <w:left w:val="nil"/>
              <w:bottom w:val="nil"/>
              <w:right w:val="nil"/>
            </w:tcBorders>
            <w:shd w:val="clear" w:color="auto" w:fill="auto"/>
            <w:noWrap/>
            <w:vAlign w:val="center"/>
            <w:hideMark/>
          </w:tcPr>
          <w:p w14:paraId="1E35BC5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3,90</w:t>
            </w:r>
          </w:p>
        </w:tc>
        <w:tc>
          <w:tcPr>
            <w:tcW w:w="700" w:type="dxa"/>
            <w:tcBorders>
              <w:top w:val="nil"/>
              <w:left w:val="nil"/>
              <w:bottom w:val="nil"/>
              <w:right w:val="nil"/>
            </w:tcBorders>
            <w:shd w:val="clear" w:color="auto" w:fill="auto"/>
            <w:noWrap/>
            <w:vAlign w:val="center"/>
            <w:hideMark/>
          </w:tcPr>
          <w:p w14:paraId="0E86E724"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4,04</w:t>
            </w:r>
          </w:p>
        </w:tc>
        <w:tc>
          <w:tcPr>
            <w:tcW w:w="700" w:type="dxa"/>
            <w:tcBorders>
              <w:top w:val="nil"/>
              <w:left w:val="nil"/>
              <w:bottom w:val="nil"/>
              <w:right w:val="nil"/>
            </w:tcBorders>
            <w:shd w:val="clear" w:color="auto" w:fill="auto"/>
            <w:noWrap/>
            <w:vAlign w:val="center"/>
            <w:hideMark/>
          </w:tcPr>
          <w:p w14:paraId="685E16E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4,54</w:t>
            </w:r>
          </w:p>
        </w:tc>
        <w:tc>
          <w:tcPr>
            <w:tcW w:w="700" w:type="dxa"/>
            <w:tcBorders>
              <w:top w:val="nil"/>
              <w:left w:val="nil"/>
              <w:bottom w:val="nil"/>
              <w:right w:val="nil"/>
            </w:tcBorders>
            <w:shd w:val="clear" w:color="auto" w:fill="auto"/>
            <w:noWrap/>
            <w:vAlign w:val="center"/>
            <w:hideMark/>
          </w:tcPr>
          <w:p w14:paraId="7CA0CEE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4,73</w:t>
            </w:r>
          </w:p>
        </w:tc>
        <w:tc>
          <w:tcPr>
            <w:tcW w:w="700" w:type="dxa"/>
            <w:tcBorders>
              <w:top w:val="nil"/>
              <w:left w:val="nil"/>
              <w:bottom w:val="nil"/>
              <w:right w:val="nil"/>
            </w:tcBorders>
            <w:shd w:val="clear" w:color="auto" w:fill="auto"/>
            <w:noWrap/>
            <w:vAlign w:val="center"/>
            <w:hideMark/>
          </w:tcPr>
          <w:p w14:paraId="402DE528"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4,84</w:t>
            </w:r>
          </w:p>
        </w:tc>
        <w:tc>
          <w:tcPr>
            <w:tcW w:w="700" w:type="dxa"/>
            <w:tcBorders>
              <w:top w:val="nil"/>
              <w:left w:val="nil"/>
              <w:bottom w:val="nil"/>
              <w:right w:val="nil"/>
            </w:tcBorders>
            <w:shd w:val="clear" w:color="auto" w:fill="auto"/>
            <w:noWrap/>
            <w:vAlign w:val="center"/>
            <w:hideMark/>
          </w:tcPr>
          <w:p w14:paraId="3BBD11C3"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5,11</w:t>
            </w:r>
          </w:p>
        </w:tc>
      </w:tr>
      <w:tr w:rsidR="00861DCA" w:rsidRPr="00861DCA" w14:paraId="2E1B11B7"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64DB5F37"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Jihomoravský kraj</w:t>
            </w:r>
          </w:p>
        </w:tc>
        <w:tc>
          <w:tcPr>
            <w:tcW w:w="710" w:type="dxa"/>
            <w:tcBorders>
              <w:top w:val="nil"/>
              <w:left w:val="nil"/>
              <w:bottom w:val="nil"/>
              <w:right w:val="nil"/>
            </w:tcBorders>
            <w:shd w:val="clear" w:color="auto" w:fill="auto"/>
            <w:noWrap/>
            <w:vAlign w:val="center"/>
            <w:hideMark/>
          </w:tcPr>
          <w:p w14:paraId="4EE0B92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5,37</w:t>
            </w:r>
          </w:p>
        </w:tc>
        <w:tc>
          <w:tcPr>
            <w:tcW w:w="700" w:type="dxa"/>
            <w:tcBorders>
              <w:top w:val="nil"/>
              <w:left w:val="nil"/>
              <w:bottom w:val="nil"/>
              <w:right w:val="nil"/>
            </w:tcBorders>
            <w:shd w:val="clear" w:color="auto" w:fill="auto"/>
            <w:noWrap/>
            <w:vAlign w:val="center"/>
            <w:hideMark/>
          </w:tcPr>
          <w:p w14:paraId="1E2C679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4,31</w:t>
            </w:r>
          </w:p>
        </w:tc>
        <w:tc>
          <w:tcPr>
            <w:tcW w:w="700" w:type="dxa"/>
            <w:tcBorders>
              <w:top w:val="nil"/>
              <w:left w:val="nil"/>
              <w:bottom w:val="nil"/>
              <w:right w:val="nil"/>
            </w:tcBorders>
            <w:shd w:val="clear" w:color="auto" w:fill="auto"/>
            <w:noWrap/>
            <w:vAlign w:val="center"/>
            <w:hideMark/>
          </w:tcPr>
          <w:p w14:paraId="288EAB7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3,84</w:t>
            </w:r>
          </w:p>
        </w:tc>
        <w:tc>
          <w:tcPr>
            <w:tcW w:w="700" w:type="dxa"/>
            <w:tcBorders>
              <w:top w:val="nil"/>
              <w:left w:val="nil"/>
              <w:bottom w:val="nil"/>
              <w:right w:val="nil"/>
            </w:tcBorders>
            <w:shd w:val="clear" w:color="auto" w:fill="auto"/>
            <w:noWrap/>
            <w:vAlign w:val="center"/>
            <w:hideMark/>
          </w:tcPr>
          <w:p w14:paraId="045533D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3,66</w:t>
            </w:r>
          </w:p>
        </w:tc>
        <w:tc>
          <w:tcPr>
            <w:tcW w:w="700" w:type="dxa"/>
            <w:tcBorders>
              <w:top w:val="nil"/>
              <w:left w:val="nil"/>
              <w:bottom w:val="nil"/>
              <w:right w:val="nil"/>
            </w:tcBorders>
            <w:shd w:val="clear" w:color="auto" w:fill="auto"/>
            <w:noWrap/>
            <w:vAlign w:val="center"/>
            <w:hideMark/>
          </w:tcPr>
          <w:p w14:paraId="53B1EA9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3,49</w:t>
            </w:r>
          </w:p>
        </w:tc>
        <w:tc>
          <w:tcPr>
            <w:tcW w:w="700" w:type="dxa"/>
            <w:tcBorders>
              <w:top w:val="nil"/>
              <w:left w:val="nil"/>
              <w:bottom w:val="nil"/>
              <w:right w:val="nil"/>
            </w:tcBorders>
            <w:shd w:val="clear" w:color="auto" w:fill="auto"/>
            <w:noWrap/>
            <w:vAlign w:val="center"/>
            <w:hideMark/>
          </w:tcPr>
          <w:p w14:paraId="6B815A8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3,67</w:t>
            </w:r>
          </w:p>
        </w:tc>
        <w:tc>
          <w:tcPr>
            <w:tcW w:w="700" w:type="dxa"/>
            <w:tcBorders>
              <w:top w:val="nil"/>
              <w:left w:val="nil"/>
              <w:bottom w:val="nil"/>
              <w:right w:val="nil"/>
            </w:tcBorders>
            <w:shd w:val="clear" w:color="auto" w:fill="auto"/>
            <w:noWrap/>
            <w:vAlign w:val="center"/>
            <w:hideMark/>
          </w:tcPr>
          <w:p w14:paraId="5C7AC54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3,72</w:t>
            </w:r>
          </w:p>
        </w:tc>
        <w:tc>
          <w:tcPr>
            <w:tcW w:w="700" w:type="dxa"/>
            <w:tcBorders>
              <w:top w:val="nil"/>
              <w:left w:val="nil"/>
              <w:bottom w:val="nil"/>
              <w:right w:val="nil"/>
            </w:tcBorders>
            <w:shd w:val="clear" w:color="auto" w:fill="auto"/>
            <w:noWrap/>
            <w:vAlign w:val="center"/>
            <w:hideMark/>
          </w:tcPr>
          <w:p w14:paraId="6CF040A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4,05</w:t>
            </w:r>
          </w:p>
        </w:tc>
        <w:tc>
          <w:tcPr>
            <w:tcW w:w="700" w:type="dxa"/>
            <w:tcBorders>
              <w:top w:val="nil"/>
              <w:left w:val="nil"/>
              <w:bottom w:val="nil"/>
              <w:right w:val="nil"/>
            </w:tcBorders>
            <w:shd w:val="clear" w:color="auto" w:fill="auto"/>
            <w:noWrap/>
            <w:vAlign w:val="center"/>
            <w:hideMark/>
          </w:tcPr>
          <w:p w14:paraId="57EC9E5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4,20</w:t>
            </w:r>
          </w:p>
        </w:tc>
        <w:tc>
          <w:tcPr>
            <w:tcW w:w="700" w:type="dxa"/>
            <w:tcBorders>
              <w:top w:val="nil"/>
              <w:left w:val="nil"/>
              <w:bottom w:val="nil"/>
              <w:right w:val="nil"/>
            </w:tcBorders>
            <w:shd w:val="clear" w:color="auto" w:fill="auto"/>
            <w:noWrap/>
            <w:vAlign w:val="center"/>
            <w:hideMark/>
          </w:tcPr>
          <w:p w14:paraId="2B83EDB0"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4,26</w:t>
            </w:r>
          </w:p>
        </w:tc>
        <w:tc>
          <w:tcPr>
            <w:tcW w:w="700" w:type="dxa"/>
            <w:tcBorders>
              <w:top w:val="nil"/>
              <w:left w:val="nil"/>
              <w:bottom w:val="nil"/>
              <w:right w:val="nil"/>
            </w:tcBorders>
            <w:shd w:val="clear" w:color="auto" w:fill="auto"/>
            <w:noWrap/>
            <w:vAlign w:val="center"/>
            <w:hideMark/>
          </w:tcPr>
          <w:p w14:paraId="7F42509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4,42</w:t>
            </w:r>
          </w:p>
        </w:tc>
      </w:tr>
      <w:tr w:rsidR="00861DCA" w:rsidRPr="00861DCA" w14:paraId="43562D3E"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5F83775D"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Olomoucký kraj</w:t>
            </w:r>
          </w:p>
        </w:tc>
        <w:tc>
          <w:tcPr>
            <w:tcW w:w="710" w:type="dxa"/>
            <w:tcBorders>
              <w:top w:val="nil"/>
              <w:left w:val="nil"/>
              <w:bottom w:val="nil"/>
              <w:right w:val="nil"/>
            </w:tcBorders>
            <w:shd w:val="clear" w:color="auto" w:fill="auto"/>
            <w:noWrap/>
            <w:vAlign w:val="center"/>
            <w:hideMark/>
          </w:tcPr>
          <w:p w14:paraId="51871B7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5,62</w:t>
            </w:r>
          </w:p>
        </w:tc>
        <w:tc>
          <w:tcPr>
            <w:tcW w:w="700" w:type="dxa"/>
            <w:tcBorders>
              <w:top w:val="nil"/>
              <w:left w:val="nil"/>
              <w:bottom w:val="nil"/>
              <w:right w:val="nil"/>
            </w:tcBorders>
            <w:shd w:val="clear" w:color="auto" w:fill="auto"/>
            <w:noWrap/>
            <w:vAlign w:val="center"/>
            <w:hideMark/>
          </w:tcPr>
          <w:p w14:paraId="4735F85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4,46</w:t>
            </w:r>
          </w:p>
        </w:tc>
        <w:tc>
          <w:tcPr>
            <w:tcW w:w="700" w:type="dxa"/>
            <w:tcBorders>
              <w:top w:val="nil"/>
              <w:left w:val="nil"/>
              <w:bottom w:val="nil"/>
              <w:right w:val="nil"/>
            </w:tcBorders>
            <w:shd w:val="clear" w:color="auto" w:fill="auto"/>
            <w:noWrap/>
            <w:vAlign w:val="center"/>
            <w:hideMark/>
          </w:tcPr>
          <w:p w14:paraId="7C85772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3,92</w:t>
            </w:r>
          </w:p>
        </w:tc>
        <w:tc>
          <w:tcPr>
            <w:tcW w:w="700" w:type="dxa"/>
            <w:tcBorders>
              <w:top w:val="nil"/>
              <w:left w:val="nil"/>
              <w:bottom w:val="nil"/>
              <w:right w:val="nil"/>
            </w:tcBorders>
            <w:shd w:val="clear" w:color="auto" w:fill="auto"/>
            <w:noWrap/>
            <w:vAlign w:val="center"/>
            <w:hideMark/>
          </w:tcPr>
          <w:p w14:paraId="2738E09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3,73</w:t>
            </w:r>
          </w:p>
        </w:tc>
        <w:tc>
          <w:tcPr>
            <w:tcW w:w="700" w:type="dxa"/>
            <w:tcBorders>
              <w:top w:val="nil"/>
              <w:left w:val="nil"/>
              <w:bottom w:val="nil"/>
              <w:right w:val="nil"/>
            </w:tcBorders>
            <w:shd w:val="clear" w:color="auto" w:fill="auto"/>
            <w:noWrap/>
            <w:vAlign w:val="center"/>
            <w:hideMark/>
          </w:tcPr>
          <w:p w14:paraId="4C0C0CF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3,71</w:t>
            </w:r>
          </w:p>
        </w:tc>
        <w:tc>
          <w:tcPr>
            <w:tcW w:w="700" w:type="dxa"/>
            <w:tcBorders>
              <w:top w:val="nil"/>
              <w:left w:val="nil"/>
              <w:bottom w:val="nil"/>
              <w:right w:val="nil"/>
            </w:tcBorders>
            <w:shd w:val="clear" w:color="auto" w:fill="auto"/>
            <w:noWrap/>
            <w:vAlign w:val="center"/>
            <w:hideMark/>
          </w:tcPr>
          <w:p w14:paraId="0559537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3,82</w:t>
            </w:r>
          </w:p>
        </w:tc>
        <w:tc>
          <w:tcPr>
            <w:tcW w:w="700" w:type="dxa"/>
            <w:tcBorders>
              <w:top w:val="nil"/>
              <w:left w:val="nil"/>
              <w:bottom w:val="nil"/>
              <w:right w:val="nil"/>
            </w:tcBorders>
            <w:shd w:val="clear" w:color="auto" w:fill="auto"/>
            <w:noWrap/>
            <w:vAlign w:val="center"/>
            <w:hideMark/>
          </w:tcPr>
          <w:p w14:paraId="4EE3D4D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3,87</w:t>
            </w:r>
          </w:p>
        </w:tc>
        <w:tc>
          <w:tcPr>
            <w:tcW w:w="700" w:type="dxa"/>
            <w:tcBorders>
              <w:top w:val="nil"/>
              <w:left w:val="nil"/>
              <w:bottom w:val="nil"/>
              <w:right w:val="nil"/>
            </w:tcBorders>
            <w:shd w:val="clear" w:color="auto" w:fill="auto"/>
            <w:noWrap/>
            <w:vAlign w:val="center"/>
            <w:hideMark/>
          </w:tcPr>
          <w:p w14:paraId="156A444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4,28</w:t>
            </w:r>
          </w:p>
        </w:tc>
        <w:tc>
          <w:tcPr>
            <w:tcW w:w="700" w:type="dxa"/>
            <w:tcBorders>
              <w:top w:val="nil"/>
              <w:left w:val="nil"/>
              <w:bottom w:val="nil"/>
              <w:right w:val="nil"/>
            </w:tcBorders>
            <w:shd w:val="clear" w:color="auto" w:fill="auto"/>
            <w:noWrap/>
            <w:vAlign w:val="center"/>
            <w:hideMark/>
          </w:tcPr>
          <w:p w14:paraId="28CA4CC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4,51</w:t>
            </w:r>
          </w:p>
        </w:tc>
        <w:tc>
          <w:tcPr>
            <w:tcW w:w="700" w:type="dxa"/>
            <w:tcBorders>
              <w:top w:val="nil"/>
              <w:left w:val="nil"/>
              <w:bottom w:val="nil"/>
              <w:right w:val="nil"/>
            </w:tcBorders>
            <w:shd w:val="clear" w:color="auto" w:fill="auto"/>
            <w:noWrap/>
            <w:vAlign w:val="center"/>
            <w:hideMark/>
          </w:tcPr>
          <w:p w14:paraId="73EF76B4"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4,54</w:t>
            </w:r>
          </w:p>
        </w:tc>
        <w:tc>
          <w:tcPr>
            <w:tcW w:w="700" w:type="dxa"/>
            <w:tcBorders>
              <w:top w:val="nil"/>
              <w:left w:val="nil"/>
              <w:bottom w:val="nil"/>
              <w:right w:val="nil"/>
            </w:tcBorders>
            <w:shd w:val="clear" w:color="auto" w:fill="auto"/>
            <w:noWrap/>
            <w:vAlign w:val="center"/>
            <w:hideMark/>
          </w:tcPr>
          <w:p w14:paraId="44A9DB7D"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4,70</w:t>
            </w:r>
          </w:p>
        </w:tc>
      </w:tr>
      <w:tr w:rsidR="00861DCA" w:rsidRPr="00861DCA" w14:paraId="69262733"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5C126D67"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Zlínský kraj</w:t>
            </w:r>
          </w:p>
        </w:tc>
        <w:tc>
          <w:tcPr>
            <w:tcW w:w="710" w:type="dxa"/>
            <w:tcBorders>
              <w:top w:val="nil"/>
              <w:left w:val="nil"/>
              <w:bottom w:val="nil"/>
              <w:right w:val="nil"/>
            </w:tcBorders>
            <w:shd w:val="clear" w:color="auto" w:fill="auto"/>
            <w:noWrap/>
            <w:vAlign w:val="center"/>
            <w:hideMark/>
          </w:tcPr>
          <w:p w14:paraId="49FBE601"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6,06</w:t>
            </w:r>
          </w:p>
        </w:tc>
        <w:tc>
          <w:tcPr>
            <w:tcW w:w="700" w:type="dxa"/>
            <w:tcBorders>
              <w:top w:val="nil"/>
              <w:left w:val="nil"/>
              <w:bottom w:val="nil"/>
              <w:right w:val="nil"/>
            </w:tcBorders>
            <w:shd w:val="clear" w:color="auto" w:fill="auto"/>
            <w:noWrap/>
            <w:vAlign w:val="center"/>
            <w:hideMark/>
          </w:tcPr>
          <w:p w14:paraId="5FB3892E"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5,22</w:t>
            </w:r>
          </w:p>
        </w:tc>
        <w:tc>
          <w:tcPr>
            <w:tcW w:w="700" w:type="dxa"/>
            <w:tcBorders>
              <w:top w:val="nil"/>
              <w:left w:val="nil"/>
              <w:bottom w:val="nil"/>
              <w:right w:val="nil"/>
            </w:tcBorders>
            <w:shd w:val="clear" w:color="auto" w:fill="auto"/>
            <w:noWrap/>
            <w:vAlign w:val="center"/>
            <w:hideMark/>
          </w:tcPr>
          <w:p w14:paraId="05A29B3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4,63</w:t>
            </w:r>
          </w:p>
        </w:tc>
        <w:tc>
          <w:tcPr>
            <w:tcW w:w="700" w:type="dxa"/>
            <w:tcBorders>
              <w:top w:val="nil"/>
              <w:left w:val="nil"/>
              <w:bottom w:val="nil"/>
              <w:right w:val="nil"/>
            </w:tcBorders>
            <w:shd w:val="clear" w:color="auto" w:fill="auto"/>
            <w:noWrap/>
            <w:vAlign w:val="center"/>
            <w:hideMark/>
          </w:tcPr>
          <w:p w14:paraId="4A29E107"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4,38</w:t>
            </w:r>
          </w:p>
        </w:tc>
        <w:tc>
          <w:tcPr>
            <w:tcW w:w="700" w:type="dxa"/>
            <w:tcBorders>
              <w:top w:val="nil"/>
              <w:left w:val="nil"/>
              <w:bottom w:val="nil"/>
              <w:right w:val="nil"/>
            </w:tcBorders>
            <w:shd w:val="clear" w:color="auto" w:fill="auto"/>
            <w:noWrap/>
            <w:vAlign w:val="center"/>
            <w:hideMark/>
          </w:tcPr>
          <w:p w14:paraId="43AAA508"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4,11</w:t>
            </w:r>
          </w:p>
        </w:tc>
        <w:tc>
          <w:tcPr>
            <w:tcW w:w="700" w:type="dxa"/>
            <w:tcBorders>
              <w:top w:val="nil"/>
              <w:left w:val="nil"/>
              <w:bottom w:val="nil"/>
              <w:right w:val="nil"/>
            </w:tcBorders>
            <w:shd w:val="clear" w:color="auto" w:fill="auto"/>
            <w:noWrap/>
            <w:vAlign w:val="center"/>
            <w:hideMark/>
          </w:tcPr>
          <w:p w14:paraId="0489F56F"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4,41</w:t>
            </w:r>
          </w:p>
        </w:tc>
        <w:tc>
          <w:tcPr>
            <w:tcW w:w="700" w:type="dxa"/>
            <w:tcBorders>
              <w:top w:val="nil"/>
              <w:left w:val="nil"/>
              <w:bottom w:val="nil"/>
              <w:right w:val="nil"/>
            </w:tcBorders>
            <w:shd w:val="clear" w:color="auto" w:fill="auto"/>
            <w:noWrap/>
            <w:vAlign w:val="center"/>
            <w:hideMark/>
          </w:tcPr>
          <w:p w14:paraId="3B99486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4,40</w:t>
            </w:r>
          </w:p>
        </w:tc>
        <w:tc>
          <w:tcPr>
            <w:tcW w:w="700" w:type="dxa"/>
            <w:tcBorders>
              <w:top w:val="nil"/>
              <w:left w:val="nil"/>
              <w:bottom w:val="nil"/>
              <w:right w:val="nil"/>
            </w:tcBorders>
            <w:shd w:val="clear" w:color="auto" w:fill="auto"/>
            <w:noWrap/>
            <w:vAlign w:val="center"/>
            <w:hideMark/>
          </w:tcPr>
          <w:p w14:paraId="027BE0FB"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4,89</w:t>
            </w:r>
          </w:p>
        </w:tc>
        <w:tc>
          <w:tcPr>
            <w:tcW w:w="700" w:type="dxa"/>
            <w:tcBorders>
              <w:top w:val="nil"/>
              <w:left w:val="nil"/>
              <w:bottom w:val="nil"/>
              <w:right w:val="nil"/>
            </w:tcBorders>
            <w:shd w:val="clear" w:color="auto" w:fill="auto"/>
            <w:noWrap/>
            <w:vAlign w:val="center"/>
            <w:hideMark/>
          </w:tcPr>
          <w:p w14:paraId="6572A1D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5,12</w:t>
            </w:r>
          </w:p>
        </w:tc>
        <w:tc>
          <w:tcPr>
            <w:tcW w:w="700" w:type="dxa"/>
            <w:tcBorders>
              <w:top w:val="nil"/>
              <w:left w:val="nil"/>
              <w:bottom w:val="nil"/>
              <w:right w:val="nil"/>
            </w:tcBorders>
            <w:shd w:val="clear" w:color="auto" w:fill="auto"/>
            <w:noWrap/>
            <w:vAlign w:val="center"/>
            <w:hideMark/>
          </w:tcPr>
          <w:p w14:paraId="79B6EEAC"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5,17</w:t>
            </w:r>
          </w:p>
        </w:tc>
        <w:tc>
          <w:tcPr>
            <w:tcW w:w="700" w:type="dxa"/>
            <w:tcBorders>
              <w:top w:val="nil"/>
              <w:left w:val="nil"/>
              <w:bottom w:val="nil"/>
              <w:right w:val="nil"/>
            </w:tcBorders>
            <w:shd w:val="clear" w:color="auto" w:fill="auto"/>
            <w:noWrap/>
            <w:vAlign w:val="center"/>
            <w:hideMark/>
          </w:tcPr>
          <w:p w14:paraId="79EF3737" w14:textId="77777777" w:rsidR="00861DCA" w:rsidRPr="00861DCA" w:rsidRDefault="00861DCA" w:rsidP="00C57E6B">
            <w:pPr>
              <w:spacing w:after="0" w:line="240" w:lineRule="auto"/>
              <w:jc w:val="right"/>
              <w:rPr>
                <w:rFonts w:ascii="Arial CE" w:hAnsi="Arial CE" w:cs="Arial CE"/>
                <w:color w:val="000000"/>
                <w:sz w:val="16"/>
                <w:szCs w:val="16"/>
              </w:rPr>
            </w:pPr>
            <w:r w:rsidRPr="00861DCA">
              <w:rPr>
                <w:rFonts w:ascii="Arial CE" w:hAnsi="Arial CE" w:cs="Arial CE"/>
                <w:color w:val="000000"/>
                <w:sz w:val="16"/>
                <w:szCs w:val="16"/>
              </w:rPr>
              <w:t>5,27</w:t>
            </w:r>
          </w:p>
        </w:tc>
      </w:tr>
      <w:tr w:rsidR="00861DCA" w:rsidRPr="00861DCA" w14:paraId="4FB6BA6A" w14:textId="77777777" w:rsidTr="00C57E6B">
        <w:trPr>
          <w:trHeight w:val="300"/>
        </w:trPr>
        <w:tc>
          <w:tcPr>
            <w:tcW w:w="1870" w:type="dxa"/>
            <w:tcBorders>
              <w:top w:val="nil"/>
              <w:left w:val="nil"/>
              <w:bottom w:val="nil"/>
              <w:right w:val="single" w:sz="4" w:space="0" w:color="auto"/>
            </w:tcBorders>
            <w:shd w:val="clear" w:color="auto" w:fill="auto"/>
            <w:noWrap/>
            <w:vAlign w:val="center"/>
            <w:hideMark/>
          </w:tcPr>
          <w:p w14:paraId="77BAB0DB" w14:textId="77777777" w:rsidR="00861DCA" w:rsidRPr="00861DCA" w:rsidRDefault="00861DCA" w:rsidP="00C57E6B">
            <w:pPr>
              <w:spacing w:after="0" w:line="240" w:lineRule="auto"/>
              <w:ind w:firstLineChars="100" w:firstLine="160"/>
              <w:rPr>
                <w:rFonts w:ascii="Arial CE" w:hAnsi="Arial CE" w:cs="Arial CE"/>
                <w:sz w:val="16"/>
                <w:szCs w:val="16"/>
              </w:rPr>
            </w:pPr>
            <w:r w:rsidRPr="00861DCA">
              <w:rPr>
                <w:rFonts w:ascii="Arial CE" w:hAnsi="Arial CE" w:cs="Arial CE"/>
                <w:sz w:val="16"/>
                <w:szCs w:val="16"/>
              </w:rPr>
              <w:t>Moravskoslezský kraj</w:t>
            </w:r>
          </w:p>
        </w:tc>
        <w:tc>
          <w:tcPr>
            <w:tcW w:w="710" w:type="dxa"/>
            <w:tcBorders>
              <w:top w:val="nil"/>
              <w:left w:val="nil"/>
              <w:bottom w:val="nil"/>
              <w:right w:val="nil"/>
            </w:tcBorders>
            <w:shd w:val="clear" w:color="auto" w:fill="auto"/>
            <w:noWrap/>
            <w:vAlign w:val="center"/>
            <w:hideMark/>
          </w:tcPr>
          <w:p w14:paraId="501FBFE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6,05</w:t>
            </w:r>
          </w:p>
        </w:tc>
        <w:tc>
          <w:tcPr>
            <w:tcW w:w="700" w:type="dxa"/>
            <w:tcBorders>
              <w:top w:val="nil"/>
              <w:left w:val="nil"/>
              <w:bottom w:val="nil"/>
              <w:right w:val="nil"/>
            </w:tcBorders>
            <w:shd w:val="clear" w:color="auto" w:fill="auto"/>
            <w:noWrap/>
            <w:vAlign w:val="center"/>
            <w:hideMark/>
          </w:tcPr>
          <w:p w14:paraId="6D114AE4"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4,77</w:t>
            </w:r>
          </w:p>
        </w:tc>
        <w:tc>
          <w:tcPr>
            <w:tcW w:w="700" w:type="dxa"/>
            <w:tcBorders>
              <w:top w:val="nil"/>
              <w:left w:val="nil"/>
              <w:bottom w:val="nil"/>
              <w:right w:val="nil"/>
            </w:tcBorders>
            <w:shd w:val="clear" w:color="auto" w:fill="auto"/>
            <w:noWrap/>
            <w:vAlign w:val="center"/>
            <w:hideMark/>
          </w:tcPr>
          <w:p w14:paraId="4B730E74"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4,28</w:t>
            </w:r>
          </w:p>
        </w:tc>
        <w:tc>
          <w:tcPr>
            <w:tcW w:w="700" w:type="dxa"/>
            <w:tcBorders>
              <w:top w:val="nil"/>
              <w:left w:val="nil"/>
              <w:bottom w:val="nil"/>
              <w:right w:val="nil"/>
            </w:tcBorders>
            <w:shd w:val="clear" w:color="auto" w:fill="auto"/>
            <w:noWrap/>
            <w:vAlign w:val="center"/>
            <w:hideMark/>
          </w:tcPr>
          <w:p w14:paraId="17FE5B46"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4,26</w:t>
            </w:r>
          </w:p>
        </w:tc>
        <w:tc>
          <w:tcPr>
            <w:tcW w:w="700" w:type="dxa"/>
            <w:tcBorders>
              <w:top w:val="nil"/>
              <w:left w:val="nil"/>
              <w:bottom w:val="nil"/>
              <w:right w:val="nil"/>
            </w:tcBorders>
            <w:shd w:val="clear" w:color="auto" w:fill="auto"/>
            <w:noWrap/>
            <w:vAlign w:val="center"/>
            <w:hideMark/>
          </w:tcPr>
          <w:p w14:paraId="14004BD2"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3,99</w:t>
            </w:r>
          </w:p>
        </w:tc>
        <w:tc>
          <w:tcPr>
            <w:tcW w:w="700" w:type="dxa"/>
            <w:tcBorders>
              <w:top w:val="nil"/>
              <w:left w:val="nil"/>
              <w:bottom w:val="nil"/>
              <w:right w:val="nil"/>
            </w:tcBorders>
            <w:shd w:val="clear" w:color="auto" w:fill="auto"/>
            <w:noWrap/>
            <w:vAlign w:val="center"/>
            <w:hideMark/>
          </w:tcPr>
          <w:p w14:paraId="6A698463"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4,32</w:t>
            </w:r>
          </w:p>
        </w:tc>
        <w:tc>
          <w:tcPr>
            <w:tcW w:w="700" w:type="dxa"/>
            <w:tcBorders>
              <w:top w:val="nil"/>
              <w:left w:val="nil"/>
              <w:bottom w:val="nil"/>
              <w:right w:val="nil"/>
            </w:tcBorders>
            <w:shd w:val="clear" w:color="auto" w:fill="auto"/>
            <w:noWrap/>
            <w:vAlign w:val="center"/>
            <w:hideMark/>
          </w:tcPr>
          <w:p w14:paraId="6D08C6A5"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4,38</w:t>
            </w:r>
          </w:p>
        </w:tc>
        <w:tc>
          <w:tcPr>
            <w:tcW w:w="700" w:type="dxa"/>
            <w:tcBorders>
              <w:top w:val="nil"/>
              <w:left w:val="nil"/>
              <w:bottom w:val="nil"/>
              <w:right w:val="nil"/>
            </w:tcBorders>
            <w:shd w:val="clear" w:color="auto" w:fill="auto"/>
            <w:noWrap/>
            <w:vAlign w:val="center"/>
            <w:hideMark/>
          </w:tcPr>
          <w:p w14:paraId="04B98B60"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4,78</w:t>
            </w:r>
          </w:p>
        </w:tc>
        <w:tc>
          <w:tcPr>
            <w:tcW w:w="700" w:type="dxa"/>
            <w:tcBorders>
              <w:top w:val="nil"/>
              <w:left w:val="nil"/>
              <w:bottom w:val="nil"/>
              <w:right w:val="nil"/>
            </w:tcBorders>
            <w:shd w:val="clear" w:color="auto" w:fill="auto"/>
            <w:noWrap/>
            <w:vAlign w:val="center"/>
            <w:hideMark/>
          </w:tcPr>
          <w:p w14:paraId="5D2496D9"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5,13</w:t>
            </w:r>
          </w:p>
        </w:tc>
        <w:tc>
          <w:tcPr>
            <w:tcW w:w="700" w:type="dxa"/>
            <w:tcBorders>
              <w:top w:val="nil"/>
              <w:left w:val="nil"/>
              <w:bottom w:val="nil"/>
              <w:right w:val="nil"/>
            </w:tcBorders>
            <w:shd w:val="clear" w:color="auto" w:fill="auto"/>
            <w:noWrap/>
            <w:vAlign w:val="center"/>
            <w:hideMark/>
          </w:tcPr>
          <w:p w14:paraId="5FBBECC7"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5,14</w:t>
            </w:r>
          </w:p>
        </w:tc>
        <w:tc>
          <w:tcPr>
            <w:tcW w:w="700" w:type="dxa"/>
            <w:tcBorders>
              <w:top w:val="nil"/>
              <w:left w:val="nil"/>
              <w:bottom w:val="nil"/>
              <w:right w:val="nil"/>
            </w:tcBorders>
            <w:shd w:val="clear" w:color="auto" w:fill="auto"/>
            <w:noWrap/>
            <w:vAlign w:val="center"/>
            <w:hideMark/>
          </w:tcPr>
          <w:p w14:paraId="4777885A" w14:textId="77777777" w:rsidR="00861DCA" w:rsidRPr="00861DCA" w:rsidRDefault="00861DCA" w:rsidP="00C57E6B">
            <w:pPr>
              <w:spacing w:after="0" w:line="240" w:lineRule="auto"/>
              <w:jc w:val="right"/>
              <w:rPr>
                <w:rFonts w:ascii="Arial CE" w:hAnsi="Arial CE" w:cs="Arial CE"/>
                <w:sz w:val="16"/>
                <w:szCs w:val="16"/>
              </w:rPr>
            </w:pPr>
            <w:r w:rsidRPr="00861DCA">
              <w:rPr>
                <w:rFonts w:ascii="Arial CE" w:hAnsi="Arial CE" w:cs="Arial CE"/>
                <w:sz w:val="16"/>
                <w:szCs w:val="16"/>
              </w:rPr>
              <w:t>5,36</w:t>
            </w:r>
          </w:p>
        </w:tc>
      </w:tr>
    </w:tbl>
    <w:p w14:paraId="45EE6E7C" w14:textId="7C9A5A5C" w:rsidR="00861DCA" w:rsidRDefault="00861DCA" w:rsidP="00B90ADC">
      <w:pPr>
        <w:rPr>
          <w:b/>
        </w:rPr>
      </w:pPr>
    </w:p>
    <w:p w14:paraId="2257DE2B" w14:textId="77777777" w:rsidR="00C57E6B" w:rsidRDefault="00C57E6B" w:rsidP="00C57E6B">
      <w:pPr>
        <w:spacing w:after="0"/>
        <w:rPr>
          <w:sz w:val="18"/>
        </w:rPr>
      </w:pPr>
      <w:r w:rsidRPr="00BC3FF5">
        <w:rPr>
          <w:sz w:val="18"/>
        </w:rPr>
        <w:t>Zdroj: ČSÚ</w:t>
      </w:r>
    </w:p>
    <w:p w14:paraId="429D798B" w14:textId="04CD451D" w:rsidR="00C00742" w:rsidRDefault="00C00742" w:rsidP="004140C1">
      <w:pPr>
        <w:pStyle w:val="Zkladntextodsazen"/>
        <w:spacing w:after="240" w:line="288" w:lineRule="auto"/>
        <w:ind w:left="0"/>
        <w:jc w:val="both"/>
        <w:rPr>
          <w:b/>
          <w:szCs w:val="24"/>
        </w:rPr>
      </w:pPr>
    </w:p>
    <w:p w14:paraId="51E10CD3" w14:textId="73337C10" w:rsidR="00C00742" w:rsidRDefault="00C00742" w:rsidP="004140C1">
      <w:pPr>
        <w:pStyle w:val="Zkladntextodsazen"/>
        <w:spacing w:after="240" w:line="288" w:lineRule="auto"/>
        <w:ind w:left="0"/>
        <w:jc w:val="both"/>
        <w:rPr>
          <w:rFonts w:cs="Arial"/>
        </w:rPr>
      </w:pPr>
      <w:r w:rsidRPr="00C00742">
        <w:rPr>
          <w:rFonts w:cs="Arial"/>
        </w:rPr>
        <w:lastRenderedPageBreak/>
        <w:t xml:space="preserve">Obdobný ukazatel jako průměrné procento dočasně pracovní neschopnosti, avšak v absolutním vyjádření představuje </w:t>
      </w:r>
      <w:r w:rsidRPr="00C00742">
        <w:rPr>
          <w:rFonts w:cs="Arial"/>
          <w:b/>
        </w:rPr>
        <w:t>průměrný denní stav práce dočasně neschopných</w:t>
      </w:r>
      <w:r w:rsidRPr="00C00742">
        <w:rPr>
          <w:rFonts w:cs="Arial"/>
        </w:rPr>
        <w:t>. Říká, kolik nemocensky pojištěných osob bylo ve sledovaném období (zde roce) průměrně denně nepřítomno v práci z důvodu pracovní neschopnosti pro nemoc a úraz.</w:t>
      </w:r>
    </w:p>
    <w:p w14:paraId="192B7A09" w14:textId="04E684EE" w:rsidR="00C00742" w:rsidRPr="00C00742" w:rsidRDefault="00C00742" w:rsidP="004140C1">
      <w:pPr>
        <w:pStyle w:val="Zkladntextodsazen"/>
        <w:spacing w:after="240" w:line="288" w:lineRule="auto"/>
        <w:ind w:left="0"/>
        <w:jc w:val="both"/>
        <w:rPr>
          <w:rFonts w:cs="Arial"/>
        </w:rPr>
      </w:pPr>
      <w:r>
        <w:rPr>
          <w:rFonts w:cs="Arial"/>
        </w:rPr>
        <w:t xml:space="preserve">V roce 2018 </w:t>
      </w:r>
      <w:r w:rsidR="003E2F90">
        <w:rPr>
          <w:rFonts w:cs="Arial"/>
        </w:rPr>
        <w:t>kvůli</w:t>
      </w:r>
      <w:r>
        <w:rPr>
          <w:rFonts w:cs="Arial"/>
        </w:rPr>
        <w:t xml:space="preserve"> dočasné pracovní neschopnosti způsobené nemocí či úrazem denně chybělo na</w:t>
      </w:r>
      <w:r w:rsidR="00BA3658">
        <w:rPr>
          <w:rFonts w:cs="Arial"/>
        </w:rPr>
        <w:t> </w:t>
      </w:r>
      <w:r>
        <w:rPr>
          <w:rFonts w:cs="Arial"/>
        </w:rPr>
        <w:t xml:space="preserve">pracovištích 211 391 nemocensky pojištěných osob. Oproti předchozímu roku, kdy hodnota činila 199 116 pojištěnců, se jedná o 6% nárůst (o 12,3 tis. více). Pro </w:t>
      </w:r>
      <w:r w:rsidRPr="00722773">
        <w:rPr>
          <w:rFonts w:cs="Arial"/>
          <w:b/>
        </w:rPr>
        <w:t>nemoc</w:t>
      </w:r>
      <w:r>
        <w:rPr>
          <w:rFonts w:cs="Arial"/>
        </w:rPr>
        <w:t xml:space="preserve"> bylo v neschopnosti 181 433 pojištěnců, v důsledku </w:t>
      </w:r>
      <w:r w:rsidRPr="00722773">
        <w:rPr>
          <w:rFonts w:cs="Arial"/>
          <w:b/>
        </w:rPr>
        <w:t>pracovního úrazu</w:t>
      </w:r>
      <w:r>
        <w:rPr>
          <w:rFonts w:cs="Arial"/>
        </w:rPr>
        <w:t xml:space="preserve"> 7 043 a následkem </w:t>
      </w:r>
      <w:r w:rsidRPr="00722773">
        <w:rPr>
          <w:rFonts w:cs="Arial"/>
          <w:b/>
        </w:rPr>
        <w:t>ostatních úrazů</w:t>
      </w:r>
      <w:r>
        <w:rPr>
          <w:rFonts w:cs="Arial"/>
        </w:rPr>
        <w:t xml:space="preserve"> 22 913 nemocensky pojištěných.</w:t>
      </w:r>
      <w:r w:rsidR="002B4B3B">
        <w:rPr>
          <w:rFonts w:cs="Arial"/>
        </w:rPr>
        <w:t xml:space="preserve"> Nejvíce pojištěnců chybělo ve Zpracovatelském průmyslu (72 778 osob), dále v odvětví Velkoobchod a maloobchod, opravy a údržba motorových vozidel (28 723 osob), zatímco nejméně pojištěnců v odvětví Výroba a rozvod elektřiny, plynu, tepla a klimatizovaného vzduchu (1 103 osob).</w:t>
      </w:r>
      <w:r w:rsidR="00107F98">
        <w:rPr>
          <w:rFonts w:cs="Arial"/>
        </w:rPr>
        <w:t xml:space="preserve"> Tyto hodnoty jsou do značné míry ovlivněné tím, jaký podíl zaujímá daná sekce v národním hospodářství a kolik zaměstnává osob.</w:t>
      </w:r>
    </w:p>
    <w:p w14:paraId="0E6D8014" w14:textId="6289BEB1" w:rsidR="004140C1" w:rsidRDefault="004140C1" w:rsidP="004140C1">
      <w:pPr>
        <w:jc w:val="both"/>
        <w:rPr>
          <w:rFonts w:cs="Arial"/>
        </w:rPr>
      </w:pPr>
      <w:r w:rsidRPr="00BF0FA2">
        <w:rPr>
          <w:rFonts w:cs="Arial"/>
        </w:rPr>
        <w:t xml:space="preserve">Vývoj hodnot ukazatele </w:t>
      </w:r>
      <w:r w:rsidR="00107F98">
        <w:rPr>
          <w:rFonts w:cs="Arial"/>
        </w:rPr>
        <w:t xml:space="preserve">průměrný denní stav dočasně práce neschopných </w:t>
      </w:r>
      <w:r w:rsidRPr="00BF0FA2">
        <w:rPr>
          <w:rFonts w:cs="Arial"/>
        </w:rPr>
        <w:t>v posledních deseti</w:t>
      </w:r>
      <w:r w:rsidR="00C8163A" w:rsidRPr="00BF0FA2">
        <w:rPr>
          <w:rFonts w:cs="Arial"/>
        </w:rPr>
        <w:t xml:space="preserve"> letech je zřejmý z tabulky 2.</w:t>
      </w:r>
      <w:r w:rsidR="00343EB9" w:rsidRPr="00BF0FA2">
        <w:rPr>
          <w:rFonts w:cs="Arial"/>
        </w:rPr>
        <w:t xml:space="preserve"> 9. Zatímco před deseti lety bylo 90 % osob v pracovní neschopnosti indisponováno z důvodu nemoci, v roce 2018 to bylo 86 %. Naopak vzrostl podíl osob, které byly v pracovní neschopnosti z důvodu mimopracovních úrazů, z 6 % v roce 2008 na 11 % v roce 2018. </w:t>
      </w:r>
      <w:r w:rsidR="00BF0FA2" w:rsidRPr="00BF0FA2">
        <w:rPr>
          <w:rFonts w:cs="Arial"/>
        </w:rPr>
        <w:t>Vývojov</w:t>
      </w:r>
      <w:r w:rsidR="003E2F90">
        <w:rPr>
          <w:rFonts w:cs="Arial"/>
        </w:rPr>
        <w:t>á</w:t>
      </w:r>
      <w:r w:rsidR="00BF0FA2" w:rsidRPr="00BF0FA2">
        <w:rPr>
          <w:rFonts w:cs="Arial"/>
        </w:rPr>
        <w:t xml:space="preserve"> křivka</w:t>
      </w:r>
      <w:r w:rsidRPr="00BF0FA2">
        <w:rPr>
          <w:rFonts w:cs="Arial"/>
        </w:rPr>
        <w:t xml:space="preserve"> </w:t>
      </w:r>
      <w:r w:rsidR="00BF0FA2" w:rsidRPr="00BF0FA2">
        <w:t>tohoto ukazatele má obdobnou tendenci jako</w:t>
      </w:r>
      <w:r w:rsidRPr="00BF0FA2">
        <w:t xml:space="preserve"> počet případů pracovní neschopnosti</w:t>
      </w:r>
      <w:r w:rsidR="00343EB9" w:rsidRPr="00BF0FA2">
        <w:rPr>
          <w:rFonts w:cs="Arial"/>
        </w:rPr>
        <w:t>.</w:t>
      </w:r>
    </w:p>
    <w:p w14:paraId="76B9F61E" w14:textId="1AF867FB" w:rsidR="001341B9" w:rsidRPr="001341B9" w:rsidRDefault="001341B9" w:rsidP="001341B9">
      <w:pPr>
        <w:pStyle w:val="Titulek"/>
        <w:keepNext/>
        <w:rPr>
          <w:b/>
          <w:i w:val="0"/>
          <w:color w:val="000000" w:themeColor="text1"/>
          <w:sz w:val="20"/>
        </w:rPr>
      </w:pPr>
      <w:bookmarkStart w:id="18" w:name="_Toc10112627"/>
      <w:r w:rsidRPr="001341B9">
        <w:rPr>
          <w:b/>
          <w:i w:val="0"/>
          <w:color w:val="000000" w:themeColor="text1"/>
          <w:sz w:val="20"/>
        </w:rPr>
        <w:t>Tab</w:t>
      </w:r>
      <w:r w:rsidR="003E2F90">
        <w:rPr>
          <w:b/>
          <w:i w:val="0"/>
          <w:color w:val="000000" w:themeColor="text1"/>
          <w:sz w:val="20"/>
        </w:rPr>
        <w:t>.</w:t>
      </w:r>
      <w:r w:rsidRPr="001341B9">
        <w:rPr>
          <w:b/>
          <w:i w:val="0"/>
          <w:color w:val="000000" w:themeColor="text1"/>
          <w:sz w:val="20"/>
        </w:rPr>
        <w:t xml:space="preserve"> 2.</w:t>
      </w:r>
      <w:r w:rsidRPr="001341B9">
        <w:rPr>
          <w:b/>
          <w:i w:val="0"/>
          <w:color w:val="000000" w:themeColor="text1"/>
          <w:sz w:val="20"/>
        </w:rPr>
        <w:fldChar w:fldCharType="begin"/>
      </w:r>
      <w:r w:rsidRPr="001341B9">
        <w:rPr>
          <w:b/>
          <w:i w:val="0"/>
          <w:color w:val="000000" w:themeColor="text1"/>
          <w:sz w:val="20"/>
        </w:rPr>
        <w:instrText xml:space="preserve"> SEQ Tabulka \* ARABIC </w:instrText>
      </w:r>
      <w:r w:rsidRPr="001341B9">
        <w:rPr>
          <w:b/>
          <w:i w:val="0"/>
          <w:color w:val="000000" w:themeColor="text1"/>
          <w:sz w:val="20"/>
        </w:rPr>
        <w:fldChar w:fldCharType="separate"/>
      </w:r>
      <w:r w:rsidR="004426F5">
        <w:rPr>
          <w:b/>
          <w:i w:val="0"/>
          <w:noProof/>
          <w:color w:val="000000" w:themeColor="text1"/>
          <w:sz w:val="20"/>
        </w:rPr>
        <w:t>9</w:t>
      </w:r>
      <w:r w:rsidRPr="001341B9">
        <w:rPr>
          <w:b/>
          <w:i w:val="0"/>
          <w:color w:val="000000" w:themeColor="text1"/>
          <w:sz w:val="20"/>
        </w:rPr>
        <w:fldChar w:fldCharType="end"/>
      </w:r>
      <w:r w:rsidRPr="001341B9">
        <w:rPr>
          <w:b/>
          <w:i w:val="0"/>
          <w:color w:val="000000" w:themeColor="text1"/>
          <w:sz w:val="20"/>
        </w:rPr>
        <w:t>: Průměrný denní stav dočasně práce neschopných v letech 2008–2018 (v tis. osobách)</w:t>
      </w:r>
      <w:bookmarkEnd w:id="18"/>
    </w:p>
    <w:tbl>
      <w:tblPr>
        <w:tblW w:w="9620" w:type="dxa"/>
        <w:tblInd w:w="70" w:type="dxa"/>
        <w:tblCellMar>
          <w:left w:w="70" w:type="dxa"/>
          <w:right w:w="70" w:type="dxa"/>
        </w:tblCellMar>
        <w:tblLook w:val="04A0" w:firstRow="1" w:lastRow="0" w:firstColumn="1" w:lastColumn="0" w:noHBand="0" w:noVBand="1"/>
      </w:tblPr>
      <w:tblGrid>
        <w:gridCol w:w="739"/>
        <w:gridCol w:w="740"/>
        <w:gridCol w:w="739"/>
        <w:gridCol w:w="739"/>
        <w:gridCol w:w="740"/>
        <w:gridCol w:w="738"/>
        <w:gridCol w:w="739"/>
        <w:gridCol w:w="754"/>
        <w:gridCol w:w="738"/>
        <w:gridCol w:w="738"/>
        <w:gridCol w:w="740"/>
        <w:gridCol w:w="738"/>
        <w:gridCol w:w="738"/>
      </w:tblGrid>
      <w:tr w:rsidR="001341B9" w:rsidRPr="001341B9" w14:paraId="42B81548" w14:textId="77777777" w:rsidTr="001341B9">
        <w:trPr>
          <w:trHeight w:val="300"/>
        </w:trPr>
        <w:tc>
          <w:tcPr>
            <w:tcW w:w="739" w:type="dxa"/>
            <w:vMerge w:val="restart"/>
            <w:tcBorders>
              <w:top w:val="single" w:sz="4" w:space="0" w:color="auto"/>
              <w:left w:val="nil"/>
              <w:bottom w:val="single" w:sz="8" w:space="0" w:color="000000"/>
              <w:right w:val="single" w:sz="4" w:space="0" w:color="auto"/>
            </w:tcBorders>
            <w:shd w:val="clear" w:color="000000" w:fill="F5DADD"/>
            <w:vAlign w:val="center"/>
            <w:hideMark/>
          </w:tcPr>
          <w:p w14:paraId="5B0578AD" w14:textId="77777777" w:rsidR="001341B9" w:rsidRPr="001341B9" w:rsidRDefault="001341B9" w:rsidP="001341B9">
            <w:pPr>
              <w:spacing w:after="0" w:line="240" w:lineRule="auto"/>
              <w:jc w:val="center"/>
              <w:rPr>
                <w:rFonts w:cs="Arial"/>
                <w:sz w:val="16"/>
                <w:szCs w:val="16"/>
              </w:rPr>
            </w:pPr>
            <w:r w:rsidRPr="001341B9">
              <w:rPr>
                <w:rFonts w:cs="Arial"/>
                <w:sz w:val="16"/>
                <w:szCs w:val="16"/>
              </w:rPr>
              <w:t>Rok</w:t>
            </w:r>
          </w:p>
        </w:tc>
        <w:tc>
          <w:tcPr>
            <w:tcW w:w="8881" w:type="dxa"/>
            <w:gridSpan w:val="12"/>
            <w:tcBorders>
              <w:top w:val="single" w:sz="4" w:space="0" w:color="auto"/>
              <w:left w:val="nil"/>
              <w:bottom w:val="single" w:sz="4" w:space="0" w:color="auto"/>
              <w:right w:val="nil"/>
            </w:tcBorders>
            <w:shd w:val="clear" w:color="000000" w:fill="F2DBDB"/>
            <w:vAlign w:val="center"/>
            <w:hideMark/>
          </w:tcPr>
          <w:p w14:paraId="7BF36008" w14:textId="339CBA5C" w:rsidR="001341B9" w:rsidRPr="001341B9" w:rsidRDefault="001341B9" w:rsidP="003E2F90">
            <w:pPr>
              <w:spacing w:after="0" w:line="240" w:lineRule="auto"/>
              <w:jc w:val="center"/>
              <w:rPr>
                <w:rFonts w:cs="Arial"/>
                <w:sz w:val="16"/>
                <w:szCs w:val="16"/>
              </w:rPr>
            </w:pPr>
            <w:r w:rsidRPr="001341B9">
              <w:rPr>
                <w:rFonts w:cs="Arial"/>
                <w:sz w:val="16"/>
                <w:szCs w:val="16"/>
              </w:rPr>
              <w:t xml:space="preserve">Průměrný denní stav </w:t>
            </w:r>
            <w:r w:rsidR="003E2F90">
              <w:rPr>
                <w:rFonts w:cs="Arial"/>
                <w:sz w:val="16"/>
                <w:szCs w:val="16"/>
              </w:rPr>
              <w:t>DPN</w:t>
            </w:r>
            <w:r w:rsidRPr="001341B9">
              <w:rPr>
                <w:rFonts w:cs="Arial"/>
                <w:sz w:val="16"/>
                <w:szCs w:val="16"/>
              </w:rPr>
              <w:t xml:space="preserve"> (v tis.)</w:t>
            </w:r>
          </w:p>
        </w:tc>
      </w:tr>
      <w:tr w:rsidR="001341B9" w:rsidRPr="001341B9" w14:paraId="24E575CD" w14:textId="77777777" w:rsidTr="001341B9">
        <w:trPr>
          <w:trHeight w:val="300"/>
        </w:trPr>
        <w:tc>
          <w:tcPr>
            <w:tcW w:w="739" w:type="dxa"/>
            <w:vMerge/>
            <w:tcBorders>
              <w:top w:val="single" w:sz="4" w:space="0" w:color="auto"/>
              <w:left w:val="nil"/>
              <w:bottom w:val="single" w:sz="8" w:space="0" w:color="000000"/>
              <w:right w:val="single" w:sz="4" w:space="0" w:color="auto"/>
            </w:tcBorders>
            <w:vAlign w:val="center"/>
            <w:hideMark/>
          </w:tcPr>
          <w:p w14:paraId="2B154718" w14:textId="77777777" w:rsidR="001341B9" w:rsidRPr="001341B9" w:rsidRDefault="001341B9" w:rsidP="001341B9">
            <w:pPr>
              <w:spacing w:after="0" w:line="240" w:lineRule="auto"/>
              <w:rPr>
                <w:rFonts w:cs="Arial"/>
                <w:sz w:val="16"/>
                <w:szCs w:val="16"/>
              </w:rPr>
            </w:pPr>
          </w:p>
        </w:tc>
        <w:tc>
          <w:tcPr>
            <w:tcW w:w="74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6A5538AF" w14:textId="77777777" w:rsidR="001341B9" w:rsidRPr="001341B9" w:rsidRDefault="001341B9" w:rsidP="001341B9">
            <w:pPr>
              <w:spacing w:after="0" w:line="240" w:lineRule="auto"/>
              <w:jc w:val="center"/>
              <w:rPr>
                <w:rFonts w:cs="Arial"/>
                <w:sz w:val="16"/>
                <w:szCs w:val="16"/>
              </w:rPr>
            </w:pPr>
            <w:r w:rsidRPr="001341B9">
              <w:rPr>
                <w:rFonts w:cs="Arial"/>
                <w:sz w:val="16"/>
                <w:szCs w:val="16"/>
              </w:rPr>
              <w:t>Celkem</w:t>
            </w:r>
          </w:p>
        </w:tc>
        <w:tc>
          <w:tcPr>
            <w:tcW w:w="1478" w:type="dxa"/>
            <w:gridSpan w:val="2"/>
            <w:tcBorders>
              <w:top w:val="single" w:sz="4" w:space="0" w:color="auto"/>
              <w:left w:val="nil"/>
              <w:bottom w:val="single" w:sz="4" w:space="0" w:color="auto"/>
              <w:right w:val="single" w:sz="4" w:space="0" w:color="auto"/>
            </w:tcBorders>
            <w:shd w:val="clear" w:color="000000" w:fill="F2DBDB"/>
            <w:vAlign w:val="center"/>
            <w:hideMark/>
          </w:tcPr>
          <w:p w14:paraId="626C9107" w14:textId="28AA7B79" w:rsidR="001341B9" w:rsidRPr="001341B9" w:rsidRDefault="00997C2A" w:rsidP="001341B9">
            <w:pPr>
              <w:spacing w:after="0" w:line="240" w:lineRule="auto"/>
              <w:jc w:val="center"/>
              <w:rPr>
                <w:rFonts w:cs="Arial"/>
                <w:sz w:val="16"/>
                <w:szCs w:val="16"/>
              </w:rPr>
            </w:pPr>
            <w:r>
              <w:rPr>
                <w:rFonts w:cs="Arial"/>
                <w:sz w:val="16"/>
                <w:szCs w:val="16"/>
              </w:rPr>
              <w:t>podle pohlaví</w:t>
            </w:r>
          </w:p>
        </w:tc>
        <w:tc>
          <w:tcPr>
            <w:tcW w:w="74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7A049241" w14:textId="77777777" w:rsidR="001341B9" w:rsidRPr="001341B9" w:rsidRDefault="001341B9" w:rsidP="001341B9">
            <w:pPr>
              <w:spacing w:after="0" w:line="240" w:lineRule="auto"/>
              <w:jc w:val="center"/>
              <w:rPr>
                <w:rFonts w:cs="Arial"/>
                <w:sz w:val="16"/>
                <w:szCs w:val="16"/>
              </w:rPr>
            </w:pPr>
            <w:r w:rsidRPr="001341B9">
              <w:rPr>
                <w:rFonts w:cs="Arial"/>
                <w:sz w:val="16"/>
                <w:szCs w:val="16"/>
              </w:rPr>
              <w:t>Celkem pro nemoc</w:t>
            </w:r>
          </w:p>
        </w:tc>
        <w:tc>
          <w:tcPr>
            <w:tcW w:w="1477" w:type="dxa"/>
            <w:gridSpan w:val="2"/>
            <w:tcBorders>
              <w:top w:val="single" w:sz="4" w:space="0" w:color="auto"/>
              <w:left w:val="nil"/>
              <w:bottom w:val="single" w:sz="4" w:space="0" w:color="auto"/>
              <w:right w:val="single" w:sz="4" w:space="0" w:color="auto"/>
            </w:tcBorders>
            <w:shd w:val="clear" w:color="000000" w:fill="F2DBDB"/>
            <w:vAlign w:val="center"/>
            <w:hideMark/>
          </w:tcPr>
          <w:p w14:paraId="1C6BCA37" w14:textId="2C0200AC" w:rsidR="001341B9" w:rsidRPr="001341B9" w:rsidRDefault="00997C2A" w:rsidP="001341B9">
            <w:pPr>
              <w:spacing w:after="0" w:line="240" w:lineRule="auto"/>
              <w:jc w:val="center"/>
              <w:rPr>
                <w:rFonts w:cs="Arial"/>
                <w:sz w:val="16"/>
                <w:szCs w:val="16"/>
              </w:rPr>
            </w:pPr>
            <w:r>
              <w:rPr>
                <w:rFonts w:cs="Arial"/>
                <w:sz w:val="16"/>
                <w:szCs w:val="16"/>
              </w:rPr>
              <w:t>podle pohlaví</w:t>
            </w:r>
          </w:p>
        </w:tc>
        <w:tc>
          <w:tcPr>
            <w:tcW w:w="754"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6E396A88" w14:textId="77777777" w:rsidR="001341B9" w:rsidRPr="001341B9" w:rsidRDefault="001341B9" w:rsidP="001341B9">
            <w:pPr>
              <w:spacing w:after="0" w:line="240" w:lineRule="auto"/>
              <w:jc w:val="center"/>
              <w:rPr>
                <w:rFonts w:cs="Arial"/>
                <w:sz w:val="16"/>
                <w:szCs w:val="16"/>
              </w:rPr>
            </w:pPr>
            <w:r w:rsidRPr="001341B9">
              <w:rPr>
                <w:rFonts w:cs="Arial"/>
                <w:sz w:val="16"/>
                <w:szCs w:val="16"/>
              </w:rPr>
              <w:t>Celkem pro pracovní úrazy</w:t>
            </w:r>
          </w:p>
        </w:tc>
        <w:tc>
          <w:tcPr>
            <w:tcW w:w="1476" w:type="dxa"/>
            <w:gridSpan w:val="2"/>
            <w:tcBorders>
              <w:top w:val="single" w:sz="4" w:space="0" w:color="auto"/>
              <w:left w:val="nil"/>
              <w:bottom w:val="single" w:sz="4" w:space="0" w:color="auto"/>
              <w:right w:val="single" w:sz="4" w:space="0" w:color="auto"/>
            </w:tcBorders>
            <w:shd w:val="clear" w:color="000000" w:fill="F2DBDB"/>
            <w:vAlign w:val="center"/>
            <w:hideMark/>
          </w:tcPr>
          <w:p w14:paraId="2BB8D958" w14:textId="3EA4F872" w:rsidR="001341B9" w:rsidRPr="001341B9" w:rsidRDefault="00997C2A" w:rsidP="001341B9">
            <w:pPr>
              <w:spacing w:after="0" w:line="240" w:lineRule="auto"/>
              <w:jc w:val="center"/>
              <w:rPr>
                <w:rFonts w:cs="Arial"/>
                <w:sz w:val="16"/>
                <w:szCs w:val="16"/>
              </w:rPr>
            </w:pPr>
            <w:r>
              <w:rPr>
                <w:rFonts w:cs="Arial"/>
                <w:sz w:val="16"/>
                <w:szCs w:val="16"/>
              </w:rPr>
              <w:t>podle pohlaví</w:t>
            </w:r>
          </w:p>
        </w:tc>
        <w:tc>
          <w:tcPr>
            <w:tcW w:w="740" w:type="dxa"/>
            <w:vMerge w:val="restart"/>
            <w:tcBorders>
              <w:top w:val="nil"/>
              <w:left w:val="single" w:sz="4" w:space="0" w:color="auto"/>
              <w:bottom w:val="single" w:sz="8" w:space="0" w:color="000000"/>
              <w:right w:val="single" w:sz="4" w:space="0" w:color="auto"/>
            </w:tcBorders>
            <w:shd w:val="clear" w:color="000000" w:fill="F2DBDB"/>
            <w:vAlign w:val="center"/>
            <w:hideMark/>
          </w:tcPr>
          <w:p w14:paraId="6D76DB35" w14:textId="77777777" w:rsidR="001341B9" w:rsidRPr="001341B9" w:rsidRDefault="001341B9" w:rsidP="001341B9">
            <w:pPr>
              <w:spacing w:after="0" w:line="240" w:lineRule="auto"/>
              <w:jc w:val="center"/>
              <w:rPr>
                <w:rFonts w:cs="Arial"/>
                <w:sz w:val="16"/>
                <w:szCs w:val="16"/>
              </w:rPr>
            </w:pPr>
            <w:r w:rsidRPr="001341B9">
              <w:rPr>
                <w:rFonts w:cs="Arial"/>
                <w:sz w:val="16"/>
                <w:szCs w:val="16"/>
              </w:rPr>
              <w:t>Celkem pro ostatní úrazy</w:t>
            </w:r>
          </w:p>
        </w:tc>
        <w:tc>
          <w:tcPr>
            <w:tcW w:w="1476" w:type="dxa"/>
            <w:gridSpan w:val="2"/>
            <w:tcBorders>
              <w:top w:val="single" w:sz="4" w:space="0" w:color="auto"/>
              <w:left w:val="nil"/>
              <w:bottom w:val="single" w:sz="4" w:space="0" w:color="auto"/>
            </w:tcBorders>
            <w:shd w:val="clear" w:color="000000" w:fill="F2DBDB"/>
            <w:vAlign w:val="center"/>
            <w:hideMark/>
          </w:tcPr>
          <w:p w14:paraId="03C48315" w14:textId="2038FB3C" w:rsidR="001341B9" w:rsidRPr="001341B9" w:rsidRDefault="00997C2A" w:rsidP="001341B9">
            <w:pPr>
              <w:spacing w:after="0" w:line="240" w:lineRule="auto"/>
              <w:jc w:val="center"/>
              <w:rPr>
                <w:rFonts w:cs="Arial"/>
                <w:sz w:val="16"/>
                <w:szCs w:val="16"/>
              </w:rPr>
            </w:pPr>
            <w:r>
              <w:rPr>
                <w:rFonts w:cs="Arial"/>
                <w:sz w:val="16"/>
                <w:szCs w:val="16"/>
              </w:rPr>
              <w:t>podle pohlaví</w:t>
            </w:r>
          </w:p>
        </w:tc>
      </w:tr>
      <w:tr w:rsidR="001341B9" w:rsidRPr="001341B9" w14:paraId="5BCF78AD" w14:textId="77777777" w:rsidTr="00997C2A">
        <w:trPr>
          <w:trHeight w:val="690"/>
        </w:trPr>
        <w:tc>
          <w:tcPr>
            <w:tcW w:w="739" w:type="dxa"/>
            <w:vMerge/>
            <w:tcBorders>
              <w:top w:val="single" w:sz="4" w:space="0" w:color="auto"/>
              <w:left w:val="nil"/>
              <w:bottom w:val="single" w:sz="8" w:space="0" w:color="000000"/>
              <w:right w:val="single" w:sz="4" w:space="0" w:color="auto"/>
            </w:tcBorders>
            <w:vAlign w:val="center"/>
            <w:hideMark/>
          </w:tcPr>
          <w:p w14:paraId="11E503A8" w14:textId="77777777" w:rsidR="001341B9" w:rsidRPr="001341B9" w:rsidRDefault="001341B9" w:rsidP="001341B9">
            <w:pPr>
              <w:spacing w:after="0" w:line="240" w:lineRule="auto"/>
              <w:rPr>
                <w:rFonts w:cs="Arial"/>
                <w:sz w:val="16"/>
                <w:szCs w:val="16"/>
              </w:rPr>
            </w:pPr>
          </w:p>
        </w:tc>
        <w:tc>
          <w:tcPr>
            <w:tcW w:w="740" w:type="dxa"/>
            <w:vMerge/>
            <w:tcBorders>
              <w:top w:val="nil"/>
              <w:left w:val="single" w:sz="4" w:space="0" w:color="auto"/>
              <w:bottom w:val="single" w:sz="8" w:space="0" w:color="000000"/>
              <w:right w:val="single" w:sz="4" w:space="0" w:color="auto"/>
            </w:tcBorders>
            <w:vAlign w:val="center"/>
            <w:hideMark/>
          </w:tcPr>
          <w:p w14:paraId="19C9F0C4" w14:textId="77777777" w:rsidR="001341B9" w:rsidRPr="001341B9" w:rsidRDefault="001341B9" w:rsidP="001341B9">
            <w:pPr>
              <w:spacing w:after="0" w:line="240" w:lineRule="auto"/>
              <w:rPr>
                <w:rFonts w:cs="Arial"/>
                <w:sz w:val="16"/>
                <w:szCs w:val="16"/>
              </w:rPr>
            </w:pPr>
          </w:p>
        </w:tc>
        <w:tc>
          <w:tcPr>
            <w:tcW w:w="739" w:type="dxa"/>
            <w:tcBorders>
              <w:top w:val="nil"/>
              <w:left w:val="nil"/>
              <w:bottom w:val="single" w:sz="8" w:space="0" w:color="auto"/>
              <w:right w:val="single" w:sz="4" w:space="0" w:color="auto"/>
            </w:tcBorders>
            <w:shd w:val="clear" w:color="000000" w:fill="F2DBDB"/>
            <w:vAlign w:val="center"/>
            <w:hideMark/>
          </w:tcPr>
          <w:p w14:paraId="73265389" w14:textId="77777777" w:rsidR="001341B9" w:rsidRPr="001341B9" w:rsidRDefault="001341B9" w:rsidP="001341B9">
            <w:pPr>
              <w:spacing w:after="0" w:line="240" w:lineRule="auto"/>
              <w:jc w:val="center"/>
              <w:rPr>
                <w:rFonts w:cs="Arial"/>
                <w:sz w:val="16"/>
                <w:szCs w:val="16"/>
              </w:rPr>
            </w:pPr>
            <w:r w:rsidRPr="001341B9">
              <w:rPr>
                <w:rFonts w:cs="Arial"/>
                <w:sz w:val="16"/>
                <w:szCs w:val="16"/>
              </w:rPr>
              <w:t>muži</w:t>
            </w:r>
          </w:p>
        </w:tc>
        <w:tc>
          <w:tcPr>
            <w:tcW w:w="739" w:type="dxa"/>
            <w:tcBorders>
              <w:top w:val="nil"/>
              <w:left w:val="nil"/>
              <w:bottom w:val="single" w:sz="8" w:space="0" w:color="auto"/>
              <w:right w:val="single" w:sz="4" w:space="0" w:color="auto"/>
            </w:tcBorders>
            <w:shd w:val="clear" w:color="000000" w:fill="F2DBDB"/>
            <w:vAlign w:val="center"/>
            <w:hideMark/>
          </w:tcPr>
          <w:p w14:paraId="205FA1C9" w14:textId="77777777" w:rsidR="001341B9" w:rsidRPr="001341B9" w:rsidRDefault="001341B9" w:rsidP="001341B9">
            <w:pPr>
              <w:spacing w:after="0" w:line="240" w:lineRule="auto"/>
              <w:jc w:val="center"/>
              <w:rPr>
                <w:rFonts w:cs="Arial"/>
                <w:sz w:val="16"/>
                <w:szCs w:val="16"/>
              </w:rPr>
            </w:pPr>
            <w:r w:rsidRPr="001341B9">
              <w:rPr>
                <w:rFonts w:cs="Arial"/>
                <w:sz w:val="16"/>
                <w:szCs w:val="16"/>
              </w:rPr>
              <w:t>ženy</w:t>
            </w:r>
          </w:p>
        </w:tc>
        <w:tc>
          <w:tcPr>
            <w:tcW w:w="740" w:type="dxa"/>
            <w:vMerge/>
            <w:tcBorders>
              <w:top w:val="nil"/>
              <w:left w:val="single" w:sz="4" w:space="0" w:color="auto"/>
              <w:bottom w:val="single" w:sz="8" w:space="0" w:color="000000"/>
              <w:right w:val="single" w:sz="4" w:space="0" w:color="auto"/>
            </w:tcBorders>
            <w:vAlign w:val="center"/>
            <w:hideMark/>
          </w:tcPr>
          <w:p w14:paraId="0FCE6EF8" w14:textId="77777777" w:rsidR="001341B9" w:rsidRPr="001341B9" w:rsidRDefault="001341B9" w:rsidP="001341B9">
            <w:pPr>
              <w:spacing w:after="0" w:line="240" w:lineRule="auto"/>
              <w:rPr>
                <w:rFonts w:cs="Arial"/>
                <w:sz w:val="16"/>
                <w:szCs w:val="16"/>
              </w:rPr>
            </w:pPr>
          </w:p>
        </w:tc>
        <w:tc>
          <w:tcPr>
            <w:tcW w:w="738" w:type="dxa"/>
            <w:tcBorders>
              <w:top w:val="nil"/>
              <w:left w:val="nil"/>
              <w:bottom w:val="single" w:sz="8" w:space="0" w:color="auto"/>
              <w:right w:val="single" w:sz="4" w:space="0" w:color="auto"/>
            </w:tcBorders>
            <w:shd w:val="clear" w:color="000000" w:fill="F2DBDB"/>
            <w:vAlign w:val="center"/>
            <w:hideMark/>
          </w:tcPr>
          <w:p w14:paraId="7D83D67D" w14:textId="77777777" w:rsidR="001341B9" w:rsidRPr="001341B9" w:rsidRDefault="001341B9" w:rsidP="001341B9">
            <w:pPr>
              <w:spacing w:after="0" w:line="240" w:lineRule="auto"/>
              <w:jc w:val="center"/>
              <w:rPr>
                <w:rFonts w:cs="Arial"/>
                <w:sz w:val="16"/>
                <w:szCs w:val="16"/>
              </w:rPr>
            </w:pPr>
            <w:r w:rsidRPr="001341B9">
              <w:rPr>
                <w:rFonts w:cs="Arial"/>
                <w:sz w:val="16"/>
                <w:szCs w:val="16"/>
              </w:rPr>
              <w:t>muži</w:t>
            </w:r>
          </w:p>
        </w:tc>
        <w:tc>
          <w:tcPr>
            <w:tcW w:w="739" w:type="dxa"/>
            <w:tcBorders>
              <w:top w:val="nil"/>
              <w:left w:val="nil"/>
              <w:bottom w:val="single" w:sz="8" w:space="0" w:color="auto"/>
              <w:right w:val="single" w:sz="4" w:space="0" w:color="auto"/>
            </w:tcBorders>
            <w:shd w:val="clear" w:color="000000" w:fill="F2DBDB"/>
            <w:vAlign w:val="center"/>
            <w:hideMark/>
          </w:tcPr>
          <w:p w14:paraId="45C874AB" w14:textId="77777777" w:rsidR="001341B9" w:rsidRPr="001341B9" w:rsidRDefault="001341B9" w:rsidP="001341B9">
            <w:pPr>
              <w:spacing w:after="0" w:line="240" w:lineRule="auto"/>
              <w:jc w:val="center"/>
              <w:rPr>
                <w:rFonts w:cs="Arial"/>
                <w:sz w:val="16"/>
                <w:szCs w:val="16"/>
              </w:rPr>
            </w:pPr>
            <w:r w:rsidRPr="001341B9">
              <w:rPr>
                <w:rFonts w:cs="Arial"/>
                <w:sz w:val="16"/>
                <w:szCs w:val="16"/>
              </w:rPr>
              <w:t>ženy</w:t>
            </w:r>
          </w:p>
        </w:tc>
        <w:tc>
          <w:tcPr>
            <w:tcW w:w="754" w:type="dxa"/>
            <w:vMerge/>
            <w:tcBorders>
              <w:top w:val="nil"/>
              <w:left w:val="single" w:sz="4" w:space="0" w:color="auto"/>
              <w:bottom w:val="single" w:sz="8" w:space="0" w:color="000000"/>
              <w:right w:val="single" w:sz="4" w:space="0" w:color="auto"/>
            </w:tcBorders>
            <w:vAlign w:val="center"/>
            <w:hideMark/>
          </w:tcPr>
          <w:p w14:paraId="36309651" w14:textId="77777777" w:rsidR="001341B9" w:rsidRPr="001341B9" w:rsidRDefault="001341B9" w:rsidP="001341B9">
            <w:pPr>
              <w:spacing w:after="0" w:line="240" w:lineRule="auto"/>
              <w:rPr>
                <w:rFonts w:cs="Arial"/>
                <w:sz w:val="16"/>
                <w:szCs w:val="16"/>
              </w:rPr>
            </w:pPr>
          </w:p>
        </w:tc>
        <w:tc>
          <w:tcPr>
            <w:tcW w:w="738" w:type="dxa"/>
            <w:tcBorders>
              <w:top w:val="nil"/>
              <w:left w:val="nil"/>
              <w:bottom w:val="single" w:sz="8" w:space="0" w:color="auto"/>
              <w:right w:val="single" w:sz="4" w:space="0" w:color="auto"/>
            </w:tcBorders>
            <w:shd w:val="clear" w:color="000000" w:fill="F2DBDB"/>
            <w:vAlign w:val="center"/>
            <w:hideMark/>
          </w:tcPr>
          <w:p w14:paraId="0103853C" w14:textId="77777777" w:rsidR="001341B9" w:rsidRPr="001341B9" w:rsidRDefault="001341B9" w:rsidP="001341B9">
            <w:pPr>
              <w:spacing w:after="0" w:line="240" w:lineRule="auto"/>
              <w:jc w:val="center"/>
              <w:rPr>
                <w:rFonts w:cs="Arial"/>
                <w:sz w:val="16"/>
                <w:szCs w:val="16"/>
              </w:rPr>
            </w:pPr>
            <w:r w:rsidRPr="001341B9">
              <w:rPr>
                <w:rFonts w:cs="Arial"/>
                <w:sz w:val="16"/>
                <w:szCs w:val="16"/>
              </w:rPr>
              <w:t>muži</w:t>
            </w:r>
          </w:p>
        </w:tc>
        <w:tc>
          <w:tcPr>
            <w:tcW w:w="738" w:type="dxa"/>
            <w:tcBorders>
              <w:top w:val="nil"/>
              <w:left w:val="nil"/>
              <w:bottom w:val="single" w:sz="8" w:space="0" w:color="auto"/>
              <w:right w:val="nil"/>
            </w:tcBorders>
            <w:shd w:val="clear" w:color="000000" w:fill="F2DBDB"/>
            <w:vAlign w:val="center"/>
            <w:hideMark/>
          </w:tcPr>
          <w:p w14:paraId="7F1B002C" w14:textId="77777777" w:rsidR="001341B9" w:rsidRPr="001341B9" w:rsidRDefault="001341B9" w:rsidP="001341B9">
            <w:pPr>
              <w:spacing w:after="0" w:line="240" w:lineRule="auto"/>
              <w:jc w:val="center"/>
              <w:rPr>
                <w:rFonts w:cs="Arial"/>
                <w:sz w:val="16"/>
                <w:szCs w:val="16"/>
              </w:rPr>
            </w:pPr>
            <w:r w:rsidRPr="001341B9">
              <w:rPr>
                <w:rFonts w:cs="Arial"/>
                <w:sz w:val="16"/>
                <w:szCs w:val="16"/>
              </w:rPr>
              <w:t>ženy</w:t>
            </w:r>
          </w:p>
        </w:tc>
        <w:tc>
          <w:tcPr>
            <w:tcW w:w="740" w:type="dxa"/>
            <w:vMerge/>
            <w:tcBorders>
              <w:top w:val="nil"/>
              <w:left w:val="single" w:sz="4" w:space="0" w:color="auto"/>
              <w:bottom w:val="single" w:sz="8" w:space="0" w:color="000000"/>
              <w:right w:val="single" w:sz="4" w:space="0" w:color="auto"/>
            </w:tcBorders>
            <w:vAlign w:val="center"/>
            <w:hideMark/>
          </w:tcPr>
          <w:p w14:paraId="49E28CB9" w14:textId="77777777" w:rsidR="001341B9" w:rsidRPr="001341B9" w:rsidRDefault="001341B9" w:rsidP="001341B9">
            <w:pPr>
              <w:spacing w:after="0" w:line="240" w:lineRule="auto"/>
              <w:rPr>
                <w:rFonts w:cs="Arial"/>
                <w:sz w:val="16"/>
                <w:szCs w:val="16"/>
              </w:rPr>
            </w:pPr>
          </w:p>
        </w:tc>
        <w:tc>
          <w:tcPr>
            <w:tcW w:w="738" w:type="dxa"/>
            <w:tcBorders>
              <w:top w:val="nil"/>
              <w:left w:val="nil"/>
              <w:bottom w:val="single" w:sz="8" w:space="0" w:color="auto"/>
              <w:right w:val="single" w:sz="4" w:space="0" w:color="auto"/>
            </w:tcBorders>
            <w:shd w:val="clear" w:color="000000" w:fill="F2DBDB"/>
            <w:vAlign w:val="center"/>
            <w:hideMark/>
          </w:tcPr>
          <w:p w14:paraId="133D7A70" w14:textId="77777777" w:rsidR="001341B9" w:rsidRPr="001341B9" w:rsidRDefault="001341B9" w:rsidP="001341B9">
            <w:pPr>
              <w:spacing w:after="0" w:line="240" w:lineRule="auto"/>
              <w:jc w:val="center"/>
              <w:rPr>
                <w:rFonts w:cs="Arial"/>
                <w:sz w:val="16"/>
                <w:szCs w:val="16"/>
              </w:rPr>
            </w:pPr>
            <w:r w:rsidRPr="001341B9">
              <w:rPr>
                <w:rFonts w:cs="Arial"/>
                <w:sz w:val="16"/>
                <w:szCs w:val="16"/>
              </w:rPr>
              <w:t>muži</w:t>
            </w:r>
          </w:p>
        </w:tc>
        <w:tc>
          <w:tcPr>
            <w:tcW w:w="738" w:type="dxa"/>
            <w:tcBorders>
              <w:top w:val="nil"/>
              <w:left w:val="nil"/>
              <w:bottom w:val="single" w:sz="8" w:space="0" w:color="auto"/>
              <w:right w:val="nil"/>
            </w:tcBorders>
            <w:shd w:val="clear" w:color="000000" w:fill="F2DBDB"/>
            <w:vAlign w:val="center"/>
            <w:hideMark/>
          </w:tcPr>
          <w:p w14:paraId="388EDD60" w14:textId="77777777" w:rsidR="001341B9" w:rsidRPr="001341B9" w:rsidRDefault="001341B9" w:rsidP="001341B9">
            <w:pPr>
              <w:spacing w:after="0" w:line="240" w:lineRule="auto"/>
              <w:jc w:val="center"/>
              <w:rPr>
                <w:rFonts w:cs="Arial"/>
                <w:sz w:val="16"/>
                <w:szCs w:val="16"/>
              </w:rPr>
            </w:pPr>
            <w:r w:rsidRPr="001341B9">
              <w:rPr>
                <w:rFonts w:cs="Arial"/>
                <w:sz w:val="16"/>
                <w:szCs w:val="16"/>
              </w:rPr>
              <w:t>ženy</w:t>
            </w:r>
          </w:p>
        </w:tc>
      </w:tr>
      <w:tr w:rsidR="001341B9" w:rsidRPr="001341B9" w14:paraId="294A29C0"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415565A8" w14:textId="77777777" w:rsidR="001341B9" w:rsidRPr="001341B9" w:rsidRDefault="001341B9" w:rsidP="001341B9">
            <w:pPr>
              <w:spacing w:after="0" w:line="240" w:lineRule="auto"/>
              <w:jc w:val="center"/>
              <w:rPr>
                <w:rFonts w:cs="Arial"/>
                <w:sz w:val="16"/>
                <w:szCs w:val="16"/>
              </w:rPr>
            </w:pPr>
            <w:r w:rsidRPr="001341B9">
              <w:rPr>
                <w:rFonts w:cs="Arial"/>
                <w:sz w:val="16"/>
                <w:szCs w:val="16"/>
              </w:rPr>
              <w:t>2008</w:t>
            </w:r>
          </w:p>
        </w:tc>
        <w:tc>
          <w:tcPr>
            <w:tcW w:w="740" w:type="dxa"/>
            <w:tcBorders>
              <w:top w:val="nil"/>
              <w:left w:val="nil"/>
              <w:bottom w:val="nil"/>
              <w:right w:val="nil"/>
            </w:tcBorders>
            <w:shd w:val="clear" w:color="auto" w:fill="auto"/>
            <w:vAlign w:val="center"/>
            <w:hideMark/>
          </w:tcPr>
          <w:p w14:paraId="0429AB96" w14:textId="77777777" w:rsidR="001341B9" w:rsidRPr="001341B9" w:rsidRDefault="001341B9" w:rsidP="001341B9">
            <w:pPr>
              <w:spacing w:after="0" w:line="240" w:lineRule="auto"/>
              <w:jc w:val="right"/>
              <w:rPr>
                <w:rFonts w:cs="Arial"/>
                <w:sz w:val="16"/>
                <w:szCs w:val="16"/>
              </w:rPr>
            </w:pPr>
            <w:r w:rsidRPr="001341B9">
              <w:rPr>
                <w:rFonts w:cs="Arial"/>
                <w:sz w:val="16"/>
                <w:szCs w:val="16"/>
              </w:rPr>
              <w:t>237,0</w:t>
            </w:r>
          </w:p>
        </w:tc>
        <w:tc>
          <w:tcPr>
            <w:tcW w:w="739" w:type="dxa"/>
            <w:tcBorders>
              <w:top w:val="nil"/>
              <w:left w:val="nil"/>
              <w:bottom w:val="nil"/>
              <w:right w:val="nil"/>
            </w:tcBorders>
            <w:shd w:val="clear" w:color="auto" w:fill="auto"/>
            <w:vAlign w:val="center"/>
            <w:hideMark/>
          </w:tcPr>
          <w:p w14:paraId="4DA84CE4" w14:textId="77777777" w:rsidR="001341B9" w:rsidRPr="001341B9" w:rsidRDefault="001341B9" w:rsidP="001341B9">
            <w:pPr>
              <w:spacing w:after="0" w:line="240" w:lineRule="auto"/>
              <w:jc w:val="right"/>
              <w:rPr>
                <w:rFonts w:cs="Arial"/>
                <w:sz w:val="16"/>
                <w:szCs w:val="16"/>
              </w:rPr>
            </w:pPr>
            <w:r w:rsidRPr="001341B9">
              <w:rPr>
                <w:rFonts w:cs="Arial"/>
                <w:sz w:val="16"/>
                <w:szCs w:val="16"/>
              </w:rPr>
              <w:t>110,8</w:t>
            </w:r>
          </w:p>
        </w:tc>
        <w:tc>
          <w:tcPr>
            <w:tcW w:w="739" w:type="dxa"/>
            <w:tcBorders>
              <w:top w:val="single" w:sz="8" w:space="0" w:color="auto"/>
              <w:left w:val="nil"/>
              <w:bottom w:val="nil"/>
              <w:right w:val="single" w:sz="4" w:space="0" w:color="auto"/>
            </w:tcBorders>
            <w:shd w:val="clear" w:color="auto" w:fill="auto"/>
            <w:vAlign w:val="center"/>
            <w:hideMark/>
          </w:tcPr>
          <w:p w14:paraId="4C9AB7E5" w14:textId="77777777" w:rsidR="001341B9" w:rsidRPr="001341B9" w:rsidRDefault="001341B9" w:rsidP="001341B9">
            <w:pPr>
              <w:spacing w:after="0" w:line="240" w:lineRule="auto"/>
              <w:jc w:val="right"/>
              <w:rPr>
                <w:rFonts w:cs="Arial"/>
                <w:sz w:val="16"/>
                <w:szCs w:val="16"/>
              </w:rPr>
            </w:pPr>
            <w:r w:rsidRPr="001341B9">
              <w:rPr>
                <w:rFonts w:cs="Arial"/>
                <w:sz w:val="16"/>
                <w:szCs w:val="16"/>
              </w:rPr>
              <w:t>126,2</w:t>
            </w:r>
          </w:p>
        </w:tc>
        <w:tc>
          <w:tcPr>
            <w:tcW w:w="740" w:type="dxa"/>
            <w:tcBorders>
              <w:top w:val="nil"/>
              <w:left w:val="single" w:sz="4" w:space="0" w:color="auto"/>
              <w:bottom w:val="nil"/>
              <w:right w:val="nil"/>
            </w:tcBorders>
            <w:shd w:val="clear" w:color="auto" w:fill="auto"/>
            <w:vAlign w:val="center"/>
            <w:hideMark/>
          </w:tcPr>
          <w:p w14:paraId="668DA9B3" w14:textId="77777777" w:rsidR="001341B9" w:rsidRPr="001341B9" w:rsidRDefault="001341B9" w:rsidP="001341B9">
            <w:pPr>
              <w:spacing w:after="0" w:line="240" w:lineRule="auto"/>
              <w:jc w:val="right"/>
              <w:rPr>
                <w:rFonts w:cs="Arial"/>
                <w:sz w:val="16"/>
                <w:szCs w:val="16"/>
              </w:rPr>
            </w:pPr>
            <w:r w:rsidRPr="001341B9">
              <w:rPr>
                <w:rFonts w:cs="Arial"/>
                <w:sz w:val="16"/>
                <w:szCs w:val="16"/>
              </w:rPr>
              <w:t>212,1</w:t>
            </w:r>
          </w:p>
        </w:tc>
        <w:tc>
          <w:tcPr>
            <w:tcW w:w="738" w:type="dxa"/>
            <w:tcBorders>
              <w:top w:val="nil"/>
              <w:left w:val="nil"/>
              <w:bottom w:val="nil"/>
              <w:right w:val="nil"/>
            </w:tcBorders>
            <w:shd w:val="clear" w:color="auto" w:fill="auto"/>
            <w:vAlign w:val="center"/>
            <w:hideMark/>
          </w:tcPr>
          <w:p w14:paraId="63B42C3D" w14:textId="77777777" w:rsidR="001341B9" w:rsidRPr="001341B9" w:rsidRDefault="001341B9" w:rsidP="001341B9">
            <w:pPr>
              <w:spacing w:after="0" w:line="240" w:lineRule="auto"/>
              <w:jc w:val="right"/>
              <w:rPr>
                <w:rFonts w:cs="Arial"/>
                <w:sz w:val="16"/>
                <w:szCs w:val="16"/>
              </w:rPr>
            </w:pPr>
            <w:r w:rsidRPr="001341B9">
              <w:rPr>
                <w:rFonts w:cs="Arial"/>
                <w:sz w:val="16"/>
                <w:szCs w:val="16"/>
              </w:rPr>
              <w:t>93,3</w:t>
            </w:r>
          </w:p>
        </w:tc>
        <w:tc>
          <w:tcPr>
            <w:tcW w:w="739" w:type="dxa"/>
            <w:tcBorders>
              <w:top w:val="single" w:sz="8" w:space="0" w:color="auto"/>
              <w:left w:val="nil"/>
              <w:bottom w:val="nil"/>
              <w:right w:val="single" w:sz="4" w:space="0" w:color="auto"/>
            </w:tcBorders>
            <w:shd w:val="clear" w:color="auto" w:fill="auto"/>
            <w:vAlign w:val="center"/>
            <w:hideMark/>
          </w:tcPr>
          <w:p w14:paraId="121215CD" w14:textId="77777777" w:rsidR="001341B9" w:rsidRPr="001341B9" w:rsidRDefault="001341B9" w:rsidP="001341B9">
            <w:pPr>
              <w:spacing w:after="0" w:line="240" w:lineRule="auto"/>
              <w:jc w:val="right"/>
              <w:rPr>
                <w:rFonts w:cs="Arial"/>
                <w:sz w:val="16"/>
                <w:szCs w:val="16"/>
              </w:rPr>
            </w:pPr>
            <w:r w:rsidRPr="001341B9">
              <w:rPr>
                <w:rFonts w:cs="Arial"/>
                <w:sz w:val="16"/>
                <w:szCs w:val="16"/>
              </w:rPr>
              <w:t>118,8</w:t>
            </w:r>
          </w:p>
        </w:tc>
        <w:tc>
          <w:tcPr>
            <w:tcW w:w="754" w:type="dxa"/>
            <w:tcBorders>
              <w:top w:val="nil"/>
              <w:left w:val="single" w:sz="4" w:space="0" w:color="auto"/>
              <w:bottom w:val="nil"/>
              <w:right w:val="nil"/>
            </w:tcBorders>
            <w:shd w:val="clear" w:color="auto" w:fill="auto"/>
            <w:vAlign w:val="center"/>
            <w:hideMark/>
          </w:tcPr>
          <w:p w14:paraId="5ADB13B1" w14:textId="77777777" w:rsidR="001341B9" w:rsidRPr="001341B9" w:rsidRDefault="001341B9" w:rsidP="001341B9">
            <w:pPr>
              <w:spacing w:after="0" w:line="240" w:lineRule="auto"/>
              <w:jc w:val="right"/>
              <w:rPr>
                <w:rFonts w:cs="Arial"/>
                <w:sz w:val="16"/>
                <w:szCs w:val="16"/>
              </w:rPr>
            </w:pPr>
            <w:r w:rsidRPr="001341B9">
              <w:rPr>
                <w:rFonts w:cs="Arial"/>
                <w:sz w:val="16"/>
                <w:szCs w:val="16"/>
              </w:rPr>
              <w:t>9,7</w:t>
            </w:r>
          </w:p>
        </w:tc>
        <w:tc>
          <w:tcPr>
            <w:tcW w:w="738" w:type="dxa"/>
            <w:tcBorders>
              <w:top w:val="nil"/>
              <w:left w:val="nil"/>
              <w:bottom w:val="nil"/>
              <w:right w:val="nil"/>
            </w:tcBorders>
            <w:shd w:val="clear" w:color="auto" w:fill="auto"/>
            <w:vAlign w:val="center"/>
            <w:hideMark/>
          </w:tcPr>
          <w:p w14:paraId="218F4C50" w14:textId="77777777" w:rsidR="001341B9" w:rsidRPr="001341B9" w:rsidRDefault="001341B9" w:rsidP="001341B9">
            <w:pPr>
              <w:spacing w:after="0" w:line="240" w:lineRule="auto"/>
              <w:jc w:val="right"/>
              <w:rPr>
                <w:rFonts w:cs="Arial"/>
                <w:sz w:val="16"/>
                <w:szCs w:val="16"/>
              </w:rPr>
            </w:pPr>
            <w:r w:rsidRPr="001341B9">
              <w:rPr>
                <w:rFonts w:cs="Arial"/>
                <w:sz w:val="16"/>
                <w:szCs w:val="16"/>
              </w:rPr>
              <w:t>7,1</w:t>
            </w:r>
          </w:p>
        </w:tc>
        <w:tc>
          <w:tcPr>
            <w:tcW w:w="738" w:type="dxa"/>
            <w:tcBorders>
              <w:top w:val="single" w:sz="8" w:space="0" w:color="auto"/>
              <w:left w:val="nil"/>
              <w:bottom w:val="nil"/>
              <w:right w:val="single" w:sz="4" w:space="0" w:color="auto"/>
            </w:tcBorders>
            <w:shd w:val="clear" w:color="auto" w:fill="auto"/>
            <w:vAlign w:val="center"/>
            <w:hideMark/>
          </w:tcPr>
          <w:p w14:paraId="116F58D4" w14:textId="77777777" w:rsidR="001341B9" w:rsidRPr="001341B9" w:rsidRDefault="001341B9" w:rsidP="001341B9">
            <w:pPr>
              <w:spacing w:after="0" w:line="240" w:lineRule="auto"/>
              <w:jc w:val="right"/>
              <w:rPr>
                <w:rFonts w:cs="Arial"/>
                <w:sz w:val="16"/>
                <w:szCs w:val="16"/>
              </w:rPr>
            </w:pPr>
            <w:r w:rsidRPr="001341B9">
              <w:rPr>
                <w:rFonts w:cs="Arial"/>
                <w:sz w:val="16"/>
                <w:szCs w:val="16"/>
              </w:rPr>
              <w:t>2,6</w:t>
            </w:r>
          </w:p>
        </w:tc>
        <w:tc>
          <w:tcPr>
            <w:tcW w:w="740" w:type="dxa"/>
            <w:tcBorders>
              <w:top w:val="nil"/>
              <w:left w:val="single" w:sz="4" w:space="0" w:color="auto"/>
              <w:bottom w:val="nil"/>
              <w:right w:val="nil"/>
            </w:tcBorders>
            <w:shd w:val="clear" w:color="auto" w:fill="auto"/>
            <w:vAlign w:val="center"/>
            <w:hideMark/>
          </w:tcPr>
          <w:p w14:paraId="77AF8698" w14:textId="77777777" w:rsidR="001341B9" w:rsidRPr="001341B9" w:rsidRDefault="001341B9" w:rsidP="001341B9">
            <w:pPr>
              <w:spacing w:after="0" w:line="240" w:lineRule="auto"/>
              <w:jc w:val="right"/>
              <w:rPr>
                <w:rFonts w:cs="Arial"/>
                <w:sz w:val="16"/>
                <w:szCs w:val="16"/>
              </w:rPr>
            </w:pPr>
            <w:r w:rsidRPr="001341B9">
              <w:rPr>
                <w:rFonts w:cs="Arial"/>
                <w:sz w:val="16"/>
                <w:szCs w:val="16"/>
              </w:rPr>
              <w:t>15,2</w:t>
            </w:r>
          </w:p>
        </w:tc>
        <w:tc>
          <w:tcPr>
            <w:tcW w:w="738" w:type="dxa"/>
            <w:tcBorders>
              <w:top w:val="nil"/>
              <w:left w:val="nil"/>
              <w:bottom w:val="nil"/>
              <w:right w:val="nil"/>
            </w:tcBorders>
            <w:shd w:val="clear" w:color="auto" w:fill="auto"/>
            <w:vAlign w:val="center"/>
            <w:hideMark/>
          </w:tcPr>
          <w:p w14:paraId="23CB5D4C" w14:textId="77777777" w:rsidR="001341B9" w:rsidRPr="001341B9" w:rsidRDefault="001341B9" w:rsidP="001341B9">
            <w:pPr>
              <w:spacing w:after="0" w:line="240" w:lineRule="auto"/>
              <w:jc w:val="right"/>
              <w:rPr>
                <w:rFonts w:cs="Arial"/>
                <w:sz w:val="16"/>
                <w:szCs w:val="16"/>
              </w:rPr>
            </w:pPr>
            <w:r w:rsidRPr="001341B9">
              <w:rPr>
                <w:rFonts w:cs="Arial"/>
                <w:sz w:val="16"/>
                <w:szCs w:val="16"/>
              </w:rPr>
              <w:t>10,4</w:t>
            </w:r>
          </w:p>
        </w:tc>
        <w:tc>
          <w:tcPr>
            <w:tcW w:w="738" w:type="dxa"/>
            <w:tcBorders>
              <w:top w:val="nil"/>
              <w:left w:val="nil"/>
              <w:bottom w:val="nil"/>
              <w:right w:val="nil"/>
            </w:tcBorders>
            <w:shd w:val="clear" w:color="auto" w:fill="auto"/>
            <w:vAlign w:val="center"/>
            <w:hideMark/>
          </w:tcPr>
          <w:p w14:paraId="4BC6EBA0" w14:textId="77777777" w:rsidR="001341B9" w:rsidRPr="001341B9" w:rsidRDefault="001341B9" w:rsidP="001341B9">
            <w:pPr>
              <w:spacing w:after="0" w:line="240" w:lineRule="auto"/>
              <w:jc w:val="right"/>
              <w:rPr>
                <w:rFonts w:cs="Arial"/>
                <w:sz w:val="16"/>
                <w:szCs w:val="16"/>
              </w:rPr>
            </w:pPr>
            <w:r w:rsidRPr="001341B9">
              <w:rPr>
                <w:rFonts w:cs="Arial"/>
                <w:sz w:val="16"/>
                <w:szCs w:val="16"/>
              </w:rPr>
              <w:t>4,8</w:t>
            </w:r>
          </w:p>
        </w:tc>
      </w:tr>
      <w:tr w:rsidR="001341B9" w:rsidRPr="001341B9" w14:paraId="2A99F413"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1D306F50" w14:textId="77777777" w:rsidR="001341B9" w:rsidRPr="001341B9" w:rsidRDefault="001341B9" w:rsidP="001341B9">
            <w:pPr>
              <w:spacing w:after="0" w:line="240" w:lineRule="auto"/>
              <w:jc w:val="center"/>
              <w:rPr>
                <w:rFonts w:cs="Arial"/>
                <w:sz w:val="16"/>
                <w:szCs w:val="16"/>
              </w:rPr>
            </w:pPr>
            <w:r w:rsidRPr="001341B9">
              <w:rPr>
                <w:rFonts w:cs="Arial"/>
                <w:sz w:val="16"/>
                <w:szCs w:val="16"/>
              </w:rPr>
              <w:t>2009</w:t>
            </w:r>
          </w:p>
        </w:tc>
        <w:tc>
          <w:tcPr>
            <w:tcW w:w="740" w:type="dxa"/>
            <w:tcBorders>
              <w:top w:val="nil"/>
              <w:left w:val="nil"/>
              <w:bottom w:val="nil"/>
              <w:right w:val="nil"/>
            </w:tcBorders>
            <w:shd w:val="clear" w:color="auto" w:fill="auto"/>
            <w:vAlign w:val="center"/>
            <w:hideMark/>
          </w:tcPr>
          <w:p w14:paraId="662B0B41" w14:textId="77777777" w:rsidR="001341B9" w:rsidRPr="001341B9" w:rsidRDefault="001341B9" w:rsidP="001341B9">
            <w:pPr>
              <w:spacing w:after="0" w:line="240" w:lineRule="auto"/>
              <w:jc w:val="right"/>
              <w:rPr>
                <w:rFonts w:cs="Arial"/>
                <w:sz w:val="16"/>
                <w:szCs w:val="16"/>
              </w:rPr>
            </w:pPr>
            <w:r w:rsidRPr="001341B9">
              <w:rPr>
                <w:rFonts w:cs="Arial"/>
                <w:sz w:val="16"/>
                <w:szCs w:val="16"/>
              </w:rPr>
              <w:t>178,0</w:t>
            </w:r>
          </w:p>
        </w:tc>
        <w:tc>
          <w:tcPr>
            <w:tcW w:w="739" w:type="dxa"/>
            <w:tcBorders>
              <w:top w:val="nil"/>
              <w:left w:val="nil"/>
              <w:bottom w:val="nil"/>
              <w:right w:val="nil"/>
            </w:tcBorders>
            <w:shd w:val="clear" w:color="auto" w:fill="auto"/>
            <w:vAlign w:val="center"/>
            <w:hideMark/>
          </w:tcPr>
          <w:p w14:paraId="1C5BA97D" w14:textId="77777777" w:rsidR="001341B9" w:rsidRPr="001341B9" w:rsidRDefault="001341B9" w:rsidP="001341B9">
            <w:pPr>
              <w:spacing w:after="0" w:line="240" w:lineRule="auto"/>
              <w:jc w:val="right"/>
              <w:rPr>
                <w:rFonts w:cs="Arial"/>
                <w:sz w:val="16"/>
                <w:szCs w:val="16"/>
              </w:rPr>
            </w:pPr>
            <w:r w:rsidRPr="001341B9">
              <w:rPr>
                <w:rFonts w:cs="Arial"/>
                <w:sz w:val="16"/>
                <w:szCs w:val="16"/>
              </w:rPr>
              <w:t>83,0</w:t>
            </w:r>
          </w:p>
        </w:tc>
        <w:tc>
          <w:tcPr>
            <w:tcW w:w="739" w:type="dxa"/>
            <w:tcBorders>
              <w:top w:val="nil"/>
              <w:left w:val="nil"/>
              <w:bottom w:val="nil"/>
              <w:right w:val="single" w:sz="4" w:space="0" w:color="auto"/>
            </w:tcBorders>
            <w:shd w:val="clear" w:color="auto" w:fill="auto"/>
            <w:vAlign w:val="center"/>
            <w:hideMark/>
          </w:tcPr>
          <w:p w14:paraId="0381D0F8" w14:textId="77777777" w:rsidR="001341B9" w:rsidRPr="001341B9" w:rsidRDefault="001341B9" w:rsidP="001341B9">
            <w:pPr>
              <w:spacing w:after="0" w:line="240" w:lineRule="auto"/>
              <w:jc w:val="right"/>
              <w:rPr>
                <w:rFonts w:cs="Arial"/>
                <w:sz w:val="16"/>
                <w:szCs w:val="16"/>
              </w:rPr>
            </w:pPr>
            <w:r w:rsidRPr="001341B9">
              <w:rPr>
                <w:rFonts w:cs="Arial"/>
                <w:sz w:val="16"/>
                <w:szCs w:val="16"/>
              </w:rPr>
              <w:t>95,0</w:t>
            </w:r>
          </w:p>
        </w:tc>
        <w:tc>
          <w:tcPr>
            <w:tcW w:w="740" w:type="dxa"/>
            <w:tcBorders>
              <w:top w:val="nil"/>
              <w:left w:val="single" w:sz="4" w:space="0" w:color="auto"/>
              <w:bottom w:val="nil"/>
              <w:right w:val="nil"/>
            </w:tcBorders>
            <w:shd w:val="clear" w:color="auto" w:fill="auto"/>
            <w:vAlign w:val="center"/>
            <w:hideMark/>
          </w:tcPr>
          <w:p w14:paraId="263A622F" w14:textId="77777777" w:rsidR="001341B9" w:rsidRPr="001341B9" w:rsidRDefault="001341B9" w:rsidP="001341B9">
            <w:pPr>
              <w:spacing w:after="0" w:line="240" w:lineRule="auto"/>
              <w:jc w:val="right"/>
              <w:rPr>
                <w:rFonts w:cs="Arial"/>
                <w:sz w:val="16"/>
                <w:szCs w:val="16"/>
              </w:rPr>
            </w:pPr>
            <w:r w:rsidRPr="001341B9">
              <w:rPr>
                <w:rFonts w:cs="Arial"/>
                <w:sz w:val="16"/>
                <w:szCs w:val="16"/>
              </w:rPr>
              <w:t>156,8</w:t>
            </w:r>
          </w:p>
        </w:tc>
        <w:tc>
          <w:tcPr>
            <w:tcW w:w="738" w:type="dxa"/>
            <w:tcBorders>
              <w:top w:val="nil"/>
              <w:left w:val="nil"/>
              <w:bottom w:val="nil"/>
              <w:right w:val="nil"/>
            </w:tcBorders>
            <w:shd w:val="clear" w:color="auto" w:fill="auto"/>
            <w:vAlign w:val="center"/>
            <w:hideMark/>
          </w:tcPr>
          <w:p w14:paraId="28D55F5F" w14:textId="77777777" w:rsidR="001341B9" w:rsidRPr="001341B9" w:rsidRDefault="001341B9" w:rsidP="001341B9">
            <w:pPr>
              <w:spacing w:after="0" w:line="240" w:lineRule="auto"/>
              <w:jc w:val="right"/>
              <w:rPr>
                <w:rFonts w:cs="Arial"/>
                <w:sz w:val="16"/>
                <w:szCs w:val="16"/>
              </w:rPr>
            </w:pPr>
            <w:r w:rsidRPr="001341B9">
              <w:rPr>
                <w:rFonts w:cs="Arial"/>
                <w:sz w:val="16"/>
                <w:szCs w:val="16"/>
              </w:rPr>
              <w:t>68,3</w:t>
            </w:r>
          </w:p>
        </w:tc>
        <w:tc>
          <w:tcPr>
            <w:tcW w:w="739" w:type="dxa"/>
            <w:tcBorders>
              <w:top w:val="nil"/>
              <w:left w:val="nil"/>
              <w:bottom w:val="nil"/>
              <w:right w:val="single" w:sz="4" w:space="0" w:color="auto"/>
            </w:tcBorders>
            <w:shd w:val="clear" w:color="auto" w:fill="auto"/>
            <w:vAlign w:val="center"/>
            <w:hideMark/>
          </w:tcPr>
          <w:p w14:paraId="1CB87F21" w14:textId="77777777" w:rsidR="001341B9" w:rsidRPr="001341B9" w:rsidRDefault="001341B9" w:rsidP="001341B9">
            <w:pPr>
              <w:spacing w:after="0" w:line="240" w:lineRule="auto"/>
              <w:jc w:val="right"/>
              <w:rPr>
                <w:rFonts w:cs="Arial"/>
                <w:sz w:val="16"/>
                <w:szCs w:val="16"/>
              </w:rPr>
            </w:pPr>
            <w:r w:rsidRPr="001341B9">
              <w:rPr>
                <w:rFonts w:cs="Arial"/>
                <w:sz w:val="16"/>
                <w:szCs w:val="16"/>
              </w:rPr>
              <w:t>88,5</w:t>
            </w:r>
          </w:p>
        </w:tc>
        <w:tc>
          <w:tcPr>
            <w:tcW w:w="754" w:type="dxa"/>
            <w:tcBorders>
              <w:top w:val="nil"/>
              <w:left w:val="single" w:sz="4" w:space="0" w:color="auto"/>
              <w:bottom w:val="nil"/>
              <w:right w:val="nil"/>
            </w:tcBorders>
            <w:shd w:val="clear" w:color="auto" w:fill="auto"/>
            <w:vAlign w:val="center"/>
            <w:hideMark/>
          </w:tcPr>
          <w:p w14:paraId="6CF1D0A1" w14:textId="77777777" w:rsidR="001341B9" w:rsidRPr="001341B9" w:rsidRDefault="001341B9" w:rsidP="001341B9">
            <w:pPr>
              <w:spacing w:after="0" w:line="240" w:lineRule="auto"/>
              <w:jc w:val="right"/>
              <w:rPr>
                <w:rFonts w:cs="Arial"/>
                <w:sz w:val="16"/>
                <w:szCs w:val="16"/>
              </w:rPr>
            </w:pPr>
            <w:r w:rsidRPr="001341B9">
              <w:rPr>
                <w:rFonts w:cs="Arial"/>
                <w:sz w:val="16"/>
                <w:szCs w:val="16"/>
              </w:rPr>
              <w:t>7,6</w:t>
            </w:r>
          </w:p>
        </w:tc>
        <w:tc>
          <w:tcPr>
            <w:tcW w:w="738" w:type="dxa"/>
            <w:tcBorders>
              <w:top w:val="nil"/>
              <w:left w:val="nil"/>
              <w:bottom w:val="nil"/>
              <w:right w:val="nil"/>
            </w:tcBorders>
            <w:shd w:val="clear" w:color="auto" w:fill="auto"/>
            <w:vAlign w:val="center"/>
            <w:hideMark/>
          </w:tcPr>
          <w:p w14:paraId="13DDA0CF" w14:textId="77777777" w:rsidR="001341B9" w:rsidRPr="001341B9" w:rsidRDefault="001341B9" w:rsidP="001341B9">
            <w:pPr>
              <w:spacing w:after="0" w:line="240" w:lineRule="auto"/>
              <w:jc w:val="right"/>
              <w:rPr>
                <w:rFonts w:cs="Arial"/>
                <w:sz w:val="16"/>
                <w:szCs w:val="16"/>
              </w:rPr>
            </w:pPr>
            <w:r w:rsidRPr="001341B9">
              <w:rPr>
                <w:rFonts w:cs="Arial"/>
                <w:sz w:val="16"/>
                <w:szCs w:val="16"/>
              </w:rPr>
              <w:t>5,5</w:t>
            </w:r>
          </w:p>
        </w:tc>
        <w:tc>
          <w:tcPr>
            <w:tcW w:w="738" w:type="dxa"/>
            <w:tcBorders>
              <w:top w:val="nil"/>
              <w:left w:val="nil"/>
              <w:bottom w:val="nil"/>
              <w:right w:val="single" w:sz="4" w:space="0" w:color="auto"/>
            </w:tcBorders>
            <w:shd w:val="clear" w:color="auto" w:fill="auto"/>
            <w:vAlign w:val="center"/>
            <w:hideMark/>
          </w:tcPr>
          <w:p w14:paraId="386EE377" w14:textId="77777777" w:rsidR="001341B9" w:rsidRPr="001341B9" w:rsidRDefault="001341B9" w:rsidP="001341B9">
            <w:pPr>
              <w:spacing w:after="0" w:line="240" w:lineRule="auto"/>
              <w:jc w:val="right"/>
              <w:rPr>
                <w:rFonts w:cs="Arial"/>
                <w:sz w:val="16"/>
                <w:szCs w:val="16"/>
              </w:rPr>
            </w:pPr>
            <w:r w:rsidRPr="001341B9">
              <w:rPr>
                <w:rFonts w:cs="Arial"/>
                <w:sz w:val="16"/>
                <w:szCs w:val="16"/>
              </w:rPr>
              <w:t>2,1</w:t>
            </w:r>
          </w:p>
        </w:tc>
        <w:tc>
          <w:tcPr>
            <w:tcW w:w="740" w:type="dxa"/>
            <w:tcBorders>
              <w:top w:val="nil"/>
              <w:left w:val="single" w:sz="4" w:space="0" w:color="auto"/>
              <w:bottom w:val="nil"/>
              <w:right w:val="nil"/>
            </w:tcBorders>
            <w:shd w:val="clear" w:color="auto" w:fill="auto"/>
            <w:vAlign w:val="center"/>
            <w:hideMark/>
          </w:tcPr>
          <w:p w14:paraId="111923E6" w14:textId="77777777" w:rsidR="001341B9" w:rsidRPr="001341B9" w:rsidRDefault="001341B9" w:rsidP="001341B9">
            <w:pPr>
              <w:spacing w:after="0" w:line="240" w:lineRule="auto"/>
              <w:jc w:val="right"/>
              <w:rPr>
                <w:rFonts w:cs="Arial"/>
                <w:sz w:val="16"/>
                <w:szCs w:val="16"/>
              </w:rPr>
            </w:pPr>
            <w:r w:rsidRPr="001341B9">
              <w:rPr>
                <w:rFonts w:cs="Arial"/>
                <w:sz w:val="16"/>
                <w:szCs w:val="16"/>
              </w:rPr>
              <w:t>13,6</w:t>
            </w:r>
          </w:p>
        </w:tc>
        <w:tc>
          <w:tcPr>
            <w:tcW w:w="738" w:type="dxa"/>
            <w:tcBorders>
              <w:top w:val="nil"/>
              <w:left w:val="nil"/>
              <w:bottom w:val="nil"/>
              <w:right w:val="nil"/>
            </w:tcBorders>
            <w:shd w:val="clear" w:color="auto" w:fill="auto"/>
            <w:vAlign w:val="center"/>
            <w:hideMark/>
          </w:tcPr>
          <w:p w14:paraId="0C82F5F7" w14:textId="77777777" w:rsidR="001341B9" w:rsidRPr="001341B9" w:rsidRDefault="001341B9" w:rsidP="001341B9">
            <w:pPr>
              <w:spacing w:after="0" w:line="240" w:lineRule="auto"/>
              <w:jc w:val="right"/>
              <w:rPr>
                <w:rFonts w:cs="Arial"/>
                <w:sz w:val="16"/>
                <w:szCs w:val="16"/>
              </w:rPr>
            </w:pPr>
            <w:r w:rsidRPr="001341B9">
              <w:rPr>
                <w:rFonts w:cs="Arial"/>
                <w:sz w:val="16"/>
                <w:szCs w:val="16"/>
              </w:rPr>
              <w:t>9,2</w:t>
            </w:r>
          </w:p>
        </w:tc>
        <w:tc>
          <w:tcPr>
            <w:tcW w:w="738" w:type="dxa"/>
            <w:tcBorders>
              <w:top w:val="nil"/>
              <w:left w:val="nil"/>
              <w:bottom w:val="nil"/>
              <w:right w:val="nil"/>
            </w:tcBorders>
            <w:shd w:val="clear" w:color="auto" w:fill="auto"/>
            <w:vAlign w:val="center"/>
            <w:hideMark/>
          </w:tcPr>
          <w:p w14:paraId="1722BC2E" w14:textId="77777777" w:rsidR="001341B9" w:rsidRPr="001341B9" w:rsidRDefault="001341B9" w:rsidP="001341B9">
            <w:pPr>
              <w:spacing w:after="0" w:line="240" w:lineRule="auto"/>
              <w:jc w:val="right"/>
              <w:rPr>
                <w:rFonts w:cs="Arial"/>
                <w:sz w:val="16"/>
                <w:szCs w:val="16"/>
              </w:rPr>
            </w:pPr>
            <w:r w:rsidRPr="001341B9">
              <w:rPr>
                <w:rFonts w:cs="Arial"/>
                <w:sz w:val="16"/>
                <w:szCs w:val="16"/>
              </w:rPr>
              <w:t>4,4</w:t>
            </w:r>
          </w:p>
        </w:tc>
      </w:tr>
      <w:tr w:rsidR="001341B9" w:rsidRPr="001341B9" w14:paraId="62E4BE1D"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6F353BB1"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2010</w:t>
            </w:r>
          </w:p>
        </w:tc>
        <w:tc>
          <w:tcPr>
            <w:tcW w:w="740" w:type="dxa"/>
            <w:tcBorders>
              <w:top w:val="nil"/>
              <w:left w:val="nil"/>
              <w:bottom w:val="nil"/>
              <w:right w:val="nil"/>
            </w:tcBorders>
            <w:shd w:val="clear" w:color="auto" w:fill="auto"/>
            <w:vAlign w:val="center"/>
            <w:hideMark/>
          </w:tcPr>
          <w:p w14:paraId="683FD761" w14:textId="77777777" w:rsidR="001341B9" w:rsidRPr="001341B9" w:rsidRDefault="001341B9" w:rsidP="001341B9">
            <w:pPr>
              <w:spacing w:after="0" w:line="240" w:lineRule="auto"/>
              <w:jc w:val="right"/>
              <w:rPr>
                <w:rFonts w:cs="Arial"/>
                <w:sz w:val="16"/>
                <w:szCs w:val="16"/>
              </w:rPr>
            </w:pPr>
            <w:r w:rsidRPr="001341B9">
              <w:rPr>
                <w:rFonts w:cs="Arial"/>
                <w:sz w:val="16"/>
                <w:szCs w:val="16"/>
              </w:rPr>
              <w:t>162,2</w:t>
            </w:r>
          </w:p>
        </w:tc>
        <w:tc>
          <w:tcPr>
            <w:tcW w:w="739" w:type="dxa"/>
            <w:tcBorders>
              <w:top w:val="nil"/>
              <w:left w:val="nil"/>
              <w:bottom w:val="nil"/>
              <w:right w:val="nil"/>
            </w:tcBorders>
            <w:shd w:val="clear" w:color="auto" w:fill="auto"/>
            <w:vAlign w:val="center"/>
            <w:hideMark/>
          </w:tcPr>
          <w:p w14:paraId="74369B99" w14:textId="77777777" w:rsidR="001341B9" w:rsidRPr="001341B9" w:rsidRDefault="001341B9" w:rsidP="001341B9">
            <w:pPr>
              <w:spacing w:after="0" w:line="240" w:lineRule="auto"/>
              <w:jc w:val="right"/>
              <w:rPr>
                <w:rFonts w:cs="Arial"/>
                <w:sz w:val="16"/>
                <w:szCs w:val="16"/>
              </w:rPr>
            </w:pPr>
            <w:r w:rsidRPr="001341B9">
              <w:rPr>
                <w:rFonts w:cs="Arial"/>
                <w:sz w:val="16"/>
                <w:szCs w:val="16"/>
              </w:rPr>
              <w:t>76,7</w:t>
            </w:r>
          </w:p>
        </w:tc>
        <w:tc>
          <w:tcPr>
            <w:tcW w:w="739" w:type="dxa"/>
            <w:tcBorders>
              <w:top w:val="nil"/>
              <w:left w:val="nil"/>
              <w:bottom w:val="nil"/>
              <w:right w:val="single" w:sz="4" w:space="0" w:color="auto"/>
            </w:tcBorders>
            <w:shd w:val="clear" w:color="auto" w:fill="auto"/>
            <w:vAlign w:val="center"/>
            <w:hideMark/>
          </w:tcPr>
          <w:p w14:paraId="6DFC23FB" w14:textId="77777777" w:rsidR="001341B9" w:rsidRPr="001341B9" w:rsidRDefault="001341B9" w:rsidP="001341B9">
            <w:pPr>
              <w:spacing w:after="0" w:line="240" w:lineRule="auto"/>
              <w:jc w:val="right"/>
              <w:rPr>
                <w:rFonts w:cs="Arial"/>
                <w:sz w:val="16"/>
                <w:szCs w:val="16"/>
              </w:rPr>
            </w:pPr>
            <w:r w:rsidRPr="001341B9">
              <w:rPr>
                <w:rFonts w:cs="Arial"/>
                <w:sz w:val="16"/>
                <w:szCs w:val="16"/>
              </w:rPr>
              <w:t>85,5</w:t>
            </w:r>
          </w:p>
        </w:tc>
        <w:tc>
          <w:tcPr>
            <w:tcW w:w="740" w:type="dxa"/>
            <w:tcBorders>
              <w:top w:val="nil"/>
              <w:left w:val="single" w:sz="4" w:space="0" w:color="auto"/>
              <w:bottom w:val="nil"/>
              <w:right w:val="nil"/>
            </w:tcBorders>
            <w:shd w:val="clear" w:color="auto" w:fill="auto"/>
            <w:vAlign w:val="center"/>
            <w:hideMark/>
          </w:tcPr>
          <w:p w14:paraId="7CFD477F" w14:textId="77777777" w:rsidR="001341B9" w:rsidRPr="001341B9" w:rsidRDefault="001341B9" w:rsidP="001341B9">
            <w:pPr>
              <w:spacing w:after="0" w:line="240" w:lineRule="auto"/>
              <w:jc w:val="right"/>
              <w:rPr>
                <w:rFonts w:cs="Arial"/>
                <w:sz w:val="16"/>
                <w:szCs w:val="16"/>
              </w:rPr>
            </w:pPr>
            <w:r w:rsidRPr="001341B9">
              <w:rPr>
                <w:rFonts w:cs="Arial"/>
                <w:sz w:val="16"/>
                <w:szCs w:val="16"/>
              </w:rPr>
              <w:t>141,6</w:t>
            </w:r>
          </w:p>
        </w:tc>
        <w:tc>
          <w:tcPr>
            <w:tcW w:w="738" w:type="dxa"/>
            <w:tcBorders>
              <w:top w:val="nil"/>
              <w:left w:val="nil"/>
              <w:bottom w:val="nil"/>
              <w:right w:val="nil"/>
            </w:tcBorders>
            <w:shd w:val="clear" w:color="auto" w:fill="auto"/>
            <w:vAlign w:val="center"/>
            <w:hideMark/>
          </w:tcPr>
          <w:p w14:paraId="1BACC1F5" w14:textId="77777777" w:rsidR="001341B9" w:rsidRPr="001341B9" w:rsidRDefault="001341B9" w:rsidP="001341B9">
            <w:pPr>
              <w:spacing w:after="0" w:line="240" w:lineRule="auto"/>
              <w:jc w:val="right"/>
              <w:rPr>
                <w:rFonts w:cs="Arial"/>
                <w:sz w:val="16"/>
                <w:szCs w:val="16"/>
              </w:rPr>
            </w:pPr>
            <w:r w:rsidRPr="001341B9">
              <w:rPr>
                <w:rFonts w:cs="Arial"/>
                <w:sz w:val="16"/>
                <w:szCs w:val="16"/>
              </w:rPr>
              <w:t>62,7</w:t>
            </w:r>
          </w:p>
        </w:tc>
        <w:tc>
          <w:tcPr>
            <w:tcW w:w="739" w:type="dxa"/>
            <w:tcBorders>
              <w:top w:val="nil"/>
              <w:left w:val="nil"/>
              <w:bottom w:val="nil"/>
              <w:right w:val="single" w:sz="4" w:space="0" w:color="auto"/>
            </w:tcBorders>
            <w:shd w:val="clear" w:color="auto" w:fill="auto"/>
            <w:vAlign w:val="center"/>
            <w:hideMark/>
          </w:tcPr>
          <w:p w14:paraId="4D99A05B" w14:textId="77777777" w:rsidR="001341B9" w:rsidRPr="001341B9" w:rsidRDefault="001341B9" w:rsidP="001341B9">
            <w:pPr>
              <w:spacing w:after="0" w:line="240" w:lineRule="auto"/>
              <w:jc w:val="right"/>
              <w:rPr>
                <w:rFonts w:cs="Arial"/>
                <w:sz w:val="16"/>
                <w:szCs w:val="16"/>
              </w:rPr>
            </w:pPr>
            <w:r w:rsidRPr="001341B9">
              <w:rPr>
                <w:rFonts w:cs="Arial"/>
                <w:sz w:val="16"/>
                <w:szCs w:val="16"/>
              </w:rPr>
              <w:t>78,9</w:t>
            </w:r>
          </w:p>
        </w:tc>
        <w:tc>
          <w:tcPr>
            <w:tcW w:w="754" w:type="dxa"/>
            <w:tcBorders>
              <w:top w:val="nil"/>
              <w:left w:val="single" w:sz="4" w:space="0" w:color="auto"/>
              <w:bottom w:val="nil"/>
              <w:right w:val="nil"/>
            </w:tcBorders>
            <w:shd w:val="clear" w:color="auto" w:fill="auto"/>
            <w:vAlign w:val="center"/>
            <w:hideMark/>
          </w:tcPr>
          <w:p w14:paraId="19A9A06C" w14:textId="77777777" w:rsidR="001341B9" w:rsidRPr="001341B9" w:rsidRDefault="001341B9" w:rsidP="001341B9">
            <w:pPr>
              <w:spacing w:after="0" w:line="240" w:lineRule="auto"/>
              <w:jc w:val="right"/>
              <w:rPr>
                <w:rFonts w:cs="Arial"/>
                <w:sz w:val="16"/>
                <w:szCs w:val="16"/>
              </w:rPr>
            </w:pPr>
            <w:r w:rsidRPr="001341B9">
              <w:rPr>
                <w:rFonts w:cs="Arial"/>
                <w:sz w:val="16"/>
                <w:szCs w:val="16"/>
              </w:rPr>
              <w:t>7,4</w:t>
            </w:r>
          </w:p>
        </w:tc>
        <w:tc>
          <w:tcPr>
            <w:tcW w:w="738" w:type="dxa"/>
            <w:tcBorders>
              <w:top w:val="nil"/>
              <w:left w:val="nil"/>
              <w:bottom w:val="nil"/>
              <w:right w:val="nil"/>
            </w:tcBorders>
            <w:shd w:val="clear" w:color="auto" w:fill="auto"/>
            <w:vAlign w:val="center"/>
            <w:hideMark/>
          </w:tcPr>
          <w:p w14:paraId="1B7C0F27" w14:textId="77777777" w:rsidR="001341B9" w:rsidRPr="001341B9" w:rsidRDefault="001341B9" w:rsidP="001341B9">
            <w:pPr>
              <w:spacing w:after="0" w:line="240" w:lineRule="auto"/>
              <w:jc w:val="right"/>
              <w:rPr>
                <w:rFonts w:cs="Arial"/>
                <w:sz w:val="16"/>
                <w:szCs w:val="16"/>
              </w:rPr>
            </w:pPr>
            <w:r w:rsidRPr="001341B9">
              <w:rPr>
                <w:rFonts w:cs="Arial"/>
                <w:sz w:val="16"/>
                <w:szCs w:val="16"/>
              </w:rPr>
              <w:t>5,3</w:t>
            </w:r>
          </w:p>
        </w:tc>
        <w:tc>
          <w:tcPr>
            <w:tcW w:w="738" w:type="dxa"/>
            <w:tcBorders>
              <w:top w:val="nil"/>
              <w:left w:val="nil"/>
              <w:bottom w:val="nil"/>
              <w:right w:val="single" w:sz="4" w:space="0" w:color="auto"/>
            </w:tcBorders>
            <w:shd w:val="clear" w:color="auto" w:fill="auto"/>
            <w:vAlign w:val="center"/>
            <w:hideMark/>
          </w:tcPr>
          <w:p w14:paraId="015DFC53" w14:textId="77777777" w:rsidR="001341B9" w:rsidRPr="001341B9" w:rsidRDefault="001341B9" w:rsidP="001341B9">
            <w:pPr>
              <w:spacing w:after="0" w:line="240" w:lineRule="auto"/>
              <w:jc w:val="right"/>
              <w:rPr>
                <w:rFonts w:cs="Arial"/>
                <w:sz w:val="16"/>
                <w:szCs w:val="16"/>
              </w:rPr>
            </w:pPr>
            <w:r w:rsidRPr="001341B9">
              <w:rPr>
                <w:rFonts w:cs="Arial"/>
                <w:sz w:val="16"/>
                <w:szCs w:val="16"/>
              </w:rPr>
              <w:t>2,1</w:t>
            </w:r>
          </w:p>
        </w:tc>
        <w:tc>
          <w:tcPr>
            <w:tcW w:w="740" w:type="dxa"/>
            <w:tcBorders>
              <w:top w:val="nil"/>
              <w:left w:val="single" w:sz="4" w:space="0" w:color="auto"/>
              <w:bottom w:val="nil"/>
              <w:right w:val="nil"/>
            </w:tcBorders>
            <w:shd w:val="clear" w:color="auto" w:fill="auto"/>
            <w:vAlign w:val="center"/>
            <w:hideMark/>
          </w:tcPr>
          <w:p w14:paraId="0DA5B5A0" w14:textId="77777777" w:rsidR="001341B9" w:rsidRPr="001341B9" w:rsidRDefault="001341B9" w:rsidP="001341B9">
            <w:pPr>
              <w:spacing w:after="0" w:line="240" w:lineRule="auto"/>
              <w:jc w:val="right"/>
              <w:rPr>
                <w:rFonts w:cs="Arial"/>
                <w:sz w:val="16"/>
                <w:szCs w:val="16"/>
              </w:rPr>
            </w:pPr>
            <w:r w:rsidRPr="001341B9">
              <w:rPr>
                <w:rFonts w:cs="Arial"/>
                <w:sz w:val="16"/>
                <w:szCs w:val="16"/>
              </w:rPr>
              <w:t>13,2</w:t>
            </w:r>
          </w:p>
        </w:tc>
        <w:tc>
          <w:tcPr>
            <w:tcW w:w="738" w:type="dxa"/>
            <w:tcBorders>
              <w:top w:val="nil"/>
              <w:left w:val="nil"/>
              <w:bottom w:val="nil"/>
              <w:right w:val="nil"/>
            </w:tcBorders>
            <w:shd w:val="clear" w:color="auto" w:fill="auto"/>
            <w:vAlign w:val="center"/>
            <w:hideMark/>
          </w:tcPr>
          <w:p w14:paraId="29357AD1" w14:textId="77777777" w:rsidR="001341B9" w:rsidRPr="001341B9" w:rsidRDefault="001341B9" w:rsidP="001341B9">
            <w:pPr>
              <w:spacing w:after="0" w:line="240" w:lineRule="auto"/>
              <w:jc w:val="right"/>
              <w:rPr>
                <w:rFonts w:cs="Arial"/>
                <w:sz w:val="16"/>
                <w:szCs w:val="16"/>
              </w:rPr>
            </w:pPr>
            <w:r w:rsidRPr="001341B9">
              <w:rPr>
                <w:rFonts w:cs="Arial"/>
                <w:sz w:val="16"/>
                <w:szCs w:val="16"/>
              </w:rPr>
              <w:t>8,7</w:t>
            </w:r>
          </w:p>
        </w:tc>
        <w:tc>
          <w:tcPr>
            <w:tcW w:w="738" w:type="dxa"/>
            <w:tcBorders>
              <w:top w:val="nil"/>
              <w:left w:val="nil"/>
              <w:bottom w:val="nil"/>
              <w:right w:val="nil"/>
            </w:tcBorders>
            <w:shd w:val="clear" w:color="auto" w:fill="auto"/>
            <w:vAlign w:val="center"/>
            <w:hideMark/>
          </w:tcPr>
          <w:p w14:paraId="03B5720B" w14:textId="77777777" w:rsidR="001341B9" w:rsidRPr="001341B9" w:rsidRDefault="001341B9" w:rsidP="001341B9">
            <w:pPr>
              <w:spacing w:after="0" w:line="240" w:lineRule="auto"/>
              <w:jc w:val="right"/>
              <w:rPr>
                <w:rFonts w:cs="Arial"/>
                <w:sz w:val="16"/>
                <w:szCs w:val="16"/>
              </w:rPr>
            </w:pPr>
            <w:r w:rsidRPr="001341B9">
              <w:rPr>
                <w:rFonts w:cs="Arial"/>
                <w:sz w:val="16"/>
                <w:szCs w:val="16"/>
              </w:rPr>
              <w:t>4,5</w:t>
            </w:r>
          </w:p>
        </w:tc>
      </w:tr>
      <w:tr w:rsidR="001341B9" w:rsidRPr="001341B9" w14:paraId="35371529"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7C5E43DF"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2011</w:t>
            </w:r>
          </w:p>
        </w:tc>
        <w:tc>
          <w:tcPr>
            <w:tcW w:w="740" w:type="dxa"/>
            <w:tcBorders>
              <w:top w:val="nil"/>
              <w:left w:val="nil"/>
              <w:bottom w:val="nil"/>
              <w:right w:val="nil"/>
            </w:tcBorders>
            <w:shd w:val="clear" w:color="auto" w:fill="auto"/>
            <w:vAlign w:val="center"/>
            <w:hideMark/>
          </w:tcPr>
          <w:p w14:paraId="475EC8BC" w14:textId="77777777" w:rsidR="001341B9" w:rsidRPr="001341B9" w:rsidRDefault="001341B9" w:rsidP="001341B9">
            <w:pPr>
              <w:spacing w:after="0" w:line="240" w:lineRule="auto"/>
              <w:jc w:val="right"/>
              <w:rPr>
                <w:rFonts w:cs="Arial"/>
                <w:sz w:val="16"/>
                <w:szCs w:val="16"/>
              </w:rPr>
            </w:pPr>
            <w:r w:rsidRPr="001341B9">
              <w:rPr>
                <w:rFonts w:cs="Arial"/>
                <w:sz w:val="16"/>
                <w:szCs w:val="16"/>
              </w:rPr>
              <w:t>153,2</w:t>
            </w:r>
          </w:p>
        </w:tc>
        <w:tc>
          <w:tcPr>
            <w:tcW w:w="739" w:type="dxa"/>
            <w:tcBorders>
              <w:top w:val="nil"/>
              <w:left w:val="nil"/>
              <w:bottom w:val="nil"/>
              <w:right w:val="nil"/>
            </w:tcBorders>
            <w:shd w:val="clear" w:color="auto" w:fill="auto"/>
            <w:vAlign w:val="center"/>
            <w:hideMark/>
          </w:tcPr>
          <w:p w14:paraId="1A479E8E" w14:textId="77777777" w:rsidR="001341B9" w:rsidRPr="001341B9" w:rsidRDefault="001341B9" w:rsidP="001341B9">
            <w:pPr>
              <w:spacing w:after="0" w:line="240" w:lineRule="auto"/>
              <w:jc w:val="right"/>
              <w:rPr>
                <w:rFonts w:cs="Arial"/>
                <w:sz w:val="16"/>
                <w:szCs w:val="16"/>
              </w:rPr>
            </w:pPr>
            <w:r w:rsidRPr="001341B9">
              <w:rPr>
                <w:rFonts w:cs="Arial"/>
                <w:sz w:val="16"/>
                <w:szCs w:val="16"/>
              </w:rPr>
              <w:t>71,2</w:t>
            </w:r>
          </w:p>
        </w:tc>
        <w:tc>
          <w:tcPr>
            <w:tcW w:w="739" w:type="dxa"/>
            <w:tcBorders>
              <w:top w:val="nil"/>
              <w:left w:val="nil"/>
              <w:bottom w:val="nil"/>
              <w:right w:val="single" w:sz="4" w:space="0" w:color="auto"/>
            </w:tcBorders>
            <w:shd w:val="clear" w:color="auto" w:fill="auto"/>
            <w:vAlign w:val="center"/>
            <w:hideMark/>
          </w:tcPr>
          <w:p w14:paraId="489A6149" w14:textId="77777777" w:rsidR="001341B9" w:rsidRPr="001341B9" w:rsidRDefault="001341B9" w:rsidP="001341B9">
            <w:pPr>
              <w:spacing w:after="0" w:line="240" w:lineRule="auto"/>
              <w:jc w:val="right"/>
              <w:rPr>
                <w:rFonts w:cs="Arial"/>
                <w:sz w:val="16"/>
                <w:szCs w:val="16"/>
              </w:rPr>
            </w:pPr>
            <w:r w:rsidRPr="001341B9">
              <w:rPr>
                <w:rFonts w:cs="Arial"/>
                <w:sz w:val="16"/>
                <w:szCs w:val="16"/>
              </w:rPr>
              <w:t>82,0</w:t>
            </w:r>
          </w:p>
        </w:tc>
        <w:tc>
          <w:tcPr>
            <w:tcW w:w="740" w:type="dxa"/>
            <w:tcBorders>
              <w:top w:val="nil"/>
              <w:left w:val="single" w:sz="4" w:space="0" w:color="auto"/>
              <w:bottom w:val="nil"/>
              <w:right w:val="nil"/>
            </w:tcBorders>
            <w:shd w:val="clear" w:color="auto" w:fill="auto"/>
            <w:vAlign w:val="center"/>
            <w:hideMark/>
          </w:tcPr>
          <w:p w14:paraId="65931418" w14:textId="77777777" w:rsidR="001341B9" w:rsidRPr="001341B9" w:rsidRDefault="001341B9" w:rsidP="001341B9">
            <w:pPr>
              <w:spacing w:after="0" w:line="240" w:lineRule="auto"/>
              <w:jc w:val="right"/>
              <w:rPr>
                <w:rFonts w:cs="Arial"/>
                <w:sz w:val="16"/>
                <w:szCs w:val="16"/>
              </w:rPr>
            </w:pPr>
            <w:r w:rsidRPr="001341B9">
              <w:rPr>
                <w:rFonts w:cs="Arial"/>
                <w:sz w:val="16"/>
                <w:szCs w:val="16"/>
              </w:rPr>
              <w:t>133,6</w:t>
            </w:r>
          </w:p>
        </w:tc>
        <w:tc>
          <w:tcPr>
            <w:tcW w:w="738" w:type="dxa"/>
            <w:tcBorders>
              <w:top w:val="nil"/>
              <w:left w:val="nil"/>
              <w:bottom w:val="nil"/>
              <w:right w:val="nil"/>
            </w:tcBorders>
            <w:shd w:val="clear" w:color="auto" w:fill="auto"/>
            <w:vAlign w:val="center"/>
            <w:hideMark/>
          </w:tcPr>
          <w:p w14:paraId="5676D01B" w14:textId="77777777" w:rsidR="001341B9" w:rsidRPr="001341B9" w:rsidRDefault="001341B9" w:rsidP="001341B9">
            <w:pPr>
              <w:spacing w:after="0" w:line="240" w:lineRule="auto"/>
              <w:jc w:val="right"/>
              <w:rPr>
                <w:rFonts w:cs="Arial"/>
                <w:sz w:val="16"/>
                <w:szCs w:val="16"/>
              </w:rPr>
            </w:pPr>
            <w:r w:rsidRPr="001341B9">
              <w:rPr>
                <w:rFonts w:cs="Arial"/>
                <w:sz w:val="16"/>
                <w:szCs w:val="16"/>
              </w:rPr>
              <w:t>57,9</w:t>
            </w:r>
          </w:p>
        </w:tc>
        <w:tc>
          <w:tcPr>
            <w:tcW w:w="739" w:type="dxa"/>
            <w:tcBorders>
              <w:top w:val="nil"/>
              <w:left w:val="nil"/>
              <w:bottom w:val="nil"/>
              <w:right w:val="single" w:sz="4" w:space="0" w:color="auto"/>
            </w:tcBorders>
            <w:shd w:val="clear" w:color="auto" w:fill="auto"/>
            <w:vAlign w:val="center"/>
            <w:hideMark/>
          </w:tcPr>
          <w:p w14:paraId="271A9186" w14:textId="77777777" w:rsidR="001341B9" w:rsidRPr="001341B9" w:rsidRDefault="001341B9" w:rsidP="001341B9">
            <w:pPr>
              <w:spacing w:after="0" w:line="240" w:lineRule="auto"/>
              <w:jc w:val="right"/>
              <w:rPr>
                <w:rFonts w:cs="Arial"/>
                <w:sz w:val="16"/>
                <w:szCs w:val="16"/>
              </w:rPr>
            </w:pPr>
            <w:r w:rsidRPr="001341B9">
              <w:rPr>
                <w:rFonts w:cs="Arial"/>
                <w:sz w:val="16"/>
                <w:szCs w:val="16"/>
              </w:rPr>
              <w:t>75,7</w:t>
            </w:r>
          </w:p>
        </w:tc>
        <w:tc>
          <w:tcPr>
            <w:tcW w:w="754" w:type="dxa"/>
            <w:tcBorders>
              <w:top w:val="nil"/>
              <w:left w:val="single" w:sz="4" w:space="0" w:color="auto"/>
              <w:bottom w:val="nil"/>
              <w:right w:val="nil"/>
            </w:tcBorders>
            <w:shd w:val="clear" w:color="auto" w:fill="auto"/>
            <w:vAlign w:val="center"/>
            <w:hideMark/>
          </w:tcPr>
          <w:p w14:paraId="414D82DE" w14:textId="77777777" w:rsidR="001341B9" w:rsidRPr="001341B9" w:rsidRDefault="001341B9" w:rsidP="001341B9">
            <w:pPr>
              <w:spacing w:after="0" w:line="240" w:lineRule="auto"/>
              <w:jc w:val="right"/>
              <w:rPr>
                <w:rFonts w:cs="Arial"/>
                <w:sz w:val="16"/>
                <w:szCs w:val="16"/>
              </w:rPr>
            </w:pPr>
            <w:r w:rsidRPr="001341B9">
              <w:rPr>
                <w:rFonts w:cs="Arial"/>
                <w:sz w:val="16"/>
                <w:szCs w:val="16"/>
              </w:rPr>
              <w:t>7,1</w:t>
            </w:r>
          </w:p>
        </w:tc>
        <w:tc>
          <w:tcPr>
            <w:tcW w:w="738" w:type="dxa"/>
            <w:tcBorders>
              <w:top w:val="nil"/>
              <w:left w:val="nil"/>
              <w:bottom w:val="nil"/>
              <w:right w:val="nil"/>
            </w:tcBorders>
            <w:shd w:val="clear" w:color="auto" w:fill="auto"/>
            <w:vAlign w:val="center"/>
            <w:hideMark/>
          </w:tcPr>
          <w:p w14:paraId="55A25989" w14:textId="77777777" w:rsidR="001341B9" w:rsidRPr="001341B9" w:rsidRDefault="001341B9" w:rsidP="001341B9">
            <w:pPr>
              <w:spacing w:after="0" w:line="240" w:lineRule="auto"/>
              <w:jc w:val="right"/>
              <w:rPr>
                <w:rFonts w:cs="Arial"/>
                <w:sz w:val="16"/>
                <w:szCs w:val="16"/>
              </w:rPr>
            </w:pPr>
            <w:r w:rsidRPr="001341B9">
              <w:rPr>
                <w:rFonts w:cs="Arial"/>
                <w:sz w:val="16"/>
                <w:szCs w:val="16"/>
              </w:rPr>
              <w:t>5,1</w:t>
            </w:r>
          </w:p>
        </w:tc>
        <w:tc>
          <w:tcPr>
            <w:tcW w:w="738" w:type="dxa"/>
            <w:tcBorders>
              <w:top w:val="nil"/>
              <w:left w:val="nil"/>
              <w:bottom w:val="nil"/>
              <w:right w:val="single" w:sz="4" w:space="0" w:color="auto"/>
            </w:tcBorders>
            <w:shd w:val="clear" w:color="auto" w:fill="auto"/>
            <w:vAlign w:val="center"/>
            <w:hideMark/>
          </w:tcPr>
          <w:p w14:paraId="5051C345" w14:textId="77777777" w:rsidR="001341B9" w:rsidRPr="001341B9" w:rsidRDefault="001341B9" w:rsidP="001341B9">
            <w:pPr>
              <w:spacing w:after="0" w:line="240" w:lineRule="auto"/>
              <w:jc w:val="right"/>
              <w:rPr>
                <w:rFonts w:cs="Arial"/>
                <w:sz w:val="16"/>
                <w:szCs w:val="16"/>
              </w:rPr>
            </w:pPr>
            <w:r w:rsidRPr="001341B9">
              <w:rPr>
                <w:rFonts w:cs="Arial"/>
                <w:sz w:val="16"/>
                <w:szCs w:val="16"/>
              </w:rPr>
              <w:t>2,0</w:t>
            </w:r>
          </w:p>
        </w:tc>
        <w:tc>
          <w:tcPr>
            <w:tcW w:w="740" w:type="dxa"/>
            <w:tcBorders>
              <w:top w:val="nil"/>
              <w:left w:val="single" w:sz="4" w:space="0" w:color="auto"/>
              <w:bottom w:val="nil"/>
              <w:right w:val="nil"/>
            </w:tcBorders>
            <w:shd w:val="clear" w:color="auto" w:fill="auto"/>
            <w:vAlign w:val="center"/>
            <w:hideMark/>
          </w:tcPr>
          <w:p w14:paraId="6BBD1A7C" w14:textId="77777777" w:rsidR="001341B9" w:rsidRPr="001341B9" w:rsidRDefault="001341B9" w:rsidP="001341B9">
            <w:pPr>
              <w:spacing w:after="0" w:line="240" w:lineRule="auto"/>
              <w:jc w:val="right"/>
              <w:rPr>
                <w:rFonts w:cs="Arial"/>
                <w:sz w:val="16"/>
                <w:szCs w:val="16"/>
              </w:rPr>
            </w:pPr>
            <w:r w:rsidRPr="001341B9">
              <w:rPr>
                <w:rFonts w:cs="Arial"/>
                <w:sz w:val="16"/>
                <w:szCs w:val="16"/>
              </w:rPr>
              <w:t>12,5</w:t>
            </w:r>
          </w:p>
        </w:tc>
        <w:tc>
          <w:tcPr>
            <w:tcW w:w="738" w:type="dxa"/>
            <w:tcBorders>
              <w:top w:val="nil"/>
              <w:left w:val="nil"/>
              <w:bottom w:val="nil"/>
              <w:right w:val="nil"/>
            </w:tcBorders>
            <w:shd w:val="clear" w:color="auto" w:fill="auto"/>
            <w:vAlign w:val="center"/>
            <w:hideMark/>
          </w:tcPr>
          <w:p w14:paraId="50AE00E1" w14:textId="77777777" w:rsidR="001341B9" w:rsidRPr="001341B9" w:rsidRDefault="001341B9" w:rsidP="001341B9">
            <w:pPr>
              <w:spacing w:after="0" w:line="240" w:lineRule="auto"/>
              <w:jc w:val="right"/>
              <w:rPr>
                <w:rFonts w:cs="Arial"/>
                <w:sz w:val="16"/>
                <w:szCs w:val="16"/>
              </w:rPr>
            </w:pPr>
            <w:r w:rsidRPr="001341B9">
              <w:rPr>
                <w:rFonts w:cs="Arial"/>
                <w:sz w:val="16"/>
                <w:szCs w:val="16"/>
              </w:rPr>
              <w:t>8,2</w:t>
            </w:r>
          </w:p>
        </w:tc>
        <w:tc>
          <w:tcPr>
            <w:tcW w:w="738" w:type="dxa"/>
            <w:tcBorders>
              <w:top w:val="nil"/>
              <w:left w:val="nil"/>
              <w:bottom w:val="nil"/>
              <w:right w:val="nil"/>
            </w:tcBorders>
            <w:shd w:val="clear" w:color="auto" w:fill="auto"/>
            <w:vAlign w:val="center"/>
            <w:hideMark/>
          </w:tcPr>
          <w:p w14:paraId="3E649F11" w14:textId="77777777" w:rsidR="001341B9" w:rsidRPr="001341B9" w:rsidRDefault="001341B9" w:rsidP="001341B9">
            <w:pPr>
              <w:spacing w:after="0" w:line="240" w:lineRule="auto"/>
              <w:jc w:val="right"/>
              <w:rPr>
                <w:rFonts w:cs="Arial"/>
                <w:sz w:val="16"/>
                <w:szCs w:val="16"/>
              </w:rPr>
            </w:pPr>
            <w:r w:rsidRPr="001341B9">
              <w:rPr>
                <w:rFonts w:cs="Arial"/>
                <w:sz w:val="16"/>
                <w:szCs w:val="16"/>
              </w:rPr>
              <w:t>4,3</w:t>
            </w:r>
          </w:p>
        </w:tc>
      </w:tr>
      <w:tr w:rsidR="001341B9" w:rsidRPr="001341B9" w14:paraId="5591263C"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1D339266"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2012</w:t>
            </w:r>
          </w:p>
        </w:tc>
        <w:tc>
          <w:tcPr>
            <w:tcW w:w="740" w:type="dxa"/>
            <w:tcBorders>
              <w:top w:val="nil"/>
              <w:left w:val="nil"/>
              <w:bottom w:val="nil"/>
              <w:right w:val="nil"/>
            </w:tcBorders>
            <w:shd w:val="clear" w:color="auto" w:fill="auto"/>
            <w:vAlign w:val="center"/>
            <w:hideMark/>
          </w:tcPr>
          <w:p w14:paraId="5E8417FD" w14:textId="77777777" w:rsidR="001341B9" w:rsidRPr="001341B9" w:rsidRDefault="001341B9" w:rsidP="001341B9">
            <w:pPr>
              <w:spacing w:after="0" w:line="240" w:lineRule="auto"/>
              <w:jc w:val="right"/>
              <w:rPr>
                <w:rFonts w:cs="Arial"/>
                <w:sz w:val="16"/>
                <w:szCs w:val="16"/>
              </w:rPr>
            </w:pPr>
            <w:r w:rsidRPr="001341B9">
              <w:rPr>
                <w:rFonts w:cs="Arial"/>
                <w:sz w:val="16"/>
                <w:szCs w:val="16"/>
              </w:rPr>
              <w:t>154,4</w:t>
            </w:r>
          </w:p>
        </w:tc>
        <w:tc>
          <w:tcPr>
            <w:tcW w:w="739" w:type="dxa"/>
            <w:tcBorders>
              <w:top w:val="nil"/>
              <w:left w:val="nil"/>
              <w:bottom w:val="nil"/>
              <w:right w:val="nil"/>
            </w:tcBorders>
            <w:shd w:val="clear" w:color="auto" w:fill="auto"/>
            <w:vAlign w:val="center"/>
            <w:hideMark/>
          </w:tcPr>
          <w:p w14:paraId="0C9922F3" w14:textId="77777777" w:rsidR="001341B9" w:rsidRPr="001341B9" w:rsidRDefault="001341B9" w:rsidP="001341B9">
            <w:pPr>
              <w:spacing w:after="0" w:line="240" w:lineRule="auto"/>
              <w:jc w:val="right"/>
              <w:rPr>
                <w:rFonts w:cs="Arial"/>
                <w:sz w:val="16"/>
                <w:szCs w:val="16"/>
              </w:rPr>
            </w:pPr>
            <w:r w:rsidRPr="001341B9">
              <w:rPr>
                <w:rFonts w:cs="Arial"/>
                <w:sz w:val="16"/>
                <w:szCs w:val="16"/>
              </w:rPr>
              <w:t>71,6</w:t>
            </w:r>
          </w:p>
        </w:tc>
        <w:tc>
          <w:tcPr>
            <w:tcW w:w="739" w:type="dxa"/>
            <w:tcBorders>
              <w:top w:val="nil"/>
              <w:left w:val="nil"/>
              <w:bottom w:val="nil"/>
              <w:right w:val="single" w:sz="4" w:space="0" w:color="auto"/>
            </w:tcBorders>
            <w:shd w:val="clear" w:color="auto" w:fill="auto"/>
            <w:vAlign w:val="center"/>
            <w:hideMark/>
          </w:tcPr>
          <w:p w14:paraId="69DE762D" w14:textId="77777777" w:rsidR="001341B9" w:rsidRPr="001341B9" w:rsidRDefault="001341B9" w:rsidP="001341B9">
            <w:pPr>
              <w:spacing w:after="0" w:line="240" w:lineRule="auto"/>
              <w:jc w:val="right"/>
              <w:rPr>
                <w:rFonts w:cs="Arial"/>
                <w:sz w:val="16"/>
                <w:szCs w:val="16"/>
              </w:rPr>
            </w:pPr>
            <w:r w:rsidRPr="001341B9">
              <w:rPr>
                <w:rFonts w:cs="Arial"/>
                <w:sz w:val="16"/>
                <w:szCs w:val="16"/>
              </w:rPr>
              <w:t>82,8</w:t>
            </w:r>
          </w:p>
        </w:tc>
        <w:tc>
          <w:tcPr>
            <w:tcW w:w="740" w:type="dxa"/>
            <w:tcBorders>
              <w:top w:val="nil"/>
              <w:left w:val="single" w:sz="4" w:space="0" w:color="auto"/>
              <w:bottom w:val="nil"/>
              <w:right w:val="nil"/>
            </w:tcBorders>
            <w:shd w:val="clear" w:color="auto" w:fill="auto"/>
            <w:vAlign w:val="center"/>
            <w:hideMark/>
          </w:tcPr>
          <w:p w14:paraId="16689B81" w14:textId="77777777" w:rsidR="001341B9" w:rsidRPr="001341B9" w:rsidRDefault="001341B9" w:rsidP="001341B9">
            <w:pPr>
              <w:spacing w:after="0" w:line="240" w:lineRule="auto"/>
              <w:jc w:val="right"/>
              <w:rPr>
                <w:rFonts w:cs="Arial"/>
                <w:sz w:val="16"/>
                <w:szCs w:val="16"/>
              </w:rPr>
            </w:pPr>
            <w:r w:rsidRPr="001341B9">
              <w:rPr>
                <w:rFonts w:cs="Arial"/>
                <w:sz w:val="16"/>
                <w:szCs w:val="16"/>
              </w:rPr>
              <w:t>130,3</w:t>
            </w:r>
          </w:p>
        </w:tc>
        <w:tc>
          <w:tcPr>
            <w:tcW w:w="738" w:type="dxa"/>
            <w:tcBorders>
              <w:top w:val="nil"/>
              <w:left w:val="nil"/>
              <w:bottom w:val="nil"/>
              <w:right w:val="nil"/>
            </w:tcBorders>
            <w:shd w:val="clear" w:color="auto" w:fill="auto"/>
            <w:vAlign w:val="center"/>
            <w:hideMark/>
          </w:tcPr>
          <w:p w14:paraId="462260B4" w14:textId="77777777" w:rsidR="001341B9" w:rsidRPr="001341B9" w:rsidRDefault="001341B9" w:rsidP="001341B9">
            <w:pPr>
              <w:spacing w:after="0" w:line="240" w:lineRule="auto"/>
              <w:jc w:val="right"/>
              <w:rPr>
                <w:rFonts w:cs="Arial"/>
                <w:sz w:val="16"/>
                <w:szCs w:val="16"/>
              </w:rPr>
            </w:pPr>
            <w:r w:rsidRPr="001341B9">
              <w:rPr>
                <w:rFonts w:cs="Arial"/>
                <w:sz w:val="16"/>
                <w:szCs w:val="16"/>
              </w:rPr>
              <w:t>55,6</w:t>
            </w:r>
          </w:p>
        </w:tc>
        <w:tc>
          <w:tcPr>
            <w:tcW w:w="739" w:type="dxa"/>
            <w:tcBorders>
              <w:top w:val="nil"/>
              <w:left w:val="nil"/>
              <w:bottom w:val="nil"/>
              <w:right w:val="single" w:sz="4" w:space="0" w:color="auto"/>
            </w:tcBorders>
            <w:shd w:val="clear" w:color="auto" w:fill="auto"/>
            <w:vAlign w:val="center"/>
            <w:hideMark/>
          </w:tcPr>
          <w:p w14:paraId="2FE4C61D" w14:textId="77777777" w:rsidR="001341B9" w:rsidRPr="001341B9" w:rsidRDefault="001341B9" w:rsidP="001341B9">
            <w:pPr>
              <w:spacing w:after="0" w:line="240" w:lineRule="auto"/>
              <w:jc w:val="right"/>
              <w:rPr>
                <w:rFonts w:cs="Arial"/>
                <w:sz w:val="16"/>
                <w:szCs w:val="16"/>
              </w:rPr>
            </w:pPr>
            <w:r w:rsidRPr="001341B9">
              <w:rPr>
                <w:rFonts w:cs="Arial"/>
                <w:sz w:val="16"/>
                <w:szCs w:val="16"/>
              </w:rPr>
              <w:t>74,7</w:t>
            </w:r>
          </w:p>
        </w:tc>
        <w:tc>
          <w:tcPr>
            <w:tcW w:w="754" w:type="dxa"/>
            <w:tcBorders>
              <w:top w:val="nil"/>
              <w:left w:val="single" w:sz="4" w:space="0" w:color="auto"/>
              <w:bottom w:val="nil"/>
              <w:right w:val="nil"/>
            </w:tcBorders>
            <w:shd w:val="clear" w:color="auto" w:fill="auto"/>
            <w:vAlign w:val="center"/>
            <w:hideMark/>
          </w:tcPr>
          <w:p w14:paraId="76910F83" w14:textId="77777777" w:rsidR="001341B9" w:rsidRPr="001341B9" w:rsidRDefault="001341B9" w:rsidP="001341B9">
            <w:pPr>
              <w:spacing w:after="0" w:line="240" w:lineRule="auto"/>
              <w:jc w:val="right"/>
              <w:rPr>
                <w:rFonts w:cs="Arial"/>
                <w:sz w:val="16"/>
                <w:szCs w:val="16"/>
              </w:rPr>
            </w:pPr>
            <w:r w:rsidRPr="001341B9">
              <w:rPr>
                <w:rFonts w:cs="Arial"/>
                <w:sz w:val="16"/>
                <w:szCs w:val="16"/>
              </w:rPr>
              <w:t>6,6</w:t>
            </w:r>
          </w:p>
        </w:tc>
        <w:tc>
          <w:tcPr>
            <w:tcW w:w="738" w:type="dxa"/>
            <w:tcBorders>
              <w:top w:val="nil"/>
              <w:left w:val="nil"/>
              <w:bottom w:val="nil"/>
              <w:right w:val="nil"/>
            </w:tcBorders>
            <w:shd w:val="clear" w:color="auto" w:fill="auto"/>
            <w:vAlign w:val="center"/>
            <w:hideMark/>
          </w:tcPr>
          <w:p w14:paraId="360D11A5" w14:textId="77777777" w:rsidR="001341B9" w:rsidRPr="001341B9" w:rsidRDefault="001341B9" w:rsidP="001341B9">
            <w:pPr>
              <w:spacing w:after="0" w:line="240" w:lineRule="auto"/>
              <w:jc w:val="right"/>
              <w:rPr>
                <w:rFonts w:cs="Arial"/>
                <w:sz w:val="16"/>
                <w:szCs w:val="16"/>
              </w:rPr>
            </w:pPr>
            <w:r w:rsidRPr="001341B9">
              <w:rPr>
                <w:rFonts w:cs="Arial"/>
                <w:sz w:val="16"/>
                <w:szCs w:val="16"/>
              </w:rPr>
              <w:t>4,7</w:t>
            </w:r>
          </w:p>
        </w:tc>
        <w:tc>
          <w:tcPr>
            <w:tcW w:w="738" w:type="dxa"/>
            <w:tcBorders>
              <w:top w:val="nil"/>
              <w:left w:val="nil"/>
              <w:bottom w:val="nil"/>
              <w:right w:val="single" w:sz="4" w:space="0" w:color="auto"/>
            </w:tcBorders>
            <w:shd w:val="clear" w:color="auto" w:fill="auto"/>
            <w:vAlign w:val="center"/>
            <w:hideMark/>
          </w:tcPr>
          <w:p w14:paraId="2E6AC6ED" w14:textId="77777777" w:rsidR="001341B9" w:rsidRPr="001341B9" w:rsidRDefault="001341B9" w:rsidP="001341B9">
            <w:pPr>
              <w:spacing w:after="0" w:line="240" w:lineRule="auto"/>
              <w:jc w:val="right"/>
              <w:rPr>
                <w:rFonts w:cs="Arial"/>
                <w:sz w:val="16"/>
                <w:szCs w:val="16"/>
              </w:rPr>
            </w:pPr>
            <w:r w:rsidRPr="001341B9">
              <w:rPr>
                <w:rFonts w:cs="Arial"/>
                <w:sz w:val="16"/>
                <w:szCs w:val="16"/>
              </w:rPr>
              <w:t>1,9</w:t>
            </w:r>
          </w:p>
        </w:tc>
        <w:tc>
          <w:tcPr>
            <w:tcW w:w="740" w:type="dxa"/>
            <w:tcBorders>
              <w:top w:val="nil"/>
              <w:left w:val="single" w:sz="4" w:space="0" w:color="auto"/>
              <w:bottom w:val="nil"/>
              <w:right w:val="nil"/>
            </w:tcBorders>
            <w:shd w:val="clear" w:color="auto" w:fill="auto"/>
            <w:vAlign w:val="center"/>
            <w:hideMark/>
          </w:tcPr>
          <w:p w14:paraId="515E3FB9" w14:textId="77777777" w:rsidR="001341B9" w:rsidRPr="001341B9" w:rsidRDefault="001341B9" w:rsidP="001341B9">
            <w:pPr>
              <w:spacing w:after="0" w:line="240" w:lineRule="auto"/>
              <w:jc w:val="right"/>
              <w:rPr>
                <w:rFonts w:cs="Arial"/>
                <w:sz w:val="16"/>
                <w:szCs w:val="16"/>
              </w:rPr>
            </w:pPr>
            <w:r w:rsidRPr="001341B9">
              <w:rPr>
                <w:rFonts w:cs="Arial"/>
                <w:sz w:val="16"/>
                <w:szCs w:val="16"/>
              </w:rPr>
              <w:t>17,5</w:t>
            </w:r>
          </w:p>
        </w:tc>
        <w:tc>
          <w:tcPr>
            <w:tcW w:w="738" w:type="dxa"/>
            <w:tcBorders>
              <w:top w:val="nil"/>
              <w:left w:val="nil"/>
              <w:bottom w:val="nil"/>
              <w:right w:val="nil"/>
            </w:tcBorders>
            <w:shd w:val="clear" w:color="auto" w:fill="auto"/>
            <w:vAlign w:val="center"/>
            <w:hideMark/>
          </w:tcPr>
          <w:p w14:paraId="27BF7CF1" w14:textId="77777777" w:rsidR="001341B9" w:rsidRPr="001341B9" w:rsidRDefault="001341B9" w:rsidP="001341B9">
            <w:pPr>
              <w:spacing w:after="0" w:line="240" w:lineRule="auto"/>
              <w:jc w:val="right"/>
              <w:rPr>
                <w:rFonts w:cs="Arial"/>
                <w:sz w:val="16"/>
                <w:szCs w:val="16"/>
              </w:rPr>
            </w:pPr>
            <w:r w:rsidRPr="001341B9">
              <w:rPr>
                <w:rFonts w:cs="Arial"/>
                <w:sz w:val="16"/>
                <w:szCs w:val="16"/>
              </w:rPr>
              <w:t>11,3</w:t>
            </w:r>
          </w:p>
        </w:tc>
        <w:tc>
          <w:tcPr>
            <w:tcW w:w="738" w:type="dxa"/>
            <w:tcBorders>
              <w:top w:val="nil"/>
              <w:left w:val="nil"/>
              <w:bottom w:val="nil"/>
              <w:right w:val="nil"/>
            </w:tcBorders>
            <w:shd w:val="clear" w:color="auto" w:fill="auto"/>
            <w:vAlign w:val="center"/>
            <w:hideMark/>
          </w:tcPr>
          <w:p w14:paraId="7828F021" w14:textId="77777777" w:rsidR="001341B9" w:rsidRPr="001341B9" w:rsidRDefault="001341B9" w:rsidP="001341B9">
            <w:pPr>
              <w:spacing w:after="0" w:line="240" w:lineRule="auto"/>
              <w:jc w:val="right"/>
              <w:rPr>
                <w:rFonts w:cs="Arial"/>
                <w:sz w:val="16"/>
                <w:szCs w:val="16"/>
              </w:rPr>
            </w:pPr>
            <w:r w:rsidRPr="001341B9">
              <w:rPr>
                <w:rFonts w:cs="Arial"/>
                <w:sz w:val="16"/>
                <w:szCs w:val="16"/>
              </w:rPr>
              <w:t>6,2</w:t>
            </w:r>
          </w:p>
        </w:tc>
      </w:tr>
      <w:tr w:rsidR="001341B9" w:rsidRPr="001341B9" w14:paraId="76356447"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3C74BC91"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2013</w:t>
            </w:r>
          </w:p>
        </w:tc>
        <w:tc>
          <w:tcPr>
            <w:tcW w:w="740" w:type="dxa"/>
            <w:tcBorders>
              <w:top w:val="nil"/>
              <w:left w:val="nil"/>
              <w:bottom w:val="nil"/>
              <w:right w:val="nil"/>
            </w:tcBorders>
            <w:shd w:val="clear" w:color="auto" w:fill="auto"/>
            <w:vAlign w:val="center"/>
            <w:hideMark/>
          </w:tcPr>
          <w:p w14:paraId="6572C850" w14:textId="77777777" w:rsidR="001341B9" w:rsidRPr="001341B9" w:rsidRDefault="001341B9" w:rsidP="001341B9">
            <w:pPr>
              <w:spacing w:after="0" w:line="240" w:lineRule="auto"/>
              <w:jc w:val="right"/>
              <w:rPr>
                <w:rFonts w:cs="Arial"/>
                <w:sz w:val="16"/>
                <w:szCs w:val="16"/>
              </w:rPr>
            </w:pPr>
            <w:r w:rsidRPr="001341B9">
              <w:rPr>
                <w:rFonts w:cs="Arial"/>
                <w:sz w:val="16"/>
                <w:szCs w:val="16"/>
              </w:rPr>
              <w:t>160,5</w:t>
            </w:r>
          </w:p>
        </w:tc>
        <w:tc>
          <w:tcPr>
            <w:tcW w:w="739" w:type="dxa"/>
            <w:tcBorders>
              <w:top w:val="nil"/>
              <w:left w:val="nil"/>
              <w:bottom w:val="nil"/>
              <w:right w:val="nil"/>
            </w:tcBorders>
            <w:shd w:val="clear" w:color="auto" w:fill="auto"/>
            <w:vAlign w:val="center"/>
            <w:hideMark/>
          </w:tcPr>
          <w:p w14:paraId="7F7B8365" w14:textId="77777777" w:rsidR="001341B9" w:rsidRPr="001341B9" w:rsidRDefault="001341B9" w:rsidP="001341B9">
            <w:pPr>
              <w:spacing w:after="0" w:line="240" w:lineRule="auto"/>
              <w:jc w:val="right"/>
              <w:rPr>
                <w:rFonts w:cs="Arial"/>
                <w:sz w:val="16"/>
                <w:szCs w:val="16"/>
              </w:rPr>
            </w:pPr>
            <w:r w:rsidRPr="001341B9">
              <w:rPr>
                <w:rFonts w:cs="Arial"/>
                <w:sz w:val="16"/>
                <w:szCs w:val="16"/>
              </w:rPr>
              <w:t>74,0</w:t>
            </w:r>
          </w:p>
        </w:tc>
        <w:tc>
          <w:tcPr>
            <w:tcW w:w="739" w:type="dxa"/>
            <w:tcBorders>
              <w:top w:val="nil"/>
              <w:left w:val="nil"/>
              <w:bottom w:val="nil"/>
              <w:right w:val="single" w:sz="4" w:space="0" w:color="auto"/>
            </w:tcBorders>
            <w:shd w:val="clear" w:color="auto" w:fill="auto"/>
            <w:vAlign w:val="center"/>
            <w:hideMark/>
          </w:tcPr>
          <w:p w14:paraId="406CADD5" w14:textId="77777777" w:rsidR="001341B9" w:rsidRPr="001341B9" w:rsidRDefault="001341B9" w:rsidP="001341B9">
            <w:pPr>
              <w:spacing w:after="0" w:line="240" w:lineRule="auto"/>
              <w:jc w:val="right"/>
              <w:rPr>
                <w:rFonts w:cs="Arial"/>
                <w:sz w:val="16"/>
                <w:szCs w:val="16"/>
              </w:rPr>
            </w:pPr>
            <w:r w:rsidRPr="001341B9">
              <w:rPr>
                <w:rFonts w:cs="Arial"/>
                <w:sz w:val="16"/>
                <w:szCs w:val="16"/>
              </w:rPr>
              <w:t>86,5</w:t>
            </w:r>
          </w:p>
        </w:tc>
        <w:tc>
          <w:tcPr>
            <w:tcW w:w="740" w:type="dxa"/>
            <w:tcBorders>
              <w:top w:val="nil"/>
              <w:left w:val="single" w:sz="4" w:space="0" w:color="auto"/>
              <w:bottom w:val="nil"/>
              <w:right w:val="nil"/>
            </w:tcBorders>
            <w:shd w:val="clear" w:color="auto" w:fill="auto"/>
            <w:vAlign w:val="center"/>
            <w:hideMark/>
          </w:tcPr>
          <w:p w14:paraId="24558CD6" w14:textId="77777777" w:rsidR="001341B9" w:rsidRPr="001341B9" w:rsidRDefault="001341B9" w:rsidP="001341B9">
            <w:pPr>
              <w:spacing w:after="0" w:line="240" w:lineRule="auto"/>
              <w:jc w:val="right"/>
              <w:rPr>
                <w:rFonts w:cs="Arial"/>
                <w:sz w:val="16"/>
                <w:szCs w:val="16"/>
              </w:rPr>
            </w:pPr>
            <w:r w:rsidRPr="001341B9">
              <w:rPr>
                <w:rFonts w:cs="Arial"/>
                <w:sz w:val="16"/>
                <w:szCs w:val="16"/>
              </w:rPr>
              <w:t>135,9</w:t>
            </w:r>
          </w:p>
        </w:tc>
        <w:tc>
          <w:tcPr>
            <w:tcW w:w="738" w:type="dxa"/>
            <w:tcBorders>
              <w:top w:val="nil"/>
              <w:left w:val="nil"/>
              <w:bottom w:val="nil"/>
              <w:right w:val="nil"/>
            </w:tcBorders>
            <w:shd w:val="clear" w:color="auto" w:fill="auto"/>
            <w:vAlign w:val="center"/>
            <w:hideMark/>
          </w:tcPr>
          <w:p w14:paraId="0108BA06" w14:textId="77777777" w:rsidR="001341B9" w:rsidRPr="001341B9" w:rsidRDefault="001341B9" w:rsidP="001341B9">
            <w:pPr>
              <w:spacing w:after="0" w:line="240" w:lineRule="auto"/>
              <w:jc w:val="right"/>
              <w:rPr>
                <w:rFonts w:cs="Arial"/>
                <w:sz w:val="16"/>
                <w:szCs w:val="16"/>
              </w:rPr>
            </w:pPr>
            <w:r w:rsidRPr="001341B9">
              <w:rPr>
                <w:rFonts w:cs="Arial"/>
                <w:sz w:val="16"/>
                <w:szCs w:val="16"/>
              </w:rPr>
              <w:t>58,0</w:t>
            </w:r>
          </w:p>
        </w:tc>
        <w:tc>
          <w:tcPr>
            <w:tcW w:w="739" w:type="dxa"/>
            <w:tcBorders>
              <w:top w:val="nil"/>
              <w:left w:val="nil"/>
              <w:bottom w:val="nil"/>
              <w:right w:val="single" w:sz="4" w:space="0" w:color="auto"/>
            </w:tcBorders>
            <w:shd w:val="clear" w:color="auto" w:fill="auto"/>
            <w:vAlign w:val="center"/>
            <w:hideMark/>
          </w:tcPr>
          <w:p w14:paraId="46D52835" w14:textId="77777777" w:rsidR="001341B9" w:rsidRPr="001341B9" w:rsidRDefault="001341B9" w:rsidP="001341B9">
            <w:pPr>
              <w:spacing w:after="0" w:line="240" w:lineRule="auto"/>
              <w:jc w:val="right"/>
              <w:rPr>
                <w:rFonts w:cs="Arial"/>
                <w:sz w:val="16"/>
                <w:szCs w:val="16"/>
              </w:rPr>
            </w:pPr>
            <w:r w:rsidRPr="001341B9">
              <w:rPr>
                <w:rFonts w:cs="Arial"/>
                <w:sz w:val="16"/>
                <w:szCs w:val="16"/>
              </w:rPr>
              <w:t>77,9</w:t>
            </w:r>
          </w:p>
        </w:tc>
        <w:tc>
          <w:tcPr>
            <w:tcW w:w="754" w:type="dxa"/>
            <w:tcBorders>
              <w:top w:val="nil"/>
              <w:left w:val="single" w:sz="4" w:space="0" w:color="auto"/>
              <w:bottom w:val="nil"/>
              <w:right w:val="nil"/>
            </w:tcBorders>
            <w:shd w:val="clear" w:color="auto" w:fill="auto"/>
            <w:vAlign w:val="center"/>
            <w:hideMark/>
          </w:tcPr>
          <w:p w14:paraId="7A7463A6" w14:textId="77777777" w:rsidR="001341B9" w:rsidRPr="001341B9" w:rsidRDefault="001341B9" w:rsidP="001341B9">
            <w:pPr>
              <w:spacing w:after="0" w:line="240" w:lineRule="auto"/>
              <w:jc w:val="right"/>
              <w:rPr>
                <w:rFonts w:cs="Arial"/>
                <w:sz w:val="16"/>
                <w:szCs w:val="16"/>
              </w:rPr>
            </w:pPr>
            <w:r w:rsidRPr="001341B9">
              <w:rPr>
                <w:rFonts w:cs="Arial"/>
                <w:sz w:val="16"/>
                <w:szCs w:val="16"/>
              </w:rPr>
              <w:t>6,5</w:t>
            </w:r>
          </w:p>
        </w:tc>
        <w:tc>
          <w:tcPr>
            <w:tcW w:w="738" w:type="dxa"/>
            <w:tcBorders>
              <w:top w:val="nil"/>
              <w:left w:val="nil"/>
              <w:bottom w:val="nil"/>
              <w:right w:val="nil"/>
            </w:tcBorders>
            <w:shd w:val="clear" w:color="auto" w:fill="auto"/>
            <w:vAlign w:val="center"/>
            <w:hideMark/>
          </w:tcPr>
          <w:p w14:paraId="5E1FE046" w14:textId="77777777" w:rsidR="001341B9" w:rsidRPr="001341B9" w:rsidRDefault="001341B9" w:rsidP="001341B9">
            <w:pPr>
              <w:spacing w:after="0" w:line="240" w:lineRule="auto"/>
              <w:jc w:val="right"/>
              <w:rPr>
                <w:rFonts w:cs="Arial"/>
                <w:sz w:val="16"/>
                <w:szCs w:val="16"/>
              </w:rPr>
            </w:pPr>
            <w:r w:rsidRPr="001341B9">
              <w:rPr>
                <w:rFonts w:cs="Arial"/>
                <w:sz w:val="16"/>
                <w:szCs w:val="16"/>
              </w:rPr>
              <w:t>4,6</w:t>
            </w:r>
          </w:p>
        </w:tc>
        <w:tc>
          <w:tcPr>
            <w:tcW w:w="738" w:type="dxa"/>
            <w:tcBorders>
              <w:top w:val="nil"/>
              <w:left w:val="nil"/>
              <w:bottom w:val="nil"/>
              <w:right w:val="single" w:sz="4" w:space="0" w:color="auto"/>
            </w:tcBorders>
            <w:shd w:val="clear" w:color="auto" w:fill="auto"/>
            <w:vAlign w:val="center"/>
            <w:hideMark/>
          </w:tcPr>
          <w:p w14:paraId="07EBB8C5" w14:textId="77777777" w:rsidR="001341B9" w:rsidRPr="001341B9" w:rsidRDefault="001341B9" w:rsidP="001341B9">
            <w:pPr>
              <w:spacing w:after="0" w:line="240" w:lineRule="auto"/>
              <w:jc w:val="right"/>
              <w:rPr>
                <w:rFonts w:cs="Arial"/>
                <w:sz w:val="16"/>
                <w:szCs w:val="16"/>
              </w:rPr>
            </w:pPr>
            <w:r w:rsidRPr="001341B9">
              <w:rPr>
                <w:rFonts w:cs="Arial"/>
                <w:sz w:val="16"/>
                <w:szCs w:val="16"/>
              </w:rPr>
              <w:t>1,9</w:t>
            </w:r>
          </w:p>
        </w:tc>
        <w:tc>
          <w:tcPr>
            <w:tcW w:w="740" w:type="dxa"/>
            <w:tcBorders>
              <w:top w:val="nil"/>
              <w:left w:val="single" w:sz="4" w:space="0" w:color="auto"/>
              <w:bottom w:val="nil"/>
              <w:right w:val="nil"/>
            </w:tcBorders>
            <w:shd w:val="clear" w:color="auto" w:fill="auto"/>
            <w:vAlign w:val="center"/>
            <w:hideMark/>
          </w:tcPr>
          <w:p w14:paraId="791C2126" w14:textId="77777777" w:rsidR="001341B9" w:rsidRPr="001341B9" w:rsidRDefault="001341B9" w:rsidP="001341B9">
            <w:pPr>
              <w:spacing w:after="0" w:line="240" w:lineRule="auto"/>
              <w:jc w:val="right"/>
              <w:rPr>
                <w:rFonts w:cs="Arial"/>
                <w:sz w:val="16"/>
                <w:szCs w:val="16"/>
              </w:rPr>
            </w:pPr>
            <w:r w:rsidRPr="001341B9">
              <w:rPr>
                <w:rFonts w:cs="Arial"/>
                <w:sz w:val="16"/>
                <w:szCs w:val="16"/>
              </w:rPr>
              <w:t>18,1</w:t>
            </w:r>
          </w:p>
        </w:tc>
        <w:tc>
          <w:tcPr>
            <w:tcW w:w="738" w:type="dxa"/>
            <w:tcBorders>
              <w:top w:val="nil"/>
              <w:left w:val="nil"/>
              <w:bottom w:val="nil"/>
              <w:right w:val="nil"/>
            </w:tcBorders>
            <w:shd w:val="clear" w:color="auto" w:fill="auto"/>
            <w:vAlign w:val="center"/>
            <w:hideMark/>
          </w:tcPr>
          <w:p w14:paraId="4730A8DD" w14:textId="77777777" w:rsidR="001341B9" w:rsidRPr="001341B9" w:rsidRDefault="001341B9" w:rsidP="001341B9">
            <w:pPr>
              <w:spacing w:after="0" w:line="240" w:lineRule="auto"/>
              <w:jc w:val="right"/>
              <w:rPr>
                <w:rFonts w:cs="Arial"/>
                <w:sz w:val="16"/>
                <w:szCs w:val="16"/>
              </w:rPr>
            </w:pPr>
            <w:r w:rsidRPr="001341B9">
              <w:rPr>
                <w:rFonts w:cs="Arial"/>
                <w:sz w:val="16"/>
                <w:szCs w:val="16"/>
              </w:rPr>
              <w:t>11,4</w:t>
            </w:r>
          </w:p>
        </w:tc>
        <w:tc>
          <w:tcPr>
            <w:tcW w:w="738" w:type="dxa"/>
            <w:tcBorders>
              <w:top w:val="nil"/>
              <w:left w:val="nil"/>
              <w:bottom w:val="nil"/>
              <w:right w:val="nil"/>
            </w:tcBorders>
            <w:shd w:val="clear" w:color="auto" w:fill="auto"/>
            <w:vAlign w:val="center"/>
            <w:hideMark/>
          </w:tcPr>
          <w:p w14:paraId="30CAFC14" w14:textId="77777777" w:rsidR="001341B9" w:rsidRPr="001341B9" w:rsidRDefault="001341B9" w:rsidP="001341B9">
            <w:pPr>
              <w:spacing w:after="0" w:line="240" w:lineRule="auto"/>
              <w:jc w:val="right"/>
              <w:rPr>
                <w:rFonts w:cs="Arial"/>
                <w:sz w:val="16"/>
                <w:szCs w:val="16"/>
              </w:rPr>
            </w:pPr>
            <w:r w:rsidRPr="001341B9">
              <w:rPr>
                <w:rFonts w:cs="Arial"/>
                <w:sz w:val="16"/>
                <w:szCs w:val="16"/>
              </w:rPr>
              <w:t>6,7</w:t>
            </w:r>
          </w:p>
        </w:tc>
      </w:tr>
      <w:tr w:rsidR="001341B9" w:rsidRPr="001341B9" w14:paraId="31D80B8D"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7954EFE6"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2014</w:t>
            </w:r>
          </w:p>
        </w:tc>
        <w:tc>
          <w:tcPr>
            <w:tcW w:w="740" w:type="dxa"/>
            <w:tcBorders>
              <w:top w:val="nil"/>
              <w:left w:val="nil"/>
              <w:bottom w:val="nil"/>
              <w:right w:val="nil"/>
            </w:tcBorders>
            <w:shd w:val="clear" w:color="auto" w:fill="auto"/>
            <w:vAlign w:val="center"/>
            <w:hideMark/>
          </w:tcPr>
          <w:p w14:paraId="4A84515A" w14:textId="77777777" w:rsidR="001341B9" w:rsidRPr="001341B9" w:rsidRDefault="001341B9" w:rsidP="001341B9">
            <w:pPr>
              <w:spacing w:after="0" w:line="240" w:lineRule="auto"/>
              <w:jc w:val="right"/>
              <w:rPr>
                <w:rFonts w:cs="Arial"/>
                <w:sz w:val="16"/>
                <w:szCs w:val="16"/>
              </w:rPr>
            </w:pPr>
            <w:r w:rsidRPr="001341B9">
              <w:rPr>
                <w:rFonts w:cs="Arial"/>
                <w:sz w:val="16"/>
                <w:szCs w:val="16"/>
              </w:rPr>
              <w:t>165,0</w:t>
            </w:r>
          </w:p>
        </w:tc>
        <w:tc>
          <w:tcPr>
            <w:tcW w:w="739" w:type="dxa"/>
            <w:tcBorders>
              <w:top w:val="nil"/>
              <w:left w:val="nil"/>
              <w:bottom w:val="nil"/>
              <w:right w:val="nil"/>
            </w:tcBorders>
            <w:shd w:val="clear" w:color="auto" w:fill="auto"/>
            <w:vAlign w:val="center"/>
            <w:hideMark/>
          </w:tcPr>
          <w:p w14:paraId="5131BAD8" w14:textId="77777777" w:rsidR="001341B9" w:rsidRPr="001341B9" w:rsidRDefault="001341B9" w:rsidP="001341B9">
            <w:pPr>
              <w:spacing w:after="0" w:line="240" w:lineRule="auto"/>
              <w:jc w:val="right"/>
              <w:rPr>
                <w:rFonts w:cs="Arial"/>
                <w:sz w:val="16"/>
                <w:szCs w:val="16"/>
              </w:rPr>
            </w:pPr>
            <w:r w:rsidRPr="001341B9">
              <w:rPr>
                <w:rFonts w:cs="Arial"/>
                <w:sz w:val="16"/>
                <w:szCs w:val="16"/>
              </w:rPr>
              <w:t>75,1</w:t>
            </w:r>
          </w:p>
        </w:tc>
        <w:tc>
          <w:tcPr>
            <w:tcW w:w="739" w:type="dxa"/>
            <w:tcBorders>
              <w:top w:val="nil"/>
              <w:left w:val="nil"/>
              <w:bottom w:val="nil"/>
              <w:right w:val="single" w:sz="4" w:space="0" w:color="auto"/>
            </w:tcBorders>
            <w:shd w:val="clear" w:color="auto" w:fill="auto"/>
            <w:vAlign w:val="center"/>
            <w:hideMark/>
          </w:tcPr>
          <w:p w14:paraId="7BD9BF71" w14:textId="77777777" w:rsidR="001341B9" w:rsidRPr="001341B9" w:rsidRDefault="001341B9" w:rsidP="001341B9">
            <w:pPr>
              <w:spacing w:after="0" w:line="240" w:lineRule="auto"/>
              <w:jc w:val="right"/>
              <w:rPr>
                <w:rFonts w:cs="Arial"/>
                <w:sz w:val="16"/>
                <w:szCs w:val="16"/>
              </w:rPr>
            </w:pPr>
            <w:r w:rsidRPr="001341B9">
              <w:rPr>
                <w:rFonts w:cs="Arial"/>
                <w:sz w:val="16"/>
                <w:szCs w:val="16"/>
              </w:rPr>
              <w:t>89,9</w:t>
            </w:r>
          </w:p>
        </w:tc>
        <w:tc>
          <w:tcPr>
            <w:tcW w:w="740" w:type="dxa"/>
            <w:tcBorders>
              <w:top w:val="nil"/>
              <w:left w:val="single" w:sz="4" w:space="0" w:color="auto"/>
              <w:bottom w:val="nil"/>
              <w:right w:val="nil"/>
            </w:tcBorders>
            <w:shd w:val="clear" w:color="auto" w:fill="auto"/>
            <w:vAlign w:val="center"/>
            <w:hideMark/>
          </w:tcPr>
          <w:p w14:paraId="6B923D1F" w14:textId="77777777" w:rsidR="001341B9" w:rsidRPr="001341B9" w:rsidRDefault="001341B9" w:rsidP="001341B9">
            <w:pPr>
              <w:spacing w:after="0" w:line="240" w:lineRule="auto"/>
              <w:jc w:val="right"/>
              <w:rPr>
                <w:rFonts w:cs="Arial"/>
                <w:sz w:val="16"/>
                <w:szCs w:val="16"/>
              </w:rPr>
            </w:pPr>
            <w:r w:rsidRPr="001341B9">
              <w:rPr>
                <w:rFonts w:cs="Arial"/>
                <w:sz w:val="16"/>
                <w:szCs w:val="16"/>
              </w:rPr>
              <w:t>139,9</w:t>
            </w:r>
          </w:p>
        </w:tc>
        <w:tc>
          <w:tcPr>
            <w:tcW w:w="738" w:type="dxa"/>
            <w:tcBorders>
              <w:top w:val="nil"/>
              <w:left w:val="nil"/>
              <w:bottom w:val="nil"/>
              <w:right w:val="nil"/>
            </w:tcBorders>
            <w:shd w:val="clear" w:color="auto" w:fill="auto"/>
            <w:vAlign w:val="center"/>
            <w:hideMark/>
          </w:tcPr>
          <w:p w14:paraId="643FBDD4" w14:textId="77777777" w:rsidR="001341B9" w:rsidRPr="001341B9" w:rsidRDefault="001341B9" w:rsidP="001341B9">
            <w:pPr>
              <w:spacing w:after="0" w:line="240" w:lineRule="auto"/>
              <w:jc w:val="right"/>
              <w:rPr>
                <w:rFonts w:cs="Arial"/>
                <w:sz w:val="16"/>
                <w:szCs w:val="16"/>
              </w:rPr>
            </w:pPr>
            <w:r w:rsidRPr="001341B9">
              <w:rPr>
                <w:rFonts w:cs="Arial"/>
                <w:sz w:val="16"/>
                <w:szCs w:val="16"/>
              </w:rPr>
              <w:t>58,7</w:t>
            </w:r>
          </w:p>
        </w:tc>
        <w:tc>
          <w:tcPr>
            <w:tcW w:w="739" w:type="dxa"/>
            <w:tcBorders>
              <w:top w:val="nil"/>
              <w:left w:val="nil"/>
              <w:bottom w:val="nil"/>
              <w:right w:val="single" w:sz="4" w:space="0" w:color="auto"/>
            </w:tcBorders>
            <w:shd w:val="clear" w:color="auto" w:fill="auto"/>
            <w:vAlign w:val="center"/>
            <w:hideMark/>
          </w:tcPr>
          <w:p w14:paraId="7C6259AF" w14:textId="77777777" w:rsidR="001341B9" w:rsidRPr="001341B9" w:rsidRDefault="001341B9" w:rsidP="001341B9">
            <w:pPr>
              <w:spacing w:after="0" w:line="240" w:lineRule="auto"/>
              <w:jc w:val="right"/>
              <w:rPr>
                <w:rFonts w:cs="Arial"/>
                <w:sz w:val="16"/>
                <w:szCs w:val="16"/>
              </w:rPr>
            </w:pPr>
            <w:r w:rsidRPr="001341B9">
              <w:rPr>
                <w:rFonts w:cs="Arial"/>
                <w:sz w:val="16"/>
                <w:szCs w:val="16"/>
              </w:rPr>
              <w:t>81,2</w:t>
            </w:r>
          </w:p>
        </w:tc>
        <w:tc>
          <w:tcPr>
            <w:tcW w:w="754" w:type="dxa"/>
            <w:tcBorders>
              <w:top w:val="nil"/>
              <w:left w:val="single" w:sz="4" w:space="0" w:color="auto"/>
              <w:bottom w:val="nil"/>
              <w:right w:val="nil"/>
            </w:tcBorders>
            <w:shd w:val="clear" w:color="auto" w:fill="auto"/>
            <w:vAlign w:val="center"/>
            <w:hideMark/>
          </w:tcPr>
          <w:p w14:paraId="64178F73" w14:textId="77777777" w:rsidR="001341B9" w:rsidRPr="001341B9" w:rsidRDefault="001341B9" w:rsidP="001341B9">
            <w:pPr>
              <w:spacing w:after="0" w:line="240" w:lineRule="auto"/>
              <w:jc w:val="right"/>
              <w:rPr>
                <w:rFonts w:cs="Arial"/>
                <w:sz w:val="16"/>
                <w:szCs w:val="16"/>
              </w:rPr>
            </w:pPr>
            <w:r w:rsidRPr="001341B9">
              <w:rPr>
                <w:rFonts w:cs="Arial"/>
                <w:sz w:val="16"/>
                <w:szCs w:val="16"/>
              </w:rPr>
              <w:t>6,7</w:t>
            </w:r>
          </w:p>
        </w:tc>
        <w:tc>
          <w:tcPr>
            <w:tcW w:w="738" w:type="dxa"/>
            <w:tcBorders>
              <w:top w:val="nil"/>
              <w:left w:val="nil"/>
              <w:bottom w:val="nil"/>
              <w:right w:val="nil"/>
            </w:tcBorders>
            <w:shd w:val="clear" w:color="auto" w:fill="auto"/>
            <w:vAlign w:val="center"/>
            <w:hideMark/>
          </w:tcPr>
          <w:p w14:paraId="76E718CC" w14:textId="77777777" w:rsidR="001341B9" w:rsidRPr="001341B9" w:rsidRDefault="001341B9" w:rsidP="001341B9">
            <w:pPr>
              <w:spacing w:after="0" w:line="240" w:lineRule="auto"/>
              <w:jc w:val="right"/>
              <w:rPr>
                <w:rFonts w:cs="Arial"/>
                <w:sz w:val="16"/>
                <w:szCs w:val="16"/>
              </w:rPr>
            </w:pPr>
            <w:r w:rsidRPr="001341B9">
              <w:rPr>
                <w:rFonts w:cs="Arial"/>
                <w:sz w:val="16"/>
                <w:szCs w:val="16"/>
              </w:rPr>
              <w:t>4,7</w:t>
            </w:r>
          </w:p>
        </w:tc>
        <w:tc>
          <w:tcPr>
            <w:tcW w:w="738" w:type="dxa"/>
            <w:tcBorders>
              <w:top w:val="nil"/>
              <w:left w:val="nil"/>
              <w:bottom w:val="nil"/>
              <w:right w:val="single" w:sz="4" w:space="0" w:color="auto"/>
            </w:tcBorders>
            <w:shd w:val="clear" w:color="auto" w:fill="auto"/>
            <w:vAlign w:val="center"/>
            <w:hideMark/>
          </w:tcPr>
          <w:p w14:paraId="1AAF4B23" w14:textId="77777777" w:rsidR="001341B9" w:rsidRPr="001341B9" w:rsidRDefault="001341B9" w:rsidP="001341B9">
            <w:pPr>
              <w:spacing w:after="0" w:line="240" w:lineRule="auto"/>
              <w:jc w:val="right"/>
              <w:rPr>
                <w:rFonts w:cs="Arial"/>
                <w:sz w:val="16"/>
                <w:szCs w:val="16"/>
              </w:rPr>
            </w:pPr>
            <w:r w:rsidRPr="001341B9">
              <w:rPr>
                <w:rFonts w:cs="Arial"/>
                <w:sz w:val="16"/>
                <w:szCs w:val="16"/>
              </w:rPr>
              <w:t>2,0</w:t>
            </w:r>
          </w:p>
        </w:tc>
        <w:tc>
          <w:tcPr>
            <w:tcW w:w="740" w:type="dxa"/>
            <w:tcBorders>
              <w:top w:val="nil"/>
              <w:left w:val="single" w:sz="4" w:space="0" w:color="auto"/>
              <w:bottom w:val="nil"/>
              <w:right w:val="nil"/>
            </w:tcBorders>
            <w:shd w:val="clear" w:color="auto" w:fill="auto"/>
            <w:vAlign w:val="center"/>
            <w:hideMark/>
          </w:tcPr>
          <w:p w14:paraId="51E24F76" w14:textId="77777777" w:rsidR="001341B9" w:rsidRPr="001341B9" w:rsidRDefault="001341B9" w:rsidP="001341B9">
            <w:pPr>
              <w:spacing w:after="0" w:line="240" w:lineRule="auto"/>
              <w:jc w:val="right"/>
              <w:rPr>
                <w:rFonts w:cs="Arial"/>
                <w:sz w:val="16"/>
                <w:szCs w:val="16"/>
              </w:rPr>
            </w:pPr>
            <w:r w:rsidRPr="001341B9">
              <w:rPr>
                <w:rFonts w:cs="Arial"/>
                <w:sz w:val="16"/>
                <w:szCs w:val="16"/>
              </w:rPr>
              <w:t>18,4</w:t>
            </w:r>
          </w:p>
        </w:tc>
        <w:tc>
          <w:tcPr>
            <w:tcW w:w="738" w:type="dxa"/>
            <w:tcBorders>
              <w:top w:val="nil"/>
              <w:left w:val="nil"/>
              <w:bottom w:val="nil"/>
              <w:right w:val="nil"/>
            </w:tcBorders>
            <w:shd w:val="clear" w:color="auto" w:fill="auto"/>
            <w:vAlign w:val="center"/>
            <w:hideMark/>
          </w:tcPr>
          <w:p w14:paraId="720F4239" w14:textId="77777777" w:rsidR="001341B9" w:rsidRPr="001341B9" w:rsidRDefault="001341B9" w:rsidP="001341B9">
            <w:pPr>
              <w:spacing w:after="0" w:line="240" w:lineRule="auto"/>
              <w:jc w:val="right"/>
              <w:rPr>
                <w:rFonts w:cs="Arial"/>
                <w:sz w:val="16"/>
                <w:szCs w:val="16"/>
              </w:rPr>
            </w:pPr>
            <w:r w:rsidRPr="001341B9">
              <w:rPr>
                <w:rFonts w:cs="Arial"/>
                <w:sz w:val="16"/>
                <w:szCs w:val="16"/>
              </w:rPr>
              <w:t>11,7</w:t>
            </w:r>
          </w:p>
        </w:tc>
        <w:tc>
          <w:tcPr>
            <w:tcW w:w="738" w:type="dxa"/>
            <w:tcBorders>
              <w:top w:val="nil"/>
              <w:left w:val="nil"/>
              <w:bottom w:val="nil"/>
              <w:right w:val="nil"/>
            </w:tcBorders>
            <w:shd w:val="clear" w:color="auto" w:fill="auto"/>
            <w:vAlign w:val="center"/>
            <w:hideMark/>
          </w:tcPr>
          <w:p w14:paraId="4E6C752D" w14:textId="77777777" w:rsidR="001341B9" w:rsidRPr="001341B9" w:rsidRDefault="001341B9" w:rsidP="001341B9">
            <w:pPr>
              <w:spacing w:after="0" w:line="240" w:lineRule="auto"/>
              <w:jc w:val="right"/>
              <w:rPr>
                <w:rFonts w:cs="Arial"/>
                <w:sz w:val="16"/>
                <w:szCs w:val="16"/>
              </w:rPr>
            </w:pPr>
            <w:r w:rsidRPr="001341B9">
              <w:rPr>
                <w:rFonts w:cs="Arial"/>
                <w:sz w:val="16"/>
                <w:szCs w:val="16"/>
              </w:rPr>
              <w:t>6,7</w:t>
            </w:r>
          </w:p>
        </w:tc>
      </w:tr>
      <w:tr w:rsidR="001341B9" w:rsidRPr="001341B9" w14:paraId="49278A04"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483FEFA5"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2015</w:t>
            </w:r>
          </w:p>
        </w:tc>
        <w:tc>
          <w:tcPr>
            <w:tcW w:w="740" w:type="dxa"/>
            <w:tcBorders>
              <w:top w:val="nil"/>
              <w:left w:val="nil"/>
              <w:bottom w:val="nil"/>
              <w:right w:val="nil"/>
            </w:tcBorders>
            <w:shd w:val="clear" w:color="auto" w:fill="auto"/>
            <w:vAlign w:val="center"/>
            <w:hideMark/>
          </w:tcPr>
          <w:p w14:paraId="57D97B76" w14:textId="77777777" w:rsidR="001341B9" w:rsidRPr="001341B9" w:rsidRDefault="001341B9" w:rsidP="001341B9">
            <w:pPr>
              <w:spacing w:after="0" w:line="240" w:lineRule="auto"/>
              <w:jc w:val="right"/>
              <w:rPr>
                <w:rFonts w:cs="Arial"/>
                <w:sz w:val="16"/>
                <w:szCs w:val="16"/>
              </w:rPr>
            </w:pPr>
            <w:r w:rsidRPr="001341B9">
              <w:rPr>
                <w:rFonts w:cs="Arial"/>
                <w:sz w:val="16"/>
                <w:szCs w:val="16"/>
              </w:rPr>
              <w:t>183,1</w:t>
            </w:r>
          </w:p>
        </w:tc>
        <w:tc>
          <w:tcPr>
            <w:tcW w:w="739" w:type="dxa"/>
            <w:tcBorders>
              <w:top w:val="nil"/>
              <w:left w:val="nil"/>
              <w:bottom w:val="nil"/>
              <w:right w:val="nil"/>
            </w:tcBorders>
            <w:shd w:val="clear" w:color="auto" w:fill="auto"/>
            <w:vAlign w:val="center"/>
            <w:hideMark/>
          </w:tcPr>
          <w:p w14:paraId="4D6234A2" w14:textId="77777777" w:rsidR="001341B9" w:rsidRPr="001341B9" w:rsidRDefault="001341B9" w:rsidP="001341B9">
            <w:pPr>
              <w:spacing w:after="0" w:line="240" w:lineRule="auto"/>
              <w:jc w:val="right"/>
              <w:rPr>
                <w:rFonts w:cs="Arial"/>
                <w:sz w:val="16"/>
                <w:szCs w:val="16"/>
              </w:rPr>
            </w:pPr>
            <w:r w:rsidRPr="001341B9">
              <w:rPr>
                <w:rFonts w:cs="Arial"/>
                <w:sz w:val="16"/>
                <w:szCs w:val="16"/>
              </w:rPr>
              <w:t>83,5</w:t>
            </w:r>
          </w:p>
        </w:tc>
        <w:tc>
          <w:tcPr>
            <w:tcW w:w="739" w:type="dxa"/>
            <w:tcBorders>
              <w:top w:val="nil"/>
              <w:left w:val="nil"/>
              <w:bottom w:val="nil"/>
              <w:right w:val="single" w:sz="4" w:space="0" w:color="auto"/>
            </w:tcBorders>
            <w:shd w:val="clear" w:color="auto" w:fill="auto"/>
            <w:vAlign w:val="center"/>
            <w:hideMark/>
          </w:tcPr>
          <w:p w14:paraId="4B8A11BA" w14:textId="77777777" w:rsidR="001341B9" w:rsidRPr="001341B9" w:rsidRDefault="001341B9" w:rsidP="001341B9">
            <w:pPr>
              <w:spacing w:after="0" w:line="240" w:lineRule="auto"/>
              <w:jc w:val="right"/>
              <w:rPr>
                <w:rFonts w:cs="Arial"/>
                <w:sz w:val="16"/>
                <w:szCs w:val="16"/>
              </w:rPr>
            </w:pPr>
            <w:r w:rsidRPr="001341B9">
              <w:rPr>
                <w:rFonts w:cs="Arial"/>
                <w:sz w:val="16"/>
                <w:szCs w:val="16"/>
              </w:rPr>
              <w:t>99,6</w:t>
            </w:r>
          </w:p>
        </w:tc>
        <w:tc>
          <w:tcPr>
            <w:tcW w:w="740" w:type="dxa"/>
            <w:tcBorders>
              <w:top w:val="nil"/>
              <w:left w:val="single" w:sz="4" w:space="0" w:color="auto"/>
              <w:bottom w:val="nil"/>
              <w:right w:val="nil"/>
            </w:tcBorders>
            <w:shd w:val="clear" w:color="auto" w:fill="auto"/>
            <w:vAlign w:val="center"/>
            <w:hideMark/>
          </w:tcPr>
          <w:p w14:paraId="0AD6F579" w14:textId="77777777" w:rsidR="001341B9" w:rsidRPr="001341B9" w:rsidRDefault="001341B9" w:rsidP="001341B9">
            <w:pPr>
              <w:spacing w:after="0" w:line="240" w:lineRule="auto"/>
              <w:jc w:val="right"/>
              <w:rPr>
                <w:rFonts w:cs="Arial"/>
                <w:sz w:val="16"/>
                <w:szCs w:val="16"/>
              </w:rPr>
            </w:pPr>
            <w:r w:rsidRPr="001341B9">
              <w:rPr>
                <w:rFonts w:cs="Arial"/>
                <w:sz w:val="16"/>
                <w:szCs w:val="16"/>
              </w:rPr>
              <w:t>156,2</w:t>
            </w:r>
          </w:p>
        </w:tc>
        <w:tc>
          <w:tcPr>
            <w:tcW w:w="738" w:type="dxa"/>
            <w:tcBorders>
              <w:top w:val="nil"/>
              <w:left w:val="nil"/>
              <w:bottom w:val="nil"/>
              <w:right w:val="nil"/>
            </w:tcBorders>
            <w:shd w:val="clear" w:color="auto" w:fill="auto"/>
            <w:vAlign w:val="center"/>
            <w:hideMark/>
          </w:tcPr>
          <w:p w14:paraId="7393E1D2" w14:textId="77777777" w:rsidR="001341B9" w:rsidRPr="001341B9" w:rsidRDefault="001341B9" w:rsidP="001341B9">
            <w:pPr>
              <w:spacing w:after="0" w:line="240" w:lineRule="auto"/>
              <w:jc w:val="right"/>
              <w:rPr>
                <w:rFonts w:cs="Arial"/>
                <w:sz w:val="16"/>
                <w:szCs w:val="16"/>
              </w:rPr>
            </w:pPr>
            <w:r w:rsidRPr="001341B9">
              <w:rPr>
                <w:rFonts w:cs="Arial"/>
                <w:sz w:val="16"/>
                <w:szCs w:val="16"/>
              </w:rPr>
              <w:t>66,2</w:t>
            </w:r>
          </w:p>
        </w:tc>
        <w:tc>
          <w:tcPr>
            <w:tcW w:w="739" w:type="dxa"/>
            <w:tcBorders>
              <w:top w:val="nil"/>
              <w:left w:val="nil"/>
              <w:bottom w:val="nil"/>
              <w:right w:val="single" w:sz="4" w:space="0" w:color="auto"/>
            </w:tcBorders>
            <w:shd w:val="clear" w:color="auto" w:fill="auto"/>
            <w:vAlign w:val="center"/>
            <w:hideMark/>
          </w:tcPr>
          <w:p w14:paraId="0B4B1E58" w14:textId="77777777" w:rsidR="001341B9" w:rsidRPr="001341B9" w:rsidRDefault="001341B9" w:rsidP="001341B9">
            <w:pPr>
              <w:spacing w:after="0" w:line="240" w:lineRule="auto"/>
              <w:jc w:val="right"/>
              <w:rPr>
                <w:rFonts w:cs="Arial"/>
                <w:sz w:val="16"/>
                <w:szCs w:val="16"/>
              </w:rPr>
            </w:pPr>
            <w:r w:rsidRPr="001341B9">
              <w:rPr>
                <w:rFonts w:cs="Arial"/>
                <w:sz w:val="16"/>
                <w:szCs w:val="16"/>
              </w:rPr>
              <w:t>90,0</w:t>
            </w:r>
          </w:p>
        </w:tc>
        <w:tc>
          <w:tcPr>
            <w:tcW w:w="754" w:type="dxa"/>
            <w:tcBorders>
              <w:top w:val="nil"/>
              <w:left w:val="single" w:sz="4" w:space="0" w:color="auto"/>
              <w:bottom w:val="nil"/>
              <w:right w:val="nil"/>
            </w:tcBorders>
            <w:shd w:val="clear" w:color="auto" w:fill="auto"/>
            <w:vAlign w:val="center"/>
            <w:hideMark/>
          </w:tcPr>
          <w:p w14:paraId="5BD7BC8E" w14:textId="77777777" w:rsidR="001341B9" w:rsidRPr="001341B9" w:rsidRDefault="001341B9" w:rsidP="001341B9">
            <w:pPr>
              <w:spacing w:after="0" w:line="240" w:lineRule="auto"/>
              <w:jc w:val="right"/>
              <w:rPr>
                <w:rFonts w:cs="Arial"/>
                <w:sz w:val="16"/>
                <w:szCs w:val="16"/>
              </w:rPr>
            </w:pPr>
            <w:r w:rsidRPr="001341B9">
              <w:rPr>
                <w:rFonts w:cs="Arial"/>
                <w:sz w:val="16"/>
                <w:szCs w:val="16"/>
              </w:rPr>
              <w:t>7,0</w:t>
            </w:r>
          </w:p>
        </w:tc>
        <w:tc>
          <w:tcPr>
            <w:tcW w:w="738" w:type="dxa"/>
            <w:tcBorders>
              <w:top w:val="nil"/>
              <w:left w:val="nil"/>
              <w:bottom w:val="nil"/>
              <w:right w:val="nil"/>
            </w:tcBorders>
            <w:shd w:val="clear" w:color="auto" w:fill="auto"/>
            <w:vAlign w:val="center"/>
            <w:hideMark/>
          </w:tcPr>
          <w:p w14:paraId="7E698254" w14:textId="77777777" w:rsidR="001341B9" w:rsidRPr="001341B9" w:rsidRDefault="001341B9" w:rsidP="001341B9">
            <w:pPr>
              <w:spacing w:after="0" w:line="240" w:lineRule="auto"/>
              <w:jc w:val="right"/>
              <w:rPr>
                <w:rFonts w:cs="Arial"/>
                <w:sz w:val="16"/>
                <w:szCs w:val="16"/>
              </w:rPr>
            </w:pPr>
            <w:r w:rsidRPr="001341B9">
              <w:rPr>
                <w:rFonts w:cs="Arial"/>
                <w:sz w:val="16"/>
                <w:szCs w:val="16"/>
              </w:rPr>
              <w:t>4,8</w:t>
            </w:r>
          </w:p>
        </w:tc>
        <w:tc>
          <w:tcPr>
            <w:tcW w:w="738" w:type="dxa"/>
            <w:tcBorders>
              <w:top w:val="nil"/>
              <w:left w:val="nil"/>
              <w:bottom w:val="nil"/>
              <w:right w:val="single" w:sz="4" w:space="0" w:color="auto"/>
            </w:tcBorders>
            <w:shd w:val="clear" w:color="auto" w:fill="auto"/>
            <w:vAlign w:val="center"/>
            <w:hideMark/>
          </w:tcPr>
          <w:p w14:paraId="30B9BC30" w14:textId="77777777" w:rsidR="001341B9" w:rsidRPr="001341B9" w:rsidRDefault="001341B9" w:rsidP="001341B9">
            <w:pPr>
              <w:spacing w:after="0" w:line="240" w:lineRule="auto"/>
              <w:jc w:val="right"/>
              <w:rPr>
                <w:rFonts w:cs="Arial"/>
                <w:sz w:val="16"/>
                <w:szCs w:val="16"/>
              </w:rPr>
            </w:pPr>
            <w:r w:rsidRPr="001341B9">
              <w:rPr>
                <w:rFonts w:cs="Arial"/>
                <w:sz w:val="16"/>
                <w:szCs w:val="16"/>
              </w:rPr>
              <w:t>2,2</w:t>
            </w:r>
          </w:p>
        </w:tc>
        <w:tc>
          <w:tcPr>
            <w:tcW w:w="740" w:type="dxa"/>
            <w:tcBorders>
              <w:top w:val="nil"/>
              <w:left w:val="single" w:sz="4" w:space="0" w:color="auto"/>
              <w:bottom w:val="nil"/>
              <w:right w:val="nil"/>
            </w:tcBorders>
            <w:shd w:val="clear" w:color="auto" w:fill="auto"/>
            <w:vAlign w:val="center"/>
            <w:hideMark/>
          </w:tcPr>
          <w:p w14:paraId="60755806" w14:textId="77777777" w:rsidR="001341B9" w:rsidRPr="001341B9" w:rsidRDefault="001341B9" w:rsidP="001341B9">
            <w:pPr>
              <w:spacing w:after="0" w:line="240" w:lineRule="auto"/>
              <w:jc w:val="right"/>
              <w:rPr>
                <w:rFonts w:cs="Arial"/>
                <w:sz w:val="16"/>
                <w:szCs w:val="16"/>
              </w:rPr>
            </w:pPr>
            <w:r w:rsidRPr="001341B9">
              <w:rPr>
                <w:rFonts w:cs="Arial"/>
                <w:sz w:val="16"/>
                <w:szCs w:val="16"/>
              </w:rPr>
              <w:t>19,9</w:t>
            </w:r>
          </w:p>
        </w:tc>
        <w:tc>
          <w:tcPr>
            <w:tcW w:w="738" w:type="dxa"/>
            <w:tcBorders>
              <w:top w:val="nil"/>
              <w:left w:val="nil"/>
              <w:bottom w:val="nil"/>
              <w:right w:val="nil"/>
            </w:tcBorders>
            <w:shd w:val="clear" w:color="auto" w:fill="auto"/>
            <w:vAlign w:val="center"/>
            <w:hideMark/>
          </w:tcPr>
          <w:p w14:paraId="10BECF2D" w14:textId="77777777" w:rsidR="001341B9" w:rsidRPr="001341B9" w:rsidRDefault="001341B9" w:rsidP="001341B9">
            <w:pPr>
              <w:spacing w:after="0" w:line="240" w:lineRule="auto"/>
              <w:jc w:val="right"/>
              <w:rPr>
                <w:rFonts w:cs="Arial"/>
                <w:sz w:val="16"/>
                <w:szCs w:val="16"/>
              </w:rPr>
            </w:pPr>
            <w:r w:rsidRPr="001341B9">
              <w:rPr>
                <w:rFonts w:cs="Arial"/>
                <w:sz w:val="16"/>
                <w:szCs w:val="16"/>
              </w:rPr>
              <w:t>12,5</w:t>
            </w:r>
          </w:p>
        </w:tc>
        <w:tc>
          <w:tcPr>
            <w:tcW w:w="738" w:type="dxa"/>
            <w:tcBorders>
              <w:top w:val="nil"/>
              <w:left w:val="nil"/>
              <w:bottom w:val="nil"/>
              <w:right w:val="nil"/>
            </w:tcBorders>
            <w:shd w:val="clear" w:color="auto" w:fill="auto"/>
            <w:vAlign w:val="center"/>
            <w:hideMark/>
          </w:tcPr>
          <w:p w14:paraId="031EA188" w14:textId="77777777" w:rsidR="001341B9" w:rsidRPr="001341B9" w:rsidRDefault="001341B9" w:rsidP="001341B9">
            <w:pPr>
              <w:spacing w:after="0" w:line="240" w:lineRule="auto"/>
              <w:jc w:val="right"/>
              <w:rPr>
                <w:rFonts w:cs="Arial"/>
                <w:sz w:val="16"/>
                <w:szCs w:val="16"/>
              </w:rPr>
            </w:pPr>
            <w:r w:rsidRPr="001341B9">
              <w:rPr>
                <w:rFonts w:cs="Arial"/>
                <w:sz w:val="16"/>
                <w:szCs w:val="16"/>
              </w:rPr>
              <w:t>7,4</w:t>
            </w:r>
          </w:p>
        </w:tc>
      </w:tr>
      <w:tr w:rsidR="001341B9" w:rsidRPr="001341B9" w14:paraId="53407454"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0CE68A5C"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2016</w:t>
            </w:r>
          </w:p>
        </w:tc>
        <w:tc>
          <w:tcPr>
            <w:tcW w:w="740" w:type="dxa"/>
            <w:tcBorders>
              <w:top w:val="nil"/>
              <w:left w:val="nil"/>
              <w:bottom w:val="nil"/>
              <w:right w:val="nil"/>
            </w:tcBorders>
            <w:shd w:val="clear" w:color="auto" w:fill="auto"/>
            <w:vAlign w:val="center"/>
            <w:hideMark/>
          </w:tcPr>
          <w:p w14:paraId="035699CE" w14:textId="77777777" w:rsidR="001341B9" w:rsidRPr="001341B9" w:rsidRDefault="001341B9" w:rsidP="001341B9">
            <w:pPr>
              <w:spacing w:after="0" w:line="240" w:lineRule="auto"/>
              <w:jc w:val="right"/>
              <w:rPr>
                <w:rFonts w:cs="Arial"/>
                <w:sz w:val="16"/>
                <w:szCs w:val="16"/>
              </w:rPr>
            </w:pPr>
            <w:r w:rsidRPr="001341B9">
              <w:rPr>
                <w:rFonts w:cs="Arial"/>
                <w:sz w:val="16"/>
                <w:szCs w:val="16"/>
              </w:rPr>
              <w:t>191,9</w:t>
            </w:r>
          </w:p>
        </w:tc>
        <w:tc>
          <w:tcPr>
            <w:tcW w:w="739" w:type="dxa"/>
            <w:tcBorders>
              <w:top w:val="nil"/>
              <w:left w:val="nil"/>
              <w:bottom w:val="nil"/>
              <w:right w:val="nil"/>
            </w:tcBorders>
            <w:shd w:val="clear" w:color="auto" w:fill="auto"/>
            <w:vAlign w:val="center"/>
            <w:hideMark/>
          </w:tcPr>
          <w:p w14:paraId="2C573806" w14:textId="77777777" w:rsidR="001341B9" w:rsidRPr="001341B9" w:rsidRDefault="001341B9" w:rsidP="001341B9">
            <w:pPr>
              <w:spacing w:after="0" w:line="240" w:lineRule="auto"/>
              <w:jc w:val="right"/>
              <w:rPr>
                <w:rFonts w:cs="Arial"/>
                <w:sz w:val="16"/>
                <w:szCs w:val="16"/>
              </w:rPr>
            </w:pPr>
            <w:r w:rsidRPr="001341B9">
              <w:rPr>
                <w:rFonts w:cs="Arial"/>
                <w:sz w:val="16"/>
                <w:szCs w:val="16"/>
              </w:rPr>
              <w:t>87,1</w:t>
            </w:r>
          </w:p>
        </w:tc>
        <w:tc>
          <w:tcPr>
            <w:tcW w:w="739" w:type="dxa"/>
            <w:tcBorders>
              <w:top w:val="nil"/>
              <w:left w:val="nil"/>
              <w:bottom w:val="nil"/>
              <w:right w:val="single" w:sz="4" w:space="0" w:color="auto"/>
            </w:tcBorders>
            <w:shd w:val="clear" w:color="auto" w:fill="auto"/>
            <w:vAlign w:val="center"/>
            <w:hideMark/>
          </w:tcPr>
          <w:p w14:paraId="290CFCE5" w14:textId="77777777" w:rsidR="001341B9" w:rsidRPr="001341B9" w:rsidRDefault="001341B9" w:rsidP="001341B9">
            <w:pPr>
              <w:spacing w:after="0" w:line="240" w:lineRule="auto"/>
              <w:jc w:val="right"/>
              <w:rPr>
                <w:rFonts w:cs="Arial"/>
                <w:sz w:val="16"/>
                <w:szCs w:val="16"/>
              </w:rPr>
            </w:pPr>
            <w:r w:rsidRPr="001341B9">
              <w:rPr>
                <w:rFonts w:cs="Arial"/>
                <w:sz w:val="16"/>
                <w:szCs w:val="16"/>
              </w:rPr>
              <w:t>104,8</w:t>
            </w:r>
          </w:p>
        </w:tc>
        <w:tc>
          <w:tcPr>
            <w:tcW w:w="740" w:type="dxa"/>
            <w:tcBorders>
              <w:top w:val="nil"/>
              <w:left w:val="single" w:sz="4" w:space="0" w:color="auto"/>
              <w:bottom w:val="nil"/>
              <w:right w:val="nil"/>
            </w:tcBorders>
            <w:shd w:val="clear" w:color="auto" w:fill="auto"/>
            <w:vAlign w:val="center"/>
            <w:hideMark/>
          </w:tcPr>
          <w:p w14:paraId="724EB84D" w14:textId="77777777" w:rsidR="001341B9" w:rsidRPr="001341B9" w:rsidRDefault="001341B9" w:rsidP="001341B9">
            <w:pPr>
              <w:spacing w:after="0" w:line="240" w:lineRule="auto"/>
              <w:jc w:val="right"/>
              <w:rPr>
                <w:rFonts w:cs="Arial"/>
                <w:sz w:val="16"/>
                <w:szCs w:val="16"/>
              </w:rPr>
            </w:pPr>
            <w:r w:rsidRPr="001341B9">
              <w:rPr>
                <w:rFonts w:cs="Arial"/>
                <w:sz w:val="16"/>
                <w:szCs w:val="16"/>
              </w:rPr>
              <w:t>164,2</w:t>
            </w:r>
          </w:p>
        </w:tc>
        <w:tc>
          <w:tcPr>
            <w:tcW w:w="738" w:type="dxa"/>
            <w:tcBorders>
              <w:top w:val="nil"/>
              <w:left w:val="nil"/>
              <w:bottom w:val="nil"/>
              <w:right w:val="nil"/>
            </w:tcBorders>
            <w:shd w:val="clear" w:color="auto" w:fill="auto"/>
            <w:vAlign w:val="center"/>
            <w:hideMark/>
          </w:tcPr>
          <w:p w14:paraId="51015D61" w14:textId="77777777" w:rsidR="001341B9" w:rsidRPr="001341B9" w:rsidRDefault="001341B9" w:rsidP="001341B9">
            <w:pPr>
              <w:spacing w:after="0" w:line="240" w:lineRule="auto"/>
              <w:jc w:val="right"/>
              <w:rPr>
                <w:rFonts w:cs="Arial"/>
                <w:sz w:val="16"/>
                <w:szCs w:val="16"/>
              </w:rPr>
            </w:pPr>
            <w:r w:rsidRPr="001341B9">
              <w:rPr>
                <w:rFonts w:cs="Arial"/>
                <w:sz w:val="16"/>
                <w:szCs w:val="16"/>
              </w:rPr>
              <w:t>69,4</w:t>
            </w:r>
          </w:p>
        </w:tc>
        <w:tc>
          <w:tcPr>
            <w:tcW w:w="739" w:type="dxa"/>
            <w:tcBorders>
              <w:top w:val="nil"/>
              <w:left w:val="nil"/>
              <w:bottom w:val="nil"/>
              <w:right w:val="single" w:sz="4" w:space="0" w:color="auto"/>
            </w:tcBorders>
            <w:shd w:val="clear" w:color="auto" w:fill="auto"/>
            <w:vAlign w:val="center"/>
            <w:hideMark/>
          </w:tcPr>
          <w:p w14:paraId="3C68325F" w14:textId="77777777" w:rsidR="001341B9" w:rsidRPr="001341B9" w:rsidRDefault="001341B9" w:rsidP="001341B9">
            <w:pPr>
              <w:spacing w:after="0" w:line="240" w:lineRule="auto"/>
              <w:jc w:val="right"/>
              <w:rPr>
                <w:rFonts w:cs="Arial"/>
                <w:sz w:val="16"/>
                <w:szCs w:val="16"/>
              </w:rPr>
            </w:pPr>
            <w:r w:rsidRPr="001341B9">
              <w:rPr>
                <w:rFonts w:cs="Arial"/>
                <w:sz w:val="16"/>
                <w:szCs w:val="16"/>
              </w:rPr>
              <w:t>94,8</w:t>
            </w:r>
          </w:p>
        </w:tc>
        <w:tc>
          <w:tcPr>
            <w:tcW w:w="754" w:type="dxa"/>
            <w:tcBorders>
              <w:top w:val="nil"/>
              <w:left w:val="single" w:sz="4" w:space="0" w:color="auto"/>
              <w:bottom w:val="nil"/>
              <w:right w:val="nil"/>
            </w:tcBorders>
            <w:shd w:val="clear" w:color="auto" w:fill="auto"/>
            <w:vAlign w:val="center"/>
            <w:hideMark/>
          </w:tcPr>
          <w:p w14:paraId="04614214" w14:textId="77777777" w:rsidR="001341B9" w:rsidRPr="001341B9" w:rsidRDefault="001341B9" w:rsidP="001341B9">
            <w:pPr>
              <w:spacing w:after="0" w:line="240" w:lineRule="auto"/>
              <w:jc w:val="right"/>
              <w:rPr>
                <w:rFonts w:cs="Arial"/>
                <w:sz w:val="16"/>
                <w:szCs w:val="16"/>
              </w:rPr>
            </w:pPr>
            <w:r w:rsidRPr="001341B9">
              <w:rPr>
                <w:rFonts w:cs="Arial"/>
                <w:sz w:val="16"/>
                <w:szCs w:val="16"/>
              </w:rPr>
              <w:t>7,0</w:t>
            </w:r>
          </w:p>
        </w:tc>
        <w:tc>
          <w:tcPr>
            <w:tcW w:w="738" w:type="dxa"/>
            <w:tcBorders>
              <w:top w:val="nil"/>
              <w:left w:val="nil"/>
              <w:bottom w:val="nil"/>
              <w:right w:val="nil"/>
            </w:tcBorders>
            <w:shd w:val="clear" w:color="auto" w:fill="auto"/>
            <w:vAlign w:val="center"/>
            <w:hideMark/>
          </w:tcPr>
          <w:p w14:paraId="2230AB65" w14:textId="77777777" w:rsidR="001341B9" w:rsidRPr="001341B9" w:rsidRDefault="001341B9" w:rsidP="001341B9">
            <w:pPr>
              <w:spacing w:after="0" w:line="240" w:lineRule="auto"/>
              <w:jc w:val="right"/>
              <w:rPr>
                <w:rFonts w:cs="Arial"/>
                <w:sz w:val="16"/>
                <w:szCs w:val="16"/>
              </w:rPr>
            </w:pPr>
            <w:r w:rsidRPr="001341B9">
              <w:rPr>
                <w:rFonts w:cs="Arial"/>
                <w:sz w:val="16"/>
                <w:szCs w:val="16"/>
              </w:rPr>
              <w:t>4,8</w:t>
            </w:r>
          </w:p>
        </w:tc>
        <w:tc>
          <w:tcPr>
            <w:tcW w:w="738" w:type="dxa"/>
            <w:tcBorders>
              <w:top w:val="nil"/>
              <w:left w:val="nil"/>
              <w:bottom w:val="nil"/>
              <w:right w:val="single" w:sz="4" w:space="0" w:color="auto"/>
            </w:tcBorders>
            <w:shd w:val="clear" w:color="auto" w:fill="auto"/>
            <w:vAlign w:val="center"/>
            <w:hideMark/>
          </w:tcPr>
          <w:p w14:paraId="402C0906" w14:textId="77777777" w:rsidR="001341B9" w:rsidRPr="001341B9" w:rsidRDefault="001341B9" w:rsidP="001341B9">
            <w:pPr>
              <w:spacing w:after="0" w:line="240" w:lineRule="auto"/>
              <w:jc w:val="right"/>
              <w:rPr>
                <w:rFonts w:cs="Arial"/>
                <w:sz w:val="16"/>
                <w:szCs w:val="16"/>
              </w:rPr>
            </w:pPr>
            <w:r w:rsidRPr="001341B9">
              <w:rPr>
                <w:rFonts w:cs="Arial"/>
                <w:sz w:val="16"/>
                <w:szCs w:val="16"/>
              </w:rPr>
              <w:t>2,2</w:t>
            </w:r>
          </w:p>
        </w:tc>
        <w:tc>
          <w:tcPr>
            <w:tcW w:w="740" w:type="dxa"/>
            <w:tcBorders>
              <w:top w:val="nil"/>
              <w:left w:val="single" w:sz="4" w:space="0" w:color="auto"/>
              <w:bottom w:val="nil"/>
              <w:right w:val="nil"/>
            </w:tcBorders>
            <w:shd w:val="clear" w:color="auto" w:fill="auto"/>
            <w:vAlign w:val="center"/>
            <w:hideMark/>
          </w:tcPr>
          <w:p w14:paraId="74630205" w14:textId="77777777" w:rsidR="001341B9" w:rsidRPr="001341B9" w:rsidRDefault="001341B9" w:rsidP="001341B9">
            <w:pPr>
              <w:spacing w:after="0" w:line="240" w:lineRule="auto"/>
              <w:jc w:val="right"/>
              <w:rPr>
                <w:rFonts w:cs="Arial"/>
                <w:sz w:val="16"/>
                <w:szCs w:val="16"/>
              </w:rPr>
            </w:pPr>
            <w:r w:rsidRPr="001341B9">
              <w:rPr>
                <w:rFonts w:cs="Arial"/>
                <w:sz w:val="16"/>
                <w:szCs w:val="16"/>
              </w:rPr>
              <w:t>20,7</w:t>
            </w:r>
          </w:p>
        </w:tc>
        <w:tc>
          <w:tcPr>
            <w:tcW w:w="738" w:type="dxa"/>
            <w:tcBorders>
              <w:top w:val="nil"/>
              <w:left w:val="nil"/>
              <w:bottom w:val="nil"/>
              <w:right w:val="nil"/>
            </w:tcBorders>
            <w:shd w:val="clear" w:color="auto" w:fill="auto"/>
            <w:vAlign w:val="center"/>
            <w:hideMark/>
          </w:tcPr>
          <w:p w14:paraId="155167AA" w14:textId="77777777" w:rsidR="001341B9" w:rsidRPr="001341B9" w:rsidRDefault="001341B9" w:rsidP="001341B9">
            <w:pPr>
              <w:spacing w:after="0" w:line="240" w:lineRule="auto"/>
              <w:jc w:val="right"/>
              <w:rPr>
                <w:rFonts w:cs="Arial"/>
                <w:sz w:val="16"/>
                <w:szCs w:val="16"/>
              </w:rPr>
            </w:pPr>
            <w:r w:rsidRPr="001341B9">
              <w:rPr>
                <w:rFonts w:cs="Arial"/>
                <w:sz w:val="16"/>
                <w:szCs w:val="16"/>
              </w:rPr>
              <w:t>12,9</w:t>
            </w:r>
          </w:p>
        </w:tc>
        <w:tc>
          <w:tcPr>
            <w:tcW w:w="738" w:type="dxa"/>
            <w:tcBorders>
              <w:top w:val="nil"/>
              <w:left w:val="nil"/>
              <w:bottom w:val="nil"/>
              <w:right w:val="nil"/>
            </w:tcBorders>
            <w:shd w:val="clear" w:color="auto" w:fill="auto"/>
            <w:vAlign w:val="center"/>
            <w:hideMark/>
          </w:tcPr>
          <w:p w14:paraId="6F02A352" w14:textId="77777777" w:rsidR="001341B9" w:rsidRPr="001341B9" w:rsidRDefault="001341B9" w:rsidP="001341B9">
            <w:pPr>
              <w:spacing w:after="0" w:line="240" w:lineRule="auto"/>
              <w:jc w:val="right"/>
              <w:rPr>
                <w:rFonts w:cs="Arial"/>
                <w:sz w:val="16"/>
                <w:szCs w:val="16"/>
              </w:rPr>
            </w:pPr>
            <w:r w:rsidRPr="001341B9">
              <w:rPr>
                <w:rFonts w:cs="Arial"/>
                <w:sz w:val="16"/>
                <w:szCs w:val="16"/>
              </w:rPr>
              <w:t>7,8</w:t>
            </w:r>
          </w:p>
        </w:tc>
      </w:tr>
      <w:tr w:rsidR="001341B9" w:rsidRPr="001341B9" w14:paraId="54602CB8"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6ABB97F3"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2017</w:t>
            </w:r>
          </w:p>
        </w:tc>
        <w:tc>
          <w:tcPr>
            <w:tcW w:w="740" w:type="dxa"/>
            <w:tcBorders>
              <w:top w:val="nil"/>
              <w:left w:val="nil"/>
              <w:bottom w:val="nil"/>
              <w:right w:val="nil"/>
            </w:tcBorders>
            <w:shd w:val="clear" w:color="auto" w:fill="auto"/>
            <w:vAlign w:val="center"/>
            <w:hideMark/>
          </w:tcPr>
          <w:p w14:paraId="39C13286" w14:textId="77777777" w:rsidR="001341B9" w:rsidRPr="001341B9" w:rsidRDefault="001341B9" w:rsidP="001341B9">
            <w:pPr>
              <w:spacing w:after="0" w:line="240" w:lineRule="auto"/>
              <w:jc w:val="right"/>
              <w:rPr>
                <w:rFonts w:cs="Arial"/>
                <w:sz w:val="16"/>
                <w:szCs w:val="16"/>
              </w:rPr>
            </w:pPr>
            <w:r w:rsidRPr="001341B9">
              <w:rPr>
                <w:rFonts w:cs="Arial"/>
                <w:sz w:val="16"/>
                <w:szCs w:val="16"/>
              </w:rPr>
              <w:t>199,1</w:t>
            </w:r>
          </w:p>
        </w:tc>
        <w:tc>
          <w:tcPr>
            <w:tcW w:w="739" w:type="dxa"/>
            <w:tcBorders>
              <w:top w:val="nil"/>
              <w:left w:val="nil"/>
              <w:bottom w:val="nil"/>
              <w:right w:val="nil"/>
            </w:tcBorders>
            <w:shd w:val="clear" w:color="auto" w:fill="auto"/>
            <w:vAlign w:val="center"/>
            <w:hideMark/>
          </w:tcPr>
          <w:p w14:paraId="43BC1213" w14:textId="77777777" w:rsidR="001341B9" w:rsidRPr="001341B9" w:rsidRDefault="001341B9" w:rsidP="001341B9">
            <w:pPr>
              <w:spacing w:after="0" w:line="240" w:lineRule="auto"/>
              <w:jc w:val="right"/>
              <w:rPr>
                <w:rFonts w:cs="Arial"/>
                <w:sz w:val="16"/>
                <w:szCs w:val="16"/>
              </w:rPr>
            </w:pPr>
            <w:r w:rsidRPr="001341B9">
              <w:rPr>
                <w:rFonts w:cs="Arial"/>
                <w:sz w:val="16"/>
                <w:szCs w:val="16"/>
              </w:rPr>
              <w:t>90,6</w:t>
            </w:r>
          </w:p>
        </w:tc>
        <w:tc>
          <w:tcPr>
            <w:tcW w:w="739" w:type="dxa"/>
            <w:tcBorders>
              <w:top w:val="nil"/>
              <w:left w:val="nil"/>
              <w:bottom w:val="nil"/>
              <w:right w:val="single" w:sz="4" w:space="0" w:color="auto"/>
            </w:tcBorders>
            <w:shd w:val="clear" w:color="auto" w:fill="auto"/>
            <w:vAlign w:val="center"/>
            <w:hideMark/>
          </w:tcPr>
          <w:p w14:paraId="210E431D" w14:textId="77777777" w:rsidR="001341B9" w:rsidRPr="001341B9" w:rsidRDefault="001341B9" w:rsidP="001341B9">
            <w:pPr>
              <w:spacing w:after="0" w:line="240" w:lineRule="auto"/>
              <w:jc w:val="right"/>
              <w:rPr>
                <w:rFonts w:cs="Arial"/>
                <w:sz w:val="16"/>
                <w:szCs w:val="16"/>
              </w:rPr>
            </w:pPr>
            <w:r w:rsidRPr="001341B9">
              <w:rPr>
                <w:rFonts w:cs="Arial"/>
                <w:sz w:val="16"/>
                <w:szCs w:val="16"/>
              </w:rPr>
              <w:t>108,5</w:t>
            </w:r>
          </w:p>
        </w:tc>
        <w:tc>
          <w:tcPr>
            <w:tcW w:w="740" w:type="dxa"/>
            <w:tcBorders>
              <w:top w:val="nil"/>
              <w:left w:val="single" w:sz="4" w:space="0" w:color="auto"/>
              <w:bottom w:val="nil"/>
              <w:right w:val="nil"/>
            </w:tcBorders>
            <w:shd w:val="clear" w:color="auto" w:fill="auto"/>
            <w:vAlign w:val="center"/>
            <w:hideMark/>
          </w:tcPr>
          <w:p w14:paraId="3B316BB4" w14:textId="77777777" w:rsidR="001341B9" w:rsidRPr="001341B9" w:rsidRDefault="001341B9" w:rsidP="001341B9">
            <w:pPr>
              <w:spacing w:after="0" w:line="240" w:lineRule="auto"/>
              <w:jc w:val="right"/>
              <w:rPr>
                <w:rFonts w:cs="Arial"/>
                <w:sz w:val="16"/>
                <w:szCs w:val="16"/>
              </w:rPr>
            </w:pPr>
            <w:r w:rsidRPr="001341B9">
              <w:rPr>
                <w:rFonts w:cs="Arial"/>
                <w:sz w:val="16"/>
                <w:szCs w:val="16"/>
              </w:rPr>
              <w:t>170,2</w:t>
            </w:r>
          </w:p>
        </w:tc>
        <w:tc>
          <w:tcPr>
            <w:tcW w:w="738" w:type="dxa"/>
            <w:tcBorders>
              <w:top w:val="nil"/>
              <w:left w:val="nil"/>
              <w:bottom w:val="nil"/>
              <w:right w:val="nil"/>
            </w:tcBorders>
            <w:shd w:val="clear" w:color="auto" w:fill="auto"/>
            <w:vAlign w:val="center"/>
            <w:hideMark/>
          </w:tcPr>
          <w:p w14:paraId="71FDACC2" w14:textId="77777777" w:rsidR="001341B9" w:rsidRPr="001341B9" w:rsidRDefault="001341B9" w:rsidP="001341B9">
            <w:pPr>
              <w:spacing w:after="0" w:line="240" w:lineRule="auto"/>
              <w:jc w:val="right"/>
              <w:rPr>
                <w:rFonts w:cs="Arial"/>
                <w:sz w:val="16"/>
                <w:szCs w:val="16"/>
              </w:rPr>
            </w:pPr>
            <w:r w:rsidRPr="001341B9">
              <w:rPr>
                <w:rFonts w:cs="Arial"/>
                <w:sz w:val="16"/>
                <w:szCs w:val="16"/>
              </w:rPr>
              <w:t>72,5</w:t>
            </w:r>
          </w:p>
        </w:tc>
        <w:tc>
          <w:tcPr>
            <w:tcW w:w="739" w:type="dxa"/>
            <w:tcBorders>
              <w:top w:val="nil"/>
              <w:left w:val="nil"/>
              <w:bottom w:val="nil"/>
              <w:right w:val="single" w:sz="4" w:space="0" w:color="auto"/>
            </w:tcBorders>
            <w:shd w:val="clear" w:color="auto" w:fill="auto"/>
            <w:vAlign w:val="center"/>
            <w:hideMark/>
          </w:tcPr>
          <w:p w14:paraId="2BD97C8C" w14:textId="77777777" w:rsidR="001341B9" w:rsidRPr="001341B9" w:rsidRDefault="001341B9" w:rsidP="001341B9">
            <w:pPr>
              <w:spacing w:after="0" w:line="240" w:lineRule="auto"/>
              <w:jc w:val="right"/>
              <w:rPr>
                <w:rFonts w:cs="Arial"/>
                <w:sz w:val="16"/>
                <w:szCs w:val="16"/>
              </w:rPr>
            </w:pPr>
            <w:r w:rsidRPr="001341B9">
              <w:rPr>
                <w:rFonts w:cs="Arial"/>
                <w:sz w:val="16"/>
                <w:szCs w:val="16"/>
              </w:rPr>
              <w:t>97,7</w:t>
            </w:r>
          </w:p>
        </w:tc>
        <w:tc>
          <w:tcPr>
            <w:tcW w:w="754" w:type="dxa"/>
            <w:tcBorders>
              <w:top w:val="nil"/>
              <w:left w:val="single" w:sz="4" w:space="0" w:color="auto"/>
              <w:bottom w:val="nil"/>
              <w:right w:val="nil"/>
            </w:tcBorders>
            <w:shd w:val="clear" w:color="auto" w:fill="auto"/>
            <w:vAlign w:val="center"/>
            <w:hideMark/>
          </w:tcPr>
          <w:p w14:paraId="518BDA41" w14:textId="77777777" w:rsidR="001341B9" w:rsidRPr="001341B9" w:rsidRDefault="001341B9" w:rsidP="001341B9">
            <w:pPr>
              <w:spacing w:after="0" w:line="240" w:lineRule="auto"/>
              <w:jc w:val="right"/>
              <w:rPr>
                <w:rFonts w:cs="Arial"/>
                <w:sz w:val="16"/>
                <w:szCs w:val="16"/>
              </w:rPr>
            </w:pPr>
            <w:r w:rsidRPr="001341B9">
              <w:rPr>
                <w:rFonts w:cs="Arial"/>
                <w:sz w:val="16"/>
                <w:szCs w:val="16"/>
              </w:rPr>
              <w:t>7,1</w:t>
            </w:r>
          </w:p>
        </w:tc>
        <w:tc>
          <w:tcPr>
            <w:tcW w:w="738" w:type="dxa"/>
            <w:tcBorders>
              <w:top w:val="nil"/>
              <w:left w:val="nil"/>
              <w:bottom w:val="nil"/>
              <w:right w:val="nil"/>
            </w:tcBorders>
            <w:shd w:val="clear" w:color="auto" w:fill="auto"/>
            <w:vAlign w:val="center"/>
            <w:hideMark/>
          </w:tcPr>
          <w:p w14:paraId="7D40CFD1" w14:textId="77777777" w:rsidR="001341B9" w:rsidRPr="001341B9" w:rsidRDefault="001341B9" w:rsidP="001341B9">
            <w:pPr>
              <w:spacing w:after="0" w:line="240" w:lineRule="auto"/>
              <w:jc w:val="right"/>
              <w:rPr>
                <w:rFonts w:cs="Arial"/>
                <w:sz w:val="16"/>
                <w:szCs w:val="16"/>
              </w:rPr>
            </w:pPr>
            <w:r w:rsidRPr="001341B9">
              <w:rPr>
                <w:rFonts w:cs="Arial"/>
                <w:sz w:val="16"/>
                <w:szCs w:val="16"/>
              </w:rPr>
              <w:t>4,8</w:t>
            </w:r>
          </w:p>
        </w:tc>
        <w:tc>
          <w:tcPr>
            <w:tcW w:w="738" w:type="dxa"/>
            <w:tcBorders>
              <w:top w:val="nil"/>
              <w:left w:val="nil"/>
              <w:bottom w:val="nil"/>
              <w:right w:val="single" w:sz="4" w:space="0" w:color="auto"/>
            </w:tcBorders>
            <w:shd w:val="clear" w:color="auto" w:fill="auto"/>
            <w:vAlign w:val="center"/>
            <w:hideMark/>
          </w:tcPr>
          <w:p w14:paraId="3A718DD2" w14:textId="77777777" w:rsidR="001341B9" w:rsidRPr="001341B9" w:rsidRDefault="001341B9" w:rsidP="001341B9">
            <w:pPr>
              <w:spacing w:after="0" w:line="240" w:lineRule="auto"/>
              <w:jc w:val="right"/>
              <w:rPr>
                <w:rFonts w:cs="Arial"/>
                <w:sz w:val="16"/>
                <w:szCs w:val="16"/>
              </w:rPr>
            </w:pPr>
            <w:r w:rsidRPr="001341B9">
              <w:rPr>
                <w:rFonts w:cs="Arial"/>
                <w:sz w:val="16"/>
                <w:szCs w:val="16"/>
              </w:rPr>
              <w:t>2,3</w:t>
            </w:r>
          </w:p>
        </w:tc>
        <w:tc>
          <w:tcPr>
            <w:tcW w:w="740" w:type="dxa"/>
            <w:tcBorders>
              <w:top w:val="nil"/>
              <w:left w:val="single" w:sz="4" w:space="0" w:color="auto"/>
              <w:bottom w:val="nil"/>
              <w:right w:val="nil"/>
            </w:tcBorders>
            <w:shd w:val="clear" w:color="auto" w:fill="auto"/>
            <w:vAlign w:val="center"/>
            <w:hideMark/>
          </w:tcPr>
          <w:p w14:paraId="315A85BC" w14:textId="77777777" w:rsidR="001341B9" w:rsidRPr="001341B9" w:rsidRDefault="001341B9" w:rsidP="001341B9">
            <w:pPr>
              <w:spacing w:after="0" w:line="240" w:lineRule="auto"/>
              <w:jc w:val="right"/>
              <w:rPr>
                <w:rFonts w:cs="Arial"/>
                <w:sz w:val="16"/>
                <w:szCs w:val="16"/>
              </w:rPr>
            </w:pPr>
            <w:r w:rsidRPr="001341B9">
              <w:rPr>
                <w:rFonts w:cs="Arial"/>
                <w:sz w:val="16"/>
                <w:szCs w:val="16"/>
              </w:rPr>
              <w:t>21,8</w:t>
            </w:r>
          </w:p>
        </w:tc>
        <w:tc>
          <w:tcPr>
            <w:tcW w:w="738" w:type="dxa"/>
            <w:tcBorders>
              <w:top w:val="nil"/>
              <w:left w:val="nil"/>
              <w:bottom w:val="nil"/>
              <w:right w:val="nil"/>
            </w:tcBorders>
            <w:shd w:val="clear" w:color="auto" w:fill="auto"/>
            <w:vAlign w:val="center"/>
            <w:hideMark/>
          </w:tcPr>
          <w:p w14:paraId="78C94BF8" w14:textId="77777777" w:rsidR="001341B9" w:rsidRPr="001341B9" w:rsidRDefault="001341B9" w:rsidP="001341B9">
            <w:pPr>
              <w:spacing w:after="0" w:line="240" w:lineRule="auto"/>
              <w:jc w:val="right"/>
              <w:rPr>
                <w:rFonts w:cs="Arial"/>
                <w:sz w:val="16"/>
                <w:szCs w:val="16"/>
              </w:rPr>
            </w:pPr>
            <w:r w:rsidRPr="001341B9">
              <w:rPr>
                <w:rFonts w:cs="Arial"/>
                <w:sz w:val="16"/>
                <w:szCs w:val="16"/>
              </w:rPr>
              <w:t>13,3</w:t>
            </w:r>
          </w:p>
        </w:tc>
        <w:tc>
          <w:tcPr>
            <w:tcW w:w="738" w:type="dxa"/>
            <w:tcBorders>
              <w:top w:val="nil"/>
              <w:left w:val="nil"/>
              <w:bottom w:val="nil"/>
              <w:right w:val="nil"/>
            </w:tcBorders>
            <w:shd w:val="clear" w:color="auto" w:fill="auto"/>
            <w:vAlign w:val="center"/>
            <w:hideMark/>
          </w:tcPr>
          <w:p w14:paraId="5D745EA8" w14:textId="77777777" w:rsidR="001341B9" w:rsidRPr="001341B9" w:rsidRDefault="001341B9" w:rsidP="001341B9">
            <w:pPr>
              <w:spacing w:after="0" w:line="240" w:lineRule="auto"/>
              <w:jc w:val="right"/>
              <w:rPr>
                <w:rFonts w:cs="Arial"/>
                <w:sz w:val="16"/>
                <w:szCs w:val="16"/>
              </w:rPr>
            </w:pPr>
            <w:r w:rsidRPr="001341B9">
              <w:rPr>
                <w:rFonts w:cs="Arial"/>
                <w:sz w:val="16"/>
                <w:szCs w:val="16"/>
              </w:rPr>
              <w:t>8,5</w:t>
            </w:r>
          </w:p>
        </w:tc>
      </w:tr>
      <w:tr w:rsidR="001341B9" w:rsidRPr="001341B9" w14:paraId="7E0A6D51" w14:textId="77777777" w:rsidTr="00997C2A">
        <w:trPr>
          <w:trHeight w:val="300"/>
        </w:trPr>
        <w:tc>
          <w:tcPr>
            <w:tcW w:w="739" w:type="dxa"/>
            <w:tcBorders>
              <w:top w:val="nil"/>
              <w:left w:val="nil"/>
              <w:bottom w:val="nil"/>
              <w:right w:val="single" w:sz="4" w:space="0" w:color="auto"/>
            </w:tcBorders>
            <w:shd w:val="clear" w:color="auto" w:fill="auto"/>
            <w:vAlign w:val="center"/>
            <w:hideMark/>
          </w:tcPr>
          <w:p w14:paraId="08A078F2" w14:textId="77777777" w:rsidR="001341B9" w:rsidRPr="001341B9" w:rsidRDefault="001341B9" w:rsidP="001341B9">
            <w:pPr>
              <w:spacing w:after="0" w:line="240" w:lineRule="auto"/>
              <w:jc w:val="center"/>
              <w:rPr>
                <w:rFonts w:cs="Arial"/>
                <w:sz w:val="16"/>
                <w:szCs w:val="16"/>
              </w:rPr>
            </w:pPr>
            <w:r w:rsidRPr="001341B9">
              <w:rPr>
                <w:rFonts w:cs="Arial"/>
                <w:sz w:val="16"/>
                <w:szCs w:val="16"/>
              </w:rPr>
              <w:t>2018</w:t>
            </w:r>
          </w:p>
        </w:tc>
        <w:tc>
          <w:tcPr>
            <w:tcW w:w="740" w:type="dxa"/>
            <w:tcBorders>
              <w:top w:val="nil"/>
              <w:left w:val="nil"/>
              <w:bottom w:val="nil"/>
              <w:right w:val="nil"/>
            </w:tcBorders>
            <w:shd w:val="clear" w:color="auto" w:fill="auto"/>
            <w:vAlign w:val="center"/>
            <w:hideMark/>
          </w:tcPr>
          <w:p w14:paraId="0F4C9730" w14:textId="77777777" w:rsidR="001341B9" w:rsidRPr="001341B9" w:rsidRDefault="001341B9" w:rsidP="001341B9">
            <w:pPr>
              <w:spacing w:after="0" w:line="240" w:lineRule="auto"/>
              <w:jc w:val="right"/>
              <w:rPr>
                <w:rFonts w:cs="Arial"/>
                <w:sz w:val="16"/>
                <w:szCs w:val="16"/>
              </w:rPr>
            </w:pPr>
            <w:r w:rsidRPr="001341B9">
              <w:rPr>
                <w:rFonts w:cs="Arial"/>
                <w:sz w:val="16"/>
                <w:szCs w:val="16"/>
              </w:rPr>
              <w:t>211,4</w:t>
            </w:r>
          </w:p>
        </w:tc>
        <w:tc>
          <w:tcPr>
            <w:tcW w:w="739" w:type="dxa"/>
            <w:tcBorders>
              <w:top w:val="nil"/>
              <w:left w:val="nil"/>
              <w:bottom w:val="nil"/>
              <w:right w:val="nil"/>
            </w:tcBorders>
            <w:shd w:val="clear" w:color="auto" w:fill="auto"/>
            <w:vAlign w:val="center"/>
            <w:hideMark/>
          </w:tcPr>
          <w:p w14:paraId="0850B38E" w14:textId="77777777" w:rsidR="001341B9" w:rsidRPr="001341B9" w:rsidRDefault="001341B9" w:rsidP="001341B9">
            <w:pPr>
              <w:spacing w:after="0" w:line="240" w:lineRule="auto"/>
              <w:jc w:val="right"/>
              <w:rPr>
                <w:rFonts w:cs="Arial"/>
                <w:sz w:val="16"/>
                <w:szCs w:val="16"/>
              </w:rPr>
            </w:pPr>
            <w:r w:rsidRPr="001341B9">
              <w:rPr>
                <w:rFonts w:cs="Arial"/>
                <w:sz w:val="16"/>
                <w:szCs w:val="16"/>
              </w:rPr>
              <w:t>96,5</w:t>
            </w:r>
          </w:p>
        </w:tc>
        <w:tc>
          <w:tcPr>
            <w:tcW w:w="739" w:type="dxa"/>
            <w:tcBorders>
              <w:top w:val="nil"/>
              <w:left w:val="nil"/>
              <w:bottom w:val="nil"/>
              <w:right w:val="single" w:sz="4" w:space="0" w:color="auto"/>
            </w:tcBorders>
            <w:shd w:val="clear" w:color="auto" w:fill="auto"/>
            <w:vAlign w:val="center"/>
            <w:hideMark/>
          </w:tcPr>
          <w:p w14:paraId="1B04FB05" w14:textId="77777777" w:rsidR="001341B9" w:rsidRPr="001341B9" w:rsidRDefault="001341B9" w:rsidP="001341B9">
            <w:pPr>
              <w:spacing w:after="0" w:line="240" w:lineRule="auto"/>
              <w:jc w:val="right"/>
              <w:rPr>
                <w:rFonts w:cs="Arial"/>
                <w:sz w:val="16"/>
                <w:szCs w:val="16"/>
              </w:rPr>
            </w:pPr>
            <w:r w:rsidRPr="001341B9">
              <w:rPr>
                <w:rFonts w:cs="Arial"/>
                <w:sz w:val="16"/>
                <w:szCs w:val="16"/>
              </w:rPr>
              <w:t>114,9</w:t>
            </w:r>
          </w:p>
        </w:tc>
        <w:tc>
          <w:tcPr>
            <w:tcW w:w="740" w:type="dxa"/>
            <w:tcBorders>
              <w:top w:val="nil"/>
              <w:left w:val="single" w:sz="4" w:space="0" w:color="auto"/>
              <w:bottom w:val="nil"/>
              <w:right w:val="nil"/>
            </w:tcBorders>
            <w:shd w:val="clear" w:color="auto" w:fill="auto"/>
            <w:vAlign w:val="center"/>
            <w:hideMark/>
          </w:tcPr>
          <w:p w14:paraId="291EBDA5" w14:textId="77777777" w:rsidR="001341B9" w:rsidRPr="001341B9" w:rsidRDefault="001341B9" w:rsidP="001341B9">
            <w:pPr>
              <w:spacing w:after="0" w:line="240" w:lineRule="auto"/>
              <w:jc w:val="right"/>
              <w:rPr>
                <w:rFonts w:cs="Arial"/>
                <w:sz w:val="16"/>
                <w:szCs w:val="16"/>
              </w:rPr>
            </w:pPr>
            <w:r w:rsidRPr="001341B9">
              <w:rPr>
                <w:rFonts w:cs="Arial"/>
                <w:sz w:val="16"/>
                <w:szCs w:val="16"/>
              </w:rPr>
              <w:t>181,4</w:t>
            </w:r>
          </w:p>
        </w:tc>
        <w:tc>
          <w:tcPr>
            <w:tcW w:w="738" w:type="dxa"/>
            <w:tcBorders>
              <w:top w:val="nil"/>
              <w:left w:val="nil"/>
              <w:bottom w:val="nil"/>
              <w:right w:val="nil"/>
            </w:tcBorders>
            <w:shd w:val="clear" w:color="auto" w:fill="auto"/>
            <w:vAlign w:val="center"/>
            <w:hideMark/>
          </w:tcPr>
          <w:p w14:paraId="1B5E19B7" w14:textId="77777777" w:rsidR="001341B9" w:rsidRPr="001341B9" w:rsidRDefault="001341B9" w:rsidP="001341B9">
            <w:pPr>
              <w:spacing w:after="0" w:line="240" w:lineRule="auto"/>
              <w:jc w:val="right"/>
              <w:rPr>
                <w:rFonts w:cs="Arial"/>
                <w:sz w:val="16"/>
                <w:szCs w:val="16"/>
              </w:rPr>
            </w:pPr>
            <w:r w:rsidRPr="001341B9">
              <w:rPr>
                <w:rFonts w:cs="Arial"/>
                <w:sz w:val="16"/>
                <w:szCs w:val="16"/>
              </w:rPr>
              <w:t>77,8</w:t>
            </w:r>
          </w:p>
        </w:tc>
        <w:tc>
          <w:tcPr>
            <w:tcW w:w="739" w:type="dxa"/>
            <w:tcBorders>
              <w:top w:val="nil"/>
              <w:left w:val="nil"/>
              <w:bottom w:val="nil"/>
              <w:right w:val="single" w:sz="4" w:space="0" w:color="auto"/>
            </w:tcBorders>
            <w:shd w:val="clear" w:color="auto" w:fill="auto"/>
            <w:vAlign w:val="center"/>
            <w:hideMark/>
          </w:tcPr>
          <w:p w14:paraId="040D52DB" w14:textId="77777777" w:rsidR="001341B9" w:rsidRPr="001341B9" w:rsidRDefault="001341B9" w:rsidP="001341B9">
            <w:pPr>
              <w:spacing w:after="0" w:line="240" w:lineRule="auto"/>
              <w:jc w:val="right"/>
              <w:rPr>
                <w:rFonts w:cs="Arial"/>
                <w:sz w:val="16"/>
                <w:szCs w:val="16"/>
              </w:rPr>
            </w:pPr>
            <w:r w:rsidRPr="001341B9">
              <w:rPr>
                <w:rFonts w:cs="Arial"/>
                <w:sz w:val="16"/>
                <w:szCs w:val="16"/>
              </w:rPr>
              <w:t>103,7</w:t>
            </w:r>
          </w:p>
        </w:tc>
        <w:tc>
          <w:tcPr>
            <w:tcW w:w="754" w:type="dxa"/>
            <w:tcBorders>
              <w:top w:val="nil"/>
              <w:left w:val="single" w:sz="4" w:space="0" w:color="auto"/>
              <w:bottom w:val="nil"/>
              <w:right w:val="nil"/>
            </w:tcBorders>
            <w:shd w:val="clear" w:color="auto" w:fill="auto"/>
            <w:vAlign w:val="center"/>
            <w:hideMark/>
          </w:tcPr>
          <w:p w14:paraId="0E305914" w14:textId="77777777" w:rsidR="001341B9" w:rsidRPr="001341B9" w:rsidRDefault="001341B9" w:rsidP="001341B9">
            <w:pPr>
              <w:spacing w:after="0" w:line="240" w:lineRule="auto"/>
              <w:jc w:val="right"/>
              <w:rPr>
                <w:rFonts w:cs="Arial"/>
                <w:sz w:val="16"/>
                <w:szCs w:val="16"/>
              </w:rPr>
            </w:pPr>
            <w:r w:rsidRPr="001341B9">
              <w:rPr>
                <w:rFonts w:cs="Arial"/>
                <w:sz w:val="16"/>
                <w:szCs w:val="16"/>
              </w:rPr>
              <w:t>7,0</w:t>
            </w:r>
          </w:p>
        </w:tc>
        <w:tc>
          <w:tcPr>
            <w:tcW w:w="738" w:type="dxa"/>
            <w:tcBorders>
              <w:top w:val="nil"/>
              <w:left w:val="nil"/>
              <w:bottom w:val="nil"/>
              <w:right w:val="nil"/>
            </w:tcBorders>
            <w:shd w:val="clear" w:color="auto" w:fill="auto"/>
            <w:vAlign w:val="center"/>
            <w:hideMark/>
          </w:tcPr>
          <w:p w14:paraId="6FD60C9C" w14:textId="77777777" w:rsidR="001341B9" w:rsidRPr="001341B9" w:rsidRDefault="001341B9" w:rsidP="001341B9">
            <w:pPr>
              <w:spacing w:after="0" w:line="240" w:lineRule="auto"/>
              <w:jc w:val="right"/>
              <w:rPr>
                <w:rFonts w:cs="Arial"/>
                <w:sz w:val="16"/>
                <w:szCs w:val="16"/>
              </w:rPr>
            </w:pPr>
            <w:r w:rsidRPr="001341B9">
              <w:rPr>
                <w:rFonts w:cs="Arial"/>
                <w:sz w:val="16"/>
                <w:szCs w:val="16"/>
              </w:rPr>
              <w:t>4,8</w:t>
            </w:r>
          </w:p>
        </w:tc>
        <w:tc>
          <w:tcPr>
            <w:tcW w:w="738" w:type="dxa"/>
            <w:tcBorders>
              <w:top w:val="nil"/>
              <w:left w:val="nil"/>
              <w:bottom w:val="nil"/>
              <w:right w:val="single" w:sz="4" w:space="0" w:color="auto"/>
            </w:tcBorders>
            <w:shd w:val="clear" w:color="auto" w:fill="auto"/>
            <w:vAlign w:val="center"/>
            <w:hideMark/>
          </w:tcPr>
          <w:p w14:paraId="01AEAD4B" w14:textId="77777777" w:rsidR="001341B9" w:rsidRPr="001341B9" w:rsidRDefault="001341B9" w:rsidP="001341B9">
            <w:pPr>
              <w:spacing w:after="0" w:line="240" w:lineRule="auto"/>
              <w:jc w:val="right"/>
              <w:rPr>
                <w:rFonts w:cs="Arial"/>
                <w:sz w:val="16"/>
                <w:szCs w:val="16"/>
              </w:rPr>
            </w:pPr>
            <w:r w:rsidRPr="001341B9">
              <w:rPr>
                <w:rFonts w:cs="Arial"/>
                <w:sz w:val="16"/>
                <w:szCs w:val="16"/>
              </w:rPr>
              <w:t>2,3</w:t>
            </w:r>
          </w:p>
        </w:tc>
        <w:tc>
          <w:tcPr>
            <w:tcW w:w="740" w:type="dxa"/>
            <w:tcBorders>
              <w:top w:val="nil"/>
              <w:left w:val="single" w:sz="4" w:space="0" w:color="auto"/>
              <w:bottom w:val="nil"/>
              <w:right w:val="nil"/>
            </w:tcBorders>
            <w:shd w:val="clear" w:color="auto" w:fill="auto"/>
            <w:vAlign w:val="center"/>
            <w:hideMark/>
          </w:tcPr>
          <w:p w14:paraId="253ACA06" w14:textId="77777777" w:rsidR="001341B9" w:rsidRPr="001341B9" w:rsidRDefault="001341B9" w:rsidP="001341B9">
            <w:pPr>
              <w:spacing w:after="0" w:line="240" w:lineRule="auto"/>
              <w:jc w:val="right"/>
              <w:rPr>
                <w:rFonts w:cs="Arial"/>
                <w:sz w:val="16"/>
                <w:szCs w:val="16"/>
              </w:rPr>
            </w:pPr>
            <w:r w:rsidRPr="001341B9">
              <w:rPr>
                <w:rFonts w:cs="Arial"/>
                <w:sz w:val="16"/>
                <w:szCs w:val="16"/>
              </w:rPr>
              <w:t>22,9</w:t>
            </w:r>
          </w:p>
        </w:tc>
        <w:tc>
          <w:tcPr>
            <w:tcW w:w="738" w:type="dxa"/>
            <w:tcBorders>
              <w:top w:val="nil"/>
              <w:left w:val="nil"/>
              <w:bottom w:val="nil"/>
              <w:right w:val="nil"/>
            </w:tcBorders>
            <w:shd w:val="clear" w:color="auto" w:fill="auto"/>
            <w:vAlign w:val="center"/>
            <w:hideMark/>
          </w:tcPr>
          <w:p w14:paraId="5B650F5D" w14:textId="77777777" w:rsidR="001341B9" w:rsidRPr="001341B9" w:rsidRDefault="001341B9" w:rsidP="001341B9">
            <w:pPr>
              <w:spacing w:after="0" w:line="240" w:lineRule="auto"/>
              <w:jc w:val="right"/>
              <w:rPr>
                <w:rFonts w:cs="Arial"/>
                <w:sz w:val="16"/>
                <w:szCs w:val="16"/>
              </w:rPr>
            </w:pPr>
            <w:r w:rsidRPr="001341B9">
              <w:rPr>
                <w:rFonts w:cs="Arial"/>
                <w:sz w:val="16"/>
                <w:szCs w:val="16"/>
              </w:rPr>
              <w:t>14,0</w:t>
            </w:r>
          </w:p>
        </w:tc>
        <w:tc>
          <w:tcPr>
            <w:tcW w:w="738" w:type="dxa"/>
            <w:tcBorders>
              <w:top w:val="nil"/>
              <w:left w:val="nil"/>
              <w:bottom w:val="nil"/>
              <w:right w:val="nil"/>
            </w:tcBorders>
            <w:shd w:val="clear" w:color="auto" w:fill="auto"/>
            <w:vAlign w:val="center"/>
            <w:hideMark/>
          </w:tcPr>
          <w:p w14:paraId="4F0B42B1" w14:textId="77777777" w:rsidR="001341B9" w:rsidRPr="001341B9" w:rsidRDefault="001341B9" w:rsidP="001341B9">
            <w:pPr>
              <w:spacing w:after="0" w:line="240" w:lineRule="auto"/>
              <w:jc w:val="right"/>
              <w:rPr>
                <w:rFonts w:cs="Arial"/>
                <w:sz w:val="16"/>
                <w:szCs w:val="16"/>
              </w:rPr>
            </w:pPr>
            <w:r w:rsidRPr="001341B9">
              <w:rPr>
                <w:rFonts w:cs="Arial"/>
                <w:sz w:val="16"/>
                <w:szCs w:val="16"/>
              </w:rPr>
              <w:t>8,9</w:t>
            </w:r>
          </w:p>
        </w:tc>
      </w:tr>
    </w:tbl>
    <w:p w14:paraId="71DB79DE" w14:textId="732FD7F8" w:rsidR="004140C1" w:rsidRDefault="004140C1" w:rsidP="00B90ADC">
      <w:pPr>
        <w:rPr>
          <w:b/>
        </w:rPr>
      </w:pPr>
    </w:p>
    <w:p w14:paraId="09F3F771" w14:textId="031DFA6B" w:rsidR="004744DF" w:rsidRDefault="001341B9" w:rsidP="004744DF">
      <w:pPr>
        <w:spacing w:after="0"/>
        <w:rPr>
          <w:sz w:val="18"/>
        </w:rPr>
      </w:pPr>
      <w:r w:rsidRPr="00BC3FF5">
        <w:rPr>
          <w:sz w:val="18"/>
        </w:rPr>
        <w:t>Zdroj: ČSÚ</w:t>
      </w:r>
    </w:p>
    <w:p w14:paraId="301C8F8C" w14:textId="77777777" w:rsidR="004744DF" w:rsidRDefault="004744DF">
      <w:pPr>
        <w:spacing w:after="0" w:line="240" w:lineRule="auto"/>
        <w:rPr>
          <w:sz w:val="18"/>
        </w:rPr>
      </w:pPr>
      <w:r>
        <w:rPr>
          <w:sz w:val="18"/>
        </w:rPr>
        <w:br w:type="page"/>
      </w:r>
    </w:p>
    <w:p w14:paraId="04A309D6" w14:textId="66DE7082" w:rsidR="00EE4B1B" w:rsidRDefault="00977F2A" w:rsidP="001522B9">
      <w:pPr>
        <w:pStyle w:val="Nadpis2"/>
        <w:spacing w:after="100"/>
      </w:pPr>
      <w:bookmarkStart w:id="19" w:name="_Toc10117316"/>
      <w:r>
        <w:lastRenderedPageBreak/>
        <w:t>4.3 Ukončené případy dočasné pracovní neschopnosti</w:t>
      </w:r>
      <w:bookmarkEnd w:id="19"/>
    </w:p>
    <w:p w14:paraId="1D55CC65" w14:textId="26C1B3B9" w:rsidR="00DB7F87" w:rsidRPr="00FD1F88" w:rsidRDefault="00FD1F88" w:rsidP="001522B9">
      <w:pPr>
        <w:jc w:val="both"/>
        <w:rPr>
          <w:rFonts w:cs="Arial"/>
          <w:szCs w:val="20"/>
        </w:rPr>
      </w:pPr>
      <w:r w:rsidRPr="00FD1F88">
        <w:rPr>
          <w:rFonts w:cs="Arial"/>
          <w:szCs w:val="20"/>
        </w:rPr>
        <w:t>Za</w:t>
      </w:r>
      <w:r>
        <w:rPr>
          <w:rFonts w:cs="Arial"/>
          <w:szCs w:val="20"/>
        </w:rPr>
        <w:t>tímco doposud se analýza týkala nově hlášených případů dočasné pracovní neschopnosti (kapitola 4.2), tak jak data zpracovává ČSÚ, jiný pohled nabízí Ústav zdravotnických informací a statistiky České republiky (ÚZIS ČR). Publikuje údaje o ukončených případech pracovní neschopnosti, které taktéž zpracovává z evidence ČSSZ. Rozdíly v počtech nově hlášených a ukončených případů dočasné pracovní neschopnosti mezi oběma zdroji jsou dány odlišnou metodikou sběru dat.</w:t>
      </w:r>
      <w:r w:rsidR="005B4A93">
        <w:rPr>
          <w:rFonts w:cs="Arial"/>
          <w:szCs w:val="20"/>
        </w:rPr>
        <w:t xml:space="preserve"> Trendy vývoje těchto ukazatelů jsou konzistentní.</w:t>
      </w:r>
    </w:p>
    <w:p w14:paraId="5CE6CEC3" w14:textId="544CEEF4" w:rsidR="001522B9" w:rsidRDefault="001522B9" w:rsidP="001522B9">
      <w:pPr>
        <w:jc w:val="both"/>
        <w:rPr>
          <w:rFonts w:cs="Arial"/>
        </w:rPr>
      </w:pPr>
      <w:r w:rsidRPr="00B04995">
        <w:rPr>
          <w:rFonts w:cs="Arial"/>
          <w:szCs w:val="20"/>
        </w:rPr>
        <w:t>Na rozdíl od statistik nově hlášených případů dočasné neschopnosti, které zajišťuje a zpracovává ČSÚ</w:t>
      </w:r>
      <w:r w:rsidRPr="00B04995">
        <w:rPr>
          <w:rFonts w:cs="Arial"/>
        </w:rPr>
        <w:t xml:space="preserve">, </w:t>
      </w:r>
      <w:r w:rsidRPr="00B04995">
        <w:rPr>
          <w:rFonts w:cs="Arial"/>
          <w:szCs w:val="20"/>
        </w:rPr>
        <w:t>ÚZIS ČR</w:t>
      </w:r>
      <w:r w:rsidRPr="00B04995">
        <w:rPr>
          <w:rFonts w:cs="Arial"/>
        </w:rPr>
        <w:t xml:space="preserve"> </w:t>
      </w:r>
      <w:r w:rsidR="00107F98">
        <w:rPr>
          <w:rFonts w:cs="Arial"/>
        </w:rPr>
        <w:t>sleduje</w:t>
      </w:r>
      <w:r w:rsidR="00107F98" w:rsidRPr="00B04995">
        <w:rPr>
          <w:rFonts w:cs="Arial"/>
        </w:rPr>
        <w:t xml:space="preserve"> </w:t>
      </w:r>
      <w:r w:rsidRPr="00B04995">
        <w:rPr>
          <w:rFonts w:cs="Arial"/>
        </w:rPr>
        <w:t xml:space="preserve">dočasné pracovní neschopnosti z dat ČSSZ pouze pro </w:t>
      </w:r>
      <w:r w:rsidRPr="00B04995">
        <w:rPr>
          <w:rFonts w:cs="Arial"/>
          <w:b/>
        </w:rPr>
        <w:t>případy ukončené ve sledovaném roce</w:t>
      </w:r>
      <w:r w:rsidRPr="00B04995">
        <w:rPr>
          <w:rFonts w:cs="Arial"/>
        </w:rPr>
        <w:t>. Některé případy vzniklé na konci roku jsou tak v závislosti na délce jejich trvání evidovány až ve</w:t>
      </w:r>
      <w:r w:rsidR="00BA3658">
        <w:rPr>
          <w:rFonts w:cs="Arial"/>
        </w:rPr>
        <w:t> </w:t>
      </w:r>
      <w:r w:rsidRPr="00B04995">
        <w:rPr>
          <w:rFonts w:cs="Arial"/>
        </w:rPr>
        <w:t>zpracování dat pracovní neschopnosti roku následujícího. ÚZIS ČR, který vede Informační systém Pracovní neschopnost, však nabízí ve svých statistikách jiné třídění publikovaných dat než ČSÚ, a to zejména podle věku práce neschopných a podle příčin pracovní neschopnosti. Pro zpestření pohledu na</w:t>
      </w:r>
      <w:r w:rsidR="00BA3658">
        <w:rPr>
          <w:rFonts w:cs="Arial"/>
        </w:rPr>
        <w:t> </w:t>
      </w:r>
      <w:r w:rsidRPr="00B04995">
        <w:rPr>
          <w:rFonts w:cs="Arial"/>
        </w:rPr>
        <w:t>statistiku nemocnosti byla vybraná data z tohoto zdroje využita v této kapitole. ÚZIS ČR zpracovaná roční data o ukončených případech pracovní neschopnosti publikuje na podzim následujícího roku, proto byla využita poslední veřejně dostupná data za rok 201</w:t>
      </w:r>
      <w:r w:rsidR="00B04995" w:rsidRPr="00B04995">
        <w:rPr>
          <w:rFonts w:cs="Arial"/>
        </w:rPr>
        <w:t>7</w:t>
      </w:r>
      <w:r w:rsidRPr="00B04995">
        <w:rPr>
          <w:rFonts w:cs="Arial"/>
        </w:rPr>
        <w:t>.</w:t>
      </w:r>
    </w:p>
    <w:p w14:paraId="5CD949AF" w14:textId="031A9972" w:rsidR="001522B9" w:rsidRDefault="001522B9" w:rsidP="001522B9">
      <w:pPr>
        <w:pStyle w:val="Box1"/>
        <w:jc w:val="both"/>
        <w:rPr>
          <w:i/>
        </w:rPr>
      </w:pPr>
      <w:r>
        <w:rPr>
          <w:b/>
          <w:i/>
        </w:rPr>
        <w:t>Ukončené případy pracovní neschopnosti</w:t>
      </w:r>
      <w:r w:rsidRPr="00F46EA8">
        <w:rPr>
          <w:b/>
          <w:i/>
        </w:rPr>
        <w:t xml:space="preserve"> </w:t>
      </w:r>
      <w:r w:rsidRPr="00F46EA8">
        <w:rPr>
          <w:i/>
        </w:rPr>
        <w:t xml:space="preserve">– </w:t>
      </w:r>
      <w:r>
        <w:rPr>
          <w:i/>
        </w:rPr>
        <w:t>zahrnují veškerá onemocnění a úrazy, které zapříčinily alespoň jednodenní pracovní neschopnost u nemocensky pojištěných osob ukončenou v daném roce. Nezahrnuje tedy onemocnění a úrazy, u nichž pracovní neschopnost přesahovala do</w:t>
      </w:r>
      <w:r w:rsidR="00BA3658">
        <w:rPr>
          <w:i/>
        </w:rPr>
        <w:t> </w:t>
      </w:r>
      <w:r>
        <w:rPr>
          <w:i/>
        </w:rPr>
        <w:t>dalšího roku, ani ty případy, kdy nebylo vystaveno „Rozhodnutí o dočasné pracovní neschopnosti“</w:t>
      </w:r>
      <w:r w:rsidRPr="00F46EA8">
        <w:rPr>
          <w:i/>
        </w:rPr>
        <w:t>.</w:t>
      </w:r>
    </w:p>
    <w:p w14:paraId="3F2F93BE" w14:textId="40C8429E" w:rsidR="00911E25" w:rsidRDefault="00A63DFD" w:rsidP="00B04995">
      <w:pPr>
        <w:jc w:val="both"/>
      </w:pPr>
      <w:r>
        <w:t xml:space="preserve">ÚZIS </w:t>
      </w:r>
      <w:r w:rsidR="00911E25">
        <w:t>za rok 2017 evidoval 1 661 147 ukončených případů dočasné pracovní neschopnosti, což je o 6,8 % více než v </w:t>
      </w:r>
      <w:r w:rsidR="009C6CD3">
        <w:t xml:space="preserve">předešlém </w:t>
      </w:r>
      <w:r w:rsidR="00911E25">
        <w:t>roce. V roce 2017 připadalo na 100 000 nemocensky pojištěných 36 tis. ukončených případů dočasné pracovní neschopnosti. Nejčetnější výskyt byl zaznamenán v Karlovarském (54,7</w:t>
      </w:r>
      <w:r w:rsidR="00BA3658">
        <w:t> </w:t>
      </w:r>
      <w:r w:rsidR="00911E25">
        <w:t>tis.</w:t>
      </w:r>
      <w:r w:rsidR="00BA3658">
        <w:t> </w:t>
      </w:r>
      <w:r w:rsidR="00911E25">
        <w:t xml:space="preserve">případů) a Libereckém (52,2 tis. případů) kraji. Naopak relativně nejméně případů se s velkým odstupem za všemi zbylými kraji vyskytlo v Hl. m. Praze (12,7 tis.). </w:t>
      </w:r>
    </w:p>
    <w:p w14:paraId="73CF06B9" w14:textId="0325461A" w:rsidR="005847D6" w:rsidRDefault="005847D6" w:rsidP="00B04995">
      <w:pPr>
        <w:jc w:val="both"/>
      </w:pPr>
      <w:r>
        <w:t>Celková prostonaná doba činila 68 904 598 dnů, což je o 2,9 mil. dnů více než v roce 2016. Nejdelší dobu si vyžádaly nemoci a úrazy ve Zlínském kraji, a sice v průměru 50 dní na 1 případ a v Moravskoslezském kraji, 49,5 dne na 1 pracovní neschopnost.</w:t>
      </w:r>
    </w:p>
    <w:p w14:paraId="5D5BC87B" w14:textId="1094D83D" w:rsidR="00CB6E4D" w:rsidRDefault="001522B9" w:rsidP="00B04995">
      <w:pPr>
        <w:jc w:val="both"/>
      </w:pPr>
      <w:r w:rsidRPr="00C45998">
        <w:t xml:space="preserve">Z pohledu </w:t>
      </w:r>
      <w:r w:rsidRPr="00722773">
        <w:rPr>
          <w:b/>
        </w:rPr>
        <w:t>věkové struktury</w:t>
      </w:r>
      <w:r w:rsidRPr="00C45998">
        <w:t xml:space="preserve"> práce neschopných </w:t>
      </w:r>
      <w:r w:rsidR="00107F98">
        <w:t>se</w:t>
      </w:r>
      <w:r w:rsidRPr="00C45998">
        <w:t xml:space="preserve"> v absolutním vyjádření v roce 201</w:t>
      </w:r>
      <w:r w:rsidR="00B04995" w:rsidRPr="00C45998">
        <w:t>7</w:t>
      </w:r>
      <w:r w:rsidRPr="00C45998">
        <w:t xml:space="preserve"> nejvíce případů pracovní ne</w:t>
      </w:r>
      <w:r w:rsidR="00C45998" w:rsidRPr="00C45998">
        <w:t xml:space="preserve">schopnosti </w:t>
      </w:r>
      <w:r w:rsidR="009C6CD3">
        <w:t>týkalo osob</w:t>
      </w:r>
      <w:r w:rsidR="00107F98">
        <w:t xml:space="preserve"> </w:t>
      </w:r>
      <w:r w:rsidR="00C45998" w:rsidRPr="00C45998">
        <w:t>ve věkové skupině 40</w:t>
      </w:r>
      <w:r w:rsidRPr="00C45998">
        <w:t>–44 let (13% podíl na počtu všech případů) a dále ve věkové skupině 25–29 let (12,</w:t>
      </w:r>
      <w:r w:rsidR="00C45998" w:rsidRPr="00C45998">
        <w:t>5</w:t>
      </w:r>
      <w:r w:rsidRPr="00C45998">
        <w:t>% podíl). Z hlediska pohlaví převládali až do věku 34 let</w:t>
      </w:r>
      <w:r w:rsidR="00107F98">
        <w:t xml:space="preserve"> </w:t>
      </w:r>
      <w:r w:rsidR="00107F98" w:rsidRPr="00C45998">
        <w:t xml:space="preserve">muži </w:t>
      </w:r>
      <w:r w:rsidR="00107F98">
        <w:t>na</w:t>
      </w:r>
      <w:r w:rsidR="00BA3658">
        <w:t> </w:t>
      </w:r>
      <w:r w:rsidR="00107F98">
        <w:t>neschopence</w:t>
      </w:r>
      <w:r w:rsidRPr="00C45998">
        <w:t xml:space="preserve">, od 35. roku věku </w:t>
      </w:r>
      <w:r w:rsidR="00C45998" w:rsidRPr="00C45998">
        <w:t>dochází ke změně</w:t>
      </w:r>
      <w:r w:rsidRPr="00C45998">
        <w:t xml:space="preserve"> a častěji bývají v pracovní neschopnosti ženy, a to až do 59. roku věku. </w:t>
      </w:r>
      <w:r w:rsidR="00107F98">
        <w:t xml:space="preserve">U 60letých a starších </w:t>
      </w:r>
      <w:r w:rsidRPr="00C45998">
        <w:t xml:space="preserve">je opět </w:t>
      </w:r>
      <w:r w:rsidR="00107F98" w:rsidRPr="00C45998">
        <w:t xml:space="preserve">zřejmá </w:t>
      </w:r>
      <w:r w:rsidRPr="00C45998">
        <w:t>převaha mužů.</w:t>
      </w:r>
      <w:r w:rsidR="00C45998" w:rsidRPr="00C45998">
        <w:t xml:space="preserve"> Největší </w:t>
      </w:r>
      <w:r w:rsidR="00107F98">
        <w:t xml:space="preserve">početní </w:t>
      </w:r>
      <w:r w:rsidR="00C45998" w:rsidRPr="00C45998">
        <w:t>rozdíl je ve věkové kategorii 50–54 let, kde bylo v roce 2017 o 37,5 tis. žen v pracovní neschopnosti více než mužů.</w:t>
      </w:r>
    </w:p>
    <w:p w14:paraId="379F47EF" w14:textId="54AD1425" w:rsidR="004744DF" w:rsidRPr="0080721C" w:rsidRDefault="004744DF" w:rsidP="004744DF">
      <w:pPr>
        <w:jc w:val="both"/>
        <w:rPr>
          <w:highlight w:val="yellow"/>
        </w:rPr>
      </w:pPr>
      <w:r w:rsidRPr="00B535D0">
        <w:t xml:space="preserve">Intenzita pracovní neschopnosti měřená počtem případů na 100 tis. nemocensky pojištěných osob klesá s rostoucím věkem. Nejvyšší je v prvních třech sledovaných věkových skupinách (až do 29 let), ve věkové skupině do </w:t>
      </w:r>
      <w:r>
        <w:t>20</w:t>
      </w:r>
      <w:r w:rsidRPr="00B535D0">
        <w:t xml:space="preserve"> let dokonce na 100 pojištěnců připadá v průměru 118 neschopenek za rok (jedná se však převážně o krátkodobé neschopenky v průměrné délce 16,8 dne</w:t>
      </w:r>
      <w:r>
        <w:t>, což představuje nejkratší dobu v pracovní neschopnosti ze všech věkových kategorií</w:t>
      </w:r>
      <w:r w:rsidRPr="00B535D0">
        <w:t xml:space="preserve">). Klesající tendence intenzity pracovní neschopnosti končí věkovou skupinou 40–44 let. Následuje mírný nárůst až do věkové skupiny 55–59 let. </w:t>
      </w:r>
      <w:r w:rsidRPr="002572EA">
        <w:t>Nejnižší počet případů je ve věkové skupině 65 a více let, což může souviset i se zkrácenou podpůrčí dobou u pracujících důchodců</w:t>
      </w:r>
      <w:r w:rsidRPr="002572EA">
        <w:rPr>
          <w:rStyle w:val="Znakapoznpodarou"/>
        </w:rPr>
        <w:footnoteReference w:id="8"/>
      </w:r>
      <w:r w:rsidRPr="002572EA">
        <w:t xml:space="preserve"> a </w:t>
      </w:r>
      <w:r w:rsidRPr="002572EA">
        <w:lastRenderedPageBreak/>
        <w:t>s faktem, že pokud v tomto věku pojištěnec onemocní vážnější chorobou, většinou již ve</w:t>
      </w:r>
      <w:r w:rsidR="00BA3658">
        <w:t> </w:t>
      </w:r>
      <w:r w:rsidRPr="002572EA">
        <w:t>výdělečné činnosti dále nepokračuje. Svědčí o tom i průměrná délka trvání pracovní neschopnosti u této nejstarší věkové skupiny – 46,</w:t>
      </w:r>
      <w:r>
        <w:t>4</w:t>
      </w:r>
      <w:r w:rsidRPr="002572EA">
        <w:t xml:space="preserve"> dne.</w:t>
      </w:r>
    </w:p>
    <w:p w14:paraId="3419EB19" w14:textId="2B4E999F" w:rsidR="00E06C4D" w:rsidRPr="00E06C4D" w:rsidRDefault="00E06C4D" w:rsidP="00107F98">
      <w:pPr>
        <w:pStyle w:val="Titulek"/>
        <w:keepNext/>
        <w:jc w:val="both"/>
        <w:rPr>
          <w:b/>
          <w:i w:val="0"/>
          <w:color w:val="auto"/>
          <w:sz w:val="20"/>
        </w:rPr>
      </w:pPr>
      <w:bookmarkStart w:id="20" w:name="_Toc10112628"/>
      <w:r w:rsidRPr="00E06C4D">
        <w:rPr>
          <w:b/>
          <w:i w:val="0"/>
          <w:color w:val="auto"/>
          <w:sz w:val="20"/>
        </w:rPr>
        <w:t>Tab</w:t>
      </w:r>
      <w:r w:rsidR="00107F98">
        <w:rPr>
          <w:b/>
          <w:i w:val="0"/>
          <w:color w:val="auto"/>
          <w:sz w:val="20"/>
        </w:rPr>
        <w:t>.</w:t>
      </w:r>
      <w:r w:rsidRPr="00E06C4D">
        <w:rPr>
          <w:b/>
          <w:i w:val="0"/>
          <w:color w:val="auto"/>
          <w:sz w:val="20"/>
        </w:rPr>
        <w:t xml:space="preserve"> 3.</w:t>
      </w:r>
      <w:r w:rsidRPr="00E06C4D">
        <w:rPr>
          <w:b/>
          <w:i w:val="0"/>
          <w:color w:val="auto"/>
          <w:sz w:val="20"/>
        </w:rPr>
        <w:fldChar w:fldCharType="begin"/>
      </w:r>
      <w:r w:rsidRPr="00E06C4D">
        <w:rPr>
          <w:b/>
          <w:i w:val="0"/>
          <w:color w:val="auto"/>
          <w:sz w:val="20"/>
        </w:rPr>
        <w:instrText xml:space="preserve"> SEQ Tabulka \* ARABIC </w:instrText>
      </w:r>
      <w:r w:rsidRPr="00E06C4D">
        <w:rPr>
          <w:b/>
          <w:i w:val="0"/>
          <w:color w:val="auto"/>
          <w:sz w:val="20"/>
        </w:rPr>
        <w:fldChar w:fldCharType="separate"/>
      </w:r>
      <w:r w:rsidR="004426F5">
        <w:rPr>
          <w:b/>
          <w:i w:val="0"/>
          <w:noProof/>
          <w:color w:val="auto"/>
          <w:sz w:val="20"/>
        </w:rPr>
        <w:t>10</w:t>
      </w:r>
      <w:r w:rsidRPr="00E06C4D">
        <w:rPr>
          <w:b/>
          <w:i w:val="0"/>
          <w:color w:val="auto"/>
          <w:sz w:val="20"/>
        </w:rPr>
        <w:fldChar w:fldCharType="end"/>
      </w:r>
      <w:r w:rsidRPr="00E06C4D">
        <w:rPr>
          <w:b/>
          <w:i w:val="0"/>
          <w:color w:val="auto"/>
          <w:sz w:val="20"/>
        </w:rPr>
        <w:t>: Ukončené případy pracovní neschopnosti podle věkových skupin v roce 201</w:t>
      </w:r>
      <w:r w:rsidR="00D021CA">
        <w:rPr>
          <w:b/>
          <w:i w:val="0"/>
          <w:color w:val="auto"/>
          <w:sz w:val="20"/>
        </w:rPr>
        <w:t>7</w:t>
      </w:r>
      <w:bookmarkEnd w:id="20"/>
    </w:p>
    <w:tbl>
      <w:tblPr>
        <w:tblW w:w="8503" w:type="dxa"/>
        <w:tblInd w:w="70" w:type="dxa"/>
        <w:tblCellMar>
          <w:left w:w="70" w:type="dxa"/>
          <w:right w:w="70" w:type="dxa"/>
        </w:tblCellMar>
        <w:tblLook w:val="04A0" w:firstRow="1" w:lastRow="0" w:firstColumn="1" w:lastColumn="0" w:noHBand="0" w:noVBand="1"/>
      </w:tblPr>
      <w:tblGrid>
        <w:gridCol w:w="1417"/>
        <w:gridCol w:w="1417"/>
        <w:gridCol w:w="1417"/>
        <w:gridCol w:w="1418"/>
        <w:gridCol w:w="1417"/>
        <w:gridCol w:w="1417"/>
      </w:tblGrid>
      <w:tr w:rsidR="00E06C4D" w:rsidRPr="00CB6E4D" w14:paraId="14F9D316" w14:textId="77777777" w:rsidTr="00E06C4D">
        <w:trPr>
          <w:trHeight w:val="300"/>
        </w:trPr>
        <w:tc>
          <w:tcPr>
            <w:tcW w:w="1417" w:type="dxa"/>
            <w:vMerge w:val="restart"/>
            <w:tcBorders>
              <w:top w:val="single" w:sz="4" w:space="0" w:color="auto"/>
              <w:left w:val="nil"/>
              <w:bottom w:val="single" w:sz="8" w:space="0" w:color="000000"/>
              <w:right w:val="single" w:sz="4" w:space="0" w:color="auto"/>
            </w:tcBorders>
            <w:shd w:val="clear" w:color="000000" w:fill="F5DADD"/>
            <w:vAlign w:val="center"/>
            <w:hideMark/>
          </w:tcPr>
          <w:p w14:paraId="170271D9" w14:textId="77777777" w:rsidR="00E06C4D" w:rsidRPr="00CB6E4D" w:rsidRDefault="00E06C4D" w:rsidP="00CB6E4D">
            <w:pPr>
              <w:spacing w:after="0" w:line="240" w:lineRule="auto"/>
              <w:jc w:val="center"/>
              <w:rPr>
                <w:rFonts w:cs="Arial"/>
                <w:sz w:val="16"/>
                <w:szCs w:val="16"/>
              </w:rPr>
            </w:pPr>
            <w:r w:rsidRPr="00CB6E4D">
              <w:rPr>
                <w:rFonts w:cs="Arial"/>
                <w:sz w:val="16"/>
                <w:szCs w:val="16"/>
              </w:rPr>
              <w:t>Věková skupina</w:t>
            </w:r>
          </w:p>
        </w:tc>
        <w:tc>
          <w:tcPr>
            <w:tcW w:w="4252" w:type="dxa"/>
            <w:gridSpan w:val="3"/>
            <w:tcBorders>
              <w:top w:val="single" w:sz="4" w:space="0" w:color="auto"/>
              <w:left w:val="nil"/>
              <w:bottom w:val="single" w:sz="4" w:space="0" w:color="auto"/>
              <w:right w:val="nil"/>
            </w:tcBorders>
            <w:shd w:val="clear" w:color="000000" w:fill="F2DBDB"/>
            <w:vAlign w:val="center"/>
            <w:hideMark/>
          </w:tcPr>
          <w:p w14:paraId="53D65EC8" w14:textId="77777777" w:rsidR="00E06C4D" w:rsidRPr="00CB6E4D" w:rsidRDefault="00E06C4D" w:rsidP="00CB6E4D">
            <w:pPr>
              <w:spacing w:after="0" w:line="240" w:lineRule="auto"/>
              <w:jc w:val="center"/>
              <w:rPr>
                <w:rFonts w:cs="Arial"/>
                <w:sz w:val="16"/>
                <w:szCs w:val="16"/>
              </w:rPr>
            </w:pPr>
            <w:r w:rsidRPr="00CB6E4D">
              <w:rPr>
                <w:rFonts w:cs="Arial"/>
                <w:sz w:val="16"/>
                <w:szCs w:val="16"/>
              </w:rPr>
              <w:t>Počet ukončených případů DPN</w:t>
            </w:r>
          </w:p>
        </w:tc>
        <w:tc>
          <w:tcPr>
            <w:tcW w:w="1417" w:type="dxa"/>
            <w:vMerge w:val="restart"/>
            <w:tcBorders>
              <w:top w:val="single" w:sz="4" w:space="0" w:color="auto"/>
              <w:left w:val="single" w:sz="4" w:space="0" w:color="auto"/>
              <w:right w:val="single" w:sz="4" w:space="0" w:color="auto"/>
            </w:tcBorders>
            <w:shd w:val="clear" w:color="000000" w:fill="F2DBDB"/>
            <w:vAlign w:val="center"/>
            <w:hideMark/>
          </w:tcPr>
          <w:p w14:paraId="61FF0D66" w14:textId="77777777" w:rsidR="00E06C4D" w:rsidRPr="00CB6E4D" w:rsidRDefault="00E06C4D" w:rsidP="00CB6E4D">
            <w:pPr>
              <w:spacing w:after="0" w:line="240" w:lineRule="auto"/>
              <w:jc w:val="center"/>
              <w:rPr>
                <w:rFonts w:cs="Arial"/>
                <w:sz w:val="16"/>
                <w:szCs w:val="16"/>
              </w:rPr>
            </w:pPr>
            <w:r w:rsidRPr="00CB6E4D">
              <w:rPr>
                <w:rFonts w:cs="Arial"/>
                <w:sz w:val="16"/>
                <w:szCs w:val="16"/>
              </w:rPr>
              <w:t xml:space="preserve">Počet ukončených případů DPN </w:t>
            </w:r>
            <w:r w:rsidRPr="00CB6E4D">
              <w:rPr>
                <w:rFonts w:cs="Arial"/>
                <w:sz w:val="16"/>
                <w:szCs w:val="16"/>
              </w:rPr>
              <w:br/>
              <w:t>na 100 000 nemocensky pojištěných osob</w:t>
            </w:r>
          </w:p>
        </w:tc>
        <w:tc>
          <w:tcPr>
            <w:tcW w:w="1417" w:type="dxa"/>
            <w:vMerge w:val="restart"/>
            <w:tcBorders>
              <w:top w:val="single" w:sz="4" w:space="0" w:color="auto"/>
              <w:left w:val="single" w:sz="4" w:space="0" w:color="auto"/>
              <w:right w:val="nil"/>
            </w:tcBorders>
            <w:shd w:val="clear" w:color="000000" w:fill="F2DBDB"/>
            <w:vAlign w:val="center"/>
            <w:hideMark/>
          </w:tcPr>
          <w:p w14:paraId="10B1EDBB" w14:textId="77777777" w:rsidR="00E06C4D" w:rsidRPr="00CB6E4D" w:rsidRDefault="00E06C4D" w:rsidP="00CB6E4D">
            <w:pPr>
              <w:spacing w:after="0" w:line="240" w:lineRule="auto"/>
              <w:jc w:val="center"/>
              <w:rPr>
                <w:rFonts w:cs="Arial"/>
                <w:sz w:val="16"/>
                <w:szCs w:val="16"/>
              </w:rPr>
            </w:pPr>
            <w:r w:rsidRPr="00CB6E4D">
              <w:rPr>
                <w:rFonts w:cs="Arial"/>
                <w:sz w:val="16"/>
                <w:szCs w:val="16"/>
              </w:rPr>
              <w:t>Průměrná délka trvání 1 ukončeného případu DPN ve dnech</w:t>
            </w:r>
          </w:p>
        </w:tc>
      </w:tr>
      <w:tr w:rsidR="00E06C4D" w:rsidRPr="00CB6E4D" w14:paraId="0375A5E5" w14:textId="77777777" w:rsidTr="00E06C4D">
        <w:trPr>
          <w:trHeight w:val="300"/>
        </w:trPr>
        <w:tc>
          <w:tcPr>
            <w:tcW w:w="1417" w:type="dxa"/>
            <w:vMerge/>
            <w:tcBorders>
              <w:top w:val="single" w:sz="4" w:space="0" w:color="auto"/>
              <w:left w:val="nil"/>
              <w:bottom w:val="single" w:sz="8" w:space="0" w:color="000000"/>
              <w:right w:val="single" w:sz="4" w:space="0" w:color="auto"/>
            </w:tcBorders>
            <w:vAlign w:val="center"/>
            <w:hideMark/>
          </w:tcPr>
          <w:p w14:paraId="4F23B6A7" w14:textId="77777777" w:rsidR="00E06C4D" w:rsidRPr="00CB6E4D" w:rsidRDefault="00E06C4D" w:rsidP="00CB6E4D">
            <w:pPr>
              <w:spacing w:after="0" w:line="240" w:lineRule="auto"/>
              <w:rPr>
                <w:rFonts w:cs="Arial"/>
                <w:sz w:val="16"/>
                <w:szCs w:val="16"/>
              </w:rPr>
            </w:pPr>
          </w:p>
        </w:tc>
        <w:tc>
          <w:tcPr>
            <w:tcW w:w="1417" w:type="dxa"/>
            <w:vMerge w:val="restart"/>
            <w:tcBorders>
              <w:top w:val="nil"/>
              <w:left w:val="nil"/>
              <w:bottom w:val="single" w:sz="8" w:space="0" w:color="000000"/>
              <w:right w:val="single" w:sz="4" w:space="0" w:color="auto"/>
            </w:tcBorders>
            <w:shd w:val="clear" w:color="000000" w:fill="F2DBDB"/>
            <w:vAlign w:val="center"/>
            <w:hideMark/>
          </w:tcPr>
          <w:p w14:paraId="2822FF55" w14:textId="4A3CA750" w:rsidR="00E06C4D" w:rsidRPr="00CB6E4D" w:rsidRDefault="00107F98" w:rsidP="00CB6E4D">
            <w:pPr>
              <w:spacing w:after="0" w:line="240" w:lineRule="auto"/>
              <w:jc w:val="center"/>
              <w:rPr>
                <w:rFonts w:cs="Arial"/>
                <w:sz w:val="16"/>
                <w:szCs w:val="16"/>
              </w:rPr>
            </w:pPr>
            <w:r>
              <w:rPr>
                <w:rFonts w:cs="Arial"/>
                <w:sz w:val="16"/>
                <w:szCs w:val="16"/>
              </w:rPr>
              <w:t>C</w:t>
            </w:r>
            <w:r w:rsidR="00E06C4D" w:rsidRPr="00CB6E4D">
              <w:rPr>
                <w:rFonts w:cs="Arial"/>
                <w:sz w:val="16"/>
                <w:szCs w:val="16"/>
              </w:rPr>
              <w:t>elkem</w:t>
            </w:r>
          </w:p>
        </w:tc>
        <w:tc>
          <w:tcPr>
            <w:tcW w:w="2835" w:type="dxa"/>
            <w:gridSpan w:val="2"/>
            <w:tcBorders>
              <w:top w:val="single" w:sz="4" w:space="0" w:color="auto"/>
              <w:left w:val="nil"/>
              <w:bottom w:val="single" w:sz="4" w:space="0" w:color="auto"/>
              <w:right w:val="single" w:sz="4" w:space="0" w:color="auto"/>
            </w:tcBorders>
            <w:shd w:val="clear" w:color="000000" w:fill="F2DBDB"/>
            <w:vAlign w:val="center"/>
            <w:hideMark/>
          </w:tcPr>
          <w:p w14:paraId="61AA3179" w14:textId="56AA6828" w:rsidR="00E06C4D" w:rsidRPr="00CB6E4D" w:rsidRDefault="00997C2A" w:rsidP="00CB6E4D">
            <w:pPr>
              <w:spacing w:after="0" w:line="240" w:lineRule="auto"/>
              <w:jc w:val="center"/>
              <w:rPr>
                <w:rFonts w:cs="Arial"/>
                <w:sz w:val="16"/>
                <w:szCs w:val="16"/>
              </w:rPr>
            </w:pPr>
            <w:r>
              <w:rPr>
                <w:rFonts w:cs="Arial"/>
                <w:sz w:val="16"/>
                <w:szCs w:val="16"/>
              </w:rPr>
              <w:t>podle pohlaví</w:t>
            </w:r>
          </w:p>
        </w:tc>
        <w:tc>
          <w:tcPr>
            <w:tcW w:w="1417" w:type="dxa"/>
            <w:vMerge/>
            <w:tcBorders>
              <w:left w:val="single" w:sz="4" w:space="0" w:color="auto"/>
              <w:right w:val="single" w:sz="4" w:space="0" w:color="auto"/>
            </w:tcBorders>
            <w:vAlign w:val="center"/>
            <w:hideMark/>
          </w:tcPr>
          <w:p w14:paraId="5938E7BD" w14:textId="77777777" w:rsidR="00E06C4D" w:rsidRPr="00CB6E4D" w:rsidRDefault="00E06C4D" w:rsidP="00CB6E4D">
            <w:pPr>
              <w:spacing w:after="0" w:line="240" w:lineRule="auto"/>
              <w:rPr>
                <w:rFonts w:cs="Arial"/>
                <w:sz w:val="16"/>
                <w:szCs w:val="16"/>
              </w:rPr>
            </w:pPr>
          </w:p>
        </w:tc>
        <w:tc>
          <w:tcPr>
            <w:tcW w:w="1417" w:type="dxa"/>
            <w:vMerge/>
            <w:tcBorders>
              <w:left w:val="single" w:sz="4" w:space="0" w:color="auto"/>
              <w:right w:val="nil"/>
            </w:tcBorders>
            <w:vAlign w:val="center"/>
            <w:hideMark/>
          </w:tcPr>
          <w:p w14:paraId="771F365E" w14:textId="77777777" w:rsidR="00E06C4D" w:rsidRPr="00CB6E4D" w:rsidRDefault="00E06C4D" w:rsidP="00CB6E4D">
            <w:pPr>
              <w:spacing w:after="0" w:line="240" w:lineRule="auto"/>
              <w:rPr>
                <w:rFonts w:cs="Arial"/>
                <w:sz w:val="16"/>
                <w:szCs w:val="16"/>
              </w:rPr>
            </w:pPr>
          </w:p>
        </w:tc>
      </w:tr>
      <w:tr w:rsidR="00E06C4D" w:rsidRPr="00CB6E4D" w14:paraId="6B9AC0CF" w14:textId="77777777" w:rsidTr="00997C2A">
        <w:trPr>
          <w:trHeight w:val="315"/>
        </w:trPr>
        <w:tc>
          <w:tcPr>
            <w:tcW w:w="1417" w:type="dxa"/>
            <w:vMerge/>
            <w:tcBorders>
              <w:top w:val="single" w:sz="4" w:space="0" w:color="auto"/>
              <w:left w:val="nil"/>
              <w:bottom w:val="single" w:sz="8" w:space="0" w:color="000000"/>
              <w:right w:val="single" w:sz="4" w:space="0" w:color="auto"/>
            </w:tcBorders>
            <w:vAlign w:val="center"/>
            <w:hideMark/>
          </w:tcPr>
          <w:p w14:paraId="5369EB7A" w14:textId="77777777" w:rsidR="00E06C4D" w:rsidRPr="00CB6E4D" w:rsidRDefault="00E06C4D" w:rsidP="00CB6E4D">
            <w:pPr>
              <w:spacing w:after="0" w:line="240" w:lineRule="auto"/>
              <w:rPr>
                <w:rFonts w:cs="Arial"/>
                <w:sz w:val="16"/>
                <w:szCs w:val="16"/>
              </w:rPr>
            </w:pPr>
          </w:p>
        </w:tc>
        <w:tc>
          <w:tcPr>
            <w:tcW w:w="1417" w:type="dxa"/>
            <w:vMerge/>
            <w:tcBorders>
              <w:top w:val="nil"/>
              <w:left w:val="nil"/>
              <w:bottom w:val="single" w:sz="8" w:space="0" w:color="000000"/>
              <w:right w:val="single" w:sz="4" w:space="0" w:color="auto"/>
            </w:tcBorders>
            <w:vAlign w:val="center"/>
            <w:hideMark/>
          </w:tcPr>
          <w:p w14:paraId="217B8462" w14:textId="77777777" w:rsidR="00E06C4D" w:rsidRPr="00CB6E4D" w:rsidRDefault="00E06C4D" w:rsidP="00CB6E4D">
            <w:pPr>
              <w:spacing w:after="0" w:line="240" w:lineRule="auto"/>
              <w:rPr>
                <w:rFonts w:cs="Arial"/>
                <w:sz w:val="16"/>
                <w:szCs w:val="16"/>
              </w:rPr>
            </w:pPr>
          </w:p>
        </w:tc>
        <w:tc>
          <w:tcPr>
            <w:tcW w:w="1417" w:type="dxa"/>
            <w:tcBorders>
              <w:top w:val="nil"/>
              <w:left w:val="nil"/>
              <w:bottom w:val="single" w:sz="8" w:space="0" w:color="auto"/>
              <w:right w:val="single" w:sz="4" w:space="0" w:color="auto"/>
            </w:tcBorders>
            <w:shd w:val="clear" w:color="000000" w:fill="F2DBDB"/>
            <w:vAlign w:val="center"/>
            <w:hideMark/>
          </w:tcPr>
          <w:p w14:paraId="1A926E02" w14:textId="77777777" w:rsidR="00E06C4D" w:rsidRPr="00CB6E4D" w:rsidRDefault="00E06C4D" w:rsidP="00CB6E4D">
            <w:pPr>
              <w:spacing w:after="0" w:line="240" w:lineRule="auto"/>
              <w:jc w:val="center"/>
              <w:rPr>
                <w:rFonts w:cs="Arial"/>
                <w:sz w:val="16"/>
                <w:szCs w:val="16"/>
              </w:rPr>
            </w:pPr>
            <w:r w:rsidRPr="00CB6E4D">
              <w:rPr>
                <w:rFonts w:cs="Arial"/>
                <w:sz w:val="16"/>
                <w:szCs w:val="16"/>
              </w:rPr>
              <w:t>muži</w:t>
            </w:r>
          </w:p>
        </w:tc>
        <w:tc>
          <w:tcPr>
            <w:tcW w:w="1418" w:type="dxa"/>
            <w:tcBorders>
              <w:top w:val="nil"/>
              <w:left w:val="nil"/>
              <w:bottom w:val="single" w:sz="8" w:space="0" w:color="auto"/>
              <w:right w:val="nil"/>
            </w:tcBorders>
            <w:shd w:val="clear" w:color="000000" w:fill="F2DBDB"/>
            <w:vAlign w:val="center"/>
            <w:hideMark/>
          </w:tcPr>
          <w:p w14:paraId="7E93045C" w14:textId="77777777" w:rsidR="00E06C4D" w:rsidRPr="00CB6E4D" w:rsidRDefault="00E06C4D" w:rsidP="00CB6E4D">
            <w:pPr>
              <w:spacing w:after="0" w:line="240" w:lineRule="auto"/>
              <w:jc w:val="center"/>
              <w:rPr>
                <w:rFonts w:cs="Arial"/>
                <w:sz w:val="16"/>
                <w:szCs w:val="16"/>
              </w:rPr>
            </w:pPr>
            <w:r w:rsidRPr="00CB6E4D">
              <w:rPr>
                <w:rFonts w:cs="Arial"/>
                <w:sz w:val="16"/>
                <w:szCs w:val="16"/>
              </w:rPr>
              <w:t>ženy</w:t>
            </w:r>
          </w:p>
        </w:tc>
        <w:tc>
          <w:tcPr>
            <w:tcW w:w="1417" w:type="dxa"/>
            <w:vMerge/>
            <w:tcBorders>
              <w:left w:val="single" w:sz="4" w:space="0" w:color="auto"/>
              <w:bottom w:val="single" w:sz="8" w:space="0" w:color="000000"/>
              <w:right w:val="single" w:sz="4" w:space="0" w:color="auto"/>
            </w:tcBorders>
            <w:vAlign w:val="center"/>
            <w:hideMark/>
          </w:tcPr>
          <w:p w14:paraId="691B421E" w14:textId="77777777" w:rsidR="00E06C4D" w:rsidRPr="00CB6E4D" w:rsidRDefault="00E06C4D" w:rsidP="00CB6E4D">
            <w:pPr>
              <w:spacing w:after="0" w:line="240" w:lineRule="auto"/>
              <w:rPr>
                <w:rFonts w:cs="Arial"/>
                <w:sz w:val="16"/>
                <w:szCs w:val="16"/>
              </w:rPr>
            </w:pPr>
          </w:p>
        </w:tc>
        <w:tc>
          <w:tcPr>
            <w:tcW w:w="1417" w:type="dxa"/>
            <w:vMerge/>
            <w:tcBorders>
              <w:left w:val="single" w:sz="4" w:space="0" w:color="auto"/>
              <w:bottom w:val="single" w:sz="8" w:space="0" w:color="000000"/>
              <w:right w:val="nil"/>
            </w:tcBorders>
            <w:vAlign w:val="center"/>
            <w:hideMark/>
          </w:tcPr>
          <w:p w14:paraId="55C46D1C" w14:textId="77777777" w:rsidR="00E06C4D" w:rsidRPr="00CB6E4D" w:rsidRDefault="00E06C4D" w:rsidP="00CB6E4D">
            <w:pPr>
              <w:spacing w:after="0" w:line="240" w:lineRule="auto"/>
              <w:rPr>
                <w:rFonts w:cs="Arial"/>
                <w:sz w:val="16"/>
                <w:szCs w:val="16"/>
              </w:rPr>
            </w:pPr>
          </w:p>
        </w:tc>
      </w:tr>
      <w:tr w:rsidR="00E06C4D" w:rsidRPr="00CB6E4D" w14:paraId="73298107"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2AE3A5C9" w14:textId="1A0E3475" w:rsidR="00CB6E4D" w:rsidRPr="00CB6E4D" w:rsidRDefault="00CB6E4D" w:rsidP="00107F98">
            <w:pPr>
              <w:spacing w:after="0" w:line="240" w:lineRule="auto"/>
              <w:rPr>
                <w:rFonts w:cs="Arial"/>
                <w:b/>
                <w:bCs/>
                <w:sz w:val="16"/>
                <w:szCs w:val="16"/>
              </w:rPr>
            </w:pPr>
            <w:r w:rsidRPr="00CB6E4D">
              <w:rPr>
                <w:rFonts w:cs="Arial"/>
                <w:b/>
                <w:bCs/>
                <w:sz w:val="16"/>
                <w:szCs w:val="16"/>
              </w:rPr>
              <w:t>C</w:t>
            </w:r>
            <w:r w:rsidR="00107F98">
              <w:rPr>
                <w:rFonts w:cs="Arial"/>
                <w:b/>
                <w:bCs/>
                <w:sz w:val="16"/>
                <w:szCs w:val="16"/>
              </w:rPr>
              <w:t>elkem</w:t>
            </w:r>
          </w:p>
        </w:tc>
        <w:tc>
          <w:tcPr>
            <w:tcW w:w="1417" w:type="dxa"/>
            <w:tcBorders>
              <w:top w:val="nil"/>
              <w:left w:val="nil"/>
              <w:bottom w:val="nil"/>
              <w:right w:val="nil"/>
            </w:tcBorders>
            <w:shd w:val="clear" w:color="auto" w:fill="auto"/>
            <w:vAlign w:val="center"/>
            <w:hideMark/>
          </w:tcPr>
          <w:p w14:paraId="7A5BC8BD" w14:textId="77777777" w:rsidR="00CB6E4D" w:rsidRPr="00CB6E4D" w:rsidRDefault="00CB6E4D" w:rsidP="00CB6E4D">
            <w:pPr>
              <w:spacing w:after="0" w:line="240" w:lineRule="auto"/>
              <w:jc w:val="right"/>
              <w:rPr>
                <w:rFonts w:cs="Arial"/>
                <w:b/>
                <w:bCs/>
                <w:sz w:val="16"/>
                <w:szCs w:val="16"/>
              </w:rPr>
            </w:pPr>
            <w:r w:rsidRPr="00CB6E4D">
              <w:rPr>
                <w:rFonts w:cs="Arial"/>
                <w:b/>
                <w:bCs/>
                <w:sz w:val="16"/>
                <w:szCs w:val="16"/>
              </w:rPr>
              <w:t>1 661 174</w:t>
            </w:r>
          </w:p>
        </w:tc>
        <w:tc>
          <w:tcPr>
            <w:tcW w:w="1417" w:type="dxa"/>
            <w:tcBorders>
              <w:top w:val="nil"/>
              <w:left w:val="nil"/>
              <w:bottom w:val="nil"/>
              <w:right w:val="nil"/>
            </w:tcBorders>
            <w:shd w:val="clear" w:color="auto" w:fill="auto"/>
            <w:vAlign w:val="center"/>
            <w:hideMark/>
          </w:tcPr>
          <w:p w14:paraId="2E30E7C2" w14:textId="77777777" w:rsidR="00CB6E4D" w:rsidRPr="00CB6E4D" w:rsidRDefault="00CB6E4D" w:rsidP="00CB6E4D">
            <w:pPr>
              <w:spacing w:after="0" w:line="240" w:lineRule="auto"/>
              <w:jc w:val="right"/>
              <w:rPr>
                <w:rFonts w:cs="Arial"/>
                <w:b/>
                <w:bCs/>
                <w:sz w:val="16"/>
                <w:szCs w:val="16"/>
              </w:rPr>
            </w:pPr>
            <w:r w:rsidRPr="00CB6E4D">
              <w:rPr>
                <w:rFonts w:cs="Arial"/>
                <w:b/>
                <w:bCs/>
                <w:sz w:val="16"/>
                <w:szCs w:val="16"/>
              </w:rPr>
              <w:t>793 362</w:t>
            </w:r>
          </w:p>
        </w:tc>
        <w:tc>
          <w:tcPr>
            <w:tcW w:w="1418" w:type="dxa"/>
            <w:tcBorders>
              <w:top w:val="single" w:sz="8" w:space="0" w:color="auto"/>
              <w:left w:val="nil"/>
              <w:bottom w:val="nil"/>
              <w:right w:val="single" w:sz="4" w:space="0" w:color="auto"/>
            </w:tcBorders>
            <w:shd w:val="clear" w:color="auto" w:fill="auto"/>
            <w:vAlign w:val="center"/>
            <w:hideMark/>
          </w:tcPr>
          <w:p w14:paraId="2537C2F0" w14:textId="77777777" w:rsidR="00CB6E4D" w:rsidRPr="00CB6E4D" w:rsidRDefault="00CB6E4D" w:rsidP="00CB6E4D">
            <w:pPr>
              <w:spacing w:after="0" w:line="240" w:lineRule="auto"/>
              <w:jc w:val="right"/>
              <w:rPr>
                <w:rFonts w:cs="Arial"/>
                <w:b/>
                <w:bCs/>
                <w:sz w:val="16"/>
                <w:szCs w:val="16"/>
              </w:rPr>
            </w:pPr>
            <w:r w:rsidRPr="00CB6E4D">
              <w:rPr>
                <w:rFonts w:cs="Arial"/>
                <w:b/>
                <w:bCs/>
                <w:sz w:val="16"/>
                <w:szCs w:val="16"/>
              </w:rPr>
              <w:t>867 812</w:t>
            </w:r>
          </w:p>
        </w:tc>
        <w:tc>
          <w:tcPr>
            <w:tcW w:w="1417" w:type="dxa"/>
            <w:tcBorders>
              <w:top w:val="single" w:sz="8" w:space="0" w:color="000000"/>
              <w:left w:val="single" w:sz="4" w:space="0" w:color="auto"/>
              <w:bottom w:val="nil"/>
              <w:right w:val="single" w:sz="4" w:space="0" w:color="auto"/>
            </w:tcBorders>
            <w:shd w:val="clear" w:color="auto" w:fill="auto"/>
            <w:noWrap/>
            <w:vAlign w:val="center"/>
            <w:hideMark/>
          </w:tcPr>
          <w:p w14:paraId="673E3346" w14:textId="77777777" w:rsidR="00CB6E4D" w:rsidRPr="00CB6E4D" w:rsidRDefault="00CB6E4D" w:rsidP="00CB6E4D">
            <w:pPr>
              <w:spacing w:after="0" w:line="240" w:lineRule="auto"/>
              <w:jc w:val="right"/>
              <w:rPr>
                <w:rFonts w:cs="Arial"/>
                <w:b/>
                <w:bCs/>
                <w:sz w:val="16"/>
                <w:szCs w:val="16"/>
              </w:rPr>
            </w:pPr>
            <w:r w:rsidRPr="00CB6E4D">
              <w:rPr>
                <w:rFonts w:cs="Arial"/>
                <w:b/>
                <w:bCs/>
                <w:sz w:val="16"/>
                <w:szCs w:val="16"/>
              </w:rPr>
              <w:t>35 557</w:t>
            </w:r>
          </w:p>
        </w:tc>
        <w:tc>
          <w:tcPr>
            <w:tcW w:w="1417" w:type="dxa"/>
            <w:tcBorders>
              <w:top w:val="nil"/>
              <w:left w:val="single" w:sz="4" w:space="0" w:color="auto"/>
              <w:bottom w:val="nil"/>
              <w:right w:val="nil"/>
            </w:tcBorders>
            <w:shd w:val="clear" w:color="auto" w:fill="auto"/>
            <w:noWrap/>
            <w:vAlign w:val="center"/>
            <w:hideMark/>
          </w:tcPr>
          <w:p w14:paraId="5841E636" w14:textId="77777777" w:rsidR="00CB6E4D" w:rsidRPr="00CB6E4D" w:rsidRDefault="00CB6E4D" w:rsidP="00CB6E4D">
            <w:pPr>
              <w:spacing w:after="0" w:line="240" w:lineRule="auto"/>
              <w:jc w:val="right"/>
              <w:rPr>
                <w:rFonts w:cs="Arial"/>
                <w:b/>
                <w:bCs/>
                <w:sz w:val="16"/>
                <w:szCs w:val="16"/>
              </w:rPr>
            </w:pPr>
            <w:r w:rsidRPr="00CB6E4D">
              <w:rPr>
                <w:rFonts w:cs="Arial"/>
                <w:b/>
                <w:bCs/>
                <w:sz w:val="16"/>
                <w:szCs w:val="16"/>
              </w:rPr>
              <w:t>41,5</w:t>
            </w:r>
          </w:p>
        </w:tc>
      </w:tr>
      <w:tr w:rsidR="00E06C4D" w:rsidRPr="00CB6E4D" w14:paraId="02DC2F4D"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1A47DA76" w14:textId="2F705CCB" w:rsidR="00CB6E4D" w:rsidRPr="00CB6E4D" w:rsidRDefault="005B4A93" w:rsidP="005B4A93">
            <w:pPr>
              <w:spacing w:after="0" w:line="240" w:lineRule="auto"/>
              <w:ind w:firstLineChars="100" w:firstLine="160"/>
              <w:rPr>
                <w:rFonts w:cs="Arial"/>
                <w:sz w:val="16"/>
                <w:szCs w:val="16"/>
              </w:rPr>
            </w:pPr>
            <w:r>
              <w:rPr>
                <w:rFonts w:cs="Arial"/>
                <w:sz w:val="16"/>
                <w:szCs w:val="16"/>
              </w:rPr>
              <w:t>mladší</w:t>
            </w:r>
            <w:r w:rsidR="00CB6E4D" w:rsidRPr="00CB6E4D">
              <w:rPr>
                <w:rFonts w:cs="Arial"/>
                <w:sz w:val="16"/>
                <w:szCs w:val="16"/>
              </w:rPr>
              <w:t xml:space="preserve"> </w:t>
            </w:r>
            <w:r>
              <w:rPr>
                <w:rFonts w:cs="Arial"/>
                <w:sz w:val="16"/>
                <w:szCs w:val="16"/>
              </w:rPr>
              <w:t>20</w:t>
            </w:r>
            <w:r w:rsidR="00CB6E4D" w:rsidRPr="00CB6E4D">
              <w:rPr>
                <w:rFonts w:cs="Arial"/>
                <w:sz w:val="16"/>
                <w:szCs w:val="16"/>
              </w:rPr>
              <w:t xml:space="preserve"> let</w:t>
            </w:r>
          </w:p>
        </w:tc>
        <w:tc>
          <w:tcPr>
            <w:tcW w:w="1417" w:type="dxa"/>
            <w:tcBorders>
              <w:top w:val="nil"/>
              <w:left w:val="single" w:sz="4" w:space="0" w:color="auto"/>
              <w:bottom w:val="nil"/>
              <w:right w:val="nil"/>
            </w:tcBorders>
            <w:shd w:val="clear" w:color="auto" w:fill="auto"/>
            <w:vAlign w:val="center"/>
            <w:hideMark/>
          </w:tcPr>
          <w:p w14:paraId="5194B084" w14:textId="77777777" w:rsidR="00CB6E4D" w:rsidRPr="00CB6E4D" w:rsidRDefault="00CB6E4D" w:rsidP="00CB6E4D">
            <w:pPr>
              <w:spacing w:after="0" w:line="240" w:lineRule="auto"/>
              <w:jc w:val="right"/>
              <w:rPr>
                <w:rFonts w:cs="Arial"/>
                <w:sz w:val="16"/>
                <w:szCs w:val="16"/>
              </w:rPr>
            </w:pPr>
            <w:r w:rsidRPr="00CB6E4D">
              <w:rPr>
                <w:rFonts w:cs="Arial"/>
                <w:sz w:val="16"/>
                <w:szCs w:val="16"/>
              </w:rPr>
              <w:t>24 046</w:t>
            </w:r>
          </w:p>
        </w:tc>
        <w:tc>
          <w:tcPr>
            <w:tcW w:w="1417" w:type="dxa"/>
            <w:tcBorders>
              <w:top w:val="nil"/>
              <w:left w:val="nil"/>
              <w:bottom w:val="nil"/>
              <w:right w:val="nil"/>
            </w:tcBorders>
            <w:shd w:val="clear" w:color="auto" w:fill="auto"/>
            <w:vAlign w:val="center"/>
            <w:hideMark/>
          </w:tcPr>
          <w:p w14:paraId="50449503" w14:textId="77777777" w:rsidR="00CB6E4D" w:rsidRPr="00CB6E4D" w:rsidRDefault="00CB6E4D" w:rsidP="00CB6E4D">
            <w:pPr>
              <w:spacing w:after="0" w:line="240" w:lineRule="auto"/>
              <w:jc w:val="right"/>
              <w:rPr>
                <w:rFonts w:cs="Arial"/>
                <w:sz w:val="16"/>
                <w:szCs w:val="16"/>
              </w:rPr>
            </w:pPr>
            <w:r w:rsidRPr="00CB6E4D">
              <w:rPr>
                <w:rFonts w:cs="Arial"/>
                <w:sz w:val="16"/>
                <w:szCs w:val="16"/>
              </w:rPr>
              <w:t>13 441</w:t>
            </w:r>
          </w:p>
        </w:tc>
        <w:tc>
          <w:tcPr>
            <w:tcW w:w="1418" w:type="dxa"/>
            <w:tcBorders>
              <w:top w:val="nil"/>
              <w:left w:val="nil"/>
              <w:bottom w:val="nil"/>
              <w:right w:val="single" w:sz="4" w:space="0" w:color="auto"/>
            </w:tcBorders>
            <w:shd w:val="clear" w:color="auto" w:fill="auto"/>
            <w:vAlign w:val="center"/>
            <w:hideMark/>
          </w:tcPr>
          <w:p w14:paraId="721584DB" w14:textId="77777777" w:rsidR="00CB6E4D" w:rsidRPr="00CB6E4D" w:rsidRDefault="00CB6E4D" w:rsidP="00CB6E4D">
            <w:pPr>
              <w:spacing w:after="0" w:line="240" w:lineRule="auto"/>
              <w:jc w:val="right"/>
              <w:rPr>
                <w:rFonts w:cs="Arial"/>
                <w:sz w:val="16"/>
                <w:szCs w:val="16"/>
              </w:rPr>
            </w:pPr>
            <w:r w:rsidRPr="00CB6E4D">
              <w:rPr>
                <w:rFonts w:cs="Arial"/>
                <w:sz w:val="16"/>
                <w:szCs w:val="16"/>
              </w:rPr>
              <w:t>10 605</w:t>
            </w:r>
          </w:p>
        </w:tc>
        <w:tc>
          <w:tcPr>
            <w:tcW w:w="1417" w:type="dxa"/>
            <w:tcBorders>
              <w:top w:val="nil"/>
              <w:left w:val="single" w:sz="4" w:space="0" w:color="auto"/>
              <w:bottom w:val="nil"/>
              <w:right w:val="single" w:sz="4" w:space="0" w:color="auto"/>
            </w:tcBorders>
            <w:shd w:val="clear" w:color="auto" w:fill="auto"/>
            <w:noWrap/>
            <w:vAlign w:val="center"/>
            <w:hideMark/>
          </w:tcPr>
          <w:p w14:paraId="3E96AD8F" w14:textId="77777777" w:rsidR="00CB6E4D" w:rsidRPr="00CB6E4D" w:rsidRDefault="00CB6E4D" w:rsidP="00CB6E4D">
            <w:pPr>
              <w:spacing w:after="0" w:line="240" w:lineRule="auto"/>
              <w:jc w:val="right"/>
              <w:rPr>
                <w:rFonts w:cs="Arial"/>
                <w:sz w:val="16"/>
                <w:szCs w:val="16"/>
              </w:rPr>
            </w:pPr>
            <w:r w:rsidRPr="00CB6E4D">
              <w:rPr>
                <w:rFonts w:cs="Arial"/>
                <w:sz w:val="16"/>
                <w:szCs w:val="16"/>
              </w:rPr>
              <w:t>117 873</w:t>
            </w:r>
          </w:p>
        </w:tc>
        <w:tc>
          <w:tcPr>
            <w:tcW w:w="1417" w:type="dxa"/>
            <w:tcBorders>
              <w:top w:val="nil"/>
              <w:left w:val="single" w:sz="4" w:space="0" w:color="auto"/>
              <w:bottom w:val="nil"/>
              <w:right w:val="nil"/>
            </w:tcBorders>
            <w:shd w:val="clear" w:color="auto" w:fill="auto"/>
            <w:noWrap/>
            <w:vAlign w:val="center"/>
            <w:hideMark/>
          </w:tcPr>
          <w:p w14:paraId="358D2549" w14:textId="77777777" w:rsidR="00CB6E4D" w:rsidRPr="00CB6E4D" w:rsidRDefault="00CB6E4D" w:rsidP="00CB6E4D">
            <w:pPr>
              <w:spacing w:after="0" w:line="240" w:lineRule="auto"/>
              <w:jc w:val="right"/>
              <w:rPr>
                <w:rFonts w:cs="Arial"/>
                <w:sz w:val="16"/>
                <w:szCs w:val="16"/>
              </w:rPr>
            </w:pPr>
            <w:r w:rsidRPr="00CB6E4D">
              <w:rPr>
                <w:rFonts w:cs="Arial"/>
                <w:sz w:val="16"/>
                <w:szCs w:val="16"/>
              </w:rPr>
              <w:t>16,8</w:t>
            </w:r>
          </w:p>
        </w:tc>
      </w:tr>
      <w:tr w:rsidR="00E06C4D" w:rsidRPr="00CB6E4D" w14:paraId="3458F59E"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540F3EEA"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20–24 let</w:t>
            </w:r>
          </w:p>
        </w:tc>
        <w:tc>
          <w:tcPr>
            <w:tcW w:w="1417" w:type="dxa"/>
            <w:tcBorders>
              <w:top w:val="nil"/>
              <w:left w:val="single" w:sz="4" w:space="0" w:color="auto"/>
              <w:bottom w:val="nil"/>
              <w:right w:val="nil"/>
            </w:tcBorders>
            <w:shd w:val="clear" w:color="auto" w:fill="auto"/>
            <w:vAlign w:val="center"/>
            <w:hideMark/>
          </w:tcPr>
          <w:p w14:paraId="67ED7BB6" w14:textId="77777777" w:rsidR="00CB6E4D" w:rsidRPr="00CB6E4D" w:rsidRDefault="00CB6E4D" w:rsidP="00CB6E4D">
            <w:pPr>
              <w:spacing w:after="0" w:line="240" w:lineRule="auto"/>
              <w:jc w:val="right"/>
              <w:rPr>
                <w:rFonts w:cs="Arial"/>
                <w:sz w:val="16"/>
                <w:szCs w:val="16"/>
              </w:rPr>
            </w:pPr>
            <w:r w:rsidRPr="00CB6E4D">
              <w:rPr>
                <w:rFonts w:cs="Arial"/>
                <w:sz w:val="16"/>
                <w:szCs w:val="16"/>
              </w:rPr>
              <w:t>178 521</w:t>
            </w:r>
          </w:p>
        </w:tc>
        <w:tc>
          <w:tcPr>
            <w:tcW w:w="1417" w:type="dxa"/>
            <w:tcBorders>
              <w:top w:val="nil"/>
              <w:left w:val="nil"/>
              <w:bottom w:val="nil"/>
              <w:right w:val="nil"/>
            </w:tcBorders>
            <w:shd w:val="clear" w:color="auto" w:fill="auto"/>
            <w:vAlign w:val="center"/>
            <w:hideMark/>
          </w:tcPr>
          <w:p w14:paraId="1CAFEAC2" w14:textId="77777777" w:rsidR="00CB6E4D" w:rsidRPr="00CB6E4D" w:rsidRDefault="00CB6E4D" w:rsidP="00CB6E4D">
            <w:pPr>
              <w:spacing w:after="0" w:line="240" w:lineRule="auto"/>
              <w:jc w:val="right"/>
              <w:rPr>
                <w:rFonts w:cs="Arial"/>
                <w:sz w:val="16"/>
                <w:szCs w:val="16"/>
              </w:rPr>
            </w:pPr>
            <w:r w:rsidRPr="00CB6E4D">
              <w:rPr>
                <w:rFonts w:cs="Arial"/>
                <w:sz w:val="16"/>
                <w:szCs w:val="16"/>
              </w:rPr>
              <w:t>98 604</w:t>
            </w:r>
          </w:p>
        </w:tc>
        <w:tc>
          <w:tcPr>
            <w:tcW w:w="1418" w:type="dxa"/>
            <w:tcBorders>
              <w:top w:val="nil"/>
              <w:left w:val="nil"/>
              <w:bottom w:val="nil"/>
              <w:right w:val="single" w:sz="4" w:space="0" w:color="auto"/>
            </w:tcBorders>
            <w:shd w:val="clear" w:color="auto" w:fill="auto"/>
            <w:vAlign w:val="center"/>
            <w:hideMark/>
          </w:tcPr>
          <w:p w14:paraId="23CDCEB3" w14:textId="77777777" w:rsidR="00CB6E4D" w:rsidRPr="00CB6E4D" w:rsidRDefault="00CB6E4D" w:rsidP="00CB6E4D">
            <w:pPr>
              <w:spacing w:after="0" w:line="240" w:lineRule="auto"/>
              <w:jc w:val="right"/>
              <w:rPr>
                <w:rFonts w:cs="Arial"/>
                <w:sz w:val="16"/>
                <w:szCs w:val="16"/>
              </w:rPr>
            </w:pPr>
            <w:r w:rsidRPr="00CB6E4D">
              <w:rPr>
                <w:rFonts w:cs="Arial"/>
                <w:sz w:val="16"/>
                <w:szCs w:val="16"/>
              </w:rPr>
              <w:t>79 917</w:t>
            </w:r>
          </w:p>
        </w:tc>
        <w:tc>
          <w:tcPr>
            <w:tcW w:w="1417" w:type="dxa"/>
            <w:tcBorders>
              <w:top w:val="nil"/>
              <w:left w:val="single" w:sz="4" w:space="0" w:color="auto"/>
              <w:bottom w:val="nil"/>
              <w:right w:val="single" w:sz="4" w:space="0" w:color="auto"/>
            </w:tcBorders>
            <w:shd w:val="clear" w:color="auto" w:fill="auto"/>
            <w:noWrap/>
            <w:vAlign w:val="center"/>
            <w:hideMark/>
          </w:tcPr>
          <w:p w14:paraId="297F61AD" w14:textId="77777777" w:rsidR="00CB6E4D" w:rsidRPr="00CB6E4D" w:rsidRDefault="00CB6E4D" w:rsidP="00CB6E4D">
            <w:pPr>
              <w:spacing w:after="0" w:line="240" w:lineRule="auto"/>
              <w:jc w:val="right"/>
              <w:rPr>
                <w:rFonts w:cs="Arial"/>
                <w:sz w:val="16"/>
                <w:szCs w:val="16"/>
              </w:rPr>
            </w:pPr>
            <w:r w:rsidRPr="00CB6E4D">
              <w:rPr>
                <w:rFonts w:cs="Arial"/>
                <w:sz w:val="16"/>
                <w:szCs w:val="16"/>
              </w:rPr>
              <w:t>74 930</w:t>
            </w:r>
          </w:p>
        </w:tc>
        <w:tc>
          <w:tcPr>
            <w:tcW w:w="1417" w:type="dxa"/>
            <w:tcBorders>
              <w:top w:val="nil"/>
              <w:left w:val="single" w:sz="4" w:space="0" w:color="auto"/>
              <w:bottom w:val="nil"/>
              <w:right w:val="nil"/>
            </w:tcBorders>
            <w:shd w:val="clear" w:color="auto" w:fill="auto"/>
            <w:noWrap/>
            <w:vAlign w:val="center"/>
            <w:hideMark/>
          </w:tcPr>
          <w:p w14:paraId="16D2E99D" w14:textId="77777777" w:rsidR="00CB6E4D" w:rsidRPr="00CB6E4D" w:rsidRDefault="00CB6E4D" w:rsidP="00CB6E4D">
            <w:pPr>
              <w:spacing w:after="0" w:line="240" w:lineRule="auto"/>
              <w:jc w:val="right"/>
              <w:rPr>
                <w:rFonts w:cs="Arial"/>
                <w:sz w:val="16"/>
                <w:szCs w:val="16"/>
              </w:rPr>
            </w:pPr>
            <w:r w:rsidRPr="00CB6E4D">
              <w:rPr>
                <w:rFonts w:cs="Arial"/>
                <w:sz w:val="16"/>
                <w:szCs w:val="16"/>
              </w:rPr>
              <w:t>23,2</w:t>
            </w:r>
          </w:p>
        </w:tc>
      </w:tr>
      <w:tr w:rsidR="00E06C4D" w:rsidRPr="00CB6E4D" w14:paraId="3F56EE90"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53D3701C"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25–29 let</w:t>
            </w:r>
          </w:p>
        </w:tc>
        <w:tc>
          <w:tcPr>
            <w:tcW w:w="1417" w:type="dxa"/>
            <w:tcBorders>
              <w:top w:val="nil"/>
              <w:left w:val="single" w:sz="4" w:space="0" w:color="auto"/>
              <w:bottom w:val="nil"/>
              <w:right w:val="nil"/>
            </w:tcBorders>
            <w:shd w:val="clear" w:color="auto" w:fill="auto"/>
            <w:vAlign w:val="center"/>
            <w:hideMark/>
          </w:tcPr>
          <w:p w14:paraId="7180C779" w14:textId="77777777" w:rsidR="00CB6E4D" w:rsidRPr="00CB6E4D" w:rsidRDefault="00CB6E4D" w:rsidP="00CB6E4D">
            <w:pPr>
              <w:spacing w:after="0" w:line="240" w:lineRule="auto"/>
              <w:jc w:val="right"/>
              <w:rPr>
                <w:rFonts w:cs="Arial"/>
                <w:sz w:val="16"/>
                <w:szCs w:val="16"/>
              </w:rPr>
            </w:pPr>
            <w:r w:rsidRPr="00CB6E4D">
              <w:rPr>
                <w:rFonts w:cs="Arial"/>
                <w:sz w:val="16"/>
                <w:szCs w:val="16"/>
              </w:rPr>
              <w:t>208 201</w:t>
            </w:r>
          </w:p>
        </w:tc>
        <w:tc>
          <w:tcPr>
            <w:tcW w:w="1417" w:type="dxa"/>
            <w:tcBorders>
              <w:top w:val="nil"/>
              <w:left w:val="nil"/>
              <w:bottom w:val="nil"/>
              <w:right w:val="nil"/>
            </w:tcBorders>
            <w:shd w:val="clear" w:color="auto" w:fill="auto"/>
            <w:vAlign w:val="center"/>
            <w:hideMark/>
          </w:tcPr>
          <w:p w14:paraId="74715CF9" w14:textId="77777777" w:rsidR="00CB6E4D" w:rsidRPr="00CB6E4D" w:rsidRDefault="00CB6E4D" w:rsidP="00CB6E4D">
            <w:pPr>
              <w:spacing w:after="0" w:line="240" w:lineRule="auto"/>
              <w:jc w:val="right"/>
              <w:rPr>
                <w:rFonts w:cs="Arial"/>
                <w:sz w:val="16"/>
                <w:szCs w:val="16"/>
              </w:rPr>
            </w:pPr>
            <w:r w:rsidRPr="00CB6E4D">
              <w:rPr>
                <w:rFonts w:cs="Arial"/>
                <w:sz w:val="16"/>
                <w:szCs w:val="16"/>
              </w:rPr>
              <w:t>107 957</w:t>
            </w:r>
          </w:p>
        </w:tc>
        <w:tc>
          <w:tcPr>
            <w:tcW w:w="1418" w:type="dxa"/>
            <w:tcBorders>
              <w:top w:val="nil"/>
              <w:left w:val="nil"/>
              <w:bottom w:val="nil"/>
              <w:right w:val="single" w:sz="4" w:space="0" w:color="auto"/>
            </w:tcBorders>
            <w:shd w:val="clear" w:color="auto" w:fill="auto"/>
            <w:vAlign w:val="center"/>
            <w:hideMark/>
          </w:tcPr>
          <w:p w14:paraId="3C08AB94" w14:textId="77777777" w:rsidR="00CB6E4D" w:rsidRPr="00CB6E4D" w:rsidRDefault="00CB6E4D" w:rsidP="00CB6E4D">
            <w:pPr>
              <w:spacing w:after="0" w:line="240" w:lineRule="auto"/>
              <w:jc w:val="right"/>
              <w:rPr>
                <w:rFonts w:cs="Arial"/>
                <w:sz w:val="16"/>
                <w:szCs w:val="16"/>
              </w:rPr>
            </w:pPr>
            <w:r w:rsidRPr="00CB6E4D">
              <w:rPr>
                <w:rFonts w:cs="Arial"/>
                <w:sz w:val="16"/>
                <w:szCs w:val="16"/>
              </w:rPr>
              <w:t>100 244</w:t>
            </w:r>
          </w:p>
        </w:tc>
        <w:tc>
          <w:tcPr>
            <w:tcW w:w="1417" w:type="dxa"/>
            <w:tcBorders>
              <w:top w:val="nil"/>
              <w:left w:val="single" w:sz="4" w:space="0" w:color="auto"/>
              <w:bottom w:val="nil"/>
              <w:right w:val="single" w:sz="4" w:space="0" w:color="auto"/>
            </w:tcBorders>
            <w:shd w:val="clear" w:color="auto" w:fill="auto"/>
            <w:noWrap/>
            <w:vAlign w:val="center"/>
            <w:hideMark/>
          </w:tcPr>
          <w:p w14:paraId="33AB0EA1" w14:textId="77777777" w:rsidR="00CB6E4D" w:rsidRPr="00CB6E4D" w:rsidRDefault="00CB6E4D" w:rsidP="00CB6E4D">
            <w:pPr>
              <w:spacing w:after="0" w:line="240" w:lineRule="auto"/>
              <w:jc w:val="right"/>
              <w:rPr>
                <w:rFonts w:cs="Arial"/>
                <w:sz w:val="16"/>
                <w:szCs w:val="16"/>
              </w:rPr>
            </w:pPr>
            <w:r w:rsidRPr="00CB6E4D">
              <w:rPr>
                <w:rFonts w:cs="Arial"/>
                <w:sz w:val="16"/>
                <w:szCs w:val="16"/>
              </w:rPr>
              <w:t>43 935</w:t>
            </w:r>
          </w:p>
        </w:tc>
        <w:tc>
          <w:tcPr>
            <w:tcW w:w="1417" w:type="dxa"/>
            <w:tcBorders>
              <w:top w:val="nil"/>
              <w:left w:val="single" w:sz="4" w:space="0" w:color="auto"/>
              <w:bottom w:val="nil"/>
              <w:right w:val="nil"/>
            </w:tcBorders>
            <w:shd w:val="clear" w:color="auto" w:fill="auto"/>
            <w:noWrap/>
            <w:vAlign w:val="center"/>
            <w:hideMark/>
          </w:tcPr>
          <w:p w14:paraId="445D035D" w14:textId="77777777" w:rsidR="00CB6E4D" w:rsidRPr="00CB6E4D" w:rsidRDefault="00CB6E4D" w:rsidP="00CB6E4D">
            <w:pPr>
              <w:spacing w:after="0" w:line="240" w:lineRule="auto"/>
              <w:jc w:val="right"/>
              <w:rPr>
                <w:rFonts w:cs="Arial"/>
                <w:sz w:val="16"/>
                <w:szCs w:val="16"/>
              </w:rPr>
            </w:pPr>
            <w:r w:rsidRPr="00CB6E4D">
              <w:rPr>
                <w:rFonts w:cs="Arial"/>
                <w:sz w:val="16"/>
                <w:szCs w:val="16"/>
              </w:rPr>
              <w:t>28,9</w:t>
            </w:r>
          </w:p>
        </w:tc>
      </w:tr>
      <w:tr w:rsidR="00E06C4D" w:rsidRPr="00CB6E4D" w14:paraId="430EE7FD"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050AD3BF"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30–34 let</w:t>
            </w:r>
          </w:p>
        </w:tc>
        <w:tc>
          <w:tcPr>
            <w:tcW w:w="1417" w:type="dxa"/>
            <w:tcBorders>
              <w:top w:val="nil"/>
              <w:left w:val="single" w:sz="4" w:space="0" w:color="auto"/>
              <w:bottom w:val="nil"/>
              <w:right w:val="nil"/>
            </w:tcBorders>
            <w:shd w:val="clear" w:color="auto" w:fill="auto"/>
            <w:vAlign w:val="center"/>
            <w:hideMark/>
          </w:tcPr>
          <w:p w14:paraId="0B69FA2A" w14:textId="77777777" w:rsidR="00CB6E4D" w:rsidRPr="00CB6E4D" w:rsidRDefault="00CB6E4D" w:rsidP="00CB6E4D">
            <w:pPr>
              <w:spacing w:after="0" w:line="240" w:lineRule="auto"/>
              <w:jc w:val="right"/>
              <w:rPr>
                <w:rFonts w:cs="Arial"/>
                <w:sz w:val="16"/>
                <w:szCs w:val="16"/>
              </w:rPr>
            </w:pPr>
            <w:r w:rsidRPr="00CB6E4D">
              <w:rPr>
                <w:rFonts w:cs="Arial"/>
                <w:sz w:val="16"/>
                <w:szCs w:val="16"/>
              </w:rPr>
              <w:t>180 417</w:t>
            </w:r>
          </w:p>
        </w:tc>
        <w:tc>
          <w:tcPr>
            <w:tcW w:w="1417" w:type="dxa"/>
            <w:tcBorders>
              <w:top w:val="nil"/>
              <w:left w:val="nil"/>
              <w:bottom w:val="nil"/>
              <w:right w:val="nil"/>
            </w:tcBorders>
            <w:shd w:val="clear" w:color="auto" w:fill="auto"/>
            <w:vAlign w:val="center"/>
            <w:hideMark/>
          </w:tcPr>
          <w:p w14:paraId="7BAEE470" w14:textId="77777777" w:rsidR="00CB6E4D" w:rsidRPr="00CB6E4D" w:rsidRDefault="00CB6E4D" w:rsidP="00CB6E4D">
            <w:pPr>
              <w:spacing w:after="0" w:line="240" w:lineRule="auto"/>
              <w:jc w:val="right"/>
              <w:rPr>
                <w:rFonts w:cs="Arial"/>
                <w:sz w:val="16"/>
                <w:szCs w:val="16"/>
              </w:rPr>
            </w:pPr>
            <w:r w:rsidRPr="00CB6E4D">
              <w:rPr>
                <w:rFonts w:cs="Arial"/>
                <w:sz w:val="16"/>
                <w:szCs w:val="16"/>
              </w:rPr>
              <w:t>94 324</w:t>
            </w:r>
          </w:p>
        </w:tc>
        <w:tc>
          <w:tcPr>
            <w:tcW w:w="1418" w:type="dxa"/>
            <w:tcBorders>
              <w:top w:val="nil"/>
              <w:left w:val="nil"/>
              <w:bottom w:val="nil"/>
              <w:right w:val="single" w:sz="4" w:space="0" w:color="auto"/>
            </w:tcBorders>
            <w:shd w:val="clear" w:color="auto" w:fill="auto"/>
            <w:vAlign w:val="center"/>
            <w:hideMark/>
          </w:tcPr>
          <w:p w14:paraId="7F7E8BF4" w14:textId="77777777" w:rsidR="00CB6E4D" w:rsidRPr="00CB6E4D" w:rsidRDefault="00CB6E4D" w:rsidP="00CB6E4D">
            <w:pPr>
              <w:spacing w:after="0" w:line="240" w:lineRule="auto"/>
              <w:jc w:val="right"/>
              <w:rPr>
                <w:rFonts w:cs="Arial"/>
                <w:sz w:val="16"/>
                <w:szCs w:val="16"/>
              </w:rPr>
            </w:pPr>
            <w:r w:rsidRPr="00CB6E4D">
              <w:rPr>
                <w:rFonts w:cs="Arial"/>
                <w:sz w:val="16"/>
                <w:szCs w:val="16"/>
              </w:rPr>
              <w:t>86 093</w:t>
            </w:r>
          </w:p>
        </w:tc>
        <w:tc>
          <w:tcPr>
            <w:tcW w:w="1417" w:type="dxa"/>
            <w:tcBorders>
              <w:top w:val="nil"/>
              <w:left w:val="single" w:sz="4" w:space="0" w:color="auto"/>
              <w:bottom w:val="nil"/>
              <w:right w:val="single" w:sz="4" w:space="0" w:color="auto"/>
            </w:tcBorders>
            <w:shd w:val="clear" w:color="auto" w:fill="auto"/>
            <w:noWrap/>
            <w:vAlign w:val="center"/>
            <w:hideMark/>
          </w:tcPr>
          <w:p w14:paraId="34CC05CE" w14:textId="77777777" w:rsidR="00CB6E4D" w:rsidRPr="00CB6E4D" w:rsidRDefault="00CB6E4D" w:rsidP="00CB6E4D">
            <w:pPr>
              <w:spacing w:after="0" w:line="240" w:lineRule="auto"/>
              <w:jc w:val="right"/>
              <w:rPr>
                <w:rFonts w:cs="Arial"/>
                <w:sz w:val="16"/>
                <w:szCs w:val="16"/>
              </w:rPr>
            </w:pPr>
            <w:r w:rsidRPr="00CB6E4D">
              <w:rPr>
                <w:rFonts w:cs="Arial"/>
                <w:sz w:val="16"/>
                <w:szCs w:val="16"/>
              </w:rPr>
              <w:t>34 651</w:t>
            </w:r>
          </w:p>
        </w:tc>
        <w:tc>
          <w:tcPr>
            <w:tcW w:w="1417" w:type="dxa"/>
            <w:tcBorders>
              <w:top w:val="nil"/>
              <w:left w:val="single" w:sz="4" w:space="0" w:color="auto"/>
              <w:bottom w:val="nil"/>
              <w:right w:val="nil"/>
            </w:tcBorders>
            <w:shd w:val="clear" w:color="auto" w:fill="auto"/>
            <w:noWrap/>
            <w:vAlign w:val="center"/>
            <w:hideMark/>
          </w:tcPr>
          <w:p w14:paraId="1207748C" w14:textId="77777777" w:rsidR="00CB6E4D" w:rsidRPr="00CB6E4D" w:rsidRDefault="00CB6E4D" w:rsidP="00CB6E4D">
            <w:pPr>
              <w:spacing w:after="0" w:line="240" w:lineRule="auto"/>
              <w:jc w:val="right"/>
              <w:rPr>
                <w:rFonts w:cs="Arial"/>
                <w:sz w:val="16"/>
                <w:szCs w:val="16"/>
              </w:rPr>
            </w:pPr>
            <w:r w:rsidRPr="00CB6E4D">
              <w:rPr>
                <w:rFonts w:cs="Arial"/>
                <w:sz w:val="16"/>
                <w:szCs w:val="16"/>
              </w:rPr>
              <w:t>34,1</w:t>
            </w:r>
          </w:p>
        </w:tc>
      </w:tr>
      <w:tr w:rsidR="00E06C4D" w:rsidRPr="00CB6E4D" w14:paraId="1AC22F3D"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2DE6B98A"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35–39 let</w:t>
            </w:r>
          </w:p>
        </w:tc>
        <w:tc>
          <w:tcPr>
            <w:tcW w:w="1417" w:type="dxa"/>
            <w:tcBorders>
              <w:top w:val="nil"/>
              <w:left w:val="single" w:sz="4" w:space="0" w:color="auto"/>
              <w:bottom w:val="nil"/>
              <w:right w:val="nil"/>
            </w:tcBorders>
            <w:shd w:val="clear" w:color="auto" w:fill="auto"/>
            <w:vAlign w:val="center"/>
            <w:hideMark/>
          </w:tcPr>
          <w:p w14:paraId="0768BACD" w14:textId="77777777" w:rsidR="00CB6E4D" w:rsidRPr="00CB6E4D" w:rsidRDefault="00CB6E4D" w:rsidP="00CB6E4D">
            <w:pPr>
              <w:spacing w:after="0" w:line="240" w:lineRule="auto"/>
              <w:jc w:val="right"/>
              <w:rPr>
                <w:rFonts w:cs="Arial"/>
                <w:sz w:val="16"/>
                <w:szCs w:val="16"/>
              </w:rPr>
            </w:pPr>
            <w:r w:rsidRPr="00CB6E4D">
              <w:rPr>
                <w:rFonts w:cs="Arial"/>
                <w:sz w:val="16"/>
                <w:szCs w:val="16"/>
              </w:rPr>
              <w:t>191 768</w:t>
            </w:r>
          </w:p>
        </w:tc>
        <w:tc>
          <w:tcPr>
            <w:tcW w:w="1417" w:type="dxa"/>
            <w:tcBorders>
              <w:top w:val="nil"/>
              <w:left w:val="nil"/>
              <w:bottom w:val="nil"/>
              <w:right w:val="nil"/>
            </w:tcBorders>
            <w:shd w:val="clear" w:color="auto" w:fill="auto"/>
            <w:vAlign w:val="center"/>
            <w:hideMark/>
          </w:tcPr>
          <w:p w14:paraId="57D311E1" w14:textId="77777777" w:rsidR="00CB6E4D" w:rsidRPr="00CB6E4D" w:rsidRDefault="00CB6E4D" w:rsidP="00CB6E4D">
            <w:pPr>
              <w:spacing w:after="0" w:line="240" w:lineRule="auto"/>
              <w:jc w:val="right"/>
              <w:rPr>
                <w:rFonts w:cs="Arial"/>
                <w:sz w:val="16"/>
                <w:szCs w:val="16"/>
              </w:rPr>
            </w:pPr>
            <w:r w:rsidRPr="00CB6E4D">
              <w:rPr>
                <w:rFonts w:cs="Arial"/>
                <w:sz w:val="16"/>
                <w:szCs w:val="16"/>
              </w:rPr>
              <w:t>91 972</w:t>
            </w:r>
          </w:p>
        </w:tc>
        <w:tc>
          <w:tcPr>
            <w:tcW w:w="1418" w:type="dxa"/>
            <w:tcBorders>
              <w:top w:val="nil"/>
              <w:left w:val="nil"/>
              <w:bottom w:val="nil"/>
              <w:right w:val="single" w:sz="4" w:space="0" w:color="auto"/>
            </w:tcBorders>
            <w:shd w:val="clear" w:color="auto" w:fill="auto"/>
            <w:vAlign w:val="center"/>
            <w:hideMark/>
          </w:tcPr>
          <w:p w14:paraId="5761C28C" w14:textId="77777777" w:rsidR="00CB6E4D" w:rsidRPr="00CB6E4D" w:rsidRDefault="00CB6E4D" w:rsidP="00CB6E4D">
            <w:pPr>
              <w:spacing w:after="0" w:line="240" w:lineRule="auto"/>
              <w:jc w:val="right"/>
              <w:rPr>
                <w:rFonts w:cs="Arial"/>
                <w:sz w:val="16"/>
                <w:szCs w:val="16"/>
              </w:rPr>
            </w:pPr>
            <w:r w:rsidRPr="00CB6E4D">
              <w:rPr>
                <w:rFonts w:cs="Arial"/>
                <w:sz w:val="16"/>
                <w:szCs w:val="16"/>
              </w:rPr>
              <w:t>99 796</w:t>
            </w:r>
          </w:p>
        </w:tc>
        <w:tc>
          <w:tcPr>
            <w:tcW w:w="1417" w:type="dxa"/>
            <w:tcBorders>
              <w:top w:val="nil"/>
              <w:left w:val="single" w:sz="4" w:space="0" w:color="auto"/>
              <w:bottom w:val="nil"/>
              <w:right w:val="single" w:sz="4" w:space="0" w:color="auto"/>
            </w:tcBorders>
            <w:shd w:val="clear" w:color="auto" w:fill="auto"/>
            <w:noWrap/>
            <w:vAlign w:val="center"/>
            <w:hideMark/>
          </w:tcPr>
          <w:p w14:paraId="5C715E95" w14:textId="77777777" w:rsidR="00CB6E4D" w:rsidRPr="00CB6E4D" w:rsidRDefault="00CB6E4D" w:rsidP="00CB6E4D">
            <w:pPr>
              <w:spacing w:after="0" w:line="240" w:lineRule="auto"/>
              <w:jc w:val="right"/>
              <w:rPr>
                <w:rFonts w:cs="Arial"/>
                <w:sz w:val="16"/>
                <w:szCs w:val="16"/>
              </w:rPr>
            </w:pPr>
            <w:r w:rsidRPr="00CB6E4D">
              <w:rPr>
                <w:rFonts w:cs="Arial"/>
                <w:sz w:val="16"/>
                <w:szCs w:val="16"/>
              </w:rPr>
              <w:t>30 267</w:t>
            </w:r>
          </w:p>
        </w:tc>
        <w:tc>
          <w:tcPr>
            <w:tcW w:w="1417" w:type="dxa"/>
            <w:tcBorders>
              <w:top w:val="nil"/>
              <w:left w:val="single" w:sz="4" w:space="0" w:color="auto"/>
              <w:bottom w:val="nil"/>
              <w:right w:val="nil"/>
            </w:tcBorders>
            <w:shd w:val="clear" w:color="auto" w:fill="auto"/>
            <w:noWrap/>
            <w:vAlign w:val="center"/>
            <w:hideMark/>
          </w:tcPr>
          <w:p w14:paraId="04465F49" w14:textId="77777777" w:rsidR="00CB6E4D" w:rsidRPr="00CB6E4D" w:rsidRDefault="00CB6E4D" w:rsidP="00CB6E4D">
            <w:pPr>
              <w:spacing w:after="0" w:line="240" w:lineRule="auto"/>
              <w:jc w:val="right"/>
              <w:rPr>
                <w:rFonts w:cs="Arial"/>
                <w:sz w:val="16"/>
                <w:szCs w:val="16"/>
              </w:rPr>
            </w:pPr>
            <w:r w:rsidRPr="00CB6E4D">
              <w:rPr>
                <w:rFonts w:cs="Arial"/>
                <w:sz w:val="16"/>
                <w:szCs w:val="16"/>
              </w:rPr>
              <w:t>36,5</w:t>
            </w:r>
          </w:p>
        </w:tc>
      </w:tr>
      <w:tr w:rsidR="00E06C4D" w:rsidRPr="00CB6E4D" w14:paraId="0D225EDE"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269B0816"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40–44 let</w:t>
            </w:r>
          </w:p>
        </w:tc>
        <w:tc>
          <w:tcPr>
            <w:tcW w:w="1417" w:type="dxa"/>
            <w:tcBorders>
              <w:top w:val="nil"/>
              <w:left w:val="single" w:sz="4" w:space="0" w:color="auto"/>
              <w:bottom w:val="nil"/>
              <w:right w:val="nil"/>
            </w:tcBorders>
            <w:shd w:val="clear" w:color="auto" w:fill="auto"/>
            <w:vAlign w:val="center"/>
            <w:hideMark/>
          </w:tcPr>
          <w:p w14:paraId="2491EE10" w14:textId="77777777" w:rsidR="00CB6E4D" w:rsidRPr="00CB6E4D" w:rsidRDefault="00CB6E4D" w:rsidP="00CB6E4D">
            <w:pPr>
              <w:spacing w:after="0" w:line="240" w:lineRule="auto"/>
              <w:jc w:val="right"/>
              <w:rPr>
                <w:rFonts w:cs="Arial"/>
                <w:sz w:val="16"/>
                <w:szCs w:val="16"/>
              </w:rPr>
            </w:pPr>
            <w:r w:rsidRPr="00CB6E4D">
              <w:rPr>
                <w:rFonts w:cs="Arial"/>
                <w:sz w:val="16"/>
                <w:szCs w:val="16"/>
              </w:rPr>
              <w:t>220 465</w:t>
            </w:r>
          </w:p>
        </w:tc>
        <w:tc>
          <w:tcPr>
            <w:tcW w:w="1417" w:type="dxa"/>
            <w:tcBorders>
              <w:top w:val="nil"/>
              <w:left w:val="nil"/>
              <w:bottom w:val="nil"/>
              <w:right w:val="nil"/>
            </w:tcBorders>
            <w:shd w:val="clear" w:color="auto" w:fill="auto"/>
            <w:vAlign w:val="center"/>
            <w:hideMark/>
          </w:tcPr>
          <w:p w14:paraId="0D66ACE3" w14:textId="77777777" w:rsidR="00CB6E4D" w:rsidRPr="00CB6E4D" w:rsidRDefault="00CB6E4D" w:rsidP="00CB6E4D">
            <w:pPr>
              <w:spacing w:after="0" w:line="240" w:lineRule="auto"/>
              <w:jc w:val="right"/>
              <w:rPr>
                <w:rFonts w:cs="Arial"/>
                <w:sz w:val="16"/>
                <w:szCs w:val="16"/>
              </w:rPr>
            </w:pPr>
            <w:r w:rsidRPr="00CB6E4D">
              <w:rPr>
                <w:rFonts w:cs="Arial"/>
                <w:sz w:val="16"/>
                <w:szCs w:val="16"/>
              </w:rPr>
              <w:t>94 740</w:t>
            </w:r>
          </w:p>
        </w:tc>
        <w:tc>
          <w:tcPr>
            <w:tcW w:w="1418" w:type="dxa"/>
            <w:tcBorders>
              <w:top w:val="nil"/>
              <w:left w:val="nil"/>
              <w:bottom w:val="nil"/>
              <w:right w:val="single" w:sz="4" w:space="0" w:color="auto"/>
            </w:tcBorders>
            <w:shd w:val="clear" w:color="auto" w:fill="auto"/>
            <w:vAlign w:val="center"/>
            <w:hideMark/>
          </w:tcPr>
          <w:p w14:paraId="37034879" w14:textId="77777777" w:rsidR="00CB6E4D" w:rsidRPr="00CB6E4D" w:rsidRDefault="00CB6E4D" w:rsidP="00CB6E4D">
            <w:pPr>
              <w:spacing w:after="0" w:line="240" w:lineRule="auto"/>
              <w:jc w:val="right"/>
              <w:rPr>
                <w:rFonts w:cs="Arial"/>
                <w:sz w:val="16"/>
                <w:szCs w:val="16"/>
              </w:rPr>
            </w:pPr>
            <w:r w:rsidRPr="00CB6E4D">
              <w:rPr>
                <w:rFonts w:cs="Arial"/>
                <w:sz w:val="16"/>
                <w:szCs w:val="16"/>
              </w:rPr>
              <w:t>125 725</w:t>
            </w:r>
          </w:p>
        </w:tc>
        <w:tc>
          <w:tcPr>
            <w:tcW w:w="1417" w:type="dxa"/>
            <w:tcBorders>
              <w:top w:val="nil"/>
              <w:left w:val="single" w:sz="4" w:space="0" w:color="auto"/>
              <w:bottom w:val="nil"/>
              <w:right w:val="single" w:sz="4" w:space="0" w:color="auto"/>
            </w:tcBorders>
            <w:shd w:val="clear" w:color="auto" w:fill="auto"/>
            <w:noWrap/>
            <w:vAlign w:val="center"/>
            <w:hideMark/>
          </w:tcPr>
          <w:p w14:paraId="140012CA" w14:textId="77777777" w:rsidR="00CB6E4D" w:rsidRPr="00CB6E4D" w:rsidRDefault="00CB6E4D" w:rsidP="00CB6E4D">
            <w:pPr>
              <w:spacing w:after="0" w:line="240" w:lineRule="auto"/>
              <w:jc w:val="right"/>
              <w:rPr>
                <w:rFonts w:cs="Arial"/>
                <w:sz w:val="16"/>
                <w:szCs w:val="16"/>
              </w:rPr>
            </w:pPr>
            <w:r w:rsidRPr="00CB6E4D">
              <w:rPr>
                <w:rFonts w:cs="Arial"/>
                <w:sz w:val="16"/>
                <w:szCs w:val="16"/>
              </w:rPr>
              <w:t>29 051</w:t>
            </w:r>
          </w:p>
        </w:tc>
        <w:tc>
          <w:tcPr>
            <w:tcW w:w="1417" w:type="dxa"/>
            <w:tcBorders>
              <w:top w:val="nil"/>
              <w:left w:val="single" w:sz="4" w:space="0" w:color="auto"/>
              <w:bottom w:val="nil"/>
              <w:right w:val="nil"/>
            </w:tcBorders>
            <w:shd w:val="clear" w:color="auto" w:fill="auto"/>
            <w:noWrap/>
            <w:vAlign w:val="center"/>
            <w:hideMark/>
          </w:tcPr>
          <w:p w14:paraId="61DD9823" w14:textId="77777777" w:rsidR="00CB6E4D" w:rsidRPr="00CB6E4D" w:rsidRDefault="00CB6E4D" w:rsidP="00CB6E4D">
            <w:pPr>
              <w:spacing w:after="0" w:line="240" w:lineRule="auto"/>
              <w:jc w:val="right"/>
              <w:rPr>
                <w:rFonts w:cs="Arial"/>
                <w:sz w:val="16"/>
                <w:szCs w:val="16"/>
              </w:rPr>
            </w:pPr>
            <w:r w:rsidRPr="00CB6E4D">
              <w:rPr>
                <w:rFonts w:cs="Arial"/>
                <w:sz w:val="16"/>
                <w:szCs w:val="16"/>
              </w:rPr>
              <w:t>40,4</w:t>
            </w:r>
          </w:p>
        </w:tc>
      </w:tr>
      <w:tr w:rsidR="00E06C4D" w:rsidRPr="00CB6E4D" w14:paraId="0A4E9F5F"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7A9E308E"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45–49 let</w:t>
            </w:r>
          </w:p>
        </w:tc>
        <w:tc>
          <w:tcPr>
            <w:tcW w:w="1417" w:type="dxa"/>
            <w:tcBorders>
              <w:top w:val="nil"/>
              <w:left w:val="single" w:sz="4" w:space="0" w:color="auto"/>
              <w:bottom w:val="nil"/>
              <w:right w:val="nil"/>
            </w:tcBorders>
            <w:shd w:val="clear" w:color="auto" w:fill="auto"/>
            <w:vAlign w:val="center"/>
            <w:hideMark/>
          </w:tcPr>
          <w:p w14:paraId="21B9A37C" w14:textId="77777777" w:rsidR="00CB6E4D" w:rsidRPr="00CB6E4D" w:rsidRDefault="00CB6E4D" w:rsidP="00CB6E4D">
            <w:pPr>
              <w:spacing w:after="0" w:line="240" w:lineRule="auto"/>
              <w:jc w:val="right"/>
              <w:rPr>
                <w:rFonts w:cs="Arial"/>
                <w:sz w:val="16"/>
                <w:szCs w:val="16"/>
              </w:rPr>
            </w:pPr>
            <w:r w:rsidRPr="00CB6E4D">
              <w:rPr>
                <w:rFonts w:cs="Arial"/>
                <w:sz w:val="16"/>
                <w:szCs w:val="16"/>
              </w:rPr>
              <w:t>186 806</w:t>
            </w:r>
          </w:p>
        </w:tc>
        <w:tc>
          <w:tcPr>
            <w:tcW w:w="1417" w:type="dxa"/>
            <w:tcBorders>
              <w:top w:val="nil"/>
              <w:left w:val="nil"/>
              <w:bottom w:val="nil"/>
              <w:right w:val="nil"/>
            </w:tcBorders>
            <w:shd w:val="clear" w:color="auto" w:fill="auto"/>
            <w:vAlign w:val="center"/>
            <w:hideMark/>
          </w:tcPr>
          <w:p w14:paraId="69C1951A" w14:textId="77777777" w:rsidR="00CB6E4D" w:rsidRPr="00CB6E4D" w:rsidRDefault="00CB6E4D" w:rsidP="00CB6E4D">
            <w:pPr>
              <w:spacing w:after="0" w:line="240" w:lineRule="auto"/>
              <w:jc w:val="right"/>
              <w:rPr>
                <w:rFonts w:cs="Arial"/>
                <w:sz w:val="16"/>
                <w:szCs w:val="16"/>
              </w:rPr>
            </w:pPr>
            <w:r w:rsidRPr="00CB6E4D">
              <w:rPr>
                <w:rFonts w:cs="Arial"/>
                <w:sz w:val="16"/>
                <w:szCs w:val="16"/>
              </w:rPr>
              <w:t>75 715</w:t>
            </w:r>
          </w:p>
        </w:tc>
        <w:tc>
          <w:tcPr>
            <w:tcW w:w="1418" w:type="dxa"/>
            <w:tcBorders>
              <w:top w:val="nil"/>
              <w:left w:val="nil"/>
              <w:bottom w:val="nil"/>
              <w:right w:val="single" w:sz="4" w:space="0" w:color="auto"/>
            </w:tcBorders>
            <w:shd w:val="clear" w:color="auto" w:fill="auto"/>
            <w:vAlign w:val="center"/>
            <w:hideMark/>
          </w:tcPr>
          <w:p w14:paraId="4281E41B" w14:textId="77777777" w:rsidR="00CB6E4D" w:rsidRPr="00CB6E4D" w:rsidRDefault="00CB6E4D" w:rsidP="00CB6E4D">
            <w:pPr>
              <w:spacing w:after="0" w:line="240" w:lineRule="auto"/>
              <w:jc w:val="right"/>
              <w:rPr>
                <w:rFonts w:cs="Arial"/>
                <w:sz w:val="16"/>
                <w:szCs w:val="16"/>
              </w:rPr>
            </w:pPr>
            <w:r w:rsidRPr="00CB6E4D">
              <w:rPr>
                <w:rFonts w:cs="Arial"/>
                <w:sz w:val="16"/>
                <w:szCs w:val="16"/>
              </w:rPr>
              <w:t>111 091</w:t>
            </w:r>
          </w:p>
        </w:tc>
        <w:tc>
          <w:tcPr>
            <w:tcW w:w="1417" w:type="dxa"/>
            <w:tcBorders>
              <w:top w:val="nil"/>
              <w:left w:val="single" w:sz="4" w:space="0" w:color="auto"/>
              <w:bottom w:val="nil"/>
              <w:right w:val="single" w:sz="4" w:space="0" w:color="auto"/>
            </w:tcBorders>
            <w:shd w:val="clear" w:color="auto" w:fill="auto"/>
            <w:noWrap/>
            <w:vAlign w:val="center"/>
            <w:hideMark/>
          </w:tcPr>
          <w:p w14:paraId="0C18BB99" w14:textId="77777777" w:rsidR="00CB6E4D" w:rsidRPr="00CB6E4D" w:rsidRDefault="00CB6E4D" w:rsidP="00CB6E4D">
            <w:pPr>
              <w:spacing w:after="0" w:line="240" w:lineRule="auto"/>
              <w:jc w:val="right"/>
              <w:rPr>
                <w:rFonts w:cs="Arial"/>
                <w:sz w:val="16"/>
                <w:szCs w:val="16"/>
              </w:rPr>
            </w:pPr>
            <w:r w:rsidRPr="00CB6E4D">
              <w:rPr>
                <w:rFonts w:cs="Arial"/>
                <w:sz w:val="16"/>
                <w:szCs w:val="16"/>
              </w:rPr>
              <w:t>30 903</w:t>
            </w:r>
          </w:p>
        </w:tc>
        <w:tc>
          <w:tcPr>
            <w:tcW w:w="1417" w:type="dxa"/>
            <w:tcBorders>
              <w:top w:val="nil"/>
              <w:left w:val="single" w:sz="4" w:space="0" w:color="auto"/>
              <w:bottom w:val="nil"/>
              <w:right w:val="nil"/>
            </w:tcBorders>
            <w:shd w:val="clear" w:color="auto" w:fill="auto"/>
            <w:noWrap/>
            <w:vAlign w:val="center"/>
            <w:hideMark/>
          </w:tcPr>
          <w:p w14:paraId="2BE1A39E" w14:textId="77777777" w:rsidR="00CB6E4D" w:rsidRPr="00CB6E4D" w:rsidRDefault="00CB6E4D" w:rsidP="00CB6E4D">
            <w:pPr>
              <w:spacing w:after="0" w:line="240" w:lineRule="auto"/>
              <w:jc w:val="right"/>
              <w:rPr>
                <w:rFonts w:cs="Arial"/>
                <w:sz w:val="16"/>
                <w:szCs w:val="16"/>
              </w:rPr>
            </w:pPr>
            <w:r w:rsidRPr="00CB6E4D">
              <w:rPr>
                <w:rFonts w:cs="Arial"/>
                <w:sz w:val="16"/>
                <w:szCs w:val="16"/>
              </w:rPr>
              <w:t>45,8</w:t>
            </w:r>
          </w:p>
        </w:tc>
      </w:tr>
      <w:tr w:rsidR="00E06C4D" w:rsidRPr="00CB6E4D" w14:paraId="15604F19"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0544B11E"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50–54 let</w:t>
            </w:r>
          </w:p>
        </w:tc>
        <w:tc>
          <w:tcPr>
            <w:tcW w:w="1417" w:type="dxa"/>
            <w:tcBorders>
              <w:top w:val="nil"/>
              <w:left w:val="single" w:sz="4" w:space="0" w:color="auto"/>
              <w:bottom w:val="nil"/>
              <w:right w:val="nil"/>
            </w:tcBorders>
            <w:shd w:val="clear" w:color="auto" w:fill="auto"/>
            <w:vAlign w:val="center"/>
            <w:hideMark/>
          </w:tcPr>
          <w:p w14:paraId="374B88D1" w14:textId="77777777" w:rsidR="00CB6E4D" w:rsidRPr="00CB6E4D" w:rsidRDefault="00CB6E4D" w:rsidP="00CB6E4D">
            <w:pPr>
              <w:spacing w:after="0" w:line="240" w:lineRule="auto"/>
              <w:jc w:val="right"/>
              <w:rPr>
                <w:rFonts w:cs="Arial"/>
                <w:sz w:val="16"/>
                <w:szCs w:val="16"/>
              </w:rPr>
            </w:pPr>
            <w:r w:rsidRPr="00CB6E4D">
              <w:rPr>
                <w:rFonts w:cs="Arial"/>
                <w:sz w:val="16"/>
                <w:szCs w:val="16"/>
              </w:rPr>
              <w:t>194 500</w:t>
            </w:r>
          </w:p>
        </w:tc>
        <w:tc>
          <w:tcPr>
            <w:tcW w:w="1417" w:type="dxa"/>
            <w:tcBorders>
              <w:top w:val="nil"/>
              <w:left w:val="nil"/>
              <w:bottom w:val="nil"/>
              <w:right w:val="nil"/>
            </w:tcBorders>
            <w:shd w:val="clear" w:color="auto" w:fill="auto"/>
            <w:vAlign w:val="center"/>
            <w:hideMark/>
          </w:tcPr>
          <w:p w14:paraId="67CC8740" w14:textId="77777777" w:rsidR="00CB6E4D" w:rsidRPr="00CB6E4D" w:rsidRDefault="00CB6E4D" w:rsidP="00CB6E4D">
            <w:pPr>
              <w:spacing w:after="0" w:line="240" w:lineRule="auto"/>
              <w:jc w:val="right"/>
              <w:rPr>
                <w:rFonts w:cs="Arial"/>
                <w:sz w:val="16"/>
                <w:szCs w:val="16"/>
              </w:rPr>
            </w:pPr>
            <w:r w:rsidRPr="00CB6E4D">
              <w:rPr>
                <w:rFonts w:cs="Arial"/>
                <w:sz w:val="16"/>
                <w:szCs w:val="16"/>
              </w:rPr>
              <w:t>78 487</w:t>
            </w:r>
          </w:p>
        </w:tc>
        <w:tc>
          <w:tcPr>
            <w:tcW w:w="1418" w:type="dxa"/>
            <w:tcBorders>
              <w:top w:val="nil"/>
              <w:left w:val="nil"/>
              <w:bottom w:val="nil"/>
              <w:right w:val="single" w:sz="4" w:space="0" w:color="auto"/>
            </w:tcBorders>
            <w:shd w:val="clear" w:color="auto" w:fill="auto"/>
            <w:vAlign w:val="center"/>
            <w:hideMark/>
          </w:tcPr>
          <w:p w14:paraId="2C6D8D79" w14:textId="77777777" w:rsidR="00CB6E4D" w:rsidRPr="00CB6E4D" w:rsidRDefault="00CB6E4D" w:rsidP="00CB6E4D">
            <w:pPr>
              <w:spacing w:after="0" w:line="240" w:lineRule="auto"/>
              <w:jc w:val="right"/>
              <w:rPr>
                <w:rFonts w:cs="Arial"/>
                <w:sz w:val="16"/>
                <w:szCs w:val="16"/>
              </w:rPr>
            </w:pPr>
            <w:r w:rsidRPr="00CB6E4D">
              <w:rPr>
                <w:rFonts w:cs="Arial"/>
                <w:sz w:val="16"/>
                <w:szCs w:val="16"/>
              </w:rPr>
              <w:t>116 013</w:t>
            </w:r>
          </w:p>
        </w:tc>
        <w:tc>
          <w:tcPr>
            <w:tcW w:w="1417" w:type="dxa"/>
            <w:tcBorders>
              <w:top w:val="nil"/>
              <w:left w:val="single" w:sz="4" w:space="0" w:color="auto"/>
              <w:bottom w:val="nil"/>
              <w:right w:val="single" w:sz="4" w:space="0" w:color="auto"/>
            </w:tcBorders>
            <w:shd w:val="clear" w:color="auto" w:fill="auto"/>
            <w:noWrap/>
            <w:vAlign w:val="center"/>
            <w:hideMark/>
          </w:tcPr>
          <w:p w14:paraId="01D93207" w14:textId="77777777" w:rsidR="00CB6E4D" w:rsidRPr="00CB6E4D" w:rsidRDefault="00CB6E4D" w:rsidP="00CB6E4D">
            <w:pPr>
              <w:spacing w:after="0" w:line="240" w:lineRule="auto"/>
              <w:jc w:val="right"/>
              <w:rPr>
                <w:rFonts w:cs="Arial"/>
                <w:sz w:val="16"/>
                <w:szCs w:val="16"/>
              </w:rPr>
            </w:pPr>
            <w:r w:rsidRPr="00CB6E4D">
              <w:rPr>
                <w:rFonts w:cs="Arial"/>
                <w:sz w:val="16"/>
                <w:szCs w:val="16"/>
              </w:rPr>
              <w:t>34 147</w:t>
            </w:r>
          </w:p>
        </w:tc>
        <w:tc>
          <w:tcPr>
            <w:tcW w:w="1417" w:type="dxa"/>
            <w:tcBorders>
              <w:top w:val="nil"/>
              <w:left w:val="single" w:sz="4" w:space="0" w:color="auto"/>
              <w:bottom w:val="nil"/>
              <w:right w:val="nil"/>
            </w:tcBorders>
            <w:shd w:val="clear" w:color="auto" w:fill="auto"/>
            <w:noWrap/>
            <w:vAlign w:val="center"/>
            <w:hideMark/>
          </w:tcPr>
          <w:p w14:paraId="0460EC92" w14:textId="77777777" w:rsidR="00CB6E4D" w:rsidRPr="00CB6E4D" w:rsidRDefault="00CB6E4D" w:rsidP="00CB6E4D">
            <w:pPr>
              <w:spacing w:after="0" w:line="240" w:lineRule="auto"/>
              <w:jc w:val="right"/>
              <w:rPr>
                <w:rFonts w:cs="Arial"/>
                <w:sz w:val="16"/>
                <w:szCs w:val="16"/>
              </w:rPr>
            </w:pPr>
            <w:r w:rsidRPr="00CB6E4D">
              <w:rPr>
                <w:rFonts w:cs="Arial"/>
                <w:sz w:val="16"/>
                <w:szCs w:val="16"/>
              </w:rPr>
              <w:t>51,5</w:t>
            </w:r>
          </w:p>
        </w:tc>
      </w:tr>
      <w:tr w:rsidR="00E06C4D" w:rsidRPr="00CB6E4D" w14:paraId="52358367"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2AC72314"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55–59 let</w:t>
            </w:r>
          </w:p>
        </w:tc>
        <w:tc>
          <w:tcPr>
            <w:tcW w:w="1417" w:type="dxa"/>
            <w:tcBorders>
              <w:top w:val="nil"/>
              <w:left w:val="single" w:sz="4" w:space="0" w:color="auto"/>
              <w:bottom w:val="nil"/>
              <w:right w:val="nil"/>
            </w:tcBorders>
            <w:shd w:val="clear" w:color="auto" w:fill="auto"/>
            <w:vAlign w:val="center"/>
            <w:hideMark/>
          </w:tcPr>
          <w:p w14:paraId="349978EA" w14:textId="77777777" w:rsidR="00CB6E4D" w:rsidRPr="00CB6E4D" w:rsidRDefault="00CB6E4D" w:rsidP="00CB6E4D">
            <w:pPr>
              <w:spacing w:after="0" w:line="240" w:lineRule="auto"/>
              <w:jc w:val="right"/>
              <w:rPr>
                <w:rFonts w:cs="Arial"/>
                <w:sz w:val="16"/>
                <w:szCs w:val="16"/>
              </w:rPr>
            </w:pPr>
            <w:r w:rsidRPr="00CB6E4D">
              <w:rPr>
                <w:rFonts w:cs="Arial"/>
                <w:sz w:val="16"/>
                <w:szCs w:val="16"/>
              </w:rPr>
              <w:t>172 897</w:t>
            </w:r>
          </w:p>
        </w:tc>
        <w:tc>
          <w:tcPr>
            <w:tcW w:w="1417" w:type="dxa"/>
            <w:tcBorders>
              <w:top w:val="nil"/>
              <w:left w:val="nil"/>
              <w:bottom w:val="nil"/>
              <w:right w:val="nil"/>
            </w:tcBorders>
            <w:shd w:val="clear" w:color="auto" w:fill="auto"/>
            <w:vAlign w:val="center"/>
            <w:hideMark/>
          </w:tcPr>
          <w:p w14:paraId="7EC08581" w14:textId="77777777" w:rsidR="00CB6E4D" w:rsidRPr="00CB6E4D" w:rsidRDefault="00CB6E4D" w:rsidP="00CB6E4D">
            <w:pPr>
              <w:spacing w:after="0" w:line="240" w:lineRule="auto"/>
              <w:jc w:val="right"/>
              <w:rPr>
                <w:rFonts w:cs="Arial"/>
                <w:sz w:val="16"/>
                <w:szCs w:val="16"/>
              </w:rPr>
            </w:pPr>
            <w:r w:rsidRPr="00CB6E4D">
              <w:rPr>
                <w:rFonts w:cs="Arial"/>
                <w:sz w:val="16"/>
                <w:szCs w:val="16"/>
              </w:rPr>
              <w:t>72 763</w:t>
            </w:r>
          </w:p>
        </w:tc>
        <w:tc>
          <w:tcPr>
            <w:tcW w:w="1418" w:type="dxa"/>
            <w:tcBorders>
              <w:top w:val="nil"/>
              <w:left w:val="nil"/>
              <w:bottom w:val="nil"/>
              <w:right w:val="single" w:sz="4" w:space="0" w:color="auto"/>
            </w:tcBorders>
            <w:shd w:val="clear" w:color="auto" w:fill="auto"/>
            <w:vAlign w:val="center"/>
            <w:hideMark/>
          </w:tcPr>
          <w:p w14:paraId="3ACE9BEA" w14:textId="77777777" w:rsidR="00CB6E4D" w:rsidRPr="00CB6E4D" w:rsidRDefault="00CB6E4D" w:rsidP="00CB6E4D">
            <w:pPr>
              <w:spacing w:after="0" w:line="240" w:lineRule="auto"/>
              <w:jc w:val="right"/>
              <w:rPr>
                <w:rFonts w:cs="Arial"/>
                <w:sz w:val="16"/>
                <w:szCs w:val="16"/>
              </w:rPr>
            </w:pPr>
            <w:r w:rsidRPr="00CB6E4D">
              <w:rPr>
                <w:rFonts w:cs="Arial"/>
                <w:sz w:val="16"/>
                <w:szCs w:val="16"/>
              </w:rPr>
              <w:t>100 134</w:t>
            </w:r>
          </w:p>
        </w:tc>
        <w:tc>
          <w:tcPr>
            <w:tcW w:w="1417" w:type="dxa"/>
            <w:tcBorders>
              <w:top w:val="nil"/>
              <w:left w:val="single" w:sz="4" w:space="0" w:color="auto"/>
              <w:bottom w:val="nil"/>
              <w:right w:val="single" w:sz="4" w:space="0" w:color="auto"/>
            </w:tcBorders>
            <w:shd w:val="clear" w:color="auto" w:fill="auto"/>
            <w:noWrap/>
            <w:vAlign w:val="center"/>
            <w:hideMark/>
          </w:tcPr>
          <w:p w14:paraId="23402D69" w14:textId="77777777" w:rsidR="00CB6E4D" w:rsidRPr="00CB6E4D" w:rsidRDefault="00CB6E4D" w:rsidP="00CB6E4D">
            <w:pPr>
              <w:spacing w:after="0" w:line="240" w:lineRule="auto"/>
              <w:jc w:val="right"/>
              <w:rPr>
                <w:rFonts w:cs="Arial"/>
                <w:sz w:val="16"/>
                <w:szCs w:val="16"/>
              </w:rPr>
            </w:pPr>
            <w:r w:rsidRPr="00CB6E4D">
              <w:rPr>
                <w:rFonts w:cs="Arial"/>
                <w:sz w:val="16"/>
                <w:szCs w:val="16"/>
              </w:rPr>
              <w:t>36 725</w:t>
            </w:r>
          </w:p>
        </w:tc>
        <w:tc>
          <w:tcPr>
            <w:tcW w:w="1417" w:type="dxa"/>
            <w:tcBorders>
              <w:top w:val="nil"/>
              <w:left w:val="single" w:sz="4" w:space="0" w:color="auto"/>
              <w:bottom w:val="nil"/>
              <w:right w:val="nil"/>
            </w:tcBorders>
            <w:shd w:val="clear" w:color="auto" w:fill="auto"/>
            <w:noWrap/>
            <w:vAlign w:val="center"/>
            <w:hideMark/>
          </w:tcPr>
          <w:p w14:paraId="701AE0F8" w14:textId="77777777" w:rsidR="00CB6E4D" w:rsidRPr="00CB6E4D" w:rsidRDefault="00CB6E4D" w:rsidP="00CB6E4D">
            <w:pPr>
              <w:spacing w:after="0" w:line="240" w:lineRule="auto"/>
              <w:jc w:val="right"/>
              <w:rPr>
                <w:rFonts w:cs="Arial"/>
                <w:sz w:val="16"/>
                <w:szCs w:val="16"/>
              </w:rPr>
            </w:pPr>
            <w:r w:rsidRPr="00CB6E4D">
              <w:rPr>
                <w:rFonts w:cs="Arial"/>
                <w:sz w:val="16"/>
                <w:szCs w:val="16"/>
              </w:rPr>
              <w:t>61,5</w:t>
            </w:r>
          </w:p>
        </w:tc>
      </w:tr>
      <w:tr w:rsidR="00E06C4D" w:rsidRPr="00CB6E4D" w14:paraId="74C0E512"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69FEE340"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60–64 let</w:t>
            </w:r>
          </w:p>
        </w:tc>
        <w:tc>
          <w:tcPr>
            <w:tcW w:w="1417" w:type="dxa"/>
            <w:tcBorders>
              <w:top w:val="nil"/>
              <w:left w:val="single" w:sz="4" w:space="0" w:color="auto"/>
              <w:bottom w:val="nil"/>
              <w:right w:val="nil"/>
            </w:tcBorders>
            <w:shd w:val="clear" w:color="auto" w:fill="auto"/>
            <w:vAlign w:val="center"/>
            <w:hideMark/>
          </w:tcPr>
          <w:p w14:paraId="72611079" w14:textId="77777777" w:rsidR="00CB6E4D" w:rsidRPr="00CB6E4D" w:rsidRDefault="00CB6E4D" w:rsidP="00CB6E4D">
            <w:pPr>
              <w:spacing w:after="0" w:line="240" w:lineRule="auto"/>
              <w:jc w:val="right"/>
              <w:rPr>
                <w:rFonts w:cs="Arial"/>
                <w:sz w:val="16"/>
                <w:szCs w:val="16"/>
              </w:rPr>
            </w:pPr>
            <w:r w:rsidRPr="00CB6E4D">
              <w:rPr>
                <w:rFonts w:cs="Arial"/>
                <w:sz w:val="16"/>
                <w:szCs w:val="16"/>
              </w:rPr>
              <w:t>85 146</w:t>
            </w:r>
          </w:p>
        </w:tc>
        <w:tc>
          <w:tcPr>
            <w:tcW w:w="1417" w:type="dxa"/>
            <w:tcBorders>
              <w:top w:val="nil"/>
              <w:left w:val="nil"/>
              <w:bottom w:val="nil"/>
              <w:right w:val="nil"/>
            </w:tcBorders>
            <w:shd w:val="clear" w:color="auto" w:fill="auto"/>
            <w:vAlign w:val="center"/>
            <w:hideMark/>
          </w:tcPr>
          <w:p w14:paraId="10C1E653" w14:textId="77777777" w:rsidR="00CB6E4D" w:rsidRPr="00CB6E4D" w:rsidRDefault="00CB6E4D" w:rsidP="00CB6E4D">
            <w:pPr>
              <w:spacing w:after="0" w:line="240" w:lineRule="auto"/>
              <w:jc w:val="right"/>
              <w:rPr>
                <w:rFonts w:cs="Arial"/>
                <w:sz w:val="16"/>
                <w:szCs w:val="16"/>
              </w:rPr>
            </w:pPr>
            <w:r w:rsidRPr="00CB6E4D">
              <w:rPr>
                <w:rFonts w:cs="Arial"/>
                <w:sz w:val="16"/>
                <w:szCs w:val="16"/>
              </w:rPr>
              <w:t>55 215</w:t>
            </w:r>
          </w:p>
        </w:tc>
        <w:tc>
          <w:tcPr>
            <w:tcW w:w="1418" w:type="dxa"/>
            <w:tcBorders>
              <w:top w:val="nil"/>
              <w:left w:val="nil"/>
              <w:bottom w:val="nil"/>
              <w:right w:val="single" w:sz="4" w:space="0" w:color="auto"/>
            </w:tcBorders>
            <w:shd w:val="clear" w:color="auto" w:fill="auto"/>
            <w:vAlign w:val="center"/>
            <w:hideMark/>
          </w:tcPr>
          <w:p w14:paraId="79ADB512" w14:textId="77777777" w:rsidR="00CB6E4D" w:rsidRPr="00CB6E4D" w:rsidRDefault="00CB6E4D" w:rsidP="00CB6E4D">
            <w:pPr>
              <w:spacing w:after="0" w:line="240" w:lineRule="auto"/>
              <w:jc w:val="right"/>
              <w:rPr>
                <w:rFonts w:cs="Arial"/>
                <w:sz w:val="16"/>
                <w:szCs w:val="16"/>
              </w:rPr>
            </w:pPr>
            <w:r w:rsidRPr="00CB6E4D">
              <w:rPr>
                <w:rFonts w:cs="Arial"/>
                <w:sz w:val="16"/>
                <w:szCs w:val="16"/>
              </w:rPr>
              <w:t>29 931</w:t>
            </w:r>
          </w:p>
        </w:tc>
        <w:tc>
          <w:tcPr>
            <w:tcW w:w="1417" w:type="dxa"/>
            <w:tcBorders>
              <w:top w:val="nil"/>
              <w:left w:val="single" w:sz="4" w:space="0" w:color="auto"/>
              <w:bottom w:val="nil"/>
              <w:right w:val="single" w:sz="4" w:space="0" w:color="auto"/>
            </w:tcBorders>
            <w:shd w:val="clear" w:color="auto" w:fill="auto"/>
            <w:noWrap/>
            <w:vAlign w:val="center"/>
            <w:hideMark/>
          </w:tcPr>
          <w:p w14:paraId="18087937" w14:textId="77777777" w:rsidR="00CB6E4D" w:rsidRPr="00CB6E4D" w:rsidRDefault="00CB6E4D" w:rsidP="00CB6E4D">
            <w:pPr>
              <w:spacing w:after="0" w:line="240" w:lineRule="auto"/>
              <w:jc w:val="right"/>
              <w:rPr>
                <w:rFonts w:cs="Arial"/>
                <w:sz w:val="16"/>
                <w:szCs w:val="16"/>
              </w:rPr>
            </w:pPr>
            <w:r w:rsidRPr="00CB6E4D">
              <w:rPr>
                <w:rFonts w:cs="Arial"/>
                <w:sz w:val="16"/>
                <w:szCs w:val="16"/>
              </w:rPr>
              <w:t>31 853</w:t>
            </w:r>
          </w:p>
        </w:tc>
        <w:tc>
          <w:tcPr>
            <w:tcW w:w="1417" w:type="dxa"/>
            <w:tcBorders>
              <w:top w:val="nil"/>
              <w:left w:val="single" w:sz="4" w:space="0" w:color="auto"/>
              <w:bottom w:val="nil"/>
              <w:right w:val="nil"/>
            </w:tcBorders>
            <w:shd w:val="clear" w:color="auto" w:fill="auto"/>
            <w:noWrap/>
            <w:vAlign w:val="center"/>
            <w:hideMark/>
          </w:tcPr>
          <w:p w14:paraId="181EE842" w14:textId="77777777" w:rsidR="00CB6E4D" w:rsidRPr="00CB6E4D" w:rsidRDefault="00CB6E4D" w:rsidP="00CB6E4D">
            <w:pPr>
              <w:spacing w:after="0" w:line="240" w:lineRule="auto"/>
              <w:jc w:val="right"/>
              <w:rPr>
                <w:rFonts w:cs="Arial"/>
                <w:sz w:val="16"/>
                <w:szCs w:val="16"/>
              </w:rPr>
            </w:pPr>
            <w:r w:rsidRPr="00CB6E4D">
              <w:rPr>
                <w:rFonts w:cs="Arial"/>
                <w:sz w:val="16"/>
                <w:szCs w:val="16"/>
              </w:rPr>
              <w:t>72,9</w:t>
            </w:r>
          </w:p>
        </w:tc>
      </w:tr>
      <w:tr w:rsidR="00E06C4D" w:rsidRPr="00CB6E4D" w14:paraId="06BAF9CE" w14:textId="77777777" w:rsidTr="00997C2A">
        <w:trPr>
          <w:trHeight w:val="300"/>
        </w:trPr>
        <w:tc>
          <w:tcPr>
            <w:tcW w:w="1417" w:type="dxa"/>
            <w:tcBorders>
              <w:top w:val="nil"/>
              <w:left w:val="nil"/>
              <w:bottom w:val="nil"/>
              <w:right w:val="single" w:sz="4" w:space="0" w:color="auto"/>
            </w:tcBorders>
            <w:shd w:val="clear" w:color="auto" w:fill="auto"/>
            <w:vAlign w:val="center"/>
            <w:hideMark/>
          </w:tcPr>
          <w:p w14:paraId="2720CD1D" w14:textId="77777777" w:rsidR="00CB6E4D" w:rsidRPr="00CB6E4D" w:rsidRDefault="00CB6E4D" w:rsidP="00CB6E4D">
            <w:pPr>
              <w:spacing w:after="0" w:line="240" w:lineRule="auto"/>
              <w:ind w:firstLineChars="100" w:firstLine="160"/>
              <w:rPr>
                <w:rFonts w:cs="Arial"/>
                <w:sz w:val="16"/>
                <w:szCs w:val="16"/>
              </w:rPr>
            </w:pPr>
            <w:r w:rsidRPr="00CB6E4D">
              <w:rPr>
                <w:rFonts w:cs="Arial"/>
                <w:sz w:val="16"/>
                <w:szCs w:val="16"/>
              </w:rPr>
              <w:t>65 a více let</w:t>
            </w:r>
          </w:p>
        </w:tc>
        <w:tc>
          <w:tcPr>
            <w:tcW w:w="1417" w:type="dxa"/>
            <w:tcBorders>
              <w:top w:val="nil"/>
              <w:left w:val="single" w:sz="4" w:space="0" w:color="auto"/>
              <w:bottom w:val="nil"/>
              <w:right w:val="nil"/>
            </w:tcBorders>
            <w:shd w:val="clear" w:color="auto" w:fill="auto"/>
            <w:noWrap/>
            <w:vAlign w:val="center"/>
            <w:hideMark/>
          </w:tcPr>
          <w:p w14:paraId="3069A8D4" w14:textId="77777777" w:rsidR="00CB6E4D" w:rsidRPr="00CB6E4D" w:rsidRDefault="00CB6E4D" w:rsidP="00CB6E4D">
            <w:pPr>
              <w:spacing w:after="0" w:line="240" w:lineRule="auto"/>
              <w:jc w:val="right"/>
              <w:rPr>
                <w:rFonts w:ascii="Arial CE" w:hAnsi="Arial CE" w:cs="Arial CE"/>
                <w:sz w:val="16"/>
                <w:szCs w:val="16"/>
              </w:rPr>
            </w:pPr>
            <w:r w:rsidRPr="00CB6E4D">
              <w:rPr>
                <w:rFonts w:ascii="Arial CE" w:hAnsi="Arial CE" w:cs="Arial CE"/>
                <w:sz w:val="16"/>
                <w:szCs w:val="16"/>
              </w:rPr>
              <w:t>18 407</w:t>
            </w:r>
          </w:p>
        </w:tc>
        <w:tc>
          <w:tcPr>
            <w:tcW w:w="1417" w:type="dxa"/>
            <w:tcBorders>
              <w:top w:val="nil"/>
              <w:left w:val="nil"/>
              <w:bottom w:val="nil"/>
              <w:right w:val="nil"/>
            </w:tcBorders>
            <w:shd w:val="clear" w:color="auto" w:fill="auto"/>
            <w:noWrap/>
            <w:vAlign w:val="center"/>
            <w:hideMark/>
          </w:tcPr>
          <w:p w14:paraId="607E97F1" w14:textId="77777777" w:rsidR="00CB6E4D" w:rsidRPr="00CB6E4D" w:rsidRDefault="00CB6E4D" w:rsidP="00CB6E4D">
            <w:pPr>
              <w:spacing w:after="0" w:line="240" w:lineRule="auto"/>
              <w:jc w:val="right"/>
              <w:rPr>
                <w:rFonts w:ascii="Arial CE" w:hAnsi="Arial CE" w:cs="Arial CE"/>
                <w:sz w:val="16"/>
                <w:szCs w:val="16"/>
              </w:rPr>
            </w:pPr>
            <w:r w:rsidRPr="00CB6E4D">
              <w:rPr>
                <w:rFonts w:ascii="Arial CE" w:hAnsi="Arial CE" w:cs="Arial CE"/>
                <w:sz w:val="16"/>
                <w:szCs w:val="16"/>
              </w:rPr>
              <w:t>10 144</w:t>
            </w:r>
          </w:p>
        </w:tc>
        <w:tc>
          <w:tcPr>
            <w:tcW w:w="1418" w:type="dxa"/>
            <w:tcBorders>
              <w:top w:val="nil"/>
              <w:left w:val="nil"/>
              <w:bottom w:val="nil"/>
              <w:right w:val="single" w:sz="4" w:space="0" w:color="auto"/>
            </w:tcBorders>
            <w:shd w:val="clear" w:color="auto" w:fill="auto"/>
            <w:noWrap/>
            <w:vAlign w:val="center"/>
            <w:hideMark/>
          </w:tcPr>
          <w:p w14:paraId="7397EAF7" w14:textId="77777777" w:rsidR="00CB6E4D" w:rsidRPr="00CB6E4D" w:rsidRDefault="00CB6E4D" w:rsidP="00CB6E4D">
            <w:pPr>
              <w:spacing w:after="0" w:line="240" w:lineRule="auto"/>
              <w:jc w:val="right"/>
              <w:rPr>
                <w:rFonts w:ascii="Arial CE" w:hAnsi="Arial CE" w:cs="Arial CE"/>
                <w:sz w:val="16"/>
                <w:szCs w:val="16"/>
              </w:rPr>
            </w:pPr>
            <w:r w:rsidRPr="00CB6E4D">
              <w:rPr>
                <w:rFonts w:ascii="Arial CE" w:hAnsi="Arial CE" w:cs="Arial CE"/>
                <w:sz w:val="16"/>
                <w:szCs w:val="16"/>
              </w:rPr>
              <w:t>8 263</w:t>
            </w:r>
          </w:p>
        </w:tc>
        <w:tc>
          <w:tcPr>
            <w:tcW w:w="1417" w:type="dxa"/>
            <w:tcBorders>
              <w:top w:val="nil"/>
              <w:left w:val="single" w:sz="4" w:space="0" w:color="auto"/>
              <w:bottom w:val="nil"/>
              <w:right w:val="single" w:sz="4" w:space="0" w:color="auto"/>
            </w:tcBorders>
            <w:shd w:val="clear" w:color="auto" w:fill="auto"/>
            <w:noWrap/>
            <w:vAlign w:val="center"/>
            <w:hideMark/>
          </w:tcPr>
          <w:p w14:paraId="261DED95" w14:textId="77777777" w:rsidR="00CB6E4D" w:rsidRPr="00CB6E4D" w:rsidRDefault="00CB6E4D" w:rsidP="00CB6E4D">
            <w:pPr>
              <w:spacing w:after="0" w:line="240" w:lineRule="auto"/>
              <w:jc w:val="right"/>
              <w:rPr>
                <w:rFonts w:cs="Arial"/>
                <w:sz w:val="16"/>
                <w:szCs w:val="16"/>
              </w:rPr>
            </w:pPr>
            <w:r w:rsidRPr="00CB6E4D">
              <w:rPr>
                <w:rFonts w:cs="Arial"/>
                <w:sz w:val="16"/>
                <w:szCs w:val="16"/>
              </w:rPr>
              <w:t>16 148</w:t>
            </w:r>
          </w:p>
        </w:tc>
        <w:tc>
          <w:tcPr>
            <w:tcW w:w="1417" w:type="dxa"/>
            <w:tcBorders>
              <w:top w:val="nil"/>
              <w:left w:val="single" w:sz="4" w:space="0" w:color="auto"/>
              <w:bottom w:val="nil"/>
              <w:right w:val="nil"/>
            </w:tcBorders>
            <w:shd w:val="clear" w:color="auto" w:fill="auto"/>
            <w:noWrap/>
            <w:vAlign w:val="center"/>
            <w:hideMark/>
          </w:tcPr>
          <w:p w14:paraId="65303DAD" w14:textId="77777777" w:rsidR="00CB6E4D" w:rsidRPr="00CB6E4D" w:rsidRDefault="00CB6E4D" w:rsidP="00CB6E4D">
            <w:pPr>
              <w:spacing w:after="0" w:line="240" w:lineRule="auto"/>
              <w:jc w:val="right"/>
              <w:rPr>
                <w:rFonts w:cs="Arial"/>
                <w:sz w:val="16"/>
                <w:szCs w:val="16"/>
              </w:rPr>
            </w:pPr>
            <w:r w:rsidRPr="00CB6E4D">
              <w:rPr>
                <w:rFonts w:cs="Arial"/>
                <w:sz w:val="16"/>
                <w:szCs w:val="16"/>
              </w:rPr>
              <w:t>46,4</w:t>
            </w:r>
          </w:p>
        </w:tc>
      </w:tr>
    </w:tbl>
    <w:p w14:paraId="35703AC6" w14:textId="77777777" w:rsidR="001522B9" w:rsidRDefault="001522B9" w:rsidP="001522B9">
      <w:pPr>
        <w:jc w:val="both"/>
      </w:pPr>
    </w:p>
    <w:p w14:paraId="09F8573A" w14:textId="730EDA0D" w:rsidR="0080721C" w:rsidRDefault="0080721C" w:rsidP="0080721C">
      <w:pPr>
        <w:spacing w:after="0"/>
        <w:rPr>
          <w:sz w:val="18"/>
        </w:rPr>
      </w:pPr>
      <w:r w:rsidRPr="00BC3FF5">
        <w:rPr>
          <w:sz w:val="18"/>
        </w:rPr>
        <w:t xml:space="preserve">Zdroj: </w:t>
      </w:r>
      <w:r>
        <w:rPr>
          <w:sz w:val="18"/>
        </w:rPr>
        <w:t>ÚZIS ČR</w:t>
      </w:r>
    </w:p>
    <w:p w14:paraId="2A31509E" w14:textId="3835CA06" w:rsidR="00817B82" w:rsidRDefault="00817B82" w:rsidP="001522B9">
      <w:pPr>
        <w:jc w:val="both"/>
      </w:pPr>
    </w:p>
    <w:p w14:paraId="65EA39DA" w14:textId="1720D13C" w:rsidR="0080721C" w:rsidRDefault="0080721C" w:rsidP="0080721C">
      <w:pPr>
        <w:jc w:val="both"/>
      </w:pPr>
      <w:r w:rsidRPr="00EE143A">
        <w:t xml:space="preserve">Průměrná délka trvání jednoho případu pracovní neschopnosti </w:t>
      </w:r>
      <w:r w:rsidR="00EE143A" w:rsidRPr="00EE143A">
        <w:t xml:space="preserve">v roce 2017 činila 41,5 dne. Čas, který si pracovní neschopnost vyžádá, </w:t>
      </w:r>
      <w:r w:rsidRPr="00EE143A">
        <w:t xml:space="preserve">roste s věkem (viz tab. 3.1), a to od již zmíněné </w:t>
      </w:r>
      <w:r w:rsidR="00EE143A" w:rsidRPr="00EE143A">
        <w:t xml:space="preserve">doby </w:t>
      </w:r>
      <w:r w:rsidRPr="00EE143A">
        <w:t>16,</w:t>
      </w:r>
      <w:r w:rsidR="00EE143A" w:rsidRPr="00EE143A">
        <w:t>8</w:t>
      </w:r>
      <w:r w:rsidRPr="00EE143A">
        <w:t xml:space="preserve"> dne ve věkové skupině </w:t>
      </w:r>
      <w:r w:rsidR="00EE143A" w:rsidRPr="00EE143A">
        <w:t>osob 20letých a mladších</w:t>
      </w:r>
      <w:r w:rsidRPr="00EE143A">
        <w:t xml:space="preserve"> až po </w:t>
      </w:r>
      <w:r w:rsidR="00EE143A" w:rsidRPr="00EE143A">
        <w:t>72,9</w:t>
      </w:r>
      <w:r w:rsidRPr="00EE143A">
        <w:t xml:space="preserve"> dne ve věkové skupině 60–64 let, což je dáno zejména poklesem krátkodobých případů pracovní neschopnosti pro nemoci dýchací soustavy a naopak nárůstem dlouhodobých případů pracovní neschopnosti pro nádorová onemocnění a nemoci oběhové soustavy se zvyšujícím se věkem.</w:t>
      </w:r>
    </w:p>
    <w:p w14:paraId="035849EB" w14:textId="75A8DEB1" w:rsidR="002C7BFB" w:rsidRPr="002C7BFB" w:rsidRDefault="002C7BFB" w:rsidP="002C7BFB">
      <w:pPr>
        <w:pStyle w:val="Titulek"/>
        <w:keepNext/>
        <w:jc w:val="both"/>
        <w:rPr>
          <w:b/>
          <w:i w:val="0"/>
          <w:color w:val="auto"/>
          <w:sz w:val="20"/>
        </w:rPr>
      </w:pPr>
      <w:r w:rsidRPr="002C7BFB">
        <w:rPr>
          <w:b/>
          <w:i w:val="0"/>
          <w:color w:val="auto"/>
          <w:sz w:val="20"/>
        </w:rPr>
        <w:lastRenderedPageBreak/>
        <w:t>Graf 3.1: Ukončené případy pracovní neschopnosti podle věku a pohlaví v roce 2017</w:t>
      </w:r>
    </w:p>
    <w:p w14:paraId="3B423A68" w14:textId="5FB6C522" w:rsidR="0080721C" w:rsidRDefault="00C161D6" w:rsidP="0080721C">
      <w:pPr>
        <w:jc w:val="both"/>
        <w:rPr>
          <w:b/>
        </w:rPr>
      </w:pPr>
      <w:r>
        <w:rPr>
          <w:noProof/>
        </w:rPr>
        <w:drawing>
          <wp:inline distT="0" distB="0" distL="0" distR="0" wp14:anchorId="01B596AD" wp14:editId="26D0192D">
            <wp:extent cx="6120130" cy="3148965"/>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18462D" w14:textId="77777777" w:rsidR="002C7BFB" w:rsidRDefault="002C7BFB" w:rsidP="002C7BFB">
      <w:pPr>
        <w:spacing w:after="0"/>
        <w:rPr>
          <w:sz w:val="18"/>
        </w:rPr>
      </w:pPr>
      <w:r w:rsidRPr="00BC3FF5">
        <w:rPr>
          <w:sz w:val="18"/>
        </w:rPr>
        <w:t xml:space="preserve">Zdroj: </w:t>
      </w:r>
      <w:r>
        <w:rPr>
          <w:sz w:val="18"/>
        </w:rPr>
        <w:t>ÚZIS ČR</w:t>
      </w:r>
    </w:p>
    <w:p w14:paraId="029429BE" w14:textId="24655903" w:rsidR="0080721C" w:rsidRDefault="0080721C" w:rsidP="001522B9">
      <w:pPr>
        <w:jc w:val="both"/>
      </w:pPr>
    </w:p>
    <w:p w14:paraId="3864015A" w14:textId="4A85BBFE" w:rsidR="002C7BFB" w:rsidRPr="002C7BFB" w:rsidRDefault="00214352" w:rsidP="002C7BFB">
      <w:pPr>
        <w:jc w:val="both"/>
        <w:rPr>
          <w:highlight w:val="yellow"/>
        </w:rPr>
      </w:pPr>
      <w:r>
        <w:t>Pracovní neschopnost může plynout z různých příčin a statistiky ÚZIS nabízí</w:t>
      </w:r>
      <w:r w:rsidR="00715016">
        <w:t xml:space="preserve"> přehled případů pracovní neschopnosti </w:t>
      </w:r>
      <w:r w:rsidR="00715016" w:rsidRPr="00722773">
        <w:rPr>
          <w:b/>
        </w:rPr>
        <w:t>podle diagnóz</w:t>
      </w:r>
      <w:r w:rsidR="00715016">
        <w:t xml:space="preserve">. </w:t>
      </w:r>
      <w:r w:rsidR="00715016" w:rsidRPr="00715016">
        <w:t>N</w:t>
      </w:r>
      <w:r w:rsidR="002C7BFB" w:rsidRPr="00715016">
        <w:t>ejčastějším důvodem pracovní neschopnosti zůstávají nemoci dýchací soustavy, které v roce 201</w:t>
      </w:r>
      <w:r w:rsidR="00715016" w:rsidRPr="00715016">
        <w:t>7</w:t>
      </w:r>
      <w:r w:rsidR="002C7BFB" w:rsidRPr="00715016">
        <w:t xml:space="preserve"> </w:t>
      </w:r>
      <w:r w:rsidR="00715016">
        <w:t>způsobily</w:t>
      </w:r>
      <w:r w:rsidR="002C7BFB" w:rsidRPr="00715016">
        <w:t xml:space="preserve"> 3</w:t>
      </w:r>
      <w:r w:rsidR="00715016" w:rsidRPr="00715016">
        <w:t>7</w:t>
      </w:r>
      <w:r w:rsidR="00715016">
        <w:t xml:space="preserve"> % všech případů. </w:t>
      </w:r>
      <w:r w:rsidR="002C7BFB" w:rsidRPr="00715016">
        <w:t xml:space="preserve">Z nemocí této skupiny jsou </w:t>
      </w:r>
      <w:r w:rsidR="00715016">
        <w:t xml:space="preserve">neschopenky vystaveny </w:t>
      </w:r>
      <w:r w:rsidR="002C7BFB" w:rsidRPr="00715016">
        <w:t xml:space="preserve">zejména </w:t>
      </w:r>
      <w:r w:rsidR="00715016">
        <w:t xml:space="preserve">kvůli </w:t>
      </w:r>
      <w:r w:rsidR="002C7BFB" w:rsidRPr="00715016">
        <w:t>zánět</w:t>
      </w:r>
      <w:r w:rsidR="00715016">
        <w:t>u</w:t>
      </w:r>
      <w:r w:rsidR="002C7BFB" w:rsidRPr="00715016">
        <w:t xml:space="preserve"> horních a dolních cest dýchacích, akutní</w:t>
      </w:r>
      <w:r w:rsidR="00715016">
        <w:t>mu</w:t>
      </w:r>
      <w:r w:rsidR="002C7BFB" w:rsidRPr="00715016">
        <w:t xml:space="preserve"> zánět</w:t>
      </w:r>
      <w:r w:rsidR="00715016">
        <w:t>u</w:t>
      </w:r>
      <w:r w:rsidR="002C7BFB" w:rsidRPr="00715016">
        <w:t xml:space="preserve"> mandlí </w:t>
      </w:r>
      <w:r w:rsidR="00715016">
        <w:t>či chřipce</w:t>
      </w:r>
      <w:r w:rsidR="002C7BFB" w:rsidRPr="00715016">
        <w:t xml:space="preserve">. </w:t>
      </w:r>
      <w:r w:rsidR="002C7BFB" w:rsidRPr="00AA7749">
        <w:t>Na</w:t>
      </w:r>
      <w:r w:rsidR="00BA3658">
        <w:t> </w:t>
      </w:r>
      <w:r w:rsidR="002C7BFB" w:rsidRPr="00AA7749">
        <w:t>druhou stranu o</w:t>
      </w:r>
      <w:r w:rsidR="00AA7749" w:rsidRPr="00AA7749">
        <w:t>nemocnění dýchací soustavy tvořila</w:t>
      </w:r>
      <w:r w:rsidR="002C7BFB" w:rsidRPr="00AA7749">
        <w:t xml:space="preserve"> pouze </w:t>
      </w:r>
      <w:r w:rsidR="00AA7749" w:rsidRPr="00AA7749">
        <w:t>13,8</w:t>
      </w:r>
      <w:r w:rsidR="002C7BFB" w:rsidRPr="00AA7749">
        <w:t xml:space="preserve"> % </w:t>
      </w:r>
      <w:r w:rsidR="00AA7749" w:rsidRPr="00AA7749">
        <w:t>(9</w:t>
      </w:r>
      <w:r w:rsidR="002C7BFB" w:rsidRPr="00AA7749">
        <w:t>,</w:t>
      </w:r>
      <w:r w:rsidR="00AA7749" w:rsidRPr="00AA7749">
        <w:t>5</w:t>
      </w:r>
      <w:r w:rsidR="002C7BFB" w:rsidRPr="00AA7749">
        <w:t xml:space="preserve"> mil. dnů) z celkového počtu prostonaných dnů, což znamená v průměru nejkratší dobu pracovní neschopnosti </w:t>
      </w:r>
      <w:r w:rsidR="00AA7749" w:rsidRPr="00AA7749">
        <w:t>ze všech skupin diagnóz, a sice 15,5 dne připadající na 1 případ.</w:t>
      </w:r>
    </w:p>
    <w:p w14:paraId="6F94AF43" w14:textId="334BA1EF" w:rsidR="002C7BFB" w:rsidRPr="00AA7749" w:rsidRDefault="002C7BFB" w:rsidP="002C7BFB">
      <w:pPr>
        <w:jc w:val="both"/>
      </w:pPr>
      <w:r w:rsidRPr="00AA7749">
        <w:t xml:space="preserve">Druhou nejčastější příčinu pracovní neschopnosti </w:t>
      </w:r>
      <w:r w:rsidR="00AA7749" w:rsidRPr="00AA7749">
        <w:t>představovaly</w:t>
      </w:r>
      <w:r w:rsidRPr="00AA7749">
        <w:t xml:space="preserve"> nemoci svalové a kosterní soustavy</w:t>
      </w:r>
      <w:r w:rsidR="00AA7749" w:rsidRPr="00AA7749">
        <w:t>, které v roce 2017</w:t>
      </w:r>
      <w:r w:rsidRPr="00AA7749">
        <w:t xml:space="preserve"> tvořily pětinu všech případů </w:t>
      </w:r>
      <w:r w:rsidR="00C161D6">
        <w:t>pracovní neschopnost</w:t>
      </w:r>
      <w:r w:rsidRPr="00AA7749">
        <w:t xml:space="preserve">i. Tyto nemoci se vyznačují poměrně dlouhou délkou trvání jednoho případu – </w:t>
      </w:r>
      <w:r w:rsidR="00C161D6">
        <w:t xml:space="preserve">v průměru </w:t>
      </w:r>
      <w:r w:rsidRPr="00AA7749">
        <w:t>více než 2 kalendářní měsíce (65,</w:t>
      </w:r>
      <w:r w:rsidR="00AA7749" w:rsidRPr="00AA7749">
        <w:t>6</w:t>
      </w:r>
      <w:r w:rsidRPr="00AA7749">
        <w:t xml:space="preserve"> dne)</w:t>
      </w:r>
      <w:r w:rsidR="00C161D6">
        <w:t xml:space="preserve"> na 1 případ</w:t>
      </w:r>
      <w:r w:rsidRPr="00AA7749">
        <w:t>. Na</w:t>
      </w:r>
      <w:r w:rsidR="00BA3658">
        <w:t> </w:t>
      </w:r>
      <w:r w:rsidRPr="00AA7749">
        <w:t>celkovém počtu prostonaných dnů se tato kategorie podílí téměř třetinou (</w:t>
      </w:r>
      <w:r w:rsidR="00AA7749" w:rsidRPr="00AA7749">
        <w:t>21</w:t>
      </w:r>
      <w:r w:rsidRPr="00AA7749">
        <w:t xml:space="preserve"> mil. dnů, tj. 30,</w:t>
      </w:r>
      <w:r w:rsidR="00AA7749" w:rsidRPr="00AA7749">
        <w:t>5</w:t>
      </w:r>
      <w:r w:rsidRPr="00AA7749">
        <w:t xml:space="preserve"> %), což je dlouhodobě nejvyšší podíl. Z nemocí svalové a kosterní soustavy zapříčiňují pracovní neschopnost nejčastěji onemocnění zad a páteře.</w:t>
      </w:r>
    </w:p>
    <w:p w14:paraId="361487D0" w14:textId="7C650310" w:rsidR="002C7BFB" w:rsidRDefault="002C7BFB" w:rsidP="002C7BFB">
      <w:pPr>
        <w:jc w:val="both"/>
      </w:pPr>
      <w:r w:rsidRPr="00AA7749">
        <w:t>Třetím nejčastějším důvodem pracovní neschopnosti s 1</w:t>
      </w:r>
      <w:r w:rsidR="00AA7749" w:rsidRPr="00AA7749">
        <w:t>1</w:t>
      </w:r>
      <w:r w:rsidRPr="00AA7749">
        <w:t>% podílem na všech p</w:t>
      </w:r>
      <w:r w:rsidR="00AA7749" w:rsidRPr="00AA7749">
        <w:t>řípadech byly poranění a</w:t>
      </w:r>
      <w:r w:rsidR="00BA3658">
        <w:t> </w:t>
      </w:r>
      <w:r w:rsidR="00AA7749" w:rsidRPr="00AA7749">
        <w:t xml:space="preserve">otravy a jiné následky vnějších příčin </w:t>
      </w:r>
      <w:r w:rsidRPr="00AA7749">
        <w:t>(zejména vymknutí, podvrtnutí a natažení kloubních vazů). Průměrná délka trvání pracovní neschopnosti byla v případě této skupiny nemocí 5</w:t>
      </w:r>
      <w:r w:rsidR="00AA7749" w:rsidRPr="00AA7749">
        <w:t>2</w:t>
      </w:r>
      <w:r w:rsidRPr="00AA7749">
        <w:t>,</w:t>
      </w:r>
      <w:r w:rsidR="00AA7749" w:rsidRPr="00AA7749">
        <w:t>1</w:t>
      </w:r>
      <w:r w:rsidRPr="00AA7749">
        <w:t xml:space="preserve"> dne, počet prostonaných dnů druhý nejvyšší ze všech skupin diagnóz (</w:t>
      </w:r>
      <w:r w:rsidR="00AA7749" w:rsidRPr="00AA7749">
        <w:t>10</w:t>
      </w:r>
      <w:r w:rsidRPr="00AA7749">
        <w:t xml:space="preserve"> mil. dnů, tj. 14,5 % </w:t>
      </w:r>
      <w:r w:rsidR="00AA7749" w:rsidRPr="00AA7749">
        <w:t>z</w:t>
      </w:r>
      <w:r w:rsidRPr="00AA7749">
        <w:t xml:space="preserve"> celkové</w:t>
      </w:r>
      <w:r w:rsidR="00AA7749" w:rsidRPr="00AA7749">
        <w:t>ho</w:t>
      </w:r>
      <w:r w:rsidRPr="00AA7749">
        <w:t xml:space="preserve"> počtu</w:t>
      </w:r>
      <w:r w:rsidR="00AA7749" w:rsidRPr="00AA7749">
        <w:t xml:space="preserve"> ukončených případů pracovní neschopnosti</w:t>
      </w:r>
      <w:r w:rsidRPr="00AA7749">
        <w:t>).</w:t>
      </w:r>
    </w:p>
    <w:p w14:paraId="31FF32E9" w14:textId="57C2DC50" w:rsidR="00CF7D03" w:rsidRPr="00CF7D03" w:rsidRDefault="00CF7D03" w:rsidP="00CF7D03">
      <w:pPr>
        <w:pStyle w:val="Titulek"/>
        <w:keepNext/>
        <w:jc w:val="both"/>
        <w:rPr>
          <w:b/>
          <w:i w:val="0"/>
          <w:color w:val="auto"/>
          <w:sz w:val="20"/>
        </w:rPr>
      </w:pPr>
      <w:r w:rsidRPr="00CF7D03">
        <w:rPr>
          <w:b/>
          <w:i w:val="0"/>
          <w:color w:val="auto"/>
          <w:sz w:val="20"/>
        </w:rPr>
        <w:lastRenderedPageBreak/>
        <w:t>Graf 3.2: Struktura ukončených případů dočasné pracovní neschopnosti podle skupin diag</w:t>
      </w:r>
      <w:r>
        <w:rPr>
          <w:b/>
          <w:i w:val="0"/>
          <w:color w:val="auto"/>
          <w:sz w:val="20"/>
        </w:rPr>
        <w:t>nóz (kapitol MKN-10) v roce 2017</w:t>
      </w:r>
    </w:p>
    <w:p w14:paraId="5F149D22" w14:textId="5B19D6A0" w:rsidR="002C7BFB" w:rsidRDefault="00836EBC" w:rsidP="001522B9">
      <w:pPr>
        <w:jc w:val="both"/>
      </w:pPr>
      <w:r>
        <w:rPr>
          <w:noProof/>
        </w:rPr>
        <w:drawing>
          <wp:inline distT="0" distB="0" distL="0" distR="0" wp14:anchorId="094BA839" wp14:editId="729AA28E">
            <wp:extent cx="6143625" cy="4124325"/>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7A6D0AE" w14:textId="77777777" w:rsidR="00477449" w:rsidRDefault="00477449" w:rsidP="00477449">
      <w:pPr>
        <w:spacing w:after="0"/>
        <w:rPr>
          <w:sz w:val="18"/>
        </w:rPr>
      </w:pPr>
      <w:r w:rsidRPr="00BC3FF5">
        <w:rPr>
          <w:sz w:val="18"/>
        </w:rPr>
        <w:t xml:space="preserve">Zdroj: </w:t>
      </w:r>
      <w:r>
        <w:rPr>
          <w:sz w:val="18"/>
        </w:rPr>
        <w:t>ÚZIS ČR</w:t>
      </w:r>
    </w:p>
    <w:p w14:paraId="70F88F8C" w14:textId="5862C856" w:rsidR="001522B9" w:rsidRDefault="001522B9" w:rsidP="001522B9"/>
    <w:p w14:paraId="739BBAC5" w14:textId="4AB67CAC" w:rsidR="00477449" w:rsidRPr="002E3478" w:rsidRDefault="00477449" w:rsidP="00477449">
      <w:pPr>
        <w:jc w:val="both"/>
      </w:pPr>
      <w:r w:rsidRPr="002E3478">
        <w:t>Nejdelší průměrná délka trvání jednoho případu pracov</w:t>
      </w:r>
      <w:r w:rsidR="002E3478" w:rsidRPr="002E3478">
        <w:t xml:space="preserve">ní neschopnosti byla v roce 2017 evidována </w:t>
      </w:r>
      <w:r w:rsidRPr="002E3478">
        <w:t>u</w:t>
      </w:r>
      <w:r w:rsidR="00BA3658">
        <w:t> </w:t>
      </w:r>
      <w:r w:rsidRPr="002E3478">
        <w:t>novotvarů (12</w:t>
      </w:r>
      <w:r w:rsidR="002E3478" w:rsidRPr="002E3478">
        <w:t>4</w:t>
      </w:r>
      <w:r w:rsidRPr="002E3478">
        <w:t xml:space="preserve">,3 dne), </w:t>
      </w:r>
      <w:r w:rsidR="00C161D6" w:rsidRPr="002E3478">
        <w:t xml:space="preserve">zatímco u žen </w:t>
      </w:r>
      <w:r w:rsidR="009C6CD3">
        <w:t xml:space="preserve">to bylo </w:t>
      </w:r>
      <w:r w:rsidR="00C161D6" w:rsidRPr="002E3478">
        <w:t>114,5 dne</w:t>
      </w:r>
      <w:r w:rsidR="00C161D6">
        <w:t>,</w:t>
      </w:r>
      <w:r w:rsidR="00C161D6" w:rsidRPr="002E3478">
        <w:t xml:space="preserve"> </w:t>
      </w:r>
      <w:r w:rsidRPr="002E3478">
        <w:t>u mužů dokonce 1</w:t>
      </w:r>
      <w:r w:rsidR="00C161D6">
        <w:t>41 dnů</w:t>
      </w:r>
      <w:r w:rsidR="002E3478" w:rsidRPr="002E3478">
        <w:t>. Druhou nejdelší dob</w:t>
      </w:r>
      <w:r w:rsidRPr="002E3478">
        <w:t xml:space="preserve">u neschopnosti </w:t>
      </w:r>
      <w:r w:rsidR="002E3478" w:rsidRPr="002E3478">
        <w:t>si vyžádaly</w:t>
      </w:r>
      <w:r w:rsidRPr="002E3478">
        <w:t xml:space="preserve"> nemoci spojené s</w:t>
      </w:r>
      <w:r w:rsidR="002E3478" w:rsidRPr="002E3478">
        <w:t> </w:t>
      </w:r>
      <w:r w:rsidRPr="002E3478">
        <w:t>těhotenstvím</w:t>
      </w:r>
      <w:r w:rsidR="002E3478" w:rsidRPr="002E3478">
        <w:t xml:space="preserve"> a </w:t>
      </w:r>
      <w:r w:rsidR="009C6CD3">
        <w:t>potraty</w:t>
      </w:r>
      <w:r w:rsidR="009C6CD3" w:rsidRPr="002E3478">
        <w:t xml:space="preserve"> </w:t>
      </w:r>
      <w:r w:rsidRPr="002E3478">
        <w:t>(10</w:t>
      </w:r>
      <w:r w:rsidR="002E3478" w:rsidRPr="002E3478">
        <w:t>4,2</w:t>
      </w:r>
      <w:r w:rsidRPr="002E3478">
        <w:t xml:space="preserve"> dne). Téměř </w:t>
      </w:r>
      <w:r w:rsidR="002E3478" w:rsidRPr="002E3478">
        <w:t xml:space="preserve">v průměru </w:t>
      </w:r>
      <w:r w:rsidRPr="002E3478">
        <w:t xml:space="preserve">tříměsíční pracovní neschopnost </w:t>
      </w:r>
      <w:r w:rsidR="002E3478" w:rsidRPr="002E3478">
        <w:t>způsobily</w:t>
      </w:r>
      <w:r w:rsidRPr="002E3478">
        <w:t xml:space="preserve"> duševní poruchy a poruchy chování (8</w:t>
      </w:r>
      <w:r w:rsidR="002E3478" w:rsidRPr="002E3478">
        <w:t>4</w:t>
      </w:r>
      <w:r w:rsidRPr="002E3478">
        <w:t>,</w:t>
      </w:r>
      <w:r w:rsidR="002E3478" w:rsidRPr="002E3478">
        <w:t>6</w:t>
      </w:r>
      <w:r w:rsidRPr="002E3478">
        <w:t xml:space="preserve"> dne), </w:t>
      </w:r>
      <w:r w:rsidR="002E3478" w:rsidRPr="002E3478">
        <w:t xml:space="preserve">nemoci nervové soustavy (82,9 dne) a </w:t>
      </w:r>
      <w:r w:rsidRPr="002E3478">
        <w:t>nemoci oběhové soustavy (</w:t>
      </w:r>
      <w:r w:rsidR="002E3478" w:rsidRPr="002E3478">
        <w:t>80,9 dne).</w:t>
      </w:r>
      <w:r w:rsidRPr="002E3478">
        <w:t xml:space="preserve"> </w:t>
      </w:r>
    </w:p>
    <w:p w14:paraId="38590869" w14:textId="39ED0D29" w:rsidR="004744DF" w:rsidRDefault="00477449" w:rsidP="00477449">
      <w:pPr>
        <w:jc w:val="both"/>
      </w:pPr>
      <w:r w:rsidRPr="009873AF">
        <w:t>Z </w:t>
      </w:r>
      <w:r w:rsidR="002E3478" w:rsidRPr="009873AF">
        <w:t xml:space="preserve">hlediska </w:t>
      </w:r>
      <w:r w:rsidR="002E3478" w:rsidRPr="00722773">
        <w:rPr>
          <w:b/>
        </w:rPr>
        <w:t>pohlaví</w:t>
      </w:r>
      <w:r w:rsidR="002E3478" w:rsidRPr="009873AF">
        <w:t xml:space="preserve"> je výskyt </w:t>
      </w:r>
      <w:r w:rsidRPr="009873AF">
        <w:t xml:space="preserve">pracovní neschopnosti </w:t>
      </w:r>
      <w:r w:rsidR="002E3478" w:rsidRPr="009873AF">
        <w:t>četnější u</w:t>
      </w:r>
      <w:r w:rsidRPr="009873AF">
        <w:t xml:space="preserve"> žen</w:t>
      </w:r>
      <w:r w:rsidR="00D94CF4" w:rsidRPr="009873AF">
        <w:t xml:space="preserve">, v </w:t>
      </w:r>
      <w:r w:rsidRPr="009873AF">
        <w:t>roce 201</w:t>
      </w:r>
      <w:r w:rsidR="002E3478" w:rsidRPr="009873AF">
        <w:t>7</w:t>
      </w:r>
      <w:r w:rsidRPr="009873AF">
        <w:t xml:space="preserve"> připadalo na 100 tis. pojištěnců 3</w:t>
      </w:r>
      <w:r w:rsidR="00D94CF4" w:rsidRPr="009873AF">
        <w:t>8</w:t>
      </w:r>
      <w:r w:rsidR="002E3478" w:rsidRPr="009873AF">
        <w:t xml:space="preserve"> tis. ukončených případů u </w:t>
      </w:r>
      <w:r w:rsidR="00D94CF4" w:rsidRPr="009873AF">
        <w:t>žen</w:t>
      </w:r>
      <w:r w:rsidR="002E3478" w:rsidRPr="009873AF">
        <w:t xml:space="preserve"> a 3</w:t>
      </w:r>
      <w:r w:rsidR="00D94CF4" w:rsidRPr="009873AF">
        <w:t>3</w:t>
      </w:r>
      <w:r w:rsidRPr="009873AF">
        <w:t xml:space="preserve"> tis. případů u </w:t>
      </w:r>
      <w:r w:rsidR="00D94CF4" w:rsidRPr="009873AF">
        <w:t>mužů</w:t>
      </w:r>
      <w:r w:rsidRPr="009873AF">
        <w:t xml:space="preserve">. Pracovní neschopnost u žen také trvala v průměru o </w:t>
      </w:r>
      <w:r w:rsidR="00D94CF4" w:rsidRPr="009873AF">
        <w:t>4 dny</w:t>
      </w:r>
      <w:r w:rsidRPr="009873AF">
        <w:t xml:space="preserve"> déle než u mužů. Tento rozdíl </w:t>
      </w:r>
      <w:r w:rsidR="00D94CF4" w:rsidRPr="009873AF">
        <w:t>pře</w:t>
      </w:r>
      <w:r w:rsidRPr="009873AF">
        <w:t>trvá</w:t>
      </w:r>
      <w:r w:rsidR="00D94CF4" w:rsidRPr="009873AF">
        <w:t>vá</w:t>
      </w:r>
      <w:r w:rsidRPr="009873AF">
        <w:t xml:space="preserve"> dlouhodobě a </w:t>
      </w:r>
      <w:r w:rsidR="00D94CF4" w:rsidRPr="009873AF">
        <w:t xml:space="preserve">je dán zejména </w:t>
      </w:r>
      <w:r w:rsidR="00C161D6">
        <w:t>indispozicem</w:t>
      </w:r>
      <w:r w:rsidR="00D94CF4" w:rsidRPr="009873AF">
        <w:t>i spojenými</w:t>
      </w:r>
      <w:r w:rsidRPr="009873AF">
        <w:t xml:space="preserve"> s těhotenstvím. Výraznější rozdíl </w:t>
      </w:r>
      <w:r w:rsidR="00D94CF4" w:rsidRPr="009873AF">
        <w:t xml:space="preserve">v trvání pracovní neschopnosti </w:t>
      </w:r>
      <w:r w:rsidR="009873AF" w:rsidRPr="009873AF">
        <w:t xml:space="preserve">podle pohlaví </w:t>
      </w:r>
      <w:r w:rsidRPr="009873AF">
        <w:t>se objevuje i u dalších diagnóz</w:t>
      </w:r>
      <w:r w:rsidR="009873AF">
        <w:t>.</w:t>
      </w:r>
      <w:r w:rsidRPr="009873AF">
        <w:t xml:space="preserve"> </w:t>
      </w:r>
      <w:r w:rsidR="009873AF">
        <w:t>P</w:t>
      </w:r>
      <w:r w:rsidRPr="009873AF">
        <w:t xml:space="preserve">očet případů </w:t>
      </w:r>
      <w:r w:rsidR="009873AF" w:rsidRPr="009873AF">
        <w:t xml:space="preserve">na 100 tis. nemocensky pojištěných je významně vyšší </w:t>
      </w:r>
      <w:r w:rsidRPr="009873AF">
        <w:t xml:space="preserve">u žen </w:t>
      </w:r>
      <w:r w:rsidR="009873AF" w:rsidRPr="009873AF">
        <w:t xml:space="preserve">následkem </w:t>
      </w:r>
      <w:r w:rsidRPr="009873AF">
        <w:t>duševních poruch a poruch chování</w:t>
      </w:r>
      <w:r w:rsidR="009873AF" w:rsidRPr="009873AF">
        <w:t xml:space="preserve"> (téměř dvojnásobně)</w:t>
      </w:r>
      <w:r w:rsidRPr="009873AF">
        <w:t>, u nádorových onemocnění a u nemocí močové a pohlavní soustavy. Muži jsou naopak náchylnější na nemoci oběhové soustavy a mnohem častěji než ženy jsou práce neschopní pro poranění, otravy a jiné následky vnějších příčin.</w:t>
      </w:r>
    </w:p>
    <w:p w14:paraId="561EB004" w14:textId="77777777" w:rsidR="004744DF" w:rsidRDefault="004744DF">
      <w:pPr>
        <w:spacing w:after="0" w:line="240" w:lineRule="auto"/>
      </w:pPr>
      <w:r>
        <w:br w:type="page"/>
      </w:r>
    </w:p>
    <w:p w14:paraId="27BFA280" w14:textId="783325B0" w:rsidR="00D021CA" w:rsidRPr="00D021CA" w:rsidRDefault="00D021CA" w:rsidP="00D021CA">
      <w:pPr>
        <w:pStyle w:val="Titulek"/>
        <w:keepNext/>
        <w:rPr>
          <w:b/>
          <w:i w:val="0"/>
          <w:color w:val="auto"/>
          <w:sz w:val="20"/>
        </w:rPr>
      </w:pPr>
      <w:r w:rsidRPr="00D021CA">
        <w:rPr>
          <w:b/>
          <w:i w:val="0"/>
          <w:color w:val="auto"/>
          <w:sz w:val="20"/>
        </w:rPr>
        <w:lastRenderedPageBreak/>
        <w:t>Tab</w:t>
      </w:r>
      <w:r w:rsidR="00C161D6">
        <w:rPr>
          <w:b/>
          <w:i w:val="0"/>
          <w:color w:val="auto"/>
          <w:sz w:val="20"/>
        </w:rPr>
        <w:t>.</w:t>
      </w:r>
      <w:r w:rsidRPr="00D021CA">
        <w:rPr>
          <w:b/>
          <w:i w:val="0"/>
          <w:color w:val="auto"/>
          <w:sz w:val="20"/>
        </w:rPr>
        <w:t xml:space="preserve"> 3.</w:t>
      </w:r>
      <w:r w:rsidR="00EB78CE">
        <w:rPr>
          <w:b/>
          <w:i w:val="0"/>
          <w:color w:val="auto"/>
          <w:sz w:val="20"/>
        </w:rPr>
        <w:t>2</w:t>
      </w:r>
      <w:r w:rsidRPr="00D021CA">
        <w:rPr>
          <w:b/>
          <w:i w:val="0"/>
          <w:color w:val="auto"/>
          <w:sz w:val="20"/>
        </w:rPr>
        <w:t xml:space="preserve">: Ukončené případy pracovní neschopnosti podle skupin diagnóz </w:t>
      </w:r>
      <w:r>
        <w:rPr>
          <w:b/>
          <w:i w:val="0"/>
          <w:color w:val="auto"/>
          <w:sz w:val="20"/>
        </w:rPr>
        <w:t xml:space="preserve">a pohlaví </w:t>
      </w:r>
      <w:r w:rsidRPr="00D021CA">
        <w:rPr>
          <w:b/>
          <w:i w:val="0"/>
          <w:color w:val="auto"/>
          <w:sz w:val="20"/>
        </w:rPr>
        <w:t>v roce 201</w:t>
      </w:r>
      <w:r>
        <w:rPr>
          <w:b/>
          <w:i w:val="0"/>
          <w:color w:val="auto"/>
          <w:sz w:val="20"/>
        </w:rPr>
        <w:t>7</w:t>
      </w:r>
    </w:p>
    <w:tbl>
      <w:tblPr>
        <w:tblW w:w="9753" w:type="dxa"/>
        <w:tblInd w:w="70" w:type="dxa"/>
        <w:tblCellMar>
          <w:left w:w="70" w:type="dxa"/>
          <w:right w:w="70" w:type="dxa"/>
        </w:tblCellMar>
        <w:tblLook w:val="04A0" w:firstRow="1" w:lastRow="0" w:firstColumn="1" w:lastColumn="0" w:noHBand="0" w:noVBand="1"/>
      </w:tblPr>
      <w:tblGrid>
        <w:gridCol w:w="2268"/>
        <w:gridCol w:w="907"/>
        <w:gridCol w:w="794"/>
        <w:gridCol w:w="794"/>
        <w:gridCol w:w="850"/>
        <w:gridCol w:w="57"/>
        <w:gridCol w:w="737"/>
        <w:gridCol w:w="57"/>
        <w:gridCol w:w="794"/>
        <w:gridCol w:w="850"/>
        <w:gridCol w:w="57"/>
        <w:gridCol w:w="737"/>
        <w:gridCol w:w="57"/>
        <w:gridCol w:w="737"/>
        <w:gridCol w:w="57"/>
      </w:tblGrid>
      <w:tr w:rsidR="00B93A40" w:rsidRPr="005252CA" w14:paraId="736E8B44" w14:textId="77777777" w:rsidTr="00A85913">
        <w:trPr>
          <w:trHeight w:val="660"/>
        </w:trPr>
        <w:tc>
          <w:tcPr>
            <w:tcW w:w="2268" w:type="dxa"/>
            <w:vMerge w:val="restart"/>
            <w:tcBorders>
              <w:top w:val="single" w:sz="4" w:space="0" w:color="auto"/>
              <w:left w:val="nil"/>
              <w:bottom w:val="single" w:sz="4" w:space="0" w:color="auto"/>
              <w:right w:val="single" w:sz="4" w:space="0" w:color="auto"/>
            </w:tcBorders>
            <w:shd w:val="clear" w:color="000000" w:fill="F5DADD"/>
            <w:vAlign w:val="center"/>
            <w:hideMark/>
          </w:tcPr>
          <w:p w14:paraId="6D306D13" w14:textId="77777777" w:rsidR="00B93A40" w:rsidRDefault="005252CA" w:rsidP="005252CA">
            <w:pPr>
              <w:spacing w:after="0" w:line="240" w:lineRule="auto"/>
              <w:jc w:val="center"/>
              <w:rPr>
                <w:rFonts w:cs="Arial"/>
                <w:sz w:val="16"/>
                <w:szCs w:val="16"/>
              </w:rPr>
            </w:pPr>
            <w:r w:rsidRPr="005252CA">
              <w:rPr>
                <w:rFonts w:cs="Arial"/>
                <w:sz w:val="16"/>
                <w:szCs w:val="16"/>
              </w:rPr>
              <w:t xml:space="preserve">Skupiny diagnóz </w:t>
            </w:r>
          </w:p>
          <w:p w14:paraId="48DED658" w14:textId="2D56921F" w:rsidR="005252CA" w:rsidRPr="005252CA" w:rsidRDefault="005252CA" w:rsidP="005252CA">
            <w:pPr>
              <w:spacing w:after="0" w:line="240" w:lineRule="auto"/>
              <w:jc w:val="center"/>
              <w:rPr>
                <w:rFonts w:cs="Arial"/>
                <w:sz w:val="16"/>
                <w:szCs w:val="16"/>
              </w:rPr>
            </w:pPr>
            <w:r w:rsidRPr="005252CA">
              <w:rPr>
                <w:rFonts w:cs="Arial"/>
                <w:sz w:val="16"/>
                <w:szCs w:val="16"/>
              </w:rPr>
              <w:t>(kapitoly podle MKN-10)</w:t>
            </w:r>
          </w:p>
        </w:tc>
        <w:tc>
          <w:tcPr>
            <w:tcW w:w="2495" w:type="dxa"/>
            <w:gridSpan w:val="3"/>
            <w:tcBorders>
              <w:top w:val="single" w:sz="4" w:space="0" w:color="auto"/>
              <w:left w:val="nil"/>
              <w:bottom w:val="single" w:sz="4" w:space="0" w:color="auto"/>
              <w:right w:val="single" w:sz="4" w:space="0" w:color="000000"/>
            </w:tcBorders>
            <w:shd w:val="clear" w:color="000000" w:fill="F5DADD"/>
            <w:vAlign w:val="center"/>
            <w:hideMark/>
          </w:tcPr>
          <w:p w14:paraId="27D1CDF4" w14:textId="77777777" w:rsidR="005252CA" w:rsidRPr="005252CA" w:rsidRDefault="005252CA" w:rsidP="005252CA">
            <w:pPr>
              <w:spacing w:after="0" w:line="240" w:lineRule="auto"/>
              <w:jc w:val="center"/>
              <w:rPr>
                <w:rFonts w:cs="Arial"/>
                <w:color w:val="000000"/>
                <w:sz w:val="16"/>
                <w:szCs w:val="16"/>
              </w:rPr>
            </w:pPr>
            <w:r w:rsidRPr="005252CA">
              <w:rPr>
                <w:rFonts w:cs="Arial"/>
                <w:color w:val="000000"/>
                <w:sz w:val="16"/>
                <w:szCs w:val="16"/>
              </w:rPr>
              <w:t>Počet ukončených případů DPN</w:t>
            </w:r>
          </w:p>
        </w:tc>
        <w:tc>
          <w:tcPr>
            <w:tcW w:w="2495" w:type="dxa"/>
            <w:gridSpan w:val="5"/>
            <w:tcBorders>
              <w:top w:val="single" w:sz="4" w:space="0" w:color="auto"/>
              <w:left w:val="nil"/>
              <w:bottom w:val="single" w:sz="4" w:space="0" w:color="auto"/>
              <w:right w:val="single" w:sz="4" w:space="0" w:color="000000"/>
            </w:tcBorders>
            <w:shd w:val="clear" w:color="000000" w:fill="F5DADD"/>
            <w:vAlign w:val="center"/>
            <w:hideMark/>
          </w:tcPr>
          <w:p w14:paraId="36D6D744" w14:textId="77777777" w:rsidR="005252CA" w:rsidRPr="005252CA" w:rsidRDefault="005252CA" w:rsidP="005252CA">
            <w:pPr>
              <w:spacing w:after="0" w:line="240" w:lineRule="auto"/>
              <w:jc w:val="center"/>
              <w:rPr>
                <w:rFonts w:cs="Arial"/>
                <w:color w:val="000000"/>
                <w:sz w:val="16"/>
                <w:szCs w:val="16"/>
              </w:rPr>
            </w:pPr>
            <w:r w:rsidRPr="005252CA">
              <w:rPr>
                <w:rFonts w:cs="Arial"/>
                <w:color w:val="000000"/>
                <w:sz w:val="16"/>
                <w:szCs w:val="16"/>
              </w:rPr>
              <w:t>Počet ukončených případů DPN na 100 000 nemocensky pojištěných osob</w:t>
            </w:r>
          </w:p>
        </w:tc>
        <w:tc>
          <w:tcPr>
            <w:tcW w:w="2495" w:type="dxa"/>
            <w:gridSpan w:val="6"/>
            <w:tcBorders>
              <w:top w:val="single" w:sz="4" w:space="0" w:color="auto"/>
              <w:left w:val="nil"/>
              <w:bottom w:val="single" w:sz="4" w:space="0" w:color="auto"/>
              <w:right w:val="nil"/>
            </w:tcBorders>
            <w:shd w:val="clear" w:color="000000" w:fill="F5DADD"/>
            <w:vAlign w:val="center"/>
            <w:hideMark/>
          </w:tcPr>
          <w:p w14:paraId="6B0D2C6F" w14:textId="77777777" w:rsidR="005252CA" w:rsidRPr="005252CA" w:rsidRDefault="005252CA" w:rsidP="005252CA">
            <w:pPr>
              <w:spacing w:after="0" w:line="240" w:lineRule="auto"/>
              <w:jc w:val="center"/>
              <w:rPr>
                <w:rFonts w:cs="Arial"/>
                <w:color w:val="000000"/>
                <w:sz w:val="16"/>
                <w:szCs w:val="16"/>
              </w:rPr>
            </w:pPr>
            <w:r w:rsidRPr="005252CA">
              <w:rPr>
                <w:rFonts w:cs="Arial"/>
                <w:color w:val="000000"/>
                <w:sz w:val="16"/>
                <w:szCs w:val="16"/>
              </w:rPr>
              <w:t>Průměrné trvání 1 ukončeného případu DPN ve dnech</w:t>
            </w:r>
          </w:p>
        </w:tc>
      </w:tr>
      <w:tr w:rsidR="00B93A40" w:rsidRPr="005252CA" w14:paraId="36A50A31" w14:textId="77777777" w:rsidTr="00A85913">
        <w:trPr>
          <w:trHeight w:val="300"/>
        </w:trPr>
        <w:tc>
          <w:tcPr>
            <w:tcW w:w="2268" w:type="dxa"/>
            <w:vMerge/>
            <w:tcBorders>
              <w:top w:val="single" w:sz="4" w:space="0" w:color="auto"/>
              <w:left w:val="nil"/>
              <w:bottom w:val="single" w:sz="4" w:space="0" w:color="auto"/>
              <w:right w:val="single" w:sz="4" w:space="0" w:color="auto"/>
            </w:tcBorders>
            <w:vAlign w:val="center"/>
            <w:hideMark/>
          </w:tcPr>
          <w:p w14:paraId="72E1B419" w14:textId="77777777" w:rsidR="00B93A40" w:rsidRPr="005252CA" w:rsidRDefault="00B93A40" w:rsidP="005252CA">
            <w:pPr>
              <w:spacing w:after="0" w:line="240" w:lineRule="auto"/>
              <w:rPr>
                <w:rFonts w:cs="Arial"/>
                <w:sz w:val="16"/>
                <w:szCs w:val="16"/>
              </w:rPr>
            </w:pPr>
          </w:p>
        </w:tc>
        <w:tc>
          <w:tcPr>
            <w:tcW w:w="907" w:type="dxa"/>
            <w:vMerge w:val="restart"/>
            <w:tcBorders>
              <w:top w:val="nil"/>
              <w:left w:val="single" w:sz="4" w:space="0" w:color="auto"/>
              <w:bottom w:val="single" w:sz="4" w:space="0" w:color="auto"/>
              <w:right w:val="single" w:sz="4" w:space="0" w:color="auto"/>
            </w:tcBorders>
            <w:shd w:val="clear" w:color="000000" w:fill="F5DADD"/>
            <w:noWrap/>
            <w:vAlign w:val="center"/>
            <w:hideMark/>
          </w:tcPr>
          <w:p w14:paraId="57C721C9" w14:textId="77777777" w:rsidR="00B93A40" w:rsidRPr="005252CA" w:rsidRDefault="00B93A40" w:rsidP="005252CA">
            <w:pPr>
              <w:spacing w:after="0" w:line="240" w:lineRule="auto"/>
              <w:jc w:val="center"/>
              <w:rPr>
                <w:rFonts w:cs="Arial"/>
                <w:color w:val="000000"/>
                <w:sz w:val="16"/>
                <w:szCs w:val="16"/>
              </w:rPr>
            </w:pPr>
            <w:r w:rsidRPr="005252CA">
              <w:rPr>
                <w:rFonts w:cs="Arial"/>
                <w:color w:val="000000"/>
                <w:sz w:val="16"/>
                <w:szCs w:val="16"/>
              </w:rPr>
              <w:t>Celkem</w:t>
            </w:r>
          </w:p>
        </w:tc>
        <w:tc>
          <w:tcPr>
            <w:tcW w:w="1588" w:type="dxa"/>
            <w:gridSpan w:val="2"/>
            <w:tcBorders>
              <w:top w:val="single" w:sz="4" w:space="0" w:color="auto"/>
              <w:left w:val="nil"/>
              <w:bottom w:val="single" w:sz="4" w:space="0" w:color="auto"/>
              <w:right w:val="single" w:sz="4" w:space="0" w:color="auto"/>
            </w:tcBorders>
            <w:shd w:val="clear" w:color="000000" w:fill="F5DADD"/>
            <w:noWrap/>
            <w:vAlign w:val="center"/>
            <w:hideMark/>
          </w:tcPr>
          <w:p w14:paraId="0D67FBDB" w14:textId="58CAF8B0" w:rsidR="00B93A40" w:rsidRPr="005252CA" w:rsidRDefault="00997C2A" w:rsidP="00B93A40">
            <w:pPr>
              <w:spacing w:after="0" w:line="240" w:lineRule="auto"/>
              <w:jc w:val="center"/>
              <w:rPr>
                <w:rFonts w:cs="Arial"/>
                <w:color w:val="000000"/>
                <w:sz w:val="16"/>
                <w:szCs w:val="16"/>
              </w:rPr>
            </w:pPr>
            <w:r>
              <w:rPr>
                <w:rFonts w:cs="Arial"/>
                <w:color w:val="000000"/>
                <w:sz w:val="16"/>
                <w:szCs w:val="16"/>
              </w:rPr>
              <w:t>podle pohlaví</w:t>
            </w:r>
          </w:p>
        </w:tc>
        <w:tc>
          <w:tcPr>
            <w:tcW w:w="907" w:type="dxa"/>
            <w:gridSpan w:val="2"/>
            <w:vMerge w:val="restart"/>
            <w:tcBorders>
              <w:top w:val="nil"/>
              <w:left w:val="single" w:sz="4" w:space="0" w:color="auto"/>
              <w:right w:val="single" w:sz="4" w:space="0" w:color="auto"/>
            </w:tcBorders>
            <w:shd w:val="clear" w:color="000000" w:fill="F5DADD"/>
            <w:noWrap/>
            <w:vAlign w:val="center"/>
            <w:hideMark/>
          </w:tcPr>
          <w:p w14:paraId="6935C03F"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Celkem</w:t>
            </w:r>
          </w:p>
        </w:tc>
        <w:tc>
          <w:tcPr>
            <w:tcW w:w="1588" w:type="dxa"/>
            <w:gridSpan w:val="3"/>
            <w:tcBorders>
              <w:top w:val="single" w:sz="4" w:space="0" w:color="auto"/>
              <w:left w:val="nil"/>
              <w:bottom w:val="single" w:sz="4" w:space="0" w:color="auto"/>
              <w:right w:val="single" w:sz="4" w:space="0" w:color="auto"/>
            </w:tcBorders>
            <w:shd w:val="clear" w:color="000000" w:fill="F5DADD"/>
            <w:noWrap/>
            <w:vAlign w:val="center"/>
            <w:hideMark/>
          </w:tcPr>
          <w:p w14:paraId="4E1D19DC" w14:textId="408D2964" w:rsidR="00B93A40" w:rsidRPr="005252CA" w:rsidRDefault="00997C2A" w:rsidP="00B93A40">
            <w:pPr>
              <w:spacing w:after="0" w:line="240" w:lineRule="auto"/>
              <w:jc w:val="center"/>
              <w:rPr>
                <w:rFonts w:cs="Arial"/>
                <w:color w:val="000000"/>
                <w:sz w:val="16"/>
                <w:szCs w:val="16"/>
              </w:rPr>
            </w:pPr>
            <w:r>
              <w:rPr>
                <w:rFonts w:cs="Arial"/>
                <w:color w:val="000000"/>
                <w:sz w:val="16"/>
                <w:szCs w:val="16"/>
              </w:rPr>
              <w:t>podle pohlaví</w:t>
            </w:r>
          </w:p>
        </w:tc>
        <w:tc>
          <w:tcPr>
            <w:tcW w:w="907" w:type="dxa"/>
            <w:gridSpan w:val="2"/>
            <w:vMerge w:val="restart"/>
            <w:tcBorders>
              <w:top w:val="nil"/>
              <w:left w:val="single" w:sz="4" w:space="0" w:color="auto"/>
              <w:right w:val="single" w:sz="4" w:space="0" w:color="auto"/>
            </w:tcBorders>
            <w:shd w:val="clear" w:color="000000" w:fill="F5DADD"/>
            <w:noWrap/>
            <w:vAlign w:val="center"/>
            <w:hideMark/>
          </w:tcPr>
          <w:p w14:paraId="4D75F91E"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Celkem</w:t>
            </w:r>
          </w:p>
        </w:tc>
        <w:tc>
          <w:tcPr>
            <w:tcW w:w="1588" w:type="dxa"/>
            <w:gridSpan w:val="4"/>
            <w:tcBorders>
              <w:top w:val="single" w:sz="4" w:space="0" w:color="auto"/>
              <w:left w:val="nil"/>
              <w:bottom w:val="single" w:sz="4" w:space="0" w:color="auto"/>
            </w:tcBorders>
            <w:shd w:val="clear" w:color="000000" w:fill="F5DADD"/>
            <w:noWrap/>
            <w:vAlign w:val="center"/>
            <w:hideMark/>
          </w:tcPr>
          <w:p w14:paraId="41E2D8D4" w14:textId="682D8771" w:rsidR="00B93A40" w:rsidRPr="005252CA" w:rsidRDefault="00997C2A" w:rsidP="00B93A40">
            <w:pPr>
              <w:spacing w:after="0" w:line="240" w:lineRule="auto"/>
              <w:jc w:val="center"/>
              <w:rPr>
                <w:rFonts w:cs="Arial"/>
                <w:color w:val="000000"/>
                <w:sz w:val="16"/>
                <w:szCs w:val="16"/>
              </w:rPr>
            </w:pPr>
            <w:r>
              <w:rPr>
                <w:rFonts w:cs="Arial"/>
                <w:color w:val="000000"/>
                <w:sz w:val="16"/>
                <w:szCs w:val="16"/>
              </w:rPr>
              <w:t>podle pohlaví</w:t>
            </w:r>
          </w:p>
        </w:tc>
      </w:tr>
      <w:tr w:rsidR="00B93A40" w:rsidRPr="005252CA" w14:paraId="2C9FA342" w14:textId="77777777" w:rsidTr="00997C2A">
        <w:trPr>
          <w:trHeight w:val="300"/>
        </w:trPr>
        <w:tc>
          <w:tcPr>
            <w:tcW w:w="2268" w:type="dxa"/>
            <w:vMerge/>
            <w:tcBorders>
              <w:top w:val="single" w:sz="4" w:space="0" w:color="auto"/>
              <w:left w:val="nil"/>
              <w:bottom w:val="single" w:sz="4" w:space="0" w:color="auto"/>
              <w:right w:val="single" w:sz="4" w:space="0" w:color="auto"/>
            </w:tcBorders>
            <w:vAlign w:val="center"/>
            <w:hideMark/>
          </w:tcPr>
          <w:p w14:paraId="7484D715" w14:textId="77777777" w:rsidR="00B93A40" w:rsidRPr="005252CA" w:rsidRDefault="00B93A40" w:rsidP="005252CA">
            <w:pPr>
              <w:spacing w:after="0" w:line="240" w:lineRule="auto"/>
              <w:rPr>
                <w:rFonts w:cs="Arial"/>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14:paraId="273C464E" w14:textId="77777777" w:rsidR="00B93A40" w:rsidRPr="005252CA" w:rsidRDefault="00B93A40" w:rsidP="005252CA">
            <w:pPr>
              <w:spacing w:after="0" w:line="240" w:lineRule="auto"/>
              <w:rPr>
                <w:rFonts w:cs="Arial"/>
                <w:color w:val="000000"/>
                <w:sz w:val="16"/>
                <w:szCs w:val="16"/>
              </w:rPr>
            </w:pPr>
          </w:p>
        </w:tc>
        <w:tc>
          <w:tcPr>
            <w:tcW w:w="794" w:type="dxa"/>
            <w:tcBorders>
              <w:top w:val="nil"/>
              <w:left w:val="nil"/>
              <w:bottom w:val="single" w:sz="4" w:space="0" w:color="auto"/>
              <w:right w:val="single" w:sz="4" w:space="0" w:color="auto"/>
            </w:tcBorders>
            <w:shd w:val="clear" w:color="000000" w:fill="F5DADD"/>
            <w:noWrap/>
            <w:vAlign w:val="center"/>
            <w:hideMark/>
          </w:tcPr>
          <w:p w14:paraId="4E61D39C"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muži</w:t>
            </w:r>
          </w:p>
        </w:tc>
        <w:tc>
          <w:tcPr>
            <w:tcW w:w="794" w:type="dxa"/>
            <w:tcBorders>
              <w:top w:val="nil"/>
              <w:left w:val="nil"/>
              <w:bottom w:val="single" w:sz="4" w:space="0" w:color="auto"/>
              <w:right w:val="single" w:sz="4" w:space="0" w:color="auto"/>
            </w:tcBorders>
            <w:shd w:val="clear" w:color="000000" w:fill="F5DADD"/>
            <w:noWrap/>
            <w:vAlign w:val="center"/>
            <w:hideMark/>
          </w:tcPr>
          <w:p w14:paraId="19FFE722"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ženy</w:t>
            </w:r>
          </w:p>
        </w:tc>
        <w:tc>
          <w:tcPr>
            <w:tcW w:w="907" w:type="dxa"/>
            <w:gridSpan w:val="2"/>
            <w:vMerge/>
            <w:tcBorders>
              <w:left w:val="single" w:sz="4" w:space="0" w:color="auto"/>
              <w:bottom w:val="single" w:sz="4" w:space="0" w:color="auto"/>
              <w:right w:val="single" w:sz="4" w:space="0" w:color="auto"/>
            </w:tcBorders>
            <w:vAlign w:val="center"/>
            <w:hideMark/>
          </w:tcPr>
          <w:p w14:paraId="0952C691" w14:textId="77777777" w:rsidR="00B93A40" w:rsidRPr="005252CA" w:rsidRDefault="00B93A40" w:rsidP="00B93A40">
            <w:pPr>
              <w:spacing w:after="0" w:line="240" w:lineRule="auto"/>
              <w:jc w:val="center"/>
              <w:rPr>
                <w:rFonts w:cs="Arial"/>
                <w:color w:val="000000"/>
                <w:sz w:val="16"/>
                <w:szCs w:val="16"/>
              </w:rPr>
            </w:pPr>
          </w:p>
        </w:tc>
        <w:tc>
          <w:tcPr>
            <w:tcW w:w="794" w:type="dxa"/>
            <w:gridSpan w:val="2"/>
            <w:tcBorders>
              <w:top w:val="nil"/>
              <w:left w:val="nil"/>
              <w:bottom w:val="single" w:sz="4" w:space="0" w:color="auto"/>
              <w:right w:val="single" w:sz="4" w:space="0" w:color="auto"/>
            </w:tcBorders>
            <w:shd w:val="clear" w:color="000000" w:fill="F5DADD"/>
            <w:noWrap/>
            <w:vAlign w:val="center"/>
            <w:hideMark/>
          </w:tcPr>
          <w:p w14:paraId="47985987"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muži</w:t>
            </w:r>
          </w:p>
        </w:tc>
        <w:tc>
          <w:tcPr>
            <w:tcW w:w="794" w:type="dxa"/>
            <w:tcBorders>
              <w:top w:val="nil"/>
              <w:left w:val="nil"/>
              <w:bottom w:val="single" w:sz="4" w:space="0" w:color="auto"/>
              <w:right w:val="single" w:sz="4" w:space="0" w:color="auto"/>
            </w:tcBorders>
            <w:shd w:val="clear" w:color="000000" w:fill="F5DADD"/>
            <w:noWrap/>
            <w:vAlign w:val="center"/>
            <w:hideMark/>
          </w:tcPr>
          <w:p w14:paraId="3AAF7A5E"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ženy</w:t>
            </w:r>
          </w:p>
        </w:tc>
        <w:tc>
          <w:tcPr>
            <w:tcW w:w="907" w:type="dxa"/>
            <w:gridSpan w:val="2"/>
            <w:vMerge/>
            <w:tcBorders>
              <w:left w:val="single" w:sz="4" w:space="0" w:color="auto"/>
              <w:bottom w:val="single" w:sz="4" w:space="0" w:color="auto"/>
              <w:right w:val="single" w:sz="4" w:space="0" w:color="auto"/>
            </w:tcBorders>
            <w:vAlign w:val="center"/>
            <w:hideMark/>
          </w:tcPr>
          <w:p w14:paraId="78F63852" w14:textId="77777777" w:rsidR="00B93A40" w:rsidRPr="005252CA" w:rsidRDefault="00B93A40" w:rsidP="00B93A40">
            <w:pPr>
              <w:spacing w:after="0" w:line="240" w:lineRule="auto"/>
              <w:jc w:val="center"/>
              <w:rPr>
                <w:rFonts w:cs="Arial"/>
                <w:color w:val="000000"/>
                <w:sz w:val="16"/>
                <w:szCs w:val="16"/>
              </w:rPr>
            </w:pPr>
          </w:p>
        </w:tc>
        <w:tc>
          <w:tcPr>
            <w:tcW w:w="794" w:type="dxa"/>
            <w:gridSpan w:val="2"/>
            <w:tcBorders>
              <w:top w:val="nil"/>
              <w:left w:val="nil"/>
              <w:bottom w:val="single" w:sz="4" w:space="0" w:color="auto"/>
              <w:right w:val="single" w:sz="4" w:space="0" w:color="auto"/>
            </w:tcBorders>
            <w:shd w:val="clear" w:color="000000" w:fill="F5DADD"/>
            <w:noWrap/>
            <w:vAlign w:val="center"/>
            <w:hideMark/>
          </w:tcPr>
          <w:p w14:paraId="18DB8945"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muži</w:t>
            </w:r>
          </w:p>
        </w:tc>
        <w:tc>
          <w:tcPr>
            <w:tcW w:w="794" w:type="dxa"/>
            <w:gridSpan w:val="2"/>
            <w:tcBorders>
              <w:top w:val="nil"/>
              <w:left w:val="nil"/>
              <w:bottom w:val="single" w:sz="4" w:space="0" w:color="auto"/>
              <w:right w:val="nil"/>
            </w:tcBorders>
            <w:shd w:val="clear" w:color="000000" w:fill="F5DADD"/>
            <w:noWrap/>
            <w:vAlign w:val="center"/>
            <w:hideMark/>
          </w:tcPr>
          <w:p w14:paraId="392DC9B3" w14:textId="77777777" w:rsidR="00B93A40" w:rsidRPr="005252CA" w:rsidRDefault="00B93A40" w:rsidP="00B93A40">
            <w:pPr>
              <w:spacing w:after="0" w:line="240" w:lineRule="auto"/>
              <w:jc w:val="center"/>
              <w:rPr>
                <w:rFonts w:cs="Arial"/>
                <w:color w:val="000000"/>
                <w:sz w:val="16"/>
                <w:szCs w:val="16"/>
              </w:rPr>
            </w:pPr>
            <w:r w:rsidRPr="005252CA">
              <w:rPr>
                <w:rFonts w:cs="Arial"/>
                <w:color w:val="000000"/>
                <w:sz w:val="16"/>
                <w:szCs w:val="16"/>
              </w:rPr>
              <w:t>ženy</w:t>
            </w:r>
          </w:p>
        </w:tc>
      </w:tr>
      <w:tr w:rsidR="00EB78CE" w:rsidRPr="005252CA" w14:paraId="341C911E"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0346DC8B" w14:textId="2F5B22FC" w:rsidR="00EB78CE" w:rsidRPr="005252CA" w:rsidRDefault="00EB78CE" w:rsidP="00C161D6">
            <w:pPr>
              <w:spacing w:after="0" w:line="240" w:lineRule="auto"/>
              <w:rPr>
                <w:rFonts w:cs="Arial"/>
                <w:b/>
                <w:bCs/>
                <w:color w:val="000000"/>
                <w:sz w:val="16"/>
                <w:szCs w:val="16"/>
              </w:rPr>
            </w:pPr>
            <w:r w:rsidRPr="005252CA">
              <w:rPr>
                <w:rFonts w:cs="Arial"/>
                <w:b/>
                <w:bCs/>
                <w:color w:val="000000"/>
                <w:sz w:val="16"/>
                <w:szCs w:val="16"/>
              </w:rPr>
              <w:t>C</w:t>
            </w:r>
            <w:r w:rsidR="00C161D6">
              <w:rPr>
                <w:rFonts w:cs="Arial"/>
                <w:b/>
                <w:bCs/>
                <w:color w:val="000000"/>
                <w:sz w:val="16"/>
                <w:szCs w:val="16"/>
              </w:rPr>
              <w:t>elkem</w:t>
            </w:r>
          </w:p>
        </w:tc>
        <w:tc>
          <w:tcPr>
            <w:tcW w:w="907" w:type="dxa"/>
            <w:tcBorders>
              <w:top w:val="nil"/>
              <w:left w:val="nil"/>
              <w:bottom w:val="nil"/>
              <w:right w:val="nil"/>
            </w:tcBorders>
            <w:shd w:val="clear" w:color="auto" w:fill="auto"/>
            <w:noWrap/>
            <w:vAlign w:val="center"/>
            <w:hideMark/>
          </w:tcPr>
          <w:p w14:paraId="50877180" w14:textId="50912E4A" w:rsidR="00EB78CE" w:rsidRPr="005252CA" w:rsidRDefault="00EB78CE" w:rsidP="00C161D6">
            <w:pPr>
              <w:spacing w:after="0" w:line="240" w:lineRule="auto"/>
              <w:jc w:val="center"/>
              <w:rPr>
                <w:rFonts w:cs="Arial"/>
                <w:b/>
                <w:bCs/>
                <w:sz w:val="16"/>
                <w:szCs w:val="16"/>
              </w:rPr>
            </w:pPr>
            <w:r w:rsidRPr="005252CA">
              <w:rPr>
                <w:rFonts w:cs="Arial"/>
                <w:b/>
                <w:bCs/>
                <w:sz w:val="16"/>
                <w:szCs w:val="16"/>
              </w:rPr>
              <w:t>1 661 174</w:t>
            </w:r>
          </w:p>
        </w:tc>
        <w:tc>
          <w:tcPr>
            <w:tcW w:w="794" w:type="dxa"/>
            <w:tcBorders>
              <w:top w:val="nil"/>
              <w:left w:val="nil"/>
              <w:bottom w:val="nil"/>
              <w:right w:val="nil"/>
            </w:tcBorders>
            <w:shd w:val="clear" w:color="auto" w:fill="auto"/>
            <w:noWrap/>
            <w:vAlign w:val="center"/>
            <w:hideMark/>
          </w:tcPr>
          <w:p w14:paraId="771A0D65" w14:textId="6CA99FD3" w:rsidR="00EB78CE" w:rsidRPr="005252CA" w:rsidRDefault="00EB78CE" w:rsidP="00C161D6">
            <w:pPr>
              <w:spacing w:after="0" w:line="240" w:lineRule="auto"/>
              <w:jc w:val="center"/>
              <w:rPr>
                <w:rFonts w:cs="Arial"/>
                <w:b/>
                <w:bCs/>
                <w:sz w:val="16"/>
                <w:szCs w:val="16"/>
              </w:rPr>
            </w:pPr>
            <w:r w:rsidRPr="005252CA">
              <w:rPr>
                <w:rFonts w:cs="Arial"/>
                <w:b/>
                <w:bCs/>
                <w:sz w:val="16"/>
                <w:szCs w:val="16"/>
              </w:rPr>
              <w:t>793 362</w:t>
            </w:r>
          </w:p>
        </w:tc>
        <w:tc>
          <w:tcPr>
            <w:tcW w:w="794" w:type="dxa"/>
            <w:tcBorders>
              <w:top w:val="single" w:sz="4" w:space="0" w:color="auto"/>
              <w:left w:val="nil"/>
              <w:bottom w:val="nil"/>
              <w:right w:val="single" w:sz="4" w:space="0" w:color="auto"/>
            </w:tcBorders>
            <w:shd w:val="clear" w:color="auto" w:fill="auto"/>
            <w:noWrap/>
            <w:vAlign w:val="center"/>
            <w:hideMark/>
          </w:tcPr>
          <w:p w14:paraId="3D80E0FD" w14:textId="426564C7" w:rsidR="00EB78CE" w:rsidRPr="005252CA" w:rsidRDefault="00EB78CE" w:rsidP="00C161D6">
            <w:pPr>
              <w:spacing w:after="0" w:line="240" w:lineRule="auto"/>
              <w:jc w:val="center"/>
              <w:rPr>
                <w:rFonts w:cs="Arial"/>
                <w:b/>
                <w:bCs/>
                <w:sz w:val="16"/>
                <w:szCs w:val="16"/>
              </w:rPr>
            </w:pPr>
            <w:r w:rsidRPr="005252CA">
              <w:rPr>
                <w:rFonts w:cs="Arial"/>
                <w:b/>
                <w:bCs/>
                <w:sz w:val="16"/>
                <w:szCs w:val="16"/>
              </w:rPr>
              <w:t>867 812</w:t>
            </w:r>
          </w:p>
        </w:tc>
        <w:tc>
          <w:tcPr>
            <w:tcW w:w="850" w:type="dxa"/>
            <w:tcBorders>
              <w:top w:val="nil"/>
              <w:left w:val="single" w:sz="4" w:space="0" w:color="auto"/>
              <w:bottom w:val="nil"/>
              <w:right w:val="nil"/>
            </w:tcBorders>
            <w:shd w:val="clear" w:color="auto" w:fill="auto"/>
            <w:noWrap/>
            <w:vAlign w:val="center"/>
            <w:hideMark/>
          </w:tcPr>
          <w:p w14:paraId="14442926" w14:textId="46D7FB56" w:rsidR="00EB78CE" w:rsidRPr="005252CA" w:rsidRDefault="00EB78CE" w:rsidP="00C161D6">
            <w:pPr>
              <w:spacing w:after="0" w:line="240" w:lineRule="auto"/>
              <w:jc w:val="center"/>
              <w:rPr>
                <w:rFonts w:cs="Arial"/>
                <w:b/>
                <w:bCs/>
                <w:sz w:val="16"/>
                <w:szCs w:val="16"/>
              </w:rPr>
            </w:pPr>
            <w:r>
              <w:rPr>
                <w:rFonts w:cs="Arial"/>
                <w:b/>
                <w:bCs/>
                <w:sz w:val="16"/>
                <w:szCs w:val="16"/>
              </w:rPr>
              <w:t>35 557</w:t>
            </w:r>
          </w:p>
        </w:tc>
        <w:tc>
          <w:tcPr>
            <w:tcW w:w="794" w:type="dxa"/>
            <w:gridSpan w:val="2"/>
            <w:tcBorders>
              <w:top w:val="nil"/>
              <w:left w:val="nil"/>
              <w:bottom w:val="nil"/>
              <w:right w:val="nil"/>
            </w:tcBorders>
            <w:shd w:val="clear" w:color="auto" w:fill="auto"/>
            <w:noWrap/>
            <w:vAlign w:val="center"/>
            <w:hideMark/>
          </w:tcPr>
          <w:p w14:paraId="15EB451D" w14:textId="66D1F24C" w:rsidR="00EB78CE" w:rsidRPr="005252CA" w:rsidRDefault="00EB78CE" w:rsidP="00C161D6">
            <w:pPr>
              <w:spacing w:after="0" w:line="240" w:lineRule="auto"/>
              <w:jc w:val="center"/>
              <w:rPr>
                <w:rFonts w:cs="Arial"/>
                <w:b/>
                <w:bCs/>
                <w:sz w:val="16"/>
                <w:szCs w:val="16"/>
              </w:rPr>
            </w:pPr>
            <w:r>
              <w:rPr>
                <w:rFonts w:cs="Arial"/>
                <w:b/>
                <w:bCs/>
                <w:sz w:val="16"/>
                <w:szCs w:val="16"/>
              </w:rPr>
              <w:t>33 475</w:t>
            </w:r>
          </w:p>
        </w:tc>
        <w:tc>
          <w:tcPr>
            <w:tcW w:w="851" w:type="dxa"/>
            <w:gridSpan w:val="2"/>
            <w:tcBorders>
              <w:top w:val="nil"/>
              <w:left w:val="nil"/>
              <w:bottom w:val="nil"/>
              <w:right w:val="single" w:sz="4" w:space="0" w:color="auto"/>
            </w:tcBorders>
            <w:shd w:val="clear" w:color="auto" w:fill="auto"/>
            <w:noWrap/>
            <w:vAlign w:val="center"/>
            <w:hideMark/>
          </w:tcPr>
          <w:p w14:paraId="7DC726C0" w14:textId="1F494892" w:rsidR="00EB78CE" w:rsidRPr="005252CA" w:rsidRDefault="00EB78CE" w:rsidP="00C161D6">
            <w:pPr>
              <w:spacing w:after="0" w:line="240" w:lineRule="auto"/>
              <w:jc w:val="center"/>
              <w:rPr>
                <w:rFonts w:cs="Arial"/>
                <w:b/>
                <w:bCs/>
                <w:sz w:val="16"/>
                <w:szCs w:val="16"/>
              </w:rPr>
            </w:pPr>
            <w:r>
              <w:rPr>
                <w:rFonts w:cs="Arial"/>
                <w:b/>
                <w:bCs/>
                <w:sz w:val="16"/>
                <w:szCs w:val="16"/>
              </w:rPr>
              <w:t>37 702</w:t>
            </w:r>
          </w:p>
        </w:tc>
        <w:tc>
          <w:tcPr>
            <w:tcW w:w="850" w:type="dxa"/>
            <w:tcBorders>
              <w:top w:val="nil"/>
              <w:left w:val="single" w:sz="4" w:space="0" w:color="auto"/>
              <w:bottom w:val="nil"/>
              <w:right w:val="nil"/>
            </w:tcBorders>
            <w:shd w:val="clear" w:color="auto" w:fill="auto"/>
            <w:noWrap/>
            <w:vAlign w:val="center"/>
            <w:hideMark/>
          </w:tcPr>
          <w:p w14:paraId="5C267CF3" w14:textId="5971BF49" w:rsidR="00EB78CE" w:rsidRPr="005252CA" w:rsidRDefault="00EB78CE" w:rsidP="00C161D6">
            <w:pPr>
              <w:spacing w:after="0" w:line="240" w:lineRule="auto"/>
              <w:jc w:val="center"/>
              <w:rPr>
                <w:rFonts w:cs="Arial"/>
                <w:b/>
                <w:bCs/>
                <w:sz w:val="16"/>
                <w:szCs w:val="16"/>
              </w:rPr>
            </w:pPr>
            <w:r>
              <w:rPr>
                <w:rFonts w:cs="Arial"/>
                <w:b/>
                <w:bCs/>
                <w:sz w:val="16"/>
                <w:szCs w:val="16"/>
              </w:rPr>
              <w:t>41,5</w:t>
            </w:r>
          </w:p>
        </w:tc>
        <w:tc>
          <w:tcPr>
            <w:tcW w:w="794" w:type="dxa"/>
            <w:gridSpan w:val="2"/>
            <w:tcBorders>
              <w:top w:val="nil"/>
              <w:left w:val="nil"/>
              <w:bottom w:val="nil"/>
              <w:right w:val="nil"/>
            </w:tcBorders>
            <w:shd w:val="clear" w:color="auto" w:fill="auto"/>
            <w:noWrap/>
            <w:vAlign w:val="center"/>
            <w:hideMark/>
          </w:tcPr>
          <w:p w14:paraId="4B945104" w14:textId="7BC440D6" w:rsidR="00EB78CE" w:rsidRPr="005252CA" w:rsidRDefault="00EB78CE" w:rsidP="00C161D6">
            <w:pPr>
              <w:spacing w:after="0" w:line="240" w:lineRule="auto"/>
              <w:jc w:val="center"/>
              <w:rPr>
                <w:rFonts w:cs="Arial"/>
                <w:b/>
                <w:bCs/>
                <w:sz w:val="16"/>
                <w:szCs w:val="16"/>
              </w:rPr>
            </w:pPr>
            <w:r>
              <w:rPr>
                <w:rFonts w:cs="Arial"/>
                <w:b/>
                <w:bCs/>
                <w:sz w:val="16"/>
                <w:szCs w:val="16"/>
              </w:rPr>
              <w:t>39,2</w:t>
            </w:r>
          </w:p>
        </w:tc>
        <w:tc>
          <w:tcPr>
            <w:tcW w:w="794" w:type="dxa"/>
            <w:gridSpan w:val="2"/>
            <w:tcBorders>
              <w:top w:val="nil"/>
              <w:left w:val="nil"/>
              <w:bottom w:val="nil"/>
              <w:right w:val="nil"/>
            </w:tcBorders>
            <w:shd w:val="clear" w:color="auto" w:fill="auto"/>
            <w:noWrap/>
            <w:vAlign w:val="center"/>
            <w:hideMark/>
          </w:tcPr>
          <w:p w14:paraId="13F4DF05" w14:textId="32F85278" w:rsidR="00EB78CE" w:rsidRPr="005252CA" w:rsidRDefault="00EB78CE" w:rsidP="00C161D6">
            <w:pPr>
              <w:spacing w:after="0" w:line="240" w:lineRule="auto"/>
              <w:jc w:val="center"/>
              <w:rPr>
                <w:rFonts w:cs="Arial"/>
                <w:b/>
                <w:bCs/>
                <w:sz w:val="16"/>
                <w:szCs w:val="16"/>
              </w:rPr>
            </w:pPr>
            <w:r>
              <w:rPr>
                <w:rFonts w:cs="Arial"/>
                <w:b/>
                <w:bCs/>
                <w:sz w:val="16"/>
                <w:szCs w:val="16"/>
              </w:rPr>
              <w:t>43,6</w:t>
            </w:r>
          </w:p>
        </w:tc>
      </w:tr>
      <w:tr w:rsidR="00EB78CE" w:rsidRPr="005252CA" w14:paraId="5CFA04C5"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1AF972DE" w14:textId="77777777" w:rsidR="00EB78CE" w:rsidRDefault="00EB78CE" w:rsidP="00EB78CE">
            <w:pPr>
              <w:spacing w:after="0" w:line="240" w:lineRule="auto"/>
              <w:rPr>
                <w:rFonts w:cs="Arial"/>
                <w:sz w:val="16"/>
                <w:szCs w:val="16"/>
              </w:rPr>
            </w:pPr>
            <w:r w:rsidRPr="005252CA">
              <w:rPr>
                <w:rFonts w:cs="Arial"/>
                <w:sz w:val="16"/>
                <w:szCs w:val="16"/>
              </w:rPr>
              <w:t xml:space="preserve"> Některé infekční a </w:t>
            </w:r>
          </w:p>
          <w:p w14:paraId="46F7FE9F" w14:textId="09D1C99B" w:rsidR="00EB78CE" w:rsidRPr="005252CA" w:rsidRDefault="00EB78CE" w:rsidP="00EB78CE">
            <w:pPr>
              <w:spacing w:after="0" w:line="240" w:lineRule="auto"/>
              <w:rPr>
                <w:rFonts w:cs="Arial"/>
                <w:sz w:val="16"/>
                <w:szCs w:val="16"/>
              </w:rPr>
            </w:pPr>
            <w:r>
              <w:rPr>
                <w:rFonts w:cs="Arial"/>
                <w:sz w:val="16"/>
                <w:szCs w:val="16"/>
              </w:rPr>
              <w:t xml:space="preserve"> </w:t>
            </w:r>
            <w:r w:rsidRPr="005252CA">
              <w:rPr>
                <w:rFonts w:cs="Arial"/>
                <w:sz w:val="16"/>
                <w:szCs w:val="16"/>
              </w:rPr>
              <w:t>parazitární nemoci</w:t>
            </w:r>
          </w:p>
        </w:tc>
        <w:tc>
          <w:tcPr>
            <w:tcW w:w="907" w:type="dxa"/>
            <w:tcBorders>
              <w:top w:val="nil"/>
              <w:left w:val="nil"/>
              <w:bottom w:val="nil"/>
              <w:right w:val="nil"/>
            </w:tcBorders>
            <w:shd w:val="clear" w:color="auto" w:fill="auto"/>
            <w:noWrap/>
            <w:vAlign w:val="center"/>
            <w:hideMark/>
          </w:tcPr>
          <w:p w14:paraId="32EFE19E" w14:textId="7B80A1D4" w:rsidR="00EB78CE" w:rsidRPr="005252CA" w:rsidRDefault="00EB78CE" w:rsidP="00C161D6">
            <w:pPr>
              <w:spacing w:after="0" w:line="240" w:lineRule="auto"/>
              <w:jc w:val="center"/>
              <w:rPr>
                <w:rFonts w:cs="Arial"/>
                <w:sz w:val="16"/>
                <w:szCs w:val="16"/>
              </w:rPr>
            </w:pPr>
            <w:r w:rsidRPr="005252CA">
              <w:rPr>
                <w:rFonts w:cs="Arial"/>
                <w:sz w:val="16"/>
                <w:szCs w:val="16"/>
              </w:rPr>
              <w:t>58 974</w:t>
            </w:r>
          </w:p>
        </w:tc>
        <w:tc>
          <w:tcPr>
            <w:tcW w:w="794" w:type="dxa"/>
            <w:tcBorders>
              <w:top w:val="nil"/>
              <w:left w:val="nil"/>
              <w:bottom w:val="nil"/>
              <w:right w:val="nil"/>
            </w:tcBorders>
            <w:shd w:val="clear" w:color="auto" w:fill="auto"/>
            <w:noWrap/>
            <w:vAlign w:val="center"/>
            <w:hideMark/>
          </w:tcPr>
          <w:p w14:paraId="37AF4BA8" w14:textId="10CD32DC" w:rsidR="00EB78CE" w:rsidRPr="005252CA" w:rsidRDefault="00EB78CE" w:rsidP="00C161D6">
            <w:pPr>
              <w:spacing w:after="0" w:line="240" w:lineRule="auto"/>
              <w:jc w:val="center"/>
              <w:rPr>
                <w:rFonts w:cs="Arial"/>
                <w:sz w:val="16"/>
                <w:szCs w:val="16"/>
              </w:rPr>
            </w:pPr>
            <w:r w:rsidRPr="005252CA">
              <w:rPr>
                <w:rFonts w:cs="Arial"/>
                <w:sz w:val="16"/>
                <w:szCs w:val="16"/>
              </w:rPr>
              <w:t>31 267</w:t>
            </w:r>
          </w:p>
        </w:tc>
        <w:tc>
          <w:tcPr>
            <w:tcW w:w="794" w:type="dxa"/>
            <w:tcBorders>
              <w:top w:val="nil"/>
              <w:left w:val="nil"/>
              <w:bottom w:val="nil"/>
              <w:right w:val="single" w:sz="4" w:space="0" w:color="auto"/>
            </w:tcBorders>
            <w:shd w:val="clear" w:color="auto" w:fill="auto"/>
            <w:noWrap/>
            <w:vAlign w:val="center"/>
            <w:hideMark/>
          </w:tcPr>
          <w:p w14:paraId="5AF63D07" w14:textId="2B24EAAE" w:rsidR="00EB78CE" w:rsidRPr="005252CA" w:rsidRDefault="00EB78CE" w:rsidP="00C161D6">
            <w:pPr>
              <w:spacing w:after="0" w:line="240" w:lineRule="auto"/>
              <w:jc w:val="center"/>
              <w:rPr>
                <w:rFonts w:cs="Arial"/>
                <w:sz w:val="16"/>
                <w:szCs w:val="16"/>
              </w:rPr>
            </w:pPr>
            <w:r w:rsidRPr="005252CA">
              <w:rPr>
                <w:rFonts w:cs="Arial"/>
                <w:sz w:val="16"/>
                <w:szCs w:val="16"/>
              </w:rPr>
              <w:t>27 707</w:t>
            </w:r>
          </w:p>
        </w:tc>
        <w:tc>
          <w:tcPr>
            <w:tcW w:w="850" w:type="dxa"/>
            <w:tcBorders>
              <w:top w:val="nil"/>
              <w:left w:val="single" w:sz="4" w:space="0" w:color="auto"/>
              <w:bottom w:val="nil"/>
              <w:right w:val="nil"/>
            </w:tcBorders>
            <w:shd w:val="clear" w:color="auto" w:fill="auto"/>
            <w:noWrap/>
            <w:vAlign w:val="center"/>
            <w:hideMark/>
          </w:tcPr>
          <w:p w14:paraId="33901CF2" w14:textId="13C59441"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1 262</w:t>
            </w:r>
          </w:p>
        </w:tc>
        <w:tc>
          <w:tcPr>
            <w:tcW w:w="794" w:type="dxa"/>
            <w:gridSpan w:val="2"/>
            <w:tcBorders>
              <w:top w:val="nil"/>
              <w:left w:val="nil"/>
              <w:bottom w:val="nil"/>
              <w:right w:val="nil"/>
            </w:tcBorders>
            <w:shd w:val="clear" w:color="auto" w:fill="auto"/>
            <w:noWrap/>
            <w:vAlign w:val="center"/>
            <w:hideMark/>
          </w:tcPr>
          <w:p w14:paraId="3AB33CDE" w14:textId="3DDA01EC"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1 319</w:t>
            </w:r>
          </w:p>
        </w:tc>
        <w:tc>
          <w:tcPr>
            <w:tcW w:w="851" w:type="dxa"/>
            <w:gridSpan w:val="2"/>
            <w:tcBorders>
              <w:top w:val="nil"/>
              <w:left w:val="nil"/>
              <w:bottom w:val="nil"/>
              <w:right w:val="single" w:sz="4" w:space="0" w:color="auto"/>
            </w:tcBorders>
            <w:shd w:val="clear" w:color="auto" w:fill="auto"/>
            <w:noWrap/>
            <w:vAlign w:val="center"/>
            <w:hideMark/>
          </w:tcPr>
          <w:p w14:paraId="0932D908" w14:textId="51F599C2"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1 204</w:t>
            </w:r>
          </w:p>
        </w:tc>
        <w:tc>
          <w:tcPr>
            <w:tcW w:w="850" w:type="dxa"/>
            <w:tcBorders>
              <w:top w:val="nil"/>
              <w:left w:val="single" w:sz="4" w:space="0" w:color="auto"/>
              <w:bottom w:val="nil"/>
              <w:right w:val="nil"/>
            </w:tcBorders>
            <w:shd w:val="clear" w:color="auto" w:fill="auto"/>
            <w:noWrap/>
            <w:vAlign w:val="center"/>
            <w:hideMark/>
          </w:tcPr>
          <w:p w14:paraId="7EBCCD36" w14:textId="424BD700" w:rsidR="00EB78CE" w:rsidRPr="005252CA" w:rsidRDefault="00EB78CE" w:rsidP="00C161D6">
            <w:pPr>
              <w:spacing w:after="0" w:line="240" w:lineRule="auto"/>
              <w:jc w:val="center"/>
              <w:rPr>
                <w:rFonts w:cs="Arial"/>
                <w:sz w:val="16"/>
                <w:szCs w:val="16"/>
              </w:rPr>
            </w:pPr>
            <w:r>
              <w:rPr>
                <w:rFonts w:cs="Arial"/>
                <w:sz w:val="16"/>
                <w:szCs w:val="16"/>
              </w:rPr>
              <w:t>17,4</w:t>
            </w:r>
          </w:p>
        </w:tc>
        <w:tc>
          <w:tcPr>
            <w:tcW w:w="794" w:type="dxa"/>
            <w:gridSpan w:val="2"/>
            <w:tcBorders>
              <w:top w:val="nil"/>
              <w:left w:val="nil"/>
              <w:bottom w:val="nil"/>
              <w:right w:val="nil"/>
            </w:tcBorders>
            <w:shd w:val="clear" w:color="auto" w:fill="auto"/>
            <w:noWrap/>
            <w:vAlign w:val="center"/>
            <w:hideMark/>
          </w:tcPr>
          <w:p w14:paraId="2C19917F" w14:textId="7283E0E8" w:rsidR="00EB78CE" w:rsidRPr="005252CA" w:rsidRDefault="00EB78CE" w:rsidP="00C161D6">
            <w:pPr>
              <w:spacing w:after="0" w:line="240" w:lineRule="auto"/>
              <w:jc w:val="center"/>
              <w:rPr>
                <w:rFonts w:cs="Arial"/>
                <w:sz w:val="16"/>
                <w:szCs w:val="16"/>
              </w:rPr>
            </w:pPr>
            <w:r>
              <w:rPr>
                <w:rFonts w:cs="Arial"/>
                <w:sz w:val="16"/>
                <w:szCs w:val="16"/>
              </w:rPr>
              <w:t>16,7</w:t>
            </w:r>
          </w:p>
        </w:tc>
        <w:tc>
          <w:tcPr>
            <w:tcW w:w="794" w:type="dxa"/>
            <w:gridSpan w:val="2"/>
            <w:tcBorders>
              <w:top w:val="nil"/>
              <w:left w:val="nil"/>
              <w:bottom w:val="nil"/>
              <w:right w:val="nil"/>
            </w:tcBorders>
            <w:shd w:val="clear" w:color="auto" w:fill="auto"/>
            <w:noWrap/>
            <w:vAlign w:val="center"/>
            <w:hideMark/>
          </w:tcPr>
          <w:p w14:paraId="6BEF78CB" w14:textId="4858102E" w:rsidR="00EB78CE" w:rsidRPr="005252CA" w:rsidRDefault="00EB78CE" w:rsidP="00C161D6">
            <w:pPr>
              <w:spacing w:after="0" w:line="240" w:lineRule="auto"/>
              <w:jc w:val="center"/>
              <w:rPr>
                <w:rFonts w:cs="Arial"/>
                <w:sz w:val="16"/>
                <w:szCs w:val="16"/>
              </w:rPr>
            </w:pPr>
            <w:r>
              <w:rPr>
                <w:rFonts w:cs="Arial"/>
                <w:sz w:val="16"/>
                <w:szCs w:val="16"/>
              </w:rPr>
              <w:t>18,2</w:t>
            </w:r>
          </w:p>
        </w:tc>
      </w:tr>
      <w:tr w:rsidR="00EB78CE" w:rsidRPr="005252CA" w14:paraId="6E914AD8"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7E95F1AC" w14:textId="77777777" w:rsidR="00EB78CE" w:rsidRPr="005252CA" w:rsidRDefault="00EB78CE" w:rsidP="00EB78CE">
            <w:pPr>
              <w:spacing w:after="0" w:line="240" w:lineRule="auto"/>
              <w:rPr>
                <w:rFonts w:cs="Arial"/>
                <w:sz w:val="16"/>
                <w:szCs w:val="16"/>
              </w:rPr>
            </w:pPr>
            <w:r w:rsidRPr="005252CA">
              <w:rPr>
                <w:rFonts w:cs="Arial"/>
                <w:sz w:val="16"/>
                <w:szCs w:val="16"/>
              </w:rPr>
              <w:t xml:space="preserve"> Novotvary</w:t>
            </w:r>
          </w:p>
        </w:tc>
        <w:tc>
          <w:tcPr>
            <w:tcW w:w="907" w:type="dxa"/>
            <w:tcBorders>
              <w:top w:val="nil"/>
              <w:left w:val="nil"/>
              <w:bottom w:val="nil"/>
              <w:right w:val="nil"/>
            </w:tcBorders>
            <w:shd w:val="clear" w:color="auto" w:fill="auto"/>
            <w:noWrap/>
            <w:vAlign w:val="center"/>
            <w:hideMark/>
          </w:tcPr>
          <w:p w14:paraId="59655A34" w14:textId="75717DC3" w:rsidR="00EB78CE" w:rsidRPr="005252CA" w:rsidRDefault="00EB78CE" w:rsidP="00C161D6">
            <w:pPr>
              <w:spacing w:after="0" w:line="240" w:lineRule="auto"/>
              <w:jc w:val="center"/>
              <w:rPr>
                <w:rFonts w:cs="Arial"/>
                <w:sz w:val="16"/>
                <w:szCs w:val="16"/>
              </w:rPr>
            </w:pPr>
            <w:r w:rsidRPr="005252CA">
              <w:rPr>
                <w:rFonts w:cs="Arial"/>
                <w:sz w:val="16"/>
                <w:szCs w:val="16"/>
              </w:rPr>
              <w:t>26 036</w:t>
            </w:r>
          </w:p>
        </w:tc>
        <w:tc>
          <w:tcPr>
            <w:tcW w:w="794" w:type="dxa"/>
            <w:tcBorders>
              <w:top w:val="nil"/>
              <w:left w:val="nil"/>
              <w:bottom w:val="nil"/>
              <w:right w:val="nil"/>
            </w:tcBorders>
            <w:shd w:val="clear" w:color="auto" w:fill="auto"/>
            <w:noWrap/>
            <w:vAlign w:val="center"/>
            <w:hideMark/>
          </w:tcPr>
          <w:p w14:paraId="20426D83" w14:textId="1DF2A5DE" w:rsidR="00EB78CE" w:rsidRPr="005252CA" w:rsidRDefault="00EB78CE" w:rsidP="00C161D6">
            <w:pPr>
              <w:spacing w:after="0" w:line="240" w:lineRule="auto"/>
              <w:jc w:val="center"/>
              <w:rPr>
                <w:rFonts w:cs="Arial"/>
                <w:sz w:val="16"/>
                <w:szCs w:val="16"/>
              </w:rPr>
            </w:pPr>
            <w:r w:rsidRPr="005252CA">
              <w:rPr>
                <w:rFonts w:cs="Arial"/>
                <w:sz w:val="16"/>
                <w:szCs w:val="16"/>
              </w:rPr>
              <w:t>9 635</w:t>
            </w:r>
          </w:p>
        </w:tc>
        <w:tc>
          <w:tcPr>
            <w:tcW w:w="794" w:type="dxa"/>
            <w:tcBorders>
              <w:top w:val="nil"/>
              <w:left w:val="nil"/>
              <w:bottom w:val="nil"/>
              <w:right w:val="single" w:sz="4" w:space="0" w:color="auto"/>
            </w:tcBorders>
            <w:shd w:val="clear" w:color="auto" w:fill="auto"/>
            <w:noWrap/>
            <w:vAlign w:val="center"/>
            <w:hideMark/>
          </w:tcPr>
          <w:p w14:paraId="2F6FEE4B" w14:textId="00D1EB3A" w:rsidR="00EB78CE" w:rsidRPr="005252CA" w:rsidRDefault="00EB78CE" w:rsidP="00C161D6">
            <w:pPr>
              <w:spacing w:after="0" w:line="240" w:lineRule="auto"/>
              <w:jc w:val="center"/>
              <w:rPr>
                <w:rFonts w:cs="Arial"/>
                <w:sz w:val="16"/>
                <w:szCs w:val="16"/>
              </w:rPr>
            </w:pPr>
            <w:r w:rsidRPr="005252CA">
              <w:rPr>
                <w:rFonts w:cs="Arial"/>
                <w:sz w:val="16"/>
                <w:szCs w:val="16"/>
              </w:rPr>
              <w:t>16 401</w:t>
            </w:r>
          </w:p>
        </w:tc>
        <w:tc>
          <w:tcPr>
            <w:tcW w:w="850" w:type="dxa"/>
            <w:tcBorders>
              <w:top w:val="nil"/>
              <w:left w:val="single" w:sz="4" w:space="0" w:color="auto"/>
              <w:bottom w:val="nil"/>
              <w:right w:val="nil"/>
            </w:tcBorders>
            <w:shd w:val="clear" w:color="auto" w:fill="auto"/>
            <w:noWrap/>
            <w:vAlign w:val="center"/>
            <w:hideMark/>
          </w:tcPr>
          <w:p w14:paraId="74157375" w14:textId="1E1FA546" w:rsidR="00EB78CE" w:rsidRPr="005252CA" w:rsidRDefault="00EB78CE" w:rsidP="00C161D6">
            <w:pPr>
              <w:spacing w:after="0" w:line="240" w:lineRule="auto"/>
              <w:jc w:val="center"/>
              <w:rPr>
                <w:rFonts w:cs="Arial"/>
                <w:color w:val="000000"/>
                <w:sz w:val="16"/>
                <w:szCs w:val="16"/>
              </w:rPr>
            </w:pPr>
            <w:r>
              <w:rPr>
                <w:rFonts w:cs="Arial"/>
                <w:color w:val="000000"/>
                <w:sz w:val="16"/>
                <w:szCs w:val="16"/>
              </w:rPr>
              <w:t>557</w:t>
            </w:r>
          </w:p>
        </w:tc>
        <w:tc>
          <w:tcPr>
            <w:tcW w:w="794" w:type="dxa"/>
            <w:gridSpan w:val="2"/>
            <w:tcBorders>
              <w:top w:val="nil"/>
              <w:left w:val="nil"/>
              <w:bottom w:val="nil"/>
              <w:right w:val="nil"/>
            </w:tcBorders>
            <w:shd w:val="clear" w:color="auto" w:fill="auto"/>
            <w:noWrap/>
            <w:vAlign w:val="center"/>
            <w:hideMark/>
          </w:tcPr>
          <w:p w14:paraId="75FB42E4" w14:textId="17FF3154" w:rsidR="00EB78CE" w:rsidRPr="005252CA" w:rsidRDefault="00EB78CE" w:rsidP="00C161D6">
            <w:pPr>
              <w:spacing w:after="0" w:line="240" w:lineRule="auto"/>
              <w:jc w:val="center"/>
              <w:rPr>
                <w:rFonts w:cs="Arial"/>
                <w:color w:val="000000"/>
                <w:sz w:val="16"/>
                <w:szCs w:val="16"/>
              </w:rPr>
            </w:pPr>
            <w:r>
              <w:rPr>
                <w:rFonts w:cs="Arial"/>
                <w:color w:val="000000"/>
                <w:sz w:val="16"/>
                <w:szCs w:val="16"/>
              </w:rPr>
              <w:t>407</w:t>
            </w:r>
          </w:p>
        </w:tc>
        <w:tc>
          <w:tcPr>
            <w:tcW w:w="851" w:type="dxa"/>
            <w:gridSpan w:val="2"/>
            <w:tcBorders>
              <w:top w:val="nil"/>
              <w:left w:val="nil"/>
              <w:bottom w:val="nil"/>
              <w:right w:val="single" w:sz="4" w:space="0" w:color="auto"/>
            </w:tcBorders>
            <w:shd w:val="clear" w:color="auto" w:fill="auto"/>
            <w:noWrap/>
            <w:vAlign w:val="center"/>
            <w:hideMark/>
          </w:tcPr>
          <w:p w14:paraId="43421A8A" w14:textId="1AD005B2" w:rsidR="00EB78CE" w:rsidRPr="005252CA" w:rsidRDefault="00EB78CE" w:rsidP="00C161D6">
            <w:pPr>
              <w:spacing w:after="0" w:line="240" w:lineRule="auto"/>
              <w:jc w:val="center"/>
              <w:rPr>
                <w:rFonts w:cs="Arial"/>
                <w:color w:val="000000"/>
                <w:sz w:val="16"/>
                <w:szCs w:val="16"/>
              </w:rPr>
            </w:pPr>
            <w:r>
              <w:rPr>
                <w:rFonts w:cs="Arial"/>
                <w:color w:val="000000"/>
                <w:sz w:val="16"/>
                <w:szCs w:val="16"/>
              </w:rPr>
              <w:t>713</w:t>
            </w:r>
          </w:p>
        </w:tc>
        <w:tc>
          <w:tcPr>
            <w:tcW w:w="850" w:type="dxa"/>
            <w:tcBorders>
              <w:top w:val="nil"/>
              <w:left w:val="single" w:sz="4" w:space="0" w:color="auto"/>
              <w:bottom w:val="nil"/>
              <w:right w:val="nil"/>
            </w:tcBorders>
            <w:shd w:val="clear" w:color="auto" w:fill="auto"/>
            <w:noWrap/>
            <w:vAlign w:val="center"/>
            <w:hideMark/>
          </w:tcPr>
          <w:p w14:paraId="5A0107C2" w14:textId="1039BEAE" w:rsidR="00EB78CE" w:rsidRPr="005252CA" w:rsidRDefault="00EB78CE" w:rsidP="00C161D6">
            <w:pPr>
              <w:spacing w:after="0" w:line="240" w:lineRule="auto"/>
              <w:jc w:val="center"/>
              <w:rPr>
                <w:rFonts w:cs="Arial"/>
                <w:sz w:val="16"/>
                <w:szCs w:val="16"/>
              </w:rPr>
            </w:pPr>
            <w:r>
              <w:rPr>
                <w:rFonts w:cs="Arial"/>
                <w:sz w:val="16"/>
                <w:szCs w:val="16"/>
              </w:rPr>
              <w:t>124,3</w:t>
            </w:r>
          </w:p>
        </w:tc>
        <w:tc>
          <w:tcPr>
            <w:tcW w:w="794" w:type="dxa"/>
            <w:gridSpan w:val="2"/>
            <w:tcBorders>
              <w:top w:val="nil"/>
              <w:left w:val="nil"/>
              <w:bottom w:val="nil"/>
              <w:right w:val="nil"/>
            </w:tcBorders>
            <w:shd w:val="clear" w:color="auto" w:fill="auto"/>
            <w:noWrap/>
            <w:vAlign w:val="center"/>
            <w:hideMark/>
          </w:tcPr>
          <w:p w14:paraId="74937F54" w14:textId="1254CBF1" w:rsidR="00EB78CE" w:rsidRPr="005252CA" w:rsidRDefault="00EB78CE" w:rsidP="00C161D6">
            <w:pPr>
              <w:spacing w:after="0" w:line="240" w:lineRule="auto"/>
              <w:jc w:val="center"/>
              <w:rPr>
                <w:rFonts w:cs="Arial"/>
                <w:sz w:val="16"/>
                <w:szCs w:val="16"/>
              </w:rPr>
            </w:pPr>
            <w:r>
              <w:rPr>
                <w:rFonts w:cs="Arial"/>
                <w:sz w:val="16"/>
                <w:szCs w:val="16"/>
              </w:rPr>
              <w:t>141,0</w:t>
            </w:r>
          </w:p>
        </w:tc>
        <w:tc>
          <w:tcPr>
            <w:tcW w:w="794" w:type="dxa"/>
            <w:gridSpan w:val="2"/>
            <w:tcBorders>
              <w:top w:val="nil"/>
              <w:left w:val="nil"/>
              <w:bottom w:val="nil"/>
              <w:right w:val="nil"/>
            </w:tcBorders>
            <w:shd w:val="clear" w:color="auto" w:fill="auto"/>
            <w:noWrap/>
            <w:vAlign w:val="center"/>
            <w:hideMark/>
          </w:tcPr>
          <w:p w14:paraId="5988C242" w14:textId="5A209A67" w:rsidR="00EB78CE" w:rsidRPr="005252CA" w:rsidRDefault="00EB78CE" w:rsidP="00C161D6">
            <w:pPr>
              <w:spacing w:after="0" w:line="240" w:lineRule="auto"/>
              <w:jc w:val="center"/>
              <w:rPr>
                <w:rFonts w:cs="Arial"/>
                <w:sz w:val="16"/>
                <w:szCs w:val="16"/>
              </w:rPr>
            </w:pPr>
            <w:r>
              <w:rPr>
                <w:rFonts w:cs="Arial"/>
                <w:sz w:val="16"/>
                <w:szCs w:val="16"/>
              </w:rPr>
              <w:t>114,5</w:t>
            </w:r>
          </w:p>
        </w:tc>
      </w:tr>
      <w:tr w:rsidR="00EB78CE" w:rsidRPr="005252CA" w14:paraId="7D6C9FBA"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51174AF8" w14:textId="77777777" w:rsidR="00EB78CE" w:rsidRDefault="00EB78CE" w:rsidP="00EB78CE">
            <w:pPr>
              <w:spacing w:after="0" w:line="240" w:lineRule="auto"/>
              <w:rPr>
                <w:rFonts w:cs="Arial"/>
                <w:sz w:val="16"/>
                <w:szCs w:val="16"/>
              </w:rPr>
            </w:pPr>
            <w:r w:rsidRPr="005252CA">
              <w:rPr>
                <w:rFonts w:cs="Arial"/>
                <w:sz w:val="16"/>
                <w:szCs w:val="16"/>
              </w:rPr>
              <w:t xml:space="preserve"> Poruchy duševní a poruchy </w:t>
            </w:r>
          </w:p>
          <w:p w14:paraId="56F13DBF" w14:textId="5BEB4FEC" w:rsidR="00EB78CE" w:rsidRPr="005252CA" w:rsidRDefault="00EB78CE" w:rsidP="00EB78CE">
            <w:pPr>
              <w:spacing w:after="0" w:line="240" w:lineRule="auto"/>
              <w:rPr>
                <w:rFonts w:cs="Arial"/>
                <w:sz w:val="16"/>
                <w:szCs w:val="16"/>
              </w:rPr>
            </w:pPr>
            <w:r>
              <w:rPr>
                <w:rFonts w:cs="Arial"/>
                <w:sz w:val="16"/>
                <w:szCs w:val="16"/>
              </w:rPr>
              <w:t xml:space="preserve"> </w:t>
            </w:r>
            <w:r w:rsidRPr="005252CA">
              <w:rPr>
                <w:rFonts w:cs="Arial"/>
                <w:sz w:val="16"/>
                <w:szCs w:val="16"/>
              </w:rPr>
              <w:t>chování</w:t>
            </w:r>
          </w:p>
        </w:tc>
        <w:tc>
          <w:tcPr>
            <w:tcW w:w="907" w:type="dxa"/>
            <w:tcBorders>
              <w:top w:val="nil"/>
              <w:left w:val="nil"/>
              <w:bottom w:val="nil"/>
              <w:right w:val="nil"/>
            </w:tcBorders>
            <w:shd w:val="clear" w:color="auto" w:fill="auto"/>
            <w:noWrap/>
            <w:vAlign w:val="center"/>
            <w:hideMark/>
          </w:tcPr>
          <w:p w14:paraId="7FDABD32" w14:textId="2FD04C4E" w:rsidR="00EB78CE" w:rsidRPr="005252CA" w:rsidRDefault="00EB78CE" w:rsidP="00C161D6">
            <w:pPr>
              <w:spacing w:after="0" w:line="240" w:lineRule="auto"/>
              <w:jc w:val="center"/>
              <w:rPr>
                <w:rFonts w:cs="Arial"/>
                <w:sz w:val="16"/>
                <w:szCs w:val="16"/>
              </w:rPr>
            </w:pPr>
            <w:r w:rsidRPr="005252CA">
              <w:rPr>
                <w:rFonts w:cs="Arial"/>
                <w:sz w:val="16"/>
                <w:szCs w:val="16"/>
              </w:rPr>
              <w:t>44 034</w:t>
            </w:r>
          </w:p>
        </w:tc>
        <w:tc>
          <w:tcPr>
            <w:tcW w:w="794" w:type="dxa"/>
            <w:tcBorders>
              <w:top w:val="nil"/>
              <w:left w:val="nil"/>
              <w:bottom w:val="nil"/>
              <w:right w:val="nil"/>
            </w:tcBorders>
            <w:shd w:val="clear" w:color="auto" w:fill="auto"/>
            <w:noWrap/>
            <w:vAlign w:val="center"/>
            <w:hideMark/>
          </w:tcPr>
          <w:p w14:paraId="05992E30" w14:textId="650C1743" w:rsidR="00EB78CE" w:rsidRPr="005252CA" w:rsidRDefault="00EB78CE" w:rsidP="00C161D6">
            <w:pPr>
              <w:spacing w:after="0" w:line="240" w:lineRule="auto"/>
              <w:jc w:val="center"/>
              <w:rPr>
                <w:rFonts w:cs="Arial"/>
                <w:sz w:val="16"/>
                <w:szCs w:val="16"/>
              </w:rPr>
            </w:pPr>
            <w:r w:rsidRPr="005252CA">
              <w:rPr>
                <w:rFonts w:cs="Arial"/>
                <w:sz w:val="16"/>
                <w:szCs w:val="16"/>
              </w:rPr>
              <w:t>15 729</w:t>
            </w:r>
          </w:p>
        </w:tc>
        <w:tc>
          <w:tcPr>
            <w:tcW w:w="794" w:type="dxa"/>
            <w:tcBorders>
              <w:top w:val="nil"/>
              <w:left w:val="nil"/>
              <w:bottom w:val="nil"/>
              <w:right w:val="single" w:sz="4" w:space="0" w:color="auto"/>
            </w:tcBorders>
            <w:shd w:val="clear" w:color="auto" w:fill="auto"/>
            <w:noWrap/>
            <w:vAlign w:val="center"/>
            <w:hideMark/>
          </w:tcPr>
          <w:p w14:paraId="608DA733" w14:textId="1BE557C2" w:rsidR="00EB78CE" w:rsidRPr="005252CA" w:rsidRDefault="00EB78CE" w:rsidP="00C161D6">
            <w:pPr>
              <w:spacing w:after="0" w:line="240" w:lineRule="auto"/>
              <w:jc w:val="center"/>
              <w:rPr>
                <w:rFonts w:cs="Arial"/>
                <w:sz w:val="16"/>
                <w:szCs w:val="16"/>
              </w:rPr>
            </w:pPr>
            <w:r w:rsidRPr="005252CA">
              <w:rPr>
                <w:rFonts w:cs="Arial"/>
                <w:sz w:val="16"/>
                <w:szCs w:val="16"/>
              </w:rPr>
              <w:t>28 305</w:t>
            </w:r>
          </w:p>
        </w:tc>
        <w:tc>
          <w:tcPr>
            <w:tcW w:w="850" w:type="dxa"/>
            <w:tcBorders>
              <w:top w:val="nil"/>
              <w:left w:val="single" w:sz="4" w:space="0" w:color="auto"/>
              <w:bottom w:val="nil"/>
              <w:right w:val="nil"/>
            </w:tcBorders>
            <w:shd w:val="clear" w:color="auto" w:fill="auto"/>
            <w:noWrap/>
            <w:vAlign w:val="center"/>
            <w:hideMark/>
          </w:tcPr>
          <w:p w14:paraId="35543F79" w14:textId="075939ED" w:rsidR="00EB78CE" w:rsidRPr="005252CA" w:rsidRDefault="00EB78CE" w:rsidP="00C161D6">
            <w:pPr>
              <w:spacing w:after="0" w:line="240" w:lineRule="auto"/>
              <w:jc w:val="center"/>
              <w:rPr>
                <w:rFonts w:cs="Arial"/>
                <w:color w:val="000000"/>
                <w:sz w:val="16"/>
                <w:szCs w:val="16"/>
              </w:rPr>
            </w:pPr>
            <w:r>
              <w:rPr>
                <w:rFonts w:cs="Arial"/>
                <w:color w:val="000000"/>
                <w:sz w:val="16"/>
                <w:szCs w:val="16"/>
              </w:rPr>
              <w:t>943</w:t>
            </w:r>
          </w:p>
        </w:tc>
        <w:tc>
          <w:tcPr>
            <w:tcW w:w="794" w:type="dxa"/>
            <w:gridSpan w:val="2"/>
            <w:tcBorders>
              <w:top w:val="nil"/>
              <w:left w:val="nil"/>
              <w:bottom w:val="nil"/>
              <w:right w:val="nil"/>
            </w:tcBorders>
            <w:shd w:val="clear" w:color="auto" w:fill="auto"/>
            <w:noWrap/>
            <w:vAlign w:val="center"/>
            <w:hideMark/>
          </w:tcPr>
          <w:p w14:paraId="7C13C6AA" w14:textId="036C4CCF" w:rsidR="00EB78CE" w:rsidRPr="005252CA" w:rsidRDefault="00EB78CE" w:rsidP="00C161D6">
            <w:pPr>
              <w:spacing w:after="0" w:line="240" w:lineRule="auto"/>
              <w:jc w:val="center"/>
              <w:rPr>
                <w:rFonts w:cs="Arial"/>
                <w:color w:val="000000"/>
                <w:sz w:val="16"/>
                <w:szCs w:val="16"/>
              </w:rPr>
            </w:pPr>
            <w:r>
              <w:rPr>
                <w:rFonts w:cs="Arial"/>
                <w:color w:val="000000"/>
                <w:sz w:val="16"/>
                <w:szCs w:val="16"/>
              </w:rPr>
              <w:t>664</w:t>
            </w:r>
          </w:p>
        </w:tc>
        <w:tc>
          <w:tcPr>
            <w:tcW w:w="851" w:type="dxa"/>
            <w:gridSpan w:val="2"/>
            <w:tcBorders>
              <w:top w:val="nil"/>
              <w:left w:val="nil"/>
              <w:bottom w:val="nil"/>
              <w:right w:val="single" w:sz="4" w:space="0" w:color="auto"/>
            </w:tcBorders>
            <w:shd w:val="clear" w:color="auto" w:fill="auto"/>
            <w:noWrap/>
            <w:vAlign w:val="center"/>
            <w:hideMark/>
          </w:tcPr>
          <w:p w14:paraId="1DB9736D" w14:textId="0F9BE5F5"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1 230</w:t>
            </w:r>
          </w:p>
        </w:tc>
        <w:tc>
          <w:tcPr>
            <w:tcW w:w="850" w:type="dxa"/>
            <w:tcBorders>
              <w:top w:val="nil"/>
              <w:left w:val="single" w:sz="4" w:space="0" w:color="auto"/>
              <w:bottom w:val="nil"/>
              <w:right w:val="nil"/>
            </w:tcBorders>
            <w:shd w:val="clear" w:color="auto" w:fill="auto"/>
            <w:noWrap/>
            <w:vAlign w:val="center"/>
            <w:hideMark/>
          </w:tcPr>
          <w:p w14:paraId="6E8DE640" w14:textId="48646EF7" w:rsidR="00EB78CE" w:rsidRPr="005252CA" w:rsidRDefault="00EB78CE" w:rsidP="00C161D6">
            <w:pPr>
              <w:spacing w:after="0" w:line="240" w:lineRule="auto"/>
              <w:jc w:val="center"/>
              <w:rPr>
                <w:rFonts w:cs="Arial"/>
                <w:sz w:val="16"/>
                <w:szCs w:val="16"/>
              </w:rPr>
            </w:pPr>
            <w:r>
              <w:rPr>
                <w:rFonts w:cs="Arial"/>
                <w:sz w:val="16"/>
                <w:szCs w:val="16"/>
              </w:rPr>
              <w:t>84,6</w:t>
            </w:r>
          </w:p>
        </w:tc>
        <w:tc>
          <w:tcPr>
            <w:tcW w:w="794" w:type="dxa"/>
            <w:gridSpan w:val="2"/>
            <w:tcBorders>
              <w:top w:val="nil"/>
              <w:left w:val="nil"/>
              <w:bottom w:val="nil"/>
              <w:right w:val="nil"/>
            </w:tcBorders>
            <w:shd w:val="clear" w:color="auto" w:fill="auto"/>
            <w:noWrap/>
            <w:vAlign w:val="center"/>
            <w:hideMark/>
          </w:tcPr>
          <w:p w14:paraId="54C7144B" w14:textId="5001CA21" w:rsidR="00EB78CE" w:rsidRPr="005252CA" w:rsidRDefault="00EB78CE" w:rsidP="00C161D6">
            <w:pPr>
              <w:spacing w:after="0" w:line="240" w:lineRule="auto"/>
              <w:jc w:val="center"/>
              <w:rPr>
                <w:rFonts w:cs="Arial"/>
                <w:sz w:val="16"/>
                <w:szCs w:val="16"/>
              </w:rPr>
            </w:pPr>
            <w:r>
              <w:rPr>
                <w:rFonts w:cs="Arial"/>
                <w:sz w:val="16"/>
                <w:szCs w:val="16"/>
              </w:rPr>
              <w:t>78,4</w:t>
            </w:r>
          </w:p>
        </w:tc>
        <w:tc>
          <w:tcPr>
            <w:tcW w:w="794" w:type="dxa"/>
            <w:gridSpan w:val="2"/>
            <w:tcBorders>
              <w:top w:val="nil"/>
              <w:left w:val="nil"/>
              <w:bottom w:val="nil"/>
              <w:right w:val="nil"/>
            </w:tcBorders>
            <w:shd w:val="clear" w:color="auto" w:fill="auto"/>
            <w:noWrap/>
            <w:vAlign w:val="center"/>
            <w:hideMark/>
          </w:tcPr>
          <w:p w14:paraId="74626293" w14:textId="6FB42A01" w:rsidR="00EB78CE" w:rsidRPr="005252CA" w:rsidRDefault="00EB78CE" w:rsidP="00C161D6">
            <w:pPr>
              <w:spacing w:after="0" w:line="240" w:lineRule="auto"/>
              <w:jc w:val="center"/>
              <w:rPr>
                <w:rFonts w:cs="Arial"/>
                <w:sz w:val="16"/>
                <w:szCs w:val="16"/>
              </w:rPr>
            </w:pPr>
            <w:r>
              <w:rPr>
                <w:rFonts w:cs="Arial"/>
                <w:sz w:val="16"/>
                <w:szCs w:val="16"/>
              </w:rPr>
              <w:t>88,0</w:t>
            </w:r>
          </w:p>
        </w:tc>
      </w:tr>
      <w:tr w:rsidR="00EB78CE" w:rsidRPr="005252CA" w14:paraId="6D1924AD"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4B38AC5D" w14:textId="77777777" w:rsidR="00EB78CE" w:rsidRPr="005252CA" w:rsidRDefault="00EB78CE" w:rsidP="00EB78CE">
            <w:pPr>
              <w:spacing w:after="0" w:line="240" w:lineRule="auto"/>
              <w:rPr>
                <w:rFonts w:cs="Arial"/>
                <w:sz w:val="16"/>
                <w:szCs w:val="16"/>
              </w:rPr>
            </w:pPr>
            <w:r w:rsidRPr="005252CA">
              <w:rPr>
                <w:rFonts w:cs="Arial"/>
                <w:sz w:val="16"/>
                <w:szCs w:val="16"/>
              </w:rPr>
              <w:t xml:space="preserve"> Nemoci nervové soustavy</w:t>
            </w:r>
          </w:p>
        </w:tc>
        <w:tc>
          <w:tcPr>
            <w:tcW w:w="907" w:type="dxa"/>
            <w:tcBorders>
              <w:top w:val="nil"/>
              <w:left w:val="nil"/>
              <w:bottom w:val="nil"/>
              <w:right w:val="nil"/>
            </w:tcBorders>
            <w:shd w:val="clear" w:color="auto" w:fill="auto"/>
            <w:noWrap/>
            <w:vAlign w:val="center"/>
            <w:hideMark/>
          </w:tcPr>
          <w:p w14:paraId="5839471F" w14:textId="6DBC5648" w:rsidR="00EB78CE" w:rsidRPr="005252CA" w:rsidRDefault="00EB78CE" w:rsidP="00C161D6">
            <w:pPr>
              <w:spacing w:after="0" w:line="240" w:lineRule="auto"/>
              <w:jc w:val="center"/>
              <w:rPr>
                <w:rFonts w:cs="Arial"/>
                <w:sz w:val="16"/>
                <w:szCs w:val="16"/>
              </w:rPr>
            </w:pPr>
            <w:r w:rsidRPr="005252CA">
              <w:rPr>
                <w:rFonts w:cs="Arial"/>
                <w:sz w:val="16"/>
                <w:szCs w:val="16"/>
              </w:rPr>
              <w:t>25 165</w:t>
            </w:r>
          </w:p>
        </w:tc>
        <w:tc>
          <w:tcPr>
            <w:tcW w:w="794" w:type="dxa"/>
            <w:tcBorders>
              <w:top w:val="nil"/>
              <w:left w:val="nil"/>
              <w:bottom w:val="nil"/>
              <w:right w:val="nil"/>
            </w:tcBorders>
            <w:shd w:val="clear" w:color="auto" w:fill="auto"/>
            <w:noWrap/>
            <w:vAlign w:val="center"/>
            <w:hideMark/>
          </w:tcPr>
          <w:p w14:paraId="286A5A36" w14:textId="6D46F3FA" w:rsidR="00EB78CE" w:rsidRPr="005252CA" w:rsidRDefault="00EB78CE" w:rsidP="00C161D6">
            <w:pPr>
              <w:spacing w:after="0" w:line="240" w:lineRule="auto"/>
              <w:jc w:val="center"/>
              <w:rPr>
                <w:rFonts w:cs="Arial"/>
                <w:sz w:val="16"/>
                <w:szCs w:val="16"/>
              </w:rPr>
            </w:pPr>
            <w:r w:rsidRPr="005252CA">
              <w:rPr>
                <w:rFonts w:cs="Arial"/>
                <w:sz w:val="16"/>
                <w:szCs w:val="16"/>
              </w:rPr>
              <w:t>10 277</w:t>
            </w:r>
          </w:p>
        </w:tc>
        <w:tc>
          <w:tcPr>
            <w:tcW w:w="794" w:type="dxa"/>
            <w:tcBorders>
              <w:top w:val="nil"/>
              <w:left w:val="nil"/>
              <w:bottom w:val="nil"/>
              <w:right w:val="single" w:sz="4" w:space="0" w:color="auto"/>
            </w:tcBorders>
            <w:shd w:val="clear" w:color="auto" w:fill="auto"/>
            <w:noWrap/>
            <w:vAlign w:val="center"/>
            <w:hideMark/>
          </w:tcPr>
          <w:p w14:paraId="13139D51" w14:textId="560AA658" w:rsidR="00EB78CE" w:rsidRPr="005252CA" w:rsidRDefault="00EB78CE" w:rsidP="00C161D6">
            <w:pPr>
              <w:spacing w:after="0" w:line="240" w:lineRule="auto"/>
              <w:jc w:val="center"/>
              <w:rPr>
                <w:rFonts w:cs="Arial"/>
                <w:sz w:val="16"/>
                <w:szCs w:val="16"/>
              </w:rPr>
            </w:pPr>
            <w:r w:rsidRPr="005252CA">
              <w:rPr>
                <w:rFonts w:cs="Arial"/>
                <w:sz w:val="16"/>
                <w:szCs w:val="16"/>
              </w:rPr>
              <w:t>14 888</w:t>
            </w:r>
          </w:p>
        </w:tc>
        <w:tc>
          <w:tcPr>
            <w:tcW w:w="850" w:type="dxa"/>
            <w:tcBorders>
              <w:top w:val="nil"/>
              <w:left w:val="single" w:sz="4" w:space="0" w:color="auto"/>
              <w:bottom w:val="nil"/>
              <w:right w:val="nil"/>
            </w:tcBorders>
            <w:shd w:val="clear" w:color="auto" w:fill="auto"/>
            <w:noWrap/>
            <w:vAlign w:val="center"/>
            <w:hideMark/>
          </w:tcPr>
          <w:p w14:paraId="7286DBC7" w14:textId="4CBD4E8D" w:rsidR="00EB78CE" w:rsidRPr="005252CA" w:rsidRDefault="00EB78CE" w:rsidP="00C161D6">
            <w:pPr>
              <w:spacing w:after="0" w:line="240" w:lineRule="auto"/>
              <w:jc w:val="center"/>
              <w:rPr>
                <w:rFonts w:cs="Arial"/>
                <w:color w:val="000000"/>
                <w:sz w:val="16"/>
                <w:szCs w:val="16"/>
              </w:rPr>
            </w:pPr>
            <w:r>
              <w:rPr>
                <w:rFonts w:cs="Arial"/>
                <w:color w:val="000000"/>
                <w:sz w:val="16"/>
                <w:szCs w:val="16"/>
              </w:rPr>
              <w:t>539</w:t>
            </w:r>
          </w:p>
        </w:tc>
        <w:tc>
          <w:tcPr>
            <w:tcW w:w="794" w:type="dxa"/>
            <w:gridSpan w:val="2"/>
            <w:tcBorders>
              <w:top w:val="nil"/>
              <w:left w:val="nil"/>
              <w:bottom w:val="nil"/>
              <w:right w:val="nil"/>
            </w:tcBorders>
            <w:shd w:val="clear" w:color="auto" w:fill="auto"/>
            <w:noWrap/>
            <w:vAlign w:val="center"/>
            <w:hideMark/>
          </w:tcPr>
          <w:p w14:paraId="3AAA59B4" w14:textId="50007C92" w:rsidR="00EB78CE" w:rsidRPr="005252CA" w:rsidRDefault="00EB78CE" w:rsidP="00C161D6">
            <w:pPr>
              <w:spacing w:after="0" w:line="240" w:lineRule="auto"/>
              <w:jc w:val="center"/>
              <w:rPr>
                <w:rFonts w:cs="Arial"/>
                <w:color w:val="000000"/>
                <w:sz w:val="16"/>
                <w:szCs w:val="16"/>
              </w:rPr>
            </w:pPr>
            <w:r>
              <w:rPr>
                <w:rFonts w:cs="Arial"/>
                <w:color w:val="000000"/>
                <w:sz w:val="16"/>
                <w:szCs w:val="16"/>
              </w:rPr>
              <w:t>434</w:t>
            </w:r>
          </w:p>
        </w:tc>
        <w:tc>
          <w:tcPr>
            <w:tcW w:w="851" w:type="dxa"/>
            <w:gridSpan w:val="2"/>
            <w:tcBorders>
              <w:top w:val="nil"/>
              <w:left w:val="nil"/>
              <w:bottom w:val="nil"/>
              <w:right w:val="single" w:sz="4" w:space="0" w:color="auto"/>
            </w:tcBorders>
            <w:shd w:val="clear" w:color="auto" w:fill="auto"/>
            <w:noWrap/>
            <w:vAlign w:val="center"/>
            <w:hideMark/>
          </w:tcPr>
          <w:p w14:paraId="34402456" w14:textId="4E4B093F" w:rsidR="00EB78CE" w:rsidRPr="005252CA" w:rsidRDefault="00EB78CE" w:rsidP="00C161D6">
            <w:pPr>
              <w:spacing w:after="0" w:line="240" w:lineRule="auto"/>
              <w:jc w:val="center"/>
              <w:rPr>
                <w:rFonts w:cs="Arial"/>
                <w:color w:val="000000"/>
                <w:sz w:val="16"/>
                <w:szCs w:val="16"/>
              </w:rPr>
            </w:pPr>
            <w:r>
              <w:rPr>
                <w:rFonts w:cs="Arial"/>
                <w:color w:val="000000"/>
                <w:sz w:val="16"/>
                <w:szCs w:val="16"/>
              </w:rPr>
              <w:t>647</w:t>
            </w:r>
          </w:p>
        </w:tc>
        <w:tc>
          <w:tcPr>
            <w:tcW w:w="850" w:type="dxa"/>
            <w:tcBorders>
              <w:top w:val="nil"/>
              <w:left w:val="single" w:sz="4" w:space="0" w:color="auto"/>
              <w:bottom w:val="nil"/>
              <w:right w:val="nil"/>
            </w:tcBorders>
            <w:shd w:val="clear" w:color="auto" w:fill="auto"/>
            <w:noWrap/>
            <w:vAlign w:val="center"/>
            <w:hideMark/>
          </w:tcPr>
          <w:p w14:paraId="1BBEB7D5" w14:textId="719C66CA" w:rsidR="00EB78CE" w:rsidRPr="005252CA" w:rsidRDefault="00EB78CE" w:rsidP="00C161D6">
            <w:pPr>
              <w:spacing w:after="0" w:line="240" w:lineRule="auto"/>
              <w:jc w:val="center"/>
              <w:rPr>
                <w:rFonts w:cs="Arial"/>
                <w:sz w:val="16"/>
                <w:szCs w:val="16"/>
              </w:rPr>
            </w:pPr>
            <w:r>
              <w:rPr>
                <w:rFonts w:cs="Arial"/>
                <w:sz w:val="16"/>
                <w:szCs w:val="16"/>
              </w:rPr>
              <w:t>82,9</w:t>
            </w:r>
          </w:p>
        </w:tc>
        <w:tc>
          <w:tcPr>
            <w:tcW w:w="794" w:type="dxa"/>
            <w:gridSpan w:val="2"/>
            <w:tcBorders>
              <w:top w:val="nil"/>
              <w:left w:val="nil"/>
              <w:bottom w:val="nil"/>
              <w:right w:val="nil"/>
            </w:tcBorders>
            <w:shd w:val="clear" w:color="auto" w:fill="auto"/>
            <w:noWrap/>
            <w:vAlign w:val="center"/>
            <w:hideMark/>
          </w:tcPr>
          <w:p w14:paraId="7E9F2FE1" w14:textId="18205802" w:rsidR="00EB78CE" w:rsidRPr="005252CA" w:rsidRDefault="00EB78CE" w:rsidP="00C161D6">
            <w:pPr>
              <w:spacing w:after="0" w:line="240" w:lineRule="auto"/>
              <w:jc w:val="center"/>
              <w:rPr>
                <w:rFonts w:cs="Arial"/>
                <w:sz w:val="16"/>
                <w:szCs w:val="16"/>
              </w:rPr>
            </w:pPr>
            <w:r>
              <w:rPr>
                <w:rFonts w:cs="Arial"/>
                <w:sz w:val="16"/>
                <w:szCs w:val="16"/>
              </w:rPr>
              <w:t>82,6</w:t>
            </w:r>
          </w:p>
        </w:tc>
        <w:tc>
          <w:tcPr>
            <w:tcW w:w="794" w:type="dxa"/>
            <w:gridSpan w:val="2"/>
            <w:tcBorders>
              <w:top w:val="nil"/>
              <w:left w:val="nil"/>
              <w:bottom w:val="nil"/>
              <w:right w:val="nil"/>
            </w:tcBorders>
            <w:shd w:val="clear" w:color="auto" w:fill="auto"/>
            <w:noWrap/>
            <w:vAlign w:val="center"/>
            <w:hideMark/>
          </w:tcPr>
          <w:p w14:paraId="3BFCD236" w14:textId="2BDD0BAF" w:rsidR="00EB78CE" w:rsidRPr="005252CA" w:rsidRDefault="00EB78CE" w:rsidP="00C161D6">
            <w:pPr>
              <w:spacing w:after="0" w:line="240" w:lineRule="auto"/>
              <w:jc w:val="center"/>
              <w:rPr>
                <w:rFonts w:cs="Arial"/>
                <w:sz w:val="16"/>
                <w:szCs w:val="16"/>
              </w:rPr>
            </w:pPr>
            <w:r>
              <w:rPr>
                <w:rFonts w:cs="Arial"/>
                <w:sz w:val="16"/>
                <w:szCs w:val="16"/>
              </w:rPr>
              <w:t>83,1</w:t>
            </w:r>
          </w:p>
        </w:tc>
      </w:tr>
      <w:tr w:rsidR="00EB78CE" w:rsidRPr="005252CA" w14:paraId="709E4B21"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78A0F07D" w14:textId="77777777" w:rsidR="00EB78CE" w:rsidRPr="005252CA" w:rsidRDefault="00EB78CE" w:rsidP="00EB78CE">
            <w:pPr>
              <w:spacing w:after="0" w:line="240" w:lineRule="auto"/>
              <w:rPr>
                <w:rFonts w:cs="Arial"/>
                <w:sz w:val="16"/>
                <w:szCs w:val="16"/>
              </w:rPr>
            </w:pPr>
            <w:r w:rsidRPr="005252CA">
              <w:rPr>
                <w:rFonts w:cs="Arial"/>
                <w:sz w:val="16"/>
                <w:szCs w:val="16"/>
              </w:rPr>
              <w:t xml:space="preserve"> Nemoci oběhové soustavy</w:t>
            </w:r>
          </w:p>
        </w:tc>
        <w:tc>
          <w:tcPr>
            <w:tcW w:w="907" w:type="dxa"/>
            <w:tcBorders>
              <w:top w:val="nil"/>
              <w:left w:val="nil"/>
              <w:bottom w:val="nil"/>
              <w:right w:val="nil"/>
            </w:tcBorders>
            <w:shd w:val="clear" w:color="auto" w:fill="auto"/>
            <w:noWrap/>
            <w:vAlign w:val="center"/>
            <w:hideMark/>
          </w:tcPr>
          <w:p w14:paraId="5136DE20" w14:textId="5A1612F0" w:rsidR="00EB78CE" w:rsidRPr="005252CA" w:rsidRDefault="00EB78CE" w:rsidP="00C161D6">
            <w:pPr>
              <w:spacing w:after="0" w:line="240" w:lineRule="auto"/>
              <w:jc w:val="center"/>
              <w:rPr>
                <w:rFonts w:cs="Arial"/>
                <w:sz w:val="16"/>
                <w:szCs w:val="16"/>
              </w:rPr>
            </w:pPr>
            <w:r w:rsidRPr="005252CA">
              <w:rPr>
                <w:rFonts w:cs="Arial"/>
                <w:sz w:val="16"/>
                <w:szCs w:val="16"/>
              </w:rPr>
              <w:t>47 275</w:t>
            </w:r>
          </w:p>
        </w:tc>
        <w:tc>
          <w:tcPr>
            <w:tcW w:w="794" w:type="dxa"/>
            <w:tcBorders>
              <w:top w:val="nil"/>
              <w:left w:val="nil"/>
              <w:bottom w:val="nil"/>
              <w:right w:val="nil"/>
            </w:tcBorders>
            <w:shd w:val="clear" w:color="auto" w:fill="auto"/>
            <w:noWrap/>
            <w:vAlign w:val="center"/>
            <w:hideMark/>
          </w:tcPr>
          <w:p w14:paraId="40F44F10" w14:textId="1BE15D47" w:rsidR="00EB78CE" w:rsidRPr="005252CA" w:rsidRDefault="00EB78CE" w:rsidP="00C161D6">
            <w:pPr>
              <w:spacing w:after="0" w:line="240" w:lineRule="auto"/>
              <w:jc w:val="center"/>
              <w:rPr>
                <w:rFonts w:cs="Arial"/>
                <w:sz w:val="16"/>
                <w:szCs w:val="16"/>
              </w:rPr>
            </w:pPr>
            <w:r w:rsidRPr="005252CA">
              <w:rPr>
                <w:rFonts w:cs="Arial"/>
                <w:sz w:val="16"/>
                <w:szCs w:val="16"/>
              </w:rPr>
              <w:t>26 757</w:t>
            </w:r>
          </w:p>
        </w:tc>
        <w:tc>
          <w:tcPr>
            <w:tcW w:w="794" w:type="dxa"/>
            <w:tcBorders>
              <w:top w:val="nil"/>
              <w:left w:val="nil"/>
              <w:bottom w:val="nil"/>
              <w:right w:val="single" w:sz="4" w:space="0" w:color="auto"/>
            </w:tcBorders>
            <w:shd w:val="clear" w:color="auto" w:fill="auto"/>
            <w:noWrap/>
            <w:vAlign w:val="center"/>
            <w:hideMark/>
          </w:tcPr>
          <w:p w14:paraId="7789DFB1" w14:textId="2FC42956" w:rsidR="00EB78CE" w:rsidRPr="005252CA" w:rsidRDefault="00EB78CE" w:rsidP="00C161D6">
            <w:pPr>
              <w:spacing w:after="0" w:line="240" w:lineRule="auto"/>
              <w:jc w:val="center"/>
              <w:rPr>
                <w:rFonts w:cs="Arial"/>
                <w:sz w:val="16"/>
                <w:szCs w:val="16"/>
              </w:rPr>
            </w:pPr>
            <w:r w:rsidRPr="005252CA">
              <w:rPr>
                <w:rFonts w:cs="Arial"/>
                <w:sz w:val="16"/>
                <w:szCs w:val="16"/>
              </w:rPr>
              <w:t>20 518</w:t>
            </w:r>
          </w:p>
        </w:tc>
        <w:tc>
          <w:tcPr>
            <w:tcW w:w="850" w:type="dxa"/>
            <w:tcBorders>
              <w:top w:val="nil"/>
              <w:left w:val="single" w:sz="4" w:space="0" w:color="auto"/>
              <w:bottom w:val="nil"/>
              <w:right w:val="nil"/>
            </w:tcBorders>
            <w:shd w:val="clear" w:color="auto" w:fill="auto"/>
            <w:noWrap/>
            <w:vAlign w:val="center"/>
            <w:hideMark/>
          </w:tcPr>
          <w:p w14:paraId="7F57830E" w14:textId="1F666639"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1 012</w:t>
            </w:r>
          </w:p>
        </w:tc>
        <w:tc>
          <w:tcPr>
            <w:tcW w:w="794" w:type="dxa"/>
            <w:gridSpan w:val="2"/>
            <w:tcBorders>
              <w:top w:val="nil"/>
              <w:left w:val="nil"/>
              <w:bottom w:val="nil"/>
              <w:right w:val="nil"/>
            </w:tcBorders>
            <w:shd w:val="clear" w:color="auto" w:fill="auto"/>
            <w:noWrap/>
            <w:vAlign w:val="center"/>
            <w:hideMark/>
          </w:tcPr>
          <w:p w14:paraId="5B4BB6BB" w14:textId="05A1AAC5"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1 129</w:t>
            </w:r>
          </w:p>
        </w:tc>
        <w:tc>
          <w:tcPr>
            <w:tcW w:w="851" w:type="dxa"/>
            <w:gridSpan w:val="2"/>
            <w:tcBorders>
              <w:top w:val="nil"/>
              <w:left w:val="nil"/>
              <w:bottom w:val="nil"/>
              <w:right w:val="single" w:sz="4" w:space="0" w:color="auto"/>
            </w:tcBorders>
            <w:shd w:val="clear" w:color="auto" w:fill="auto"/>
            <w:noWrap/>
            <w:vAlign w:val="center"/>
            <w:hideMark/>
          </w:tcPr>
          <w:p w14:paraId="02AE0D83" w14:textId="59F45FE6" w:rsidR="00EB78CE" w:rsidRPr="005252CA" w:rsidRDefault="00EB78CE" w:rsidP="00C161D6">
            <w:pPr>
              <w:spacing w:after="0" w:line="240" w:lineRule="auto"/>
              <w:jc w:val="center"/>
              <w:rPr>
                <w:rFonts w:cs="Arial"/>
                <w:color w:val="000000"/>
                <w:sz w:val="16"/>
                <w:szCs w:val="16"/>
              </w:rPr>
            </w:pPr>
            <w:r>
              <w:rPr>
                <w:rFonts w:cs="Arial"/>
                <w:color w:val="000000"/>
                <w:sz w:val="16"/>
                <w:szCs w:val="16"/>
              </w:rPr>
              <w:t>891</w:t>
            </w:r>
          </w:p>
        </w:tc>
        <w:tc>
          <w:tcPr>
            <w:tcW w:w="850" w:type="dxa"/>
            <w:tcBorders>
              <w:top w:val="nil"/>
              <w:left w:val="single" w:sz="4" w:space="0" w:color="auto"/>
              <w:bottom w:val="nil"/>
              <w:right w:val="nil"/>
            </w:tcBorders>
            <w:shd w:val="clear" w:color="auto" w:fill="auto"/>
            <w:noWrap/>
            <w:vAlign w:val="center"/>
            <w:hideMark/>
          </w:tcPr>
          <w:p w14:paraId="6A490B71" w14:textId="13729918" w:rsidR="00EB78CE" w:rsidRPr="005252CA" w:rsidRDefault="00EB78CE" w:rsidP="00C161D6">
            <w:pPr>
              <w:spacing w:after="0" w:line="240" w:lineRule="auto"/>
              <w:jc w:val="center"/>
              <w:rPr>
                <w:rFonts w:cs="Arial"/>
                <w:sz w:val="16"/>
                <w:szCs w:val="16"/>
              </w:rPr>
            </w:pPr>
            <w:r>
              <w:rPr>
                <w:rFonts w:cs="Arial"/>
                <w:sz w:val="16"/>
                <w:szCs w:val="16"/>
              </w:rPr>
              <w:t>80,9</w:t>
            </w:r>
          </w:p>
        </w:tc>
        <w:tc>
          <w:tcPr>
            <w:tcW w:w="794" w:type="dxa"/>
            <w:gridSpan w:val="2"/>
            <w:tcBorders>
              <w:top w:val="nil"/>
              <w:left w:val="nil"/>
              <w:bottom w:val="nil"/>
              <w:right w:val="nil"/>
            </w:tcBorders>
            <w:shd w:val="clear" w:color="auto" w:fill="auto"/>
            <w:noWrap/>
            <w:vAlign w:val="center"/>
            <w:hideMark/>
          </w:tcPr>
          <w:p w14:paraId="0F48D861" w14:textId="2E67E0D2" w:rsidR="00EB78CE" w:rsidRPr="005252CA" w:rsidRDefault="00EB78CE" w:rsidP="00C161D6">
            <w:pPr>
              <w:spacing w:after="0" w:line="240" w:lineRule="auto"/>
              <w:jc w:val="center"/>
              <w:rPr>
                <w:rFonts w:cs="Arial"/>
                <w:sz w:val="16"/>
                <w:szCs w:val="16"/>
              </w:rPr>
            </w:pPr>
            <w:r>
              <w:rPr>
                <w:rFonts w:cs="Arial"/>
                <w:sz w:val="16"/>
                <w:szCs w:val="16"/>
              </w:rPr>
              <w:t>91,5</w:t>
            </w:r>
          </w:p>
        </w:tc>
        <w:tc>
          <w:tcPr>
            <w:tcW w:w="794" w:type="dxa"/>
            <w:gridSpan w:val="2"/>
            <w:tcBorders>
              <w:top w:val="nil"/>
              <w:left w:val="nil"/>
              <w:bottom w:val="nil"/>
              <w:right w:val="nil"/>
            </w:tcBorders>
            <w:shd w:val="clear" w:color="auto" w:fill="auto"/>
            <w:noWrap/>
            <w:vAlign w:val="center"/>
            <w:hideMark/>
          </w:tcPr>
          <w:p w14:paraId="78A1C20C" w14:textId="6228AD7B" w:rsidR="00EB78CE" w:rsidRPr="005252CA" w:rsidRDefault="00EB78CE" w:rsidP="00C161D6">
            <w:pPr>
              <w:spacing w:after="0" w:line="240" w:lineRule="auto"/>
              <w:jc w:val="center"/>
              <w:rPr>
                <w:rFonts w:cs="Arial"/>
                <w:sz w:val="16"/>
                <w:szCs w:val="16"/>
              </w:rPr>
            </w:pPr>
            <w:r>
              <w:rPr>
                <w:rFonts w:cs="Arial"/>
                <w:sz w:val="16"/>
                <w:szCs w:val="16"/>
              </w:rPr>
              <w:t>67,2</w:t>
            </w:r>
          </w:p>
        </w:tc>
      </w:tr>
      <w:tr w:rsidR="00EB78CE" w:rsidRPr="005252CA" w14:paraId="443C8CE2"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03B52C19" w14:textId="77777777" w:rsidR="00EB78CE" w:rsidRPr="005252CA" w:rsidRDefault="00EB78CE" w:rsidP="00EB78CE">
            <w:pPr>
              <w:spacing w:after="0" w:line="240" w:lineRule="auto"/>
              <w:rPr>
                <w:rFonts w:cs="Arial"/>
                <w:sz w:val="16"/>
                <w:szCs w:val="16"/>
              </w:rPr>
            </w:pPr>
            <w:r w:rsidRPr="005252CA">
              <w:rPr>
                <w:rFonts w:cs="Arial"/>
                <w:sz w:val="16"/>
                <w:szCs w:val="16"/>
              </w:rPr>
              <w:t xml:space="preserve"> Nemoci dýchací soustavy</w:t>
            </w:r>
          </w:p>
        </w:tc>
        <w:tc>
          <w:tcPr>
            <w:tcW w:w="907" w:type="dxa"/>
            <w:tcBorders>
              <w:top w:val="nil"/>
              <w:left w:val="nil"/>
              <w:bottom w:val="nil"/>
              <w:right w:val="nil"/>
            </w:tcBorders>
            <w:shd w:val="clear" w:color="auto" w:fill="auto"/>
            <w:noWrap/>
            <w:vAlign w:val="center"/>
            <w:hideMark/>
          </w:tcPr>
          <w:p w14:paraId="58697F57" w14:textId="4D9435AE" w:rsidR="00EB78CE" w:rsidRPr="005252CA" w:rsidRDefault="00EB78CE" w:rsidP="00C161D6">
            <w:pPr>
              <w:spacing w:after="0" w:line="240" w:lineRule="auto"/>
              <w:jc w:val="center"/>
              <w:rPr>
                <w:rFonts w:cs="Arial"/>
                <w:sz w:val="16"/>
                <w:szCs w:val="16"/>
              </w:rPr>
            </w:pPr>
            <w:r w:rsidRPr="005252CA">
              <w:rPr>
                <w:rFonts w:cs="Arial"/>
                <w:sz w:val="16"/>
                <w:szCs w:val="16"/>
              </w:rPr>
              <w:t>615 070</w:t>
            </w:r>
          </w:p>
        </w:tc>
        <w:tc>
          <w:tcPr>
            <w:tcW w:w="794" w:type="dxa"/>
            <w:tcBorders>
              <w:top w:val="nil"/>
              <w:left w:val="nil"/>
              <w:bottom w:val="nil"/>
              <w:right w:val="nil"/>
            </w:tcBorders>
            <w:shd w:val="clear" w:color="auto" w:fill="auto"/>
            <w:noWrap/>
            <w:vAlign w:val="center"/>
            <w:hideMark/>
          </w:tcPr>
          <w:p w14:paraId="624718A6" w14:textId="49DC2090" w:rsidR="00EB78CE" w:rsidRPr="005252CA" w:rsidRDefault="00EB78CE" w:rsidP="00C161D6">
            <w:pPr>
              <w:spacing w:after="0" w:line="240" w:lineRule="auto"/>
              <w:jc w:val="center"/>
              <w:rPr>
                <w:rFonts w:cs="Arial"/>
                <w:sz w:val="16"/>
                <w:szCs w:val="16"/>
              </w:rPr>
            </w:pPr>
            <w:r w:rsidRPr="005252CA">
              <w:rPr>
                <w:rFonts w:cs="Arial"/>
                <w:sz w:val="16"/>
                <w:szCs w:val="16"/>
              </w:rPr>
              <w:t>287 713</w:t>
            </w:r>
          </w:p>
        </w:tc>
        <w:tc>
          <w:tcPr>
            <w:tcW w:w="794" w:type="dxa"/>
            <w:tcBorders>
              <w:top w:val="nil"/>
              <w:left w:val="nil"/>
              <w:bottom w:val="nil"/>
              <w:right w:val="single" w:sz="4" w:space="0" w:color="auto"/>
            </w:tcBorders>
            <w:shd w:val="clear" w:color="auto" w:fill="auto"/>
            <w:noWrap/>
            <w:vAlign w:val="center"/>
            <w:hideMark/>
          </w:tcPr>
          <w:p w14:paraId="5C8995A9" w14:textId="1CDA11AD" w:rsidR="00EB78CE" w:rsidRPr="005252CA" w:rsidRDefault="00EB78CE" w:rsidP="00C161D6">
            <w:pPr>
              <w:spacing w:after="0" w:line="240" w:lineRule="auto"/>
              <w:jc w:val="center"/>
              <w:rPr>
                <w:rFonts w:cs="Arial"/>
                <w:sz w:val="16"/>
                <w:szCs w:val="16"/>
              </w:rPr>
            </w:pPr>
            <w:r w:rsidRPr="005252CA">
              <w:rPr>
                <w:rFonts w:cs="Arial"/>
                <w:sz w:val="16"/>
                <w:szCs w:val="16"/>
              </w:rPr>
              <w:t>327 357</w:t>
            </w:r>
          </w:p>
        </w:tc>
        <w:tc>
          <w:tcPr>
            <w:tcW w:w="850" w:type="dxa"/>
            <w:tcBorders>
              <w:top w:val="nil"/>
              <w:left w:val="single" w:sz="4" w:space="0" w:color="auto"/>
              <w:bottom w:val="nil"/>
              <w:right w:val="nil"/>
            </w:tcBorders>
            <w:shd w:val="clear" w:color="auto" w:fill="auto"/>
            <w:noWrap/>
            <w:vAlign w:val="center"/>
            <w:hideMark/>
          </w:tcPr>
          <w:p w14:paraId="253F49D1" w14:textId="11D17E65" w:rsidR="00EB78CE" w:rsidRPr="005252CA" w:rsidRDefault="00EB78CE" w:rsidP="00C161D6">
            <w:pPr>
              <w:spacing w:after="0" w:line="240" w:lineRule="auto"/>
              <w:jc w:val="center"/>
              <w:rPr>
                <w:rFonts w:cs="Arial"/>
                <w:color w:val="000000"/>
                <w:sz w:val="16"/>
                <w:szCs w:val="16"/>
              </w:rPr>
            </w:pPr>
            <w:r>
              <w:rPr>
                <w:rFonts w:cs="Arial"/>
                <w:color w:val="000000"/>
                <w:sz w:val="16"/>
                <w:szCs w:val="16"/>
              </w:rPr>
              <w:t>13 166</w:t>
            </w:r>
          </w:p>
        </w:tc>
        <w:tc>
          <w:tcPr>
            <w:tcW w:w="794" w:type="dxa"/>
            <w:gridSpan w:val="2"/>
            <w:tcBorders>
              <w:top w:val="nil"/>
              <w:left w:val="nil"/>
              <w:bottom w:val="nil"/>
              <w:right w:val="nil"/>
            </w:tcBorders>
            <w:shd w:val="clear" w:color="auto" w:fill="auto"/>
            <w:noWrap/>
            <w:vAlign w:val="center"/>
            <w:hideMark/>
          </w:tcPr>
          <w:p w14:paraId="07FF8D1A" w14:textId="04F3A96F" w:rsidR="00EB78CE" w:rsidRPr="005252CA" w:rsidRDefault="00EB78CE" w:rsidP="00C161D6">
            <w:pPr>
              <w:spacing w:after="0" w:line="240" w:lineRule="auto"/>
              <w:jc w:val="center"/>
              <w:rPr>
                <w:rFonts w:cs="Arial"/>
                <w:color w:val="000000"/>
                <w:sz w:val="16"/>
                <w:szCs w:val="16"/>
              </w:rPr>
            </w:pPr>
            <w:r>
              <w:rPr>
                <w:rFonts w:cs="Arial"/>
                <w:color w:val="000000"/>
                <w:sz w:val="16"/>
                <w:szCs w:val="16"/>
              </w:rPr>
              <w:t>12 140</w:t>
            </w:r>
          </w:p>
        </w:tc>
        <w:tc>
          <w:tcPr>
            <w:tcW w:w="851" w:type="dxa"/>
            <w:gridSpan w:val="2"/>
            <w:tcBorders>
              <w:top w:val="nil"/>
              <w:left w:val="nil"/>
              <w:bottom w:val="nil"/>
              <w:right w:val="single" w:sz="4" w:space="0" w:color="auto"/>
            </w:tcBorders>
            <w:shd w:val="clear" w:color="auto" w:fill="auto"/>
            <w:noWrap/>
            <w:vAlign w:val="center"/>
            <w:hideMark/>
          </w:tcPr>
          <w:p w14:paraId="71D4DE6E" w14:textId="52F70F2F" w:rsidR="00EB78CE" w:rsidRPr="005252CA" w:rsidRDefault="00EB78CE" w:rsidP="00C161D6">
            <w:pPr>
              <w:spacing w:after="0" w:line="240" w:lineRule="auto"/>
              <w:jc w:val="center"/>
              <w:rPr>
                <w:rFonts w:cs="Arial"/>
                <w:color w:val="000000"/>
                <w:sz w:val="16"/>
                <w:szCs w:val="16"/>
              </w:rPr>
            </w:pPr>
            <w:r>
              <w:rPr>
                <w:rFonts w:cs="Arial"/>
                <w:color w:val="000000"/>
                <w:sz w:val="16"/>
                <w:szCs w:val="16"/>
              </w:rPr>
              <w:t>14 222</w:t>
            </w:r>
          </w:p>
        </w:tc>
        <w:tc>
          <w:tcPr>
            <w:tcW w:w="850" w:type="dxa"/>
            <w:tcBorders>
              <w:top w:val="nil"/>
              <w:left w:val="single" w:sz="4" w:space="0" w:color="auto"/>
              <w:bottom w:val="nil"/>
              <w:right w:val="nil"/>
            </w:tcBorders>
            <w:shd w:val="clear" w:color="auto" w:fill="auto"/>
            <w:noWrap/>
            <w:vAlign w:val="center"/>
            <w:hideMark/>
          </w:tcPr>
          <w:p w14:paraId="0E6626D0" w14:textId="74E4D9C2" w:rsidR="00EB78CE" w:rsidRPr="005252CA" w:rsidRDefault="00EB78CE" w:rsidP="00C161D6">
            <w:pPr>
              <w:spacing w:after="0" w:line="240" w:lineRule="auto"/>
              <w:jc w:val="center"/>
              <w:rPr>
                <w:rFonts w:cs="Arial"/>
                <w:sz w:val="16"/>
                <w:szCs w:val="16"/>
              </w:rPr>
            </w:pPr>
            <w:r>
              <w:rPr>
                <w:rFonts w:cs="Arial"/>
                <w:sz w:val="16"/>
                <w:szCs w:val="16"/>
              </w:rPr>
              <w:t>15,5</w:t>
            </w:r>
          </w:p>
        </w:tc>
        <w:tc>
          <w:tcPr>
            <w:tcW w:w="794" w:type="dxa"/>
            <w:gridSpan w:val="2"/>
            <w:tcBorders>
              <w:top w:val="nil"/>
              <w:left w:val="nil"/>
              <w:bottom w:val="nil"/>
              <w:right w:val="nil"/>
            </w:tcBorders>
            <w:shd w:val="clear" w:color="auto" w:fill="auto"/>
            <w:noWrap/>
            <w:vAlign w:val="center"/>
            <w:hideMark/>
          </w:tcPr>
          <w:p w14:paraId="7FEBAEFC" w14:textId="0A82E55C" w:rsidR="00EB78CE" w:rsidRPr="005252CA" w:rsidRDefault="00EB78CE" w:rsidP="00C161D6">
            <w:pPr>
              <w:spacing w:after="0" w:line="240" w:lineRule="auto"/>
              <w:jc w:val="center"/>
              <w:rPr>
                <w:rFonts w:cs="Arial"/>
                <w:sz w:val="16"/>
                <w:szCs w:val="16"/>
              </w:rPr>
            </w:pPr>
            <w:r>
              <w:rPr>
                <w:rFonts w:cs="Arial"/>
                <w:sz w:val="16"/>
                <w:szCs w:val="16"/>
              </w:rPr>
              <w:t>15,0</w:t>
            </w:r>
          </w:p>
        </w:tc>
        <w:tc>
          <w:tcPr>
            <w:tcW w:w="794" w:type="dxa"/>
            <w:gridSpan w:val="2"/>
            <w:tcBorders>
              <w:top w:val="nil"/>
              <w:left w:val="nil"/>
              <w:bottom w:val="nil"/>
              <w:right w:val="nil"/>
            </w:tcBorders>
            <w:shd w:val="clear" w:color="auto" w:fill="auto"/>
            <w:noWrap/>
            <w:vAlign w:val="center"/>
            <w:hideMark/>
          </w:tcPr>
          <w:p w14:paraId="0FA4E6F2" w14:textId="5AA5B3E4" w:rsidR="00EB78CE" w:rsidRPr="005252CA" w:rsidRDefault="00EB78CE" w:rsidP="00C161D6">
            <w:pPr>
              <w:spacing w:after="0" w:line="240" w:lineRule="auto"/>
              <w:jc w:val="center"/>
              <w:rPr>
                <w:rFonts w:cs="Arial"/>
                <w:sz w:val="16"/>
                <w:szCs w:val="16"/>
              </w:rPr>
            </w:pPr>
            <w:r>
              <w:rPr>
                <w:rFonts w:cs="Arial"/>
                <w:sz w:val="16"/>
                <w:szCs w:val="16"/>
              </w:rPr>
              <w:t>15,9</w:t>
            </w:r>
          </w:p>
        </w:tc>
      </w:tr>
      <w:tr w:rsidR="00EB78CE" w:rsidRPr="005252CA" w14:paraId="6FDF0A9A"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61F59211" w14:textId="77777777" w:rsidR="00EB78CE" w:rsidRPr="005252CA" w:rsidRDefault="00EB78CE" w:rsidP="00EB78CE">
            <w:pPr>
              <w:spacing w:after="0" w:line="240" w:lineRule="auto"/>
              <w:rPr>
                <w:rFonts w:cs="Arial"/>
                <w:sz w:val="16"/>
                <w:szCs w:val="16"/>
              </w:rPr>
            </w:pPr>
            <w:r w:rsidRPr="005252CA">
              <w:rPr>
                <w:rFonts w:cs="Arial"/>
                <w:sz w:val="16"/>
                <w:szCs w:val="16"/>
              </w:rPr>
              <w:t xml:space="preserve"> Nemoci trávicí soustavy</w:t>
            </w:r>
          </w:p>
        </w:tc>
        <w:tc>
          <w:tcPr>
            <w:tcW w:w="907" w:type="dxa"/>
            <w:tcBorders>
              <w:top w:val="nil"/>
              <w:left w:val="nil"/>
              <w:bottom w:val="nil"/>
              <w:right w:val="nil"/>
            </w:tcBorders>
            <w:shd w:val="clear" w:color="auto" w:fill="auto"/>
            <w:noWrap/>
            <w:vAlign w:val="center"/>
            <w:hideMark/>
          </w:tcPr>
          <w:p w14:paraId="24F17975" w14:textId="21F317E2" w:rsidR="00EB78CE" w:rsidRPr="005252CA" w:rsidRDefault="00EB78CE" w:rsidP="00C161D6">
            <w:pPr>
              <w:spacing w:after="0" w:line="240" w:lineRule="auto"/>
              <w:jc w:val="center"/>
              <w:rPr>
                <w:rFonts w:cs="Arial"/>
                <w:sz w:val="16"/>
                <w:szCs w:val="16"/>
              </w:rPr>
            </w:pPr>
            <w:r w:rsidRPr="005252CA">
              <w:rPr>
                <w:rFonts w:cs="Arial"/>
                <w:sz w:val="16"/>
                <w:szCs w:val="16"/>
              </w:rPr>
              <w:t>120 188</w:t>
            </w:r>
          </w:p>
        </w:tc>
        <w:tc>
          <w:tcPr>
            <w:tcW w:w="794" w:type="dxa"/>
            <w:tcBorders>
              <w:top w:val="nil"/>
              <w:left w:val="nil"/>
              <w:bottom w:val="nil"/>
              <w:right w:val="nil"/>
            </w:tcBorders>
            <w:shd w:val="clear" w:color="auto" w:fill="auto"/>
            <w:noWrap/>
            <w:vAlign w:val="center"/>
            <w:hideMark/>
          </w:tcPr>
          <w:p w14:paraId="5ECD4AD4" w14:textId="05E7FBB7" w:rsidR="00EB78CE" w:rsidRPr="005252CA" w:rsidRDefault="00EB78CE" w:rsidP="00C161D6">
            <w:pPr>
              <w:spacing w:after="0" w:line="240" w:lineRule="auto"/>
              <w:jc w:val="center"/>
              <w:rPr>
                <w:rFonts w:cs="Arial"/>
                <w:sz w:val="16"/>
                <w:szCs w:val="16"/>
              </w:rPr>
            </w:pPr>
            <w:r w:rsidRPr="005252CA">
              <w:rPr>
                <w:rFonts w:cs="Arial"/>
                <w:sz w:val="16"/>
                <w:szCs w:val="16"/>
              </w:rPr>
              <w:t>65 736</w:t>
            </w:r>
          </w:p>
        </w:tc>
        <w:tc>
          <w:tcPr>
            <w:tcW w:w="794" w:type="dxa"/>
            <w:tcBorders>
              <w:top w:val="nil"/>
              <w:left w:val="nil"/>
              <w:bottom w:val="nil"/>
              <w:right w:val="single" w:sz="4" w:space="0" w:color="auto"/>
            </w:tcBorders>
            <w:shd w:val="clear" w:color="auto" w:fill="auto"/>
            <w:noWrap/>
            <w:vAlign w:val="center"/>
            <w:hideMark/>
          </w:tcPr>
          <w:p w14:paraId="04BC923E" w14:textId="2FB06151" w:rsidR="00EB78CE" w:rsidRPr="005252CA" w:rsidRDefault="00EB78CE" w:rsidP="00C161D6">
            <w:pPr>
              <w:spacing w:after="0" w:line="240" w:lineRule="auto"/>
              <w:jc w:val="center"/>
              <w:rPr>
                <w:rFonts w:cs="Arial"/>
                <w:sz w:val="16"/>
                <w:szCs w:val="16"/>
              </w:rPr>
            </w:pPr>
            <w:r w:rsidRPr="005252CA">
              <w:rPr>
                <w:rFonts w:cs="Arial"/>
                <w:sz w:val="16"/>
                <w:szCs w:val="16"/>
              </w:rPr>
              <w:t>54 452</w:t>
            </w:r>
          </w:p>
        </w:tc>
        <w:tc>
          <w:tcPr>
            <w:tcW w:w="850" w:type="dxa"/>
            <w:tcBorders>
              <w:top w:val="nil"/>
              <w:left w:val="single" w:sz="4" w:space="0" w:color="auto"/>
              <w:bottom w:val="nil"/>
              <w:right w:val="nil"/>
            </w:tcBorders>
            <w:shd w:val="clear" w:color="auto" w:fill="auto"/>
            <w:noWrap/>
            <w:vAlign w:val="center"/>
            <w:hideMark/>
          </w:tcPr>
          <w:p w14:paraId="5143053A" w14:textId="20227D33"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2 573</w:t>
            </w:r>
          </w:p>
        </w:tc>
        <w:tc>
          <w:tcPr>
            <w:tcW w:w="794" w:type="dxa"/>
            <w:gridSpan w:val="2"/>
            <w:tcBorders>
              <w:top w:val="nil"/>
              <w:left w:val="nil"/>
              <w:bottom w:val="nil"/>
              <w:right w:val="nil"/>
            </w:tcBorders>
            <w:shd w:val="clear" w:color="auto" w:fill="auto"/>
            <w:noWrap/>
            <w:vAlign w:val="center"/>
            <w:hideMark/>
          </w:tcPr>
          <w:p w14:paraId="132C5E76" w14:textId="428A60F2"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2 774</w:t>
            </w:r>
          </w:p>
        </w:tc>
        <w:tc>
          <w:tcPr>
            <w:tcW w:w="851" w:type="dxa"/>
            <w:gridSpan w:val="2"/>
            <w:tcBorders>
              <w:top w:val="nil"/>
              <w:left w:val="nil"/>
              <w:bottom w:val="nil"/>
              <w:right w:val="single" w:sz="4" w:space="0" w:color="auto"/>
            </w:tcBorders>
            <w:shd w:val="clear" w:color="auto" w:fill="auto"/>
            <w:noWrap/>
            <w:vAlign w:val="center"/>
            <w:hideMark/>
          </w:tcPr>
          <w:p w14:paraId="283086EC" w14:textId="7ECA39EA"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2 366</w:t>
            </w:r>
          </w:p>
        </w:tc>
        <w:tc>
          <w:tcPr>
            <w:tcW w:w="850" w:type="dxa"/>
            <w:tcBorders>
              <w:top w:val="nil"/>
              <w:left w:val="single" w:sz="4" w:space="0" w:color="auto"/>
              <w:bottom w:val="nil"/>
              <w:right w:val="nil"/>
            </w:tcBorders>
            <w:shd w:val="clear" w:color="auto" w:fill="auto"/>
            <w:noWrap/>
            <w:vAlign w:val="center"/>
            <w:hideMark/>
          </w:tcPr>
          <w:p w14:paraId="68B4CC18" w14:textId="1C921EFE" w:rsidR="00EB78CE" w:rsidRPr="005252CA" w:rsidRDefault="00EB78CE" w:rsidP="00C161D6">
            <w:pPr>
              <w:spacing w:after="0" w:line="240" w:lineRule="auto"/>
              <w:jc w:val="center"/>
              <w:rPr>
                <w:rFonts w:cs="Arial"/>
                <w:sz w:val="16"/>
                <w:szCs w:val="16"/>
              </w:rPr>
            </w:pPr>
            <w:r>
              <w:rPr>
                <w:rFonts w:cs="Arial"/>
                <w:sz w:val="16"/>
                <w:szCs w:val="16"/>
              </w:rPr>
              <w:t>29,1</w:t>
            </w:r>
          </w:p>
        </w:tc>
        <w:tc>
          <w:tcPr>
            <w:tcW w:w="794" w:type="dxa"/>
            <w:gridSpan w:val="2"/>
            <w:tcBorders>
              <w:top w:val="nil"/>
              <w:left w:val="nil"/>
              <w:bottom w:val="nil"/>
              <w:right w:val="nil"/>
            </w:tcBorders>
            <w:shd w:val="clear" w:color="auto" w:fill="auto"/>
            <w:noWrap/>
            <w:vAlign w:val="center"/>
            <w:hideMark/>
          </w:tcPr>
          <w:p w14:paraId="7B06B60B" w14:textId="2CBBC373" w:rsidR="00EB78CE" w:rsidRPr="005252CA" w:rsidRDefault="00EB78CE" w:rsidP="00C161D6">
            <w:pPr>
              <w:spacing w:after="0" w:line="240" w:lineRule="auto"/>
              <w:jc w:val="center"/>
              <w:rPr>
                <w:rFonts w:cs="Arial"/>
                <w:sz w:val="16"/>
                <w:szCs w:val="16"/>
              </w:rPr>
            </w:pPr>
            <w:r>
              <w:rPr>
                <w:rFonts w:cs="Arial"/>
                <w:sz w:val="16"/>
                <w:szCs w:val="16"/>
              </w:rPr>
              <w:t>29,2</w:t>
            </w:r>
          </w:p>
        </w:tc>
        <w:tc>
          <w:tcPr>
            <w:tcW w:w="794" w:type="dxa"/>
            <w:gridSpan w:val="2"/>
            <w:tcBorders>
              <w:top w:val="nil"/>
              <w:left w:val="nil"/>
              <w:bottom w:val="nil"/>
              <w:right w:val="nil"/>
            </w:tcBorders>
            <w:shd w:val="clear" w:color="auto" w:fill="auto"/>
            <w:noWrap/>
            <w:vAlign w:val="center"/>
            <w:hideMark/>
          </w:tcPr>
          <w:p w14:paraId="4B82B177" w14:textId="3A45F010" w:rsidR="00EB78CE" w:rsidRPr="005252CA" w:rsidRDefault="00EB78CE" w:rsidP="00C161D6">
            <w:pPr>
              <w:spacing w:after="0" w:line="240" w:lineRule="auto"/>
              <w:jc w:val="center"/>
              <w:rPr>
                <w:rFonts w:cs="Arial"/>
                <w:sz w:val="16"/>
                <w:szCs w:val="16"/>
              </w:rPr>
            </w:pPr>
            <w:r>
              <w:rPr>
                <w:rFonts w:cs="Arial"/>
                <w:sz w:val="16"/>
                <w:szCs w:val="16"/>
              </w:rPr>
              <w:t>29,0</w:t>
            </w:r>
          </w:p>
        </w:tc>
      </w:tr>
      <w:tr w:rsidR="00EB78CE" w:rsidRPr="005252CA" w14:paraId="1EB66EE0"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39FCF71F" w14:textId="77777777" w:rsidR="00EB78CE" w:rsidRDefault="00EB78CE" w:rsidP="00EB78CE">
            <w:pPr>
              <w:spacing w:after="0" w:line="240" w:lineRule="auto"/>
              <w:rPr>
                <w:rFonts w:cs="Arial"/>
                <w:sz w:val="16"/>
                <w:szCs w:val="16"/>
              </w:rPr>
            </w:pPr>
            <w:r w:rsidRPr="005252CA">
              <w:rPr>
                <w:rFonts w:cs="Arial"/>
                <w:sz w:val="16"/>
                <w:szCs w:val="16"/>
              </w:rPr>
              <w:t xml:space="preserve"> Nemoci svalové a kosterní </w:t>
            </w:r>
          </w:p>
          <w:p w14:paraId="5AA6B71F" w14:textId="79328222" w:rsidR="00EB78CE" w:rsidRPr="005252CA" w:rsidRDefault="00EB78CE" w:rsidP="00EB78CE">
            <w:pPr>
              <w:spacing w:after="0" w:line="240" w:lineRule="auto"/>
              <w:rPr>
                <w:rFonts w:cs="Arial"/>
                <w:sz w:val="16"/>
                <w:szCs w:val="16"/>
              </w:rPr>
            </w:pPr>
            <w:r>
              <w:rPr>
                <w:rFonts w:cs="Arial"/>
                <w:sz w:val="16"/>
                <w:szCs w:val="16"/>
              </w:rPr>
              <w:t xml:space="preserve"> </w:t>
            </w:r>
            <w:r w:rsidRPr="005252CA">
              <w:rPr>
                <w:rFonts w:cs="Arial"/>
                <w:sz w:val="16"/>
                <w:szCs w:val="16"/>
              </w:rPr>
              <w:t>soustavy a pojivové tkáně</w:t>
            </w:r>
          </w:p>
        </w:tc>
        <w:tc>
          <w:tcPr>
            <w:tcW w:w="907" w:type="dxa"/>
            <w:tcBorders>
              <w:top w:val="nil"/>
              <w:left w:val="nil"/>
              <w:bottom w:val="nil"/>
              <w:right w:val="nil"/>
            </w:tcBorders>
            <w:shd w:val="clear" w:color="auto" w:fill="auto"/>
            <w:noWrap/>
            <w:vAlign w:val="center"/>
            <w:hideMark/>
          </w:tcPr>
          <w:p w14:paraId="48CBFFCC" w14:textId="28177520" w:rsidR="00EB78CE" w:rsidRPr="005252CA" w:rsidRDefault="00EB78CE" w:rsidP="00C161D6">
            <w:pPr>
              <w:spacing w:after="0" w:line="240" w:lineRule="auto"/>
              <w:jc w:val="center"/>
              <w:rPr>
                <w:rFonts w:cs="Arial"/>
                <w:sz w:val="16"/>
                <w:szCs w:val="16"/>
              </w:rPr>
            </w:pPr>
            <w:r w:rsidRPr="005252CA">
              <w:rPr>
                <w:rFonts w:cs="Arial"/>
                <w:sz w:val="16"/>
                <w:szCs w:val="16"/>
              </w:rPr>
              <w:t>320 276</w:t>
            </w:r>
          </w:p>
        </w:tc>
        <w:tc>
          <w:tcPr>
            <w:tcW w:w="794" w:type="dxa"/>
            <w:tcBorders>
              <w:top w:val="nil"/>
              <w:left w:val="nil"/>
              <w:bottom w:val="nil"/>
              <w:right w:val="nil"/>
            </w:tcBorders>
            <w:shd w:val="clear" w:color="auto" w:fill="auto"/>
            <w:noWrap/>
            <w:vAlign w:val="center"/>
            <w:hideMark/>
          </w:tcPr>
          <w:p w14:paraId="5520FF4A" w14:textId="26F501E7" w:rsidR="00EB78CE" w:rsidRPr="005252CA" w:rsidRDefault="00EB78CE" w:rsidP="00C161D6">
            <w:pPr>
              <w:spacing w:after="0" w:line="240" w:lineRule="auto"/>
              <w:jc w:val="center"/>
              <w:rPr>
                <w:rFonts w:cs="Arial"/>
                <w:sz w:val="16"/>
                <w:szCs w:val="16"/>
              </w:rPr>
            </w:pPr>
            <w:r w:rsidRPr="005252CA">
              <w:rPr>
                <w:rFonts w:cs="Arial"/>
                <w:sz w:val="16"/>
                <w:szCs w:val="16"/>
              </w:rPr>
              <w:t>163 213</w:t>
            </w:r>
          </w:p>
        </w:tc>
        <w:tc>
          <w:tcPr>
            <w:tcW w:w="794" w:type="dxa"/>
            <w:tcBorders>
              <w:top w:val="nil"/>
              <w:left w:val="nil"/>
              <w:bottom w:val="nil"/>
              <w:right w:val="single" w:sz="4" w:space="0" w:color="auto"/>
            </w:tcBorders>
            <w:shd w:val="clear" w:color="auto" w:fill="auto"/>
            <w:noWrap/>
            <w:vAlign w:val="center"/>
            <w:hideMark/>
          </w:tcPr>
          <w:p w14:paraId="6DEE8CFA" w14:textId="2056B404" w:rsidR="00EB78CE" w:rsidRPr="005252CA" w:rsidRDefault="00EB78CE" w:rsidP="00C161D6">
            <w:pPr>
              <w:spacing w:after="0" w:line="240" w:lineRule="auto"/>
              <w:jc w:val="center"/>
              <w:rPr>
                <w:rFonts w:cs="Arial"/>
                <w:sz w:val="16"/>
                <w:szCs w:val="16"/>
              </w:rPr>
            </w:pPr>
            <w:r w:rsidRPr="005252CA">
              <w:rPr>
                <w:rFonts w:cs="Arial"/>
                <w:sz w:val="16"/>
                <w:szCs w:val="16"/>
              </w:rPr>
              <w:t>157 063</w:t>
            </w:r>
          </w:p>
        </w:tc>
        <w:tc>
          <w:tcPr>
            <w:tcW w:w="850" w:type="dxa"/>
            <w:tcBorders>
              <w:top w:val="nil"/>
              <w:left w:val="single" w:sz="4" w:space="0" w:color="auto"/>
              <w:bottom w:val="nil"/>
              <w:right w:val="nil"/>
            </w:tcBorders>
            <w:shd w:val="clear" w:color="auto" w:fill="auto"/>
            <w:noWrap/>
            <w:vAlign w:val="center"/>
            <w:hideMark/>
          </w:tcPr>
          <w:p w14:paraId="73A33D84" w14:textId="3EC20B90" w:rsidR="00EB78CE" w:rsidRPr="005252CA" w:rsidRDefault="00EB78CE" w:rsidP="00C161D6">
            <w:pPr>
              <w:spacing w:after="0" w:line="240" w:lineRule="auto"/>
              <w:jc w:val="center"/>
              <w:rPr>
                <w:rFonts w:cs="Arial"/>
                <w:color w:val="000000"/>
                <w:sz w:val="16"/>
                <w:szCs w:val="16"/>
              </w:rPr>
            </w:pPr>
            <w:r>
              <w:rPr>
                <w:rFonts w:cs="Arial"/>
                <w:color w:val="000000"/>
                <w:sz w:val="16"/>
                <w:szCs w:val="16"/>
              </w:rPr>
              <w:t>6 855</w:t>
            </w:r>
          </w:p>
        </w:tc>
        <w:tc>
          <w:tcPr>
            <w:tcW w:w="794" w:type="dxa"/>
            <w:gridSpan w:val="2"/>
            <w:tcBorders>
              <w:top w:val="nil"/>
              <w:left w:val="nil"/>
              <w:bottom w:val="nil"/>
              <w:right w:val="nil"/>
            </w:tcBorders>
            <w:shd w:val="clear" w:color="auto" w:fill="auto"/>
            <w:noWrap/>
            <w:vAlign w:val="center"/>
            <w:hideMark/>
          </w:tcPr>
          <w:p w14:paraId="587BE3F8" w14:textId="553EC2FE" w:rsidR="00EB78CE" w:rsidRPr="005252CA" w:rsidRDefault="00EB78CE" w:rsidP="00C161D6">
            <w:pPr>
              <w:spacing w:after="0" w:line="240" w:lineRule="auto"/>
              <w:jc w:val="center"/>
              <w:rPr>
                <w:rFonts w:cs="Arial"/>
                <w:color w:val="000000"/>
                <w:sz w:val="16"/>
                <w:szCs w:val="16"/>
              </w:rPr>
            </w:pPr>
            <w:r>
              <w:rPr>
                <w:rFonts w:cs="Arial"/>
                <w:color w:val="000000"/>
                <w:sz w:val="16"/>
                <w:szCs w:val="16"/>
              </w:rPr>
              <w:t>6 887</w:t>
            </w:r>
          </w:p>
        </w:tc>
        <w:tc>
          <w:tcPr>
            <w:tcW w:w="851" w:type="dxa"/>
            <w:gridSpan w:val="2"/>
            <w:tcBorders>
              <w:top w:val="nil"/>
              <w:left w:val="nil"/>
              <w:bottom w:val="nil"/>
              <w:right w:val="single" w:sz="4" w:space="0" w:color="auto"/>
            </w:tcBorders>
            <w:shd w:val="clear" w:color="auto" w:fill="auto"/>
            <w:noWrap/>
            <w:vAlign w:val="center"/>
            <w:hideMark/>
          </w:tcPr>
          <w:p w14:paraId="23E5740B" w14:textId="63774075" w:rsidR="00EB78CE" w:rsidRPr="005252CA" w:rsidRDefault="00EB78CE" w:rsidP="00C161D6">
            <w:pPr>
              <w:spacing w:after="0" w:line="240" w:lineRule="auto"/>
              <w:jc w:val="center"/>
              <w:rPr>
                <w:rFonts w:cs="Arial"/>
                <w:color w:val="000000"/>
                <w:sz w:val="16"/>
                <w:szCs w:val="16"/>
              </w:rPr>
            </w:pPr>
            <w:r>
              <w:rPr>
                <w:rFonts w:cs="Arial"/>
                <w:color w:val="000000"/>
                <w:sz w:val="16"/>
                <w:szCs w:val="16"/>
              </w:rPr>
              <w:t>6 824</w:t>
            </w:r>
          </w:p>
        </w:tc>
        <w:tc>
          <w:tcPr>
            <w:tcW w:w="850" w:type="dxa"/>
            <w:tcBorders>
              <w:top w:val="nil"/>
              <w:left w:val="single" w:sz="4" w:space="0" w:color="auto"/>
              <w:bottom w:val="nil"/>
              <w:right w:val="nil"/>
            </w:tcBorders>
            <w:shd w:val="clear" w:color="auto" w:fill="auto"/>
            <w:noWrap/>
            <w:vAlign w:val="center"/>
            <w:hideMark/>
          </w:tcPr>
          <w:p w14:paraId="34A18065" w14:textId="3944C0AA" w:rsidR="00EB78CE" w:rsidRPr="005252CA" w:rsidRDefault="00EB78CE" w:rsidP="00C161D6">
            <w:pPr>
              <w:spacing w:after="0" w:line="240" w:lineRule="auto"/>
              <w:jc w:val="center"/>
              <w:rPr>
                <w:rFonts w:cs="Arial"/>
                <w:sz w:val="16"/>
                <w:szCs w:val="16"/>
              </w:rPr>
            </w:pPr>
            <w:r>
              <w:rPr>
                <w:rFonts w:cs="Arial"/>
                <w:sz w:val="16"/>
                <w:szCs w:val="16"/>
              </w:rPr>
              <w:t>65,6</w:t>
            </w:r>
          </w:p>
        </w:tc>
        <w:tc>
          <w:tcPr>
            <w:tcW w:w="794" w:type="dxa"/>
            <w:gridSpan w:val="2"/>
            <w:tcBorders>
              <w:top w:val="nil"/>
              <w:left w:val="nil"/>
              <w:bottom w:val="nil"/>
              <w:right w:val="nil"/>
            </w:tcBorders>
            <w:shd w:val="clear" w:color="auto" w:fill="auto"/>
            <w:noWrap/>
            <w:vAlign w:val="center"/>
            <w:hideMark/>
          </w:tcPr>
          <w:p w14:paraId="32C77796" w14:textId="1DA010FA" w:rsidR="00EB78CE" w:rsidRPr="005252CA" w:rsidRDefault="00EB78CE" w:rsidP="00C161D6">
            <w:pPr>
              <w:spacing w:after="0" w:line="240" w:lineRule="auto"/>
              <w:jc w:val="center"/>
              <w:rPr>
                <w:rFonts w:cs="Arial"/>
                <w:sz w:val="16"/>
                <w:szCs w:val="16"/>
              </w:rPr>
            </w:pPr>
            <w:r>
              <w:rPr>
                <w:rFonts w:cs="Arial"/>
                <w:sz w:val="16"/>
                <w:szCs w:val="16"/>
              </w:rPr>
              <w:t>60,7</w:t>
            </w:r>
          </w:p>
        </w:tc>
        <w:tc>
          <w:tcPr>
            <w:tcW w:w="794" w:type="dxa"/>
            <w:gridSpan w:val="2"/>
            <w:tcBorders>
              <w:top w:val="nil"/>
              <w:left w:val="nil"/>
              <w:bottom w:val="nil"/>
              <w:right w:val="nil"/>
            </w:tcBorders>
            <w:shd w:val="clear" w:color="auto" w:fill="auto"/>
            <w:noWrap/>
            <w:vAlign w:val="center"/>
            <w:hideMark/>
          </w:tcPr>
          <w:p w14:paraId="2943879E" w14:textId="20B80AC8" w:rsidR="00EB78CE" w:rsidRPr="005252CA" w:rsidRDefault="00EB78CE" w:rsidP="00C161D6">
            <w:pPr>
              <w:spacing w:after="0" w:line="240" w:lineRule="auto"/>
              <w:jc w:val="center"/>
              <w:rPr>
                <w:rFonts w:cs="Arial"/>
                <w:sz w:val="16"/>
                <w:szCs w:val="16"/>
              </w:rPr>
            </w:pPr>
            <w:r>
              <w:rPr>
                <w:rFonts w:cs="Arial"/>
                <w:sz w:val="16"/>
                <w:szCs w:val="16"/>
              </w:rPr>
              <w:t>70,6</w:t>
            </w:r>
          </w:p>
        </w:tc>
      </w:tr>
      <w:tr w:rsidR="00EB78CE" w:rsidRPr="005252CA" w14:paraId="577ABF6B"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0E40D118" w14:textId="77777777" w:rsidR="00EB78CE" w:rsidRDefault="00EB78CE" w:rsidP="00EB78CE">
            <w:pPr>
              <w:spacing w:after="0" w:line="240" w:lineRule="auto"/>
              <w:rPr>
                <w:rFonts w:cs="Arial"/>
                <w:sz w:val="16"/>
                <w:szCs w:val="16"/>
              </w:rPr>
            </w:pPr>
            <w:r w:rsidRPr="005252CA">
              <w:rPr>
                <w:rFonts w:cs="Arial"/>
                <w:sz w:val="16"/>
                <w:szCs w:val="16"/>
              </w:rPr>
              <w:t xml:space="preserve"> Nemoci močové a pohlavní </w:t>
            </w:r>
          </w:p>
          <w:p w14:paraId="57C83CDF" w14:textId="4AA67780" w:rsidR="00EB78CE" w:rsidRPr="005252CA" w:rsidRDefault="00EB78CE" w:rsidP="00EB78CE">
            <w:pPr>
              <w:spacing w:after="0" w:line="240" w:lineRule="auto"/>
              <w:rPr>
                <w:rFonts w:cs="Arial"/>
                <w:sz w:val="16"/>
                <w:szCs w:val="16"/>
              </w:rPr>
            </w:pPr>
            <w:r>
              <w:rPr>
                <w:rFonts w:cs="Arial"/>
                <w:sz w:val="16"/>
                <w:szCs w:val="16"/>
              </w:rPr>
              <w:t xml:space="preserve"> </w:t>
            </w:r>
            <w:r w:rsidRPr="005252CA">
              <w:rPr>
                <w:rFonts w:cs="Arial"/>
                <w:sz w:val="16"/>
                <w:szCs w:val="16"/>
              </w:rPr>
              <w:t>soustavy</w:t>
            </w:r>
          </w:p>
        </w:tc>
        <w:tc>
          <w:tcPr>
            <w:tcW w:w="907" w:type="dxa"/>
            <w:tcBorders>
              <w:top w:val="nil"/>
              <w:left w:val="nil"/>
              <w:bottom w:val="nil"/>
              <w:right w:val="nil"/>
            </w:tcBorders>
            <w:shd w:val="clear" w:color="auto" w:fill="auto"/>
            <w:noWrap/>
            <w:vAlign w:val="center"/>
            <w:hideMark/>
          </w:tcPr>
          <w:p w14:paraId="37D42B60" w14:textId="4F826AD4" w:rsidR="00EB78CE" w:rsidRPr="005252CA" w:rsidRDefault="00EB78CE" w:rsidP="00C161D6">
            <w:pPr>
              <w:spacing w:after="0" w:line="240" w:lineRule="auto"/>
              <w:jc w:val="center"/>
              <w:rPr>
                <w:rFonts w:cs="Arial"/>
                <w:sz w:val="16"/>
                <w:szCs w:val="16"/>
              </w:rPr>
            </w:pPr>
            <w:r w:rsidRPr="005252CA">
              <w:rPr>
                <w:rFonts w:cs="Arial"/>
                <w:sz w:val="16"/>
                <w:szCs w:val="16"/>
              </w:rPr>
              <w:t>67 696</w:t>
            </w:r>
          </w:p>
        </w:tc>
        <w:tc>
          <w:tcPr>
            <w:tcW w:w="794" w:type="dxa"/>
            <w:tcBorders>
              <w:top w:val="nil"/>
              <w:left w:val="nil"/>
              <w:bottom w:val="nil"/>
              <w:right w:val="nil"/>
            </w:tcBorders>
            <w:shd w:val="clear" w:color="auto" w:fill="auto"/>
            <w:noWrap/>
            <w:vAlign w:val="center"/>
            <w:hideMark/>
          </w:tcPr>
          <w:p w14:paraId="6190DF16" w14:textId="59492E7E" w:rsidR="00EB78CE" w:rsidRPr="005252CA" w:rsidRDefault="00EB78CE" w:rsidP="00C161D6">
            <w:pPr>
              <w:spacing w:after="0" w:line="240" w:lineRule="auto"/>
              <w:jc w:val="center"/>
              <w:rPr>
                <w:rFonts w:cs="Arial"/>
                <w:sz w:val="16"/>
                <w:szCs w:val="16"/>
              </w:rPr>
            </w:pPr>
            <w:r w:rsidRPr="005252CA">
              <w:rPr>
                <w:rFonts w:cs="Arial"/>
                <w:sz w:val="16"/>
                <w:szCs w:val="16"/>
              </w:rPr>
              <w:t>14 861</w:t>
            </w:r>
          </w:p>
        </w:tc>
        <w:tc>
          <w:tcPr>
            <w:tcW w:w="794" w:type="dxa"/>
            <w:tcBorders>
              <w:top w:val="nil"/>
              <w:left w:val="nil"/>
              <w:bottom w:val="nil"/>
              <w:right w:val="single" w:sz="4" w:space="0" w:color="auto"/>
            </w:tcBorders>
            <w:shd w:val="clear" w:color="auto" w:fill="auto"/>
            <w:noWrap/>
            <w:vAlign w:val="center"/>
            <w:hideMark/>
          </w:tcPr>
          <w:p w14:paraId="0DCB2756" w14:textId="67896BB1" w:rsidR="00EB78CE" w:rsidRPr="005252CA" w:rsidRDefault="00EB78CE" w:rsidP="00C161D6">
            <w:pPr>
              <w:spacing w:after="0" w:line="240" w:lineRule="auto"/>
              <w:jc w:val="center"/>
              <w:rPr>
                <w:rFonts w:cs="Arial"/>
                <w:sz w:val="16"/>
                <w:szCs w:val="16"/>
              </w:rPr>
            </w:pPr>
            <w:r w:rsidRPr="005252CA">
              <w:rPr>
                <w:rFonts w:cs="Arial"/>
                <w:sz w:val="16"/>
                <w:szCs w:val="16"/>
              </w:rPr>
              <w:t>52 835</w:t>
            </w:r>
          </w:p>
        </w:tc>
        <w:tc>
          <w:tcPr>
            <w:tcW w:w="850" w:type="dxa"/>
            <w:tcBorders>
              <w:top w:val="nil"/>
              <w:left w:val="single" w:sz="4" w:space="0" w:color="auto"/>
              <w:bottom w:val="nil"/>
              <w:right w:val="nil"/>
            </w:tcBorders>
            <w:shd w:val="clear" w:color="auto" w:fill="auto"/>
            <w:noWrap/>
            <w:vAlign w:val="center"/>
            <w:hideMark/>
          </w:tcPr>
          <w:p w14:paraId="45B0C7A3" w14:textId="2E455E2A"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1 449</w:t>
            </w:r>
          </w:p>
        </w:tc>
        <w:tc>
          <w:tcPr>
            <w:tcW w:w="794" w:type="dxa"/>
            <w:gridSpan w:val="2"/>
            <w:tcBorders>
              <w:top w:val="nil"/>
              <w:left w:val="nil"/>
              <w:bottom w:val="nil"/>
              <w:right w:val="nil"/>
            </w:tcBorders>
            <w:shd w:val="clear" w:color="auto" w:fill="auto"/>
            <w:noWrap/>
            <w:vAlign w:val="center"/>
            <w:hideMark/>
          </w:tcPr>
          <w:p w14:paraId="29E7974D" w14:textId="1F8ED45B" w:rsidR="00EB78CE" w:rsidRPr="005252CA" w:rsidRDefault="00EB78CE" w:rsidP="00C161D6">
            <w:pPr>
              <w:spacing w:after="0" w:line="240" w:lineRule="auto"/>
              <w:jc w:val="center"/>
              <w:rPr>
                <w:rFonts w:cs="Arial"/>
                <w:color w:val="000000"/>
                <w:sz w:val="16"/>
                <w:szCs w:val="16"/>
              </w:rPr>
            </w:pPr>
            <w:r>
              <w:rPr>
                <w:rFonts w:cs="Arial"/>
                <w:color w:val="000000"/>
                <w:sz w:val="16"/>
                <w:szCs w:val="16"/>
              </w:rPr>
              <w:t>627</w:t>
            </w:r>
          </w:p>
        </w:tc>
        <w:tc>
          <w:tcPr>
            <w:tcW w:w="851" w:type="dxa"/>
            <w:gridSpan w:val="2"/>
            <w:tcBorders>
              <w:top w:val="nil"/>
              <w:left w:val="nil"/>
              <w:bottom w:val="nil"/>
              <w:right w:val="single" w:sz="4" w:space="0" w:color="auto"/>
            </w:tcBorders>
            <w:shd w:val="clear" w:color="auto" w:fill="auto"/>
            <w:noWrap/>
            <w:vAlign w:val="center"/>
            <w:hideMark/>
          </w:tcPr>
          <w:p w14:paraId="34A42BB5" w14:textId="1A7EAA15"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2 295</w:t>
            </w:r>
          </w:p>
        </w:tc>
        <w:tc>
          <w:tcPr>
            <w:tcW w:w="850" w:type="dxa"/>
            <w:tcBorders>
              <w:top w:val="nil"/>
              <w:left w:val="single" w:sz="4" w:space="0" w:color="auto"/>
              <w:bottom w:val="nil"/>
              <w:right w:val="nil"/>
            </w:tcBorders>
            <w:shd w:val="clear" w:color="auto" w:fill="auto"/>
            <w:noWrap/>
            <w:vAlign w:val="center"/>
            <w:hideMark/>
          </w:tcPr>
          <w:p w14:paraId="192D8437" w14:textId="1DF54FED" w:rsidR="00EB78CE" w:rsidRPr="005252CA" w:rsidRDefault="00EB78CE" w:rsidP="00C161D6">
            <w:pPr>
              <w:spacing w:after="0" w:line="240" w:lineRule="auto"/>
              <w:jc w:val="center"/>
              <w:rPr>
                <w:rFonts w:cs="Arial"/>
                <w:sz w:val="16"/>
                <w:szCs w:val="16"/>
              </w:rPr>
            </w:pPr>
            <w:r>
              <w:rPr>
                <w:rFonts w:cs="Arial"/>
                <w:sz w:val="16"/>
                <w:szCs w:val="16"/>
              </w:rPr>
              <w:t>32,6</w:t>
            </w:r>
          </w:p>
        </w:tc>
        <w:tc>
          <w:tcPr>
            <w:tcW w:w="794" w:type="dxa"/>
            <w:gridSpan w:val="2"/>
            <w:tcBorders>
              <w:top w:val="nil"/>
              <w:left w:val="nil"/>
              <w:bottom w:val="nil"/>
              <w:right w:val="nil"/>
            </w:tcBorders>
            <w:shd w:val="clear" w:color="auto" w:fill="auto"/>
            <w:noWrap/>
            <w:vAlign w:val="center"/>
            <w:hideMark/>
          </w:tcPr>
          <w:p w14:paraId="0235F412" w14:textId="6707FCC7" w:rsidR="00EB78CE" w:rsidRPr="005252CA" w:rsidRDefault="00EB78CE" w:rsidP="00C161D6">
            <w:pPr>
              <w:spacing w:after="0" w:line="240" w:lineRule="auto"/>
              <w:jc w:val="center"/>
              <w:rPr>
                <w:rFonts w:cs="Arial"/>
                <w:sz w:val="16"/>
                <w:szCs w:val="16"/>
              </w:rPr>
            </w:pPr>
            <w:r>
              <w:rPr>
                <w:rFonts w:cs="Arial"/>
                <w:sz w:val="16"/>
                <w:szCs w:val="16"/>
              </w:rPr>
              <w:t>36,6</w:t>
            </w:r>
          </w:p>
        </w:tc>
        <w:tc>
          <w:tcPr>
            <w:tcW w:w="794" w:type="dxa"/>
            <w:gridSpan w:val="2"/>
            <w:tcBorders>
              <w:top w:val="nil"/>
              <w:left w:val="nil"/>
              <w:bottom w:val="nil"/>
              <w:right w:val="nil"/>
            </w:tcBorders>
            <w:shd w:val="clear" w:color="auto" w:fill="auto"/>
            <w:noWrap/>
            <w:vAlign w:val="center"/>
            <w:hideMark/>
          </w:tcPr>
          <w:p w14:paraId="6AE111F4" w14:textId="38795BA6" w:rsidR="00EB78CE" w:rsidRPr="005252CA" w:rsidRDefault="00EB78CE" w:rsidP="00C161D6">
            <w:pPr>
              <w:spacing w:after="0" w:line="240" w:lineRule="auto"/>
              <w:jc w:val="center"/>
              <w:rPr>
                <w:rFonts w:cs="Arial"/>
                <w:sz w:val="16"/>
                <w:szCs w:val="16"/>
              </w:rPr>
            </w:pPr>
            <w:r>
              <w:rPr>
                <w:rFonts w:cs="Arial"/>
                <w:sz w:val="16"/>
                <w:szCs w:val="16"/>
              </w:rPr>
              <w:t>31,5</w:t>
            </w:r>
          </w:p>
        </w:tc>
      </w:tr>
      <w:tr w:rsidR="00EB78CE" w:rsidRPr="005252CA" w14:paraId="6C98ACFE"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508BF4FD" w14:textId="77777777" w:rsidR="00EB78CE" w:rsidRDefault="00EB78CE" w:rsidP="00EB78CE">
            <w:pPr>
              <w:spacing w:after="0" w:line="240" w:lineRule="auto"/>
              <w:rPr>
                <w:rFonts w:cs="Arial"/>
                <w:sz w:val="16"/>
                <w:szCs w:val="16"/>
              </w:rPr>
            </w:pPr>
            <w:r>
              <w:rPr>
                <w:rFonts w:cs="Arial"/>
                <w:sz w:val="16"/>
                <w:szCs w:val="16"/>
              </w:rPr>
              <w:t xml:space="preserve"> Těhotenství, porod a </w:t>
            </w:r>
          </w:p>
          <w:p w14:paraId="1B0E4D81" w14:textId="4AD27E78" w:rsidR="00EB78CE" w:rsidRPr="005252CA" w:rsidRDefault="00EB78CE" w:rsidP="00EB78CE">
            <w:pPr>
              <w:spacing w:after="0" w:line="240" w:lineRule="auto"/>
              <w:rPr>
                <w:rFonts w:cs="Arial"/>
                <w:sz w:val="16"/>
                <w:szCs w:val="16"/>
              </w:rPr>
            </w:pPr>
            <w:r>
              <w:rPr>
                <w:rFonts w:cs="Arial"/>
                <w:sz w:val="16"/>
                <w:szCs w:val="16"/>
              </w:rPr>
              <w:t xml:space="preserve"> </w:t>
            </w:r>
            <w:r w:rsidRPr="005252CA">
              <w:rPr>
                <w:rFonts w:cs="Arial"/>
                <w:sz w:val="16"/>
                <w:szCs w:val="16"/>
              </w:rPr>
              <w:t>šestinedělí</w:t>
            </w:r>
          </w:p>
        </w:tc>
        <w:tc>
          <w:tcPr>
            <w:tcW w:w="907" w:type="dxa"/>
            <w:tcBorders>
              <w:top w:val="nil"/>
              <w:left w:val="nil"/>
              <w:bottom w:val="nil"/>
              <w:right w:val="nil"/>
            </w:tcBorders>
            <w:shd w:val="clear" w:color="auto" w:fill="auto"/>
            <w:noWrap/>
            <w:vAlign w:val="center"/>
            <w:hideMark/>
          </w:tcPr>
          <w:p w14:paraId="0EC01B58" w14:textId="22BDC4BA" w:rsidR="00EB78CE" w:rsidRPr="005252CA" w:rsidRDefault="00EB78CE" w:rsidP="00C161D6">
            <w:pPr>
              <w:spacing w:after="0" w:line="240" w:lineRule="auto"/>
              <w:jc w:val="center"/>
              <w:rPr>
                <w:rFonts w:cs="Arial"/>
                <w:sz w:val="16"/>
                <w:szCs w:val="16"/>
              </w:rPr>
            </w:pPr>
            <w:r w:rsidRPr="005252CA">
              <w:rPr>
                <w:rFonts w:cs="Arial"/>
                <w:sz w:val="16"/>
                <w:szCs w:val="16"/>
              </w:rPr>
              <w:t>36 341</w:t>
            </w:r>
          </w:p>
        </w:tc>
        <w:tc>
          <w:tcPr>
            <w:tcW w:w="794" w:type="dxa"/>
            <w:tcBorders>
              <w:top w:val="nil"/>
              <w:left w:val="nil"/>
              <w:bottom w:val="nil"/>
              <w:right w:val="nil"/>
            </w:tcBorders>
            <w:shd w:val="clear" w:color="auto" w:fill="auto"/>
            <w:noWrap/>
            <w:vAlign w:val="center"/>
            <w:hideMark/>
          </w:tcPr>
          <w:p w14:paraId="7AE5AB66" w14:textId="1BB86461" w:rsidR="00EB78CE" w:rsidRPr="005252CA" w:rsidRDefault="00EB78CE" w:rsidP="00C161D6">
            <w:pPr>
              <w:spacing w:after="0" w:line="240" w:lineRule="auto"/>
              <w:jc w:val="center"/>
              <w:rPr>
                <w:rFonts w:cs="Arial"/>
                <w:sz w:val="16"/>
                <w:szCs w:val="16"/>
              </w:rPr>
            </w:pPr>
            <w:r w:rsidRPr="005252CA">
              <w:rPr>
                <w:rFonts w:cs="Arial"/>
                <w:sz w:val="16"/>
                <w:szCs w:val="16"/>
              </w:rPr>
              <w:t>x</w:t>
            </w:r>
          </w:p>
        </w:tc>
        <w:tc>
          <w:tcPr>
            <w:tcW w:w="794" w:type="dxa"/>
            <w:tcBorders>
              <w:top w:val="nil"/>
              <w:left w:val="nil"/>
              <w:bottom w:val="nil"/>
              <w:right w:val="single" w:sz="4" w:space="0" w:color="auto"/>
            </w:tcBorders>
            <w:shd w:val="clear" w:color="auto" w:fill="auto"/>
            <w:noWrap/>
            <w:vAlign w:val="center"/>
            <w:hideMark/>
          </w:tcPr>
          <w:p w14:paraId="57ED5D3E" w14:textId="0BEF955D" w:rsidR="00EB78CE" w:rsidRPr="005252CA" w:rsidRDefault="00EB78CE" w:rsidP="00C161D6">
            <w:pPr>
              <w:spacing w:after="0" w:line="240" w:lineRule="auto"/>
              <w:jc w:val="center"/>
              <w:rPr>
                <w:rFonts w:cs="Arial"/>
                <w:sz w:val="16"/>
                <w:szCs w:val="16"/>
              </w:rPr>
            </w:pPr>
            <w:r w:rsidRPr="005252CA">
              <w:rPr>
                <w:rFonts w:cs="Arial"/>
                <w:sz w:val="16"/>
                <w:szCs w:val="16"/>
              </w:rPr>
              <w:t>36 341</w:t>
            </w:r>
          </w:p>
        </w:tc>
        <w:tc>
          <w:tcPr>
            <w:tcW w:w="850" w:type="dxa"/>
            <w:tcBorders>
              <w:top w:val="nil"/>
              <w:left w:val="single" w:sz="4" w:space="0" w:color="auto"/>
              <w:bottom w:val="nil"/>
              <w:right w:val="nil"/>
            </w:tcBorders>
            <w:shd w:val="clear" w:color="auto" w:fill="auto"/>
            <w:noWrap/>
            <w:vAlign w:val="center"/>
            <w:hideMark/>
          </w:tcPr>
          <w:p w14:paraId="481EF0A9" w14:textId="006BB301" w:rsidR="00EB78CE" w:rsidRPr="005252CA" w:rsidRDefault="00EB78CE" w:rsidP="00C161D6">
            <w:pPr>
              <w:spacing w:after="0" w:line="240" w:lineRule="auto"/>
              <w:jc w:val="center"/>
              <w:rPr>
                <w:rFonts w:cs="Arial"/>
                <w:color w:val="000000"/>
                <w:sz w:val="16"/>
                <w:szCs w:val="16"/>
              </w:rPr>
            </w:pPr>
            <w:r>
              <w:rPr>
                <w:rFonts w:cs="Arial"/>
                <w:color w:val="000000"/>
                <w:sz w:val="16"/>
                <w:szCs w:val="16"/>
              </w:rPr>
              <w:t>778</w:t>
            </w:r>
          </w:p>
        </w:tc>
        <w:tc>
          <w:tcPr>
            <w:tcW w:w="794" w:type="dxa"/>
            <w:gridSpan w:val="2"/>
            <w:tcBorders>
              <w:top w:val="nil"/>
              <w:left w:val="nil"/>
              <w:bottom w:val="nil"/>
              <w:right w:val="nil"/>
            </w:tcBorders>
            <w:shd w:val="clear" w:color="auto" w:fill="auto"/>
            <w:noWrap/>
            <w:vAlign w:val="center"/>
            <w:hideMark/>
          </w:tcPr>
          <w:p w14:paraId="660354C4" w14:textId="0141C623" w:rsidR="00EB78CE" w:rsidRPr="005252CA" w:rsidRDefault="00EB78CE" w:rsidP="00C161D6">
            <w:pPr>
              <w:spacing w:after="0" w:line="240" w:lineRule="auto"/>
              <w:jc w:val="center"/>
              <w:rPr>
                <w:rFonts w:cs="Arial"/>
                <w:color w:val="000000"/>
                <w:sz w:val="16"/>
                <w:szCs w:val="16"/>
              </w:rPr>
            </w:pPr>
            <w:r>
              <w:rPr>
                <w:rFonts w:cs="Arial"/>
                <w:color w:val="000000"/>
                <w:sz w:val="16"/>
                <w:szCs w:val="16"/>
              </w:rPr>
              <w:t>x</w:t>
            </w:r>
          </w:p>
        </w:tc>
        <w:tc>
          <w:tcPr>
            <w:tcW w:w="851" w:type="dxa"/>
            <w:gridSpan w:val="2"/>
            <w:tcBorders>
              <w:top w:val="nil"/>
              <w:left w:val="nil"/>
              <w:bottom w:val="nil"/>
              <w:right w:val="single" w:sz="4" w:space="0" w:color="auto"/>
            </w:tcBorders>
            <w:shd w:val="clear" w:color="auto" w:fill="auto"/>
            <w:noWrap/>
            <w:vAlign w:val="center"/>
            <w:hideMark/>
          </w:tcPr>
          <w:p w14:paraId="28D7C716" w14:textId="27664EAB"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1 579</w:t>
            </w:r>
          </w:p>
        </w:tc>
        <w:tc>
          <w:tcPr>
            <w:tcW w:w="850" w:type="dxa"/>
            <w:tcBorders>
              <w:top w:val="nil"/>
              <w:left w:val="single" w:sz="4" w:space="0" w:color="auto"/>
              <w:bottom w:val="nil"/>
              <w:right w:val="nil"/>
            </w:tcBorders>
            <w:shd w:val="clear" w:color="auto" w:fill="auto"/>
            <w:noWrap/>
            <w:vAlign w:val="center"/>
            <w:hideMark/>
          </w:tcPr>
          <w:p w14:paraId="78FD4F56" w14:textId="535AECC7" w:rsidR="00EB78CE" w:rsidRPr="005252CA" w:rsidRDefault="00EB78CE" w:rsidP="00C161D6">
            <w:pPr>
              <w:spacing w:after="0" w:line="240" w:lineRule="auto"/>
              <w:jc w:val="center"/>
              <w:rPr>
                <w:rFonts w:cs="Arial"/>
                <w:sz w:val="16"/>
                <w:szCs w:val="16"/>
              </w:rPr>
            </w:pPr>
            <w:r>
              <w:rPr>
                <w:rFonts w:cs="Arial"/>
                <w:sz w:val="16"/>
                <w:szCs w:val="16"/>
              </w:rPr>
              <w:t>104,2</w:t>
            </w:r>
          </w:p>
        </w:tc>
        <w:tc>
          <w:tcPr>
            <w:tcW w:w="794" w:type="dxa"/>
            <w:gridSpan w:val="2"/>
            <w:tcBorders>
              <w:top w:val="nil"/>
              <w:left w:val="nil"/>
              <w:bottom w:val="nil"/>
              <w:right w:val="nil"/>
            </w:tcBorders>
            <w:shd w:val="clear" w:color="auto" w:fill="auto"/>
            <w:noWrap/>
            <w:vAlign w:val="center"/>
            <w:hideMark/>
          </w:tcPr>
          <w:p w14:paraId="28D986DC" w14:textId="77774970" w:rsidR="00EB78CE" w:rsidRPr="005252CA" w:rsidRDefault="00EB78CE" w:rsidP="00C161D6">
            <w:pPr>
              <w:spacing w:after="0" w:line="240" w:lineRule="auto"/>
              <w:jc w:val="center"/>
              <w:rPr>
                <w:rFonts w:cs="Arial"/>
                <w:sz w:val="16"/>
                <w:szCs w:val="16"/>
              </w:rPr>
            </w:pPr>
            <w:r>
              <w:rPr>
                <w:rFonts w:cs="Arial"/>
                <w:sz w:val="16"/>
                <w:szCs w:val="16"/>
              </w:rPr>
              <w:t>x</w:t>
            </w:r>
          </w:p>
        </w:tc>
        <w:tc>
          <w:tcPr>
            <w:tcW w:w="794" w:type="dxa"/>
            <w:gridSpan w:val="2"/>
            <w:tcBorders>
              <w:top w:val="nil"/>
              <w:left w:val="nil"/>
              <w:bottom w:val="nil"/>
              <w:right w:val="nil"/>
            </w:tcBorders>
            <w:shd w:val="clear" w:color="auto" w:fill="auto"/>
            <w:noWrap/>
            <w:vAlign w:val="center"/>
            <w:hideMark/>
          </w:tcPr>
          <w:p w14:paraId="3C178010" w14:textId="364952D6" w:rsidR="00EB78CE" w:rsidRPr="005252CA" w:rsidRDefault="00EB78CE" w:rsidP="00C161D6">
            <w:pPr>
              <w:spacing w:after="0" w:line="240" w:lineRule="auto"/>
              <w:jc w:val="center"/>
              <w:rPr>
                <w:rFonts w:cs="Arial"/>
                <w:sz w:val="16"/>
                <w:szCs w:val="16"/>
              </w:rPr>
            </w:pPr>
            <w:r>
              <w:rPr>
                <w:rFonts w:cs="Arial"/>
                <w:sz w:val="16"/>
                <w:szCs w:val="16"/>
              </w:rPr>
              <w:t>104,2</w:t>
            </w:r>
          </w:p>
        </w:tc>
      </w:tr>
      <w:tr w:rsidR="00EB78CE" w:rsidRPr="005252CA" w14:paraId="1844F00A"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03289A32" w14:textId="77777777" w:rsidR="00EB78CE" w:rsidRDefault="00EB78CE" w:rsidP="00EB78CE">
            <w:pPr>
              <w:spacing w:after="0" w:line="240" w:lineRule="auto"/>
              <w:rPr>
                <w:rFonts w:cs="Arial"/>
                <w:sz w:val="16"/>
                <w:szCs w:val="16"/>
              </w:rPr>
            </w:pPr>
            <w:r w:rsidRPr="005252CA">
              <w:rPr>
                <w:rFonts w:cs="Arial"/>
                <w:sz w:val="16"/>
                <w:szCs w:val="16"/>
              </w:rPr>
              <w:t xml:space="preserve"> Poranění, otravy a jiné </w:t>
            </w:r>
          </w:p>
          <w:p w14:paraId="38317B8B" w14:textId="240D6119" w:rsidR="00EB78CE" w:rsidRPr="005252CA" w:rsidRDefault="00EB78CE" w:rsidP="00EB78CE">
            <w:pPr>
              <w:spacing w:after="0" w:line="240" w:lineRule="auto"/>
              <w:rPr>
                <w:rFonts w:cs="Arial"/>
                <w:sz w:val="16"/>
                <w:szCs w:val="16"/>
              </w:rPr>
            </w:pPr>
            <w:r>
              <w:rPr>
                <w:rFonts w:cs="Arial"/>
                <w:sz w:val="16"/>
                <w:szCs w:val="16"/>
              </w:rPr>
              <w:t xml:space="preserve"> </w:t>
            </w:r>
            <w:r w:rsidRPr="005252CA">
              <w:rPr>
                <w:rFonts w:cs="Arial"/>
                <w:sz w:val="16"/>
                <w:szCs w:val="16"/>
              </w:rPr>
              <w:t>následky vnějších příčin</w:t>
            </w:r>
          </w:p>
        </w:tc>
        <w:tc>
          <w:tcPr>
            <w:tcW w:w="907" w:type="dxa"/>
            <w:tcBorders>
              <w:top w:val="nil"/>
              <w:left w:val="nil"/>
              <w:bottom w:val="nil"/>
              <w:right w:val="nil"/>
            </w:tcBorders>
            <w:shd w:val="clear" w:color="auto" w:fill="auto"/>
            <w:noWrap/>
            <w:vAlign w:val="center"/>
            <w:hideMark/>
          </w:tcPr>
          <w:p w14:paraId="5D5D534B" w14:textId="35FBAD0A" w:rsidR="00EB78CE" w:rsidRPr="005252CA" w:rsidRDefault="00EB78CE" w:rsidP="00C161D6">
            <w:pPr>
              <w:spacing w:after="0" w:line="240" w:lineRule="auto"/>
              <w:jc w:val="center"/>
              <w:rPr>
                <w:rFonts w:cs="Arial"/>
                <w:sz w:val="16"/>
                <w:szCs w:val="16"/>
              </w:rPr>
            </w:pPr>
            <w:r w:rsidRPr="005252CA">
              <w:rPr>
                <w:rFonts w:cs="Arial"/>
                <w:sz w:val="16"/>
                <w:szCs w:val="16"/>
              </w:rPr>
              <w:t>191 430</w:t>
            </w:r>
          </w:p>
        </w:tc>
        <w:tc>
          <w:tcPr>
            <w:tcW w:w="794" w:type="dxa"/>
            <w:tcBorders>
              <w:top w:val="nil"/>
              <w:left w:val="nil"/>
              <w:bottom w:val="nil"/>
              <w:right w:val="nil"/>
            </w:tcBorders>
            <w:shd w:val="clear" w:color="auto" w:fill="auto"/>
            <w:noWrap/>
            <w:vAlign w:val="center"/>
            <w:hideMark/>
          </w:tcPr>
          <w:p w14:paraId="60514F3E" w14:textId="132A358C" w:rsidR="00EB78CE" w:rsidRPr="005252CA" w:rsidRDefault="00EB78CE" w:rsidP="00C161D6">
            <w:pPr>
              <w:spacing w:after="0" w:line="240" w:lineRule="auto"/>
              <w:jc w:val="center"/>
              <w:rPr>
                <w:rFonts w:cs="Arial"/>
                <w:sz w:val="16"/>
                <w:szCs w:val="16"/>
              </w:rPr>
            </w:pPr>
            <w:r w:rsidRPr="005252CA">
              <w:rPr>
                <w:rFonts w:cs="Arial"/>
                <w:sz w:val="16"/>
                <w:szCs w:val="16"/>
              </w:rPr>
              <w:t>123 625</w:t>
            </w:r>
          </w:p>
        </w:tc>
        <w:tc>
          <w:tcPr>
            <w:tcW w:w="794" w:type="dxa"/>
            <w:tcBorders>
              <w:top w:val="nil"/>
              <w:left w:val="nil"/>
              <w:bottom w:val="nil"/>
              <w:right w:val="single" w:sz="4" w:space="0" w:color="auto"/>
            </w:tcBorders>
            <w:shd w:val="clear" w:color="auto" w:fill="auto"/>
            <w:noWrap/>
            <w:vAlign w:val="center"/>
            <w:hideMark/>
          </w:tcPr>
          <w:p w14:paraId="2A59E60D" w14:textId="5554F853" w:rsidR="00EB78CE" w:rsidRPr="005252CA" w:rsidRDefault="00EB78CE" w:rsidP="00C161D6">
            <w:pPr>
              <w:spacing w:after="0" w:line="240" w:lineRule="auto"/>
              <w:jc w:val="center"/>
              <w:rPr>
                <w:rFonts w:cs="Arial"/>
                <w:sz w:val="16"/>
                <w:szCs w:val="16"/>
              </w:rPr>
            </w:pPr>
            <w:r w:rsidRPr="005252CA">
              <w:rPr>
                <w:rFonts w:cs="Arial"/>
                <w:sz w:val="16"/>
                <w:szCs w:val="16"/>
              </w:rPr>
              <w:t>67 805</w:t>
            </w:r>
          </w:p>
        </w:tc>
        <w:tc>
          <w:tcPr>
            <w:tcW w:w="850" w:type="dxa"/>
            <w:tcBorders>
              <w:top w:val="nil"/>
              <w:left w:val="single" w:sz="4" w:space="0" w:color="auto"/>
              <w:bottom w:val="nil"/>
              <w:right w:val="nil"/>
            </w:tcBorders>
            <w:shd w:val="clear" w:color="auto" w:fill="auto"/>
            <w:noWrap/>
            <w:vAlign w:val="center"/>
            <w:hideMark/>
          </w:tcPr>
          <w:p w14:paraId="55DB431C" w14:textId="0475D1B3" w:rsidR="00EB78CE" w:rsidRPr="005252CA" w:rsidRDefault="00EB78CE" w:rsidP="00C161D6">
            <w:pPr>
              <w:spacing w:after="0" w:line="240" w:lineRule="auto"/>
              <w:jc w:val="center"/>
              <w:rPr>
                <w:rFonts w:cs="Arial"/>
                <w:color w:val="000000"/>
                <w:sz w:val="16"/>
                <w:szCs w:val="16"/>
              </w:rPr>
            </w:pPr>
            <w:r>
              <w:rPr>
                <w:rFonts w:cs="Arial"/>
                <w:color w:val="000000"/>
                <w:sz w:val="16"/>
                <w:szCs w:val="16"/>
              </w:rPr>
              <w:t>4 098</w:t>
            </w:r>
          </w:p>
        </w:tc>
        <w:tc>
          <w:tcPr>
            <w:tcW w:w="794" w:type="dxa"/>
            <w:gridSpan w:val="2"/>
            <w:tcBorders>
              <w:top w:val="nil"/>
              <w:left w:val="nil"/>
              <w:bottom w:val="nil"/>
              <w:right w:val="nil"/>
            </w:tcBorders>
            <w:shd w:val="clear" w:color="auto" w:fill="auto"/>
            <w:noWrap/>
            <w:vAlign w:val="center"/>
            <w:hideMark/>
          </w:tcPr>
          <w:p w14:paraId="57AA6076" w14:textId="23503DF8" w:rsidR="00EB78CE" w:rsidRPr="005252CA" w:rsidRDefault="00EB78CE" w:rsidP="00C161D6">
            <w:pPr>
              <w:spacing w:after="0" w:line="240" w:lineRule="auto"/>
              <w:jc w:val="center"/>
              <w:rPr>
                <w:rFonts w:cs="Arial"/>
                <w:color w:val="000000"/>
                <w:sz w:val="16"/>
                <w:szCs w:val="16"/>
              </w:rPr>
            </w:pPr>
            <w:r>
              <w:rPr>
                <w:rFonts w:cs="Arial"/>
                <w:color w:val="000000"/>
                <w:sz w:val="16"/>
                <w:szCs w:val="16"/>
              </w:rPr>
              <w:t>5 216</w:t>
            </w:r>
          </w:p>
        </w:tc>
        <w:tc>
          <w:tcPr>
            <w:tcW w:w="851" w:type="dxa"/>
            <w:gridSpan w:val="2"/>
            <w:tcBorders>
              <w:top w:val="nil"/>
              <w:left w:val="nil"/>
              <w:bottom w:val="nil"/>
              <w:right w:val="single" w:sz="4" w:space="0" w:color="auto"/>
            </w:tcBorders>
            <w:shd w:val="clear" w:color="auto" w:fill="auto"/>
            <w:noWrap/>
            <w:vAlign w:val="center"/>
            <w:hideMark/>
          </w:tcPr>
          <w:p w14:paraId="3E438029" w14:textId="6D3E1B7C"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2 946</w:t>
            </w:r>
          </w:p>
        </w:tc>
        <w:tc>
          <w:tcPr>
            <w:tcW w:w="850" w:type="dxa"/>
            <w:tcBorders>
              <w:top w:val="nil"/>
              <w:left w:val="single" w:sz="4" w:space="0" w:color="auto"/>
              <w:bottom w:val="nil"/>
              <w:right w:val="nil"/>
            </w:tcBorders>
            <w:shd w:val="clear" w:color="auto" w:fill="auto"/>
            <w:noWrap/>
            <w:vAlign w:val="center"/>
            <w:hideMark/>
          </w:tcPr>
          <w:p w14:paraId="3E9870F2" w14:textId="37C77865" w:rsidR="00EB78CE" w:rsidRPr="005252CA" w:rsidRDefault="00EB78CE" w:rsidP="00C161D6">
            <w:pPr>
              <w:spacing w:after="0" w:line="240" w:lineRule="auto"/>
              <w:jc w:val="center"/>
              <w:rPr>
                <w:rFonts w:cs="Arial"/>
                <w:sz w:val="16"/>
                <w:szCs w:val="16"/>
              </w:rPr>
            </w:pPr>
            <w:r>
              <w:rPr>
                <w:rFonts w:cs="Arial"/>
                <w:sz w:val="16"/>
                <w:szCs w:val="16"/>
              </w:rPr>
              <w:t>52,1</w:t>
            </w:r>
          </w:p>
        </w:tc>
        <w:tc>
          <w:tcPr>
            <w:tcW w:w="794" w:type="dxa"/>
            <w:gridSpan w:val="2"/>
            <w:tcBorders>
              <w:top w:val="nil"/>
              <w:left w:val="nil"/>
              <w:bottom w:val="nil"/>
              <w:right w:val="nil"/>
            </w:tcBorders>
            <w:shd w:val="clear" w:color="auto" w:fill="auto"/>
            <w:noWrap/>
            <w:vAlign w:val="center"/>
            <w:hideMark/>
          </w:tcPr>
          <w:p w14:paraId="7931DBC3" w14:textId="7A629846" w:rsidR="00EB78CE" w:rsidRPr="005252CA" w:rsidRDefault="00EB78CE" w:rsidP="00C161D6">
            <w:pPr>
              <w:spacing w:after="0" w:line="240" w:lineRule="auto"/>
              <w:jc w:val="center"/>
              <w:rPr>
                <w:rFonts w:cs="Arial"/>
                <w:sz w:val="16"/>
                <w:szCs w:val="16"/>
              </w:rPr>
            </w:pPr>
            <w:r>
              <w:rPr>
                <w:rFonts w:cs="Arial"/>
                <w:sz w:val="16"/>
                <w:szCs w:val="16"/>
              </w:rPr>
              <w:t>50,6</w:t>
            </w:r>
          </w:p>
        </w:tc>
        <w:tc>
          <w:tcPr>
            <w:tcW w:w="794" w:type="dxa"/>
            <w:gridSpan w:val="2"/>
            <w:tcBorders>
              <w:top w:val="nil"/>
              <w:left w:val="nil"/>
              <w:bottom w:val="nil"/>
              <w:right w:val="nil"/>
            </w:tcBorders>
            <w:shd w:val="clear" w:color="auto" w:fill="auto"/>
            <w:noWrap/>
            <w:vAlign w:val="center"/>
            <w:hideMark/>
          </w:tcPr>
          <w:p w14:paraId="08C8BE9B" w14:textId="3378B09D" w:rsidR="00EB78CE" w:rsidRPr="005252CA" w:rsidRDefault="00EB78CE" w:rsidP="00C161D6">
            <w:pPr>
              <w:spacing w:after="0" w:line="240" w:lineRule="auto"/>
              <w:jc w:val="center"/>
              <w:rPr>
                <w:rFonts w:cs="Arial"/>
                <w:sz w:val="16"/>
                <w:szCs w:val="16"/>
              </w:rPr>
            </w:pPr>
            <w:r>
              <w:rPr>
                <w:rFonts w:cs="Arial"/>
                <w:sz w:val="16"/>
                <w:szCs w:val="16"/>
              </w:rPr>
              <w:t>54,7</w:t>
            </w:r>
          </w:p>
        </w:tc>
      </w:tr>
      <w:tr w:rsidR="00EB78CE" w:rsidRPr="005252CA" w14:paraId="44C9088A" w14:textId="77777777" w:rsidTr="004744DF">
        <w:trPr>
          <w:gridAfter w:val="1"/>
          <w:wAfter w:w="57" w:type="dxa"/>
          <w:trHeight w:val="340"/>
        </w:trPr>
        <w:tc>
          <w:tcPr>
            <w:tcW w:w="2268" w:type="dxa"/>
            <w:tcBorders>
              <w:top w:val="nil"/>
              <w:left w:val="nil"/>
              <w:bottom w:val="nil"/>
              <w:right w:val="single" w:sz="4" w:space="0" w:color="auto"/>
            </w:tcBorders>
            <w:shd w:val="clear" w:color="auto" w:fill="auto"/>
            <w:noWrap/>
            <w:vAlign w:val="center"/>
            <w:hideMark/>
          </w:tcPr>
          <w:p w14:paraId="27B97E29" w14:textId="77777777" w:rsidR="00EB78CE" w:rsidRPr="005252CA" w:rsidRDefault="00EB78CE" w:rsidP="00EB78CE">
            <w:pPr>
              <w:spacing w:after="0" w:line="240" w:lineRule="auto"/>
              <w:rPr>
                <w:rFonts w:cs="Arial"/>
                <w:sz w:val="16"/>
                <w:szCs w:val="16"/>
              </w:rPr>
            </w:pPr>
            <w:r w:rsidRPr="005252CA">
              <w:rPr>
                <w:rFonts w:cs="Arial"/>
                <w:sz w:val="16"/>
                <w:szCs w:val="16"/>
              </w:rPr>
              <w:t xml:space="preserve"> Ostatní (výše neuvedené)</w:t>
            </w:r>
          </w:p>
        </w:tc>
        <w:tc>
          <w:tcPr>
            <w:tcW w:w="907" w:type="dxa"/>
            <w:tcBorders>
              <w:top w:val="nil"/>
              <w:left w:val="nil"/>
              <w:bottom w:val="nil"/>
              <w:right w:val="nil"/>
            </w:tcBorders>
            <w:shd w:val="clear" w:color="auto" w:fill="auto"/>
            <w:noWrap/>
            <w:vAlign w:val="center"/>
            <w:hideMark/>
          </w:tcPr>
          <w:p w14:paraId="1229AC29" w14:textId="381C4230" w:rsidR="00EB78CE" w:rsidRPr="005252CA" w:rsidRDefault="00EB78CE" w:rsidP="00C161D6">
            <w:pPr>
              <w:spacing w:after="0" w:line="240" w:lineRule="auto"/>
              <w:jc w:val="center"/>
              <w:rPr>
                <w:rFonts w:cs="Arial"/>
                <w:sz w:val="16"/>
                <w:szCs w:val="16"/>
              </w:rPr>
            </w:pPr>
            <w:r w:rsidRPr="005252CA">
              <w:rPr>
                <w:rFonts w:cs="Arial"/>
                <w:sz w:val="16"/>
                <w:szCs w:val="16"/>
              </w:rPr>
              <w:t>108 689</w:t>
            </w:r>
          </w:p>
        </w:tc>
        <w:tc>
          <w:tcPr>
            <w:tcW w:w="794" w:type="dxa"/>
            <w:tcBorders>
              <w:top w:val="nil"/>
              <w:left w:val="nil"/>
              <w:bottom w:val="nil"/>
              <w:right w:val="nil"/>
            </w:tcBorders>
            <w:shd w:val="clear" w:color="auto" w:fill="auto"/>
            <w:noWrap/>
            <w:vAlign w:val="center"/>
            <w:hideMark/>
          </w:tcPr>
          <w:p w14:paraId="63BE5C63" w14:textId="2F240C65" w:rsidR="00EB78CE" w:rsidRPr="005252CA" w:rsidRDefault="00EB78CE" w:rsidP="00C161D6">
            <w:pPr>
              <w:spacing w:after="0" w:line="240" w:lineRule="auto"/>
              <w:jc w:val="center"/>
              <w:rPr>
                <w:rFonts w:cs="Arial"/>
                <w:sz w:val="16"/>
                <w:szCs w:val="16"/>
              </w:rPr>
            </w:pPr>
            <w:r w:rsidRPr="005252CA">
              <w:rPr>
                <w:rFonts w:cs="Arial"/>
                <w:sz w:val="16"/>
                <w:szCs w:val="16"/>
              </w:rPr>
              <w:t>44 549</w:t>
            </w:r>
          </w:p>
        </w:tc>
        <w:tc>
          <w:tcPr>
            <w:tcW w:w="794" w:type="dxa"/>
            <w:tcBorders>
              <w:top w:val="nil"/>
              <w:left w:val="nil"/>
              <w:bottom w:val="nil"/>
              <w:right w:val="single" w:sz="4" w:space="0" w:color="auto"/>
            </w:tcBorders>
            <w:shd w:val="clear" w:color="auto" w:fill="auto"/>
            <w:noWrap/>
            <w:vAlign w:val="center"/>
            <w:hideMark/>
          </w:tcPr>
          <w:p w14:paraId="18EB2459" w14:textId="14FC5A2F" w:rsidR="00EB78CE" w:rsidRPr="005252CA" w:rsidRDefault="00EB78CE" w:rsidP="00C161D6">
            <w:pPr>
              <w:spacing w:after="0" w:line="240" w:lineRule="auto"/>
              <w:jc w:val="center"/>
              <w:rPr>
                <w:rFonts w:cs="Arial"/>
                <w:sz w:val="16"/>
                <w:szCs w:val="16"/>
              </w:rPr>
            </w:pPr>
            <w:r w:rsidRPr="005252CA">
              <w:rPr>
                <w:rFonts w:cs="Arial"/>
                <w:sz w:val="16"/>
                <w:szCs w:val="16"/>
              </w:rPr>
              <w:t>64 140</w:t>
            </w:r>
          </w:p>
        </w:tc>
        <w:tc>
          <w:tcPr>
            <w:tcW w:w="850" w:type="dxa"/>
            <w:tcBorders>
              <w:top w:val="nil"/>
              <w:left w:val="single" w:sz="4" w:space="0" w:color="auto"/>
              <w:bottom w:val="nil"/>
              <w:right w:val="nil"/>
            </w:tcBorders>
            <w:shd w:val="clear" w:color="auto" w:fill="auto"/>
            <w:noWrap/>
            <w:vAlign w:val="center"/>
            <w:hideMark/>
          </w:tcPr>
          <w:p w14:paraId="0FDE30C5" w14:textId="405B6264"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2 325</w:t>
            </w:r>
          </w:p>
        </w:tc>
        <w:tc>
          <w:tcPr>
            <w:tcW w:w="794" w:type="dxa"/>
            <w:gridSpan w:val="2"/>
            <w:tcBorders>
              <w:top w:val="nil"/>
              <w:left w:val="nil"/>
              <w:bottom w:val="nil"/>
              <w:right w:val="nil"/>
            </w:tcBorders>
            <w:shd w:val="clear" w:color="auto" w:fill="auto"/>
            <w:noWrap/>
            <w:vAlign w:val="center"/>
            <w:hideMark/>
          </w:tcPr>
          <w:p w14:paraId="5A019F26" w14:textId="2B46DB80" w:rsidR="00EB78CE" w:rsidRPr="005252CA" w:rsidRDefault="00EB78CE" w:rsidP="00C161D6">
            <w:pPr>
              <w:spacing w:after="0" w:line="240" w:lineRule="auto"/>
              <w:jc w:val="center"/>
              <w:rPr>
                <w:rFonts w:cs="Arial"/>
                <w:color w:val="000000"/>
                <w:sz w:val="16"/>
                <w:szCs w:val="16"/>
              </w:rPr>
            </w:pPr>
            <w:r>
              <w:rPr>
                <w:rFonts w:cs="Arial"/>
                <w:color w:val="000000"/>
                <w:sz w:val="16"/>
                <w:szCs w:val="16"/>
              </w:rPr>
              <w:t>1 878</w:t>
            </w:r>
          </w:p>
        </w:tc>
        <w:tc>
          <w:tcPr>
            <w:tcW w:w="851" w:type="dxa"/>
            <w:gridSpan w:val="2"/>
            <w:tcBorders>
              <w:top w:val="nil"/>
              <w:left w:val="nil"/>
              <w:bottom w:val="nil"/>
              <w:right w:val="single" w:sz="4" w:space="0" w:color="auto"/>
            </w:tcBorders>
            <w:shd w:val="clear" w:color="auto" w:fill="auto"/>
            <w:noWrap/>
            <w:vAlign w:val="center"/>
            <w:hideMark/>
          </w:tcPr>
          <w:p w14:paraId="0B436DBE" w14:textId="2A4121AA" w:rsidR="00EB78CE" w:rsidRPr="005252CA" w:rsidRDefault="00EB78CE" w:rsidP="00C161D6">
            <w:pPr>
              <w:spacing w:after="0" w:line="240" w:lineRule="auto"/>
              <w:jc w:val="center"/>
              <w:rPr>
                <w:rFonts w:cs="Arial"/>
                <w:color w:val="000000"/>
                <w:sz w:val="16"/>
                <w:szCs w:val="16"/>
              </w:rPr>
            </w:pPr>
            <w:r>
              <w:rPr>
                <w:rFonts w:cs="Arial"/>
                <w:color w:val="000000"/>
                <w:sz w:val="16"/>
                <w:szCs w:val="16"/>
              </w:rPr>
              <w:t>2 785</w:t>
            </w:r>
          </w:p>
        </w:tc>
        <w:tc>
          <w:tcPr>
            <w:tcW w:w="850" w:type="dxa"/>
            <w:tcBorders>
              <w:top w:val="nil"/>
              <w:left w:val="single" w:sz="4" w:space="0" w:color="auto"/>
              <w:bottom w:val="nil"/>
              <w:right w:val="nil"/>
            </w:tcBorders>
            <w:shd w:val="clear" w:color="auto" w:fill="auto"/>
            <w:noWrap/>
            <w:vAlign w:val="center"/>
            <w:hideMark/>
          </w:tcPr>
          <w:p w14:paraId="34D5CBF2" w14:textId="301C683C" w:rsidR="00EB78CE" w:rsidRPr="005252CA" w:rsidRDefault="00EB78CE" w:rsidP="00C161D6">
            <w:pPr>
              <w:spacing w:after="0" w:line="240" w:lineRule="auto"/>
              <w:jc w:val="center"/>
              <w:rPr>
                <w:rFonts w:cs="Arial"/>
                <w:sz w:val="16"/>
                <w:szCs w:val="16"/>
              </w:rPr>
            </w:pPr>
            <w:r>
              <w:rPr>
                <w:rFonts w:cs="Arial"/>
                <w:sz w:val="16"/>
                <w:szCs w:val="16"/>
              </w:rPr>
              <w:t>51,3</w:t>
            </w:r>
          </w:p>
        </w:tc>
        <w:tc>
          <w:tcPr>
            <w:tcW w:w="794" w:type="dxa"/>
            <w:gridSpan w:val="2"/>
            <w:tcBorders>
              <w:top w:val="nil"/>
              <w:left w:val="nil"/>
              <w:bottom w:val="nil"/>
              <w:right w:val="nil"/>
            </w:tcBorders>
            <w:shd w:val="clear" w:color="auto" w:fill="auto"/>
            <w:noWrap/>
            <w:vAlign w:val="center"/>
            <w:hideMark/>
          </w:tcPr>
          <w:p w14:paraId="08FDC60E" w14:textId="4CD79140" w:rsidR="00EB78CE" w:rsidRPr="005252CA" w:rsidRDefault="00EB78CE" w:rsidP="00C161D6">
            <w:pPr>
              <w:spacing w:after="0" w:line="240" w:lineRule="auto"/>
              <w:jc w:val="center"/>
              <w:rPr>
                <w:rFonts w:cs="Arial"/>
                <w:sz w:val="16"/>
                <w:szCs w:val="16"/>
              </w:rPr>
            </w:pPr>
            <w:r>
              <w:rPr>
                <w:rFonts w:cs="Arial"/>
                <w:sz w:val="16"/>
                <w:szCs w:val="16"/>
              </w:rPr>
              <w:t>46,3</w:t>
            </w:r>
          </w:p>
        </w:tc>
        <w:tc>
          <w:tcPr>
            <w:tcW w:w="794" w:type="dxa"/>
            <w:gridSpan w:val="2"/>
            <w:tcBorders>
              <w:top w:val="nil"/>
              <w:left w:val="nil"/>
              <w:bottom w:val="nil"/>
              <w:right w:val="nil"/>
            </w:tcBorders>
            <w:shd w:val="clear" w:color="auto" w:fill="auto"/>
            <w:noWrap/>
            <w:vAlign w:val="center"/>
            <w:hideMark/>
          </w:tcPr>
          <w:p w14:paraId="0AA3B0F9" w14:textId="04EC1AB9" w:rsidR="00EB78CE" w:rsidRPr="005252CA" w:rsidRDefault="00EB78CE" w:rsidP="00C161D6">
            <w:pPr>
              <w:spacing w:after="0" w:line="240" w:lineRule="auto"/>
              <w:jc w:val="center"/>
              <w:rPr>
                <w:rFonts w:cs="Arial"/>
                <w:sz w:val="16"/>
                <w:szCs w:val="16"/>
              </w:rPr>
            </w:pPr>
            <w:r>
              <w:rPr>
                <w:rFonts w:cs="Arial"/>
                <w:sz w:val="16"/>
                <w:szCs w:val="16"/>
              </w:rPr>
              <w:t>39,0</w:t>
            </w:r>
          </w:p>
        </w:tc>
      </w:tr>
    </w:tbl>
    <w:p w14:paraId="60AC77E3" w14:textId="3944EA42" w:rsidR="00477449" w:rsidRDefault="00477449" w:rsidP="001522B9"/>
    <w:p w14:paraId="261C9534" w14:textId="77777777" w:rsidR="00D021CA" w:rsidRDefault="00D021CA" w:rsidP="00D021CA">
      <w:pPr>
        <w:spacing w:after="0"/>
        <w:rPr>
          <w:sz w:val="18"/>
        </w:rPr>
      </w:pPr>
      <w:r w:rsidRPr="00BC3FF5">
        <w:rPr>
          <w:sz w:val="18"/>
        </w:rPr>
        <w:t xml:space="preserve">Zdroj: </w:t>
      </w:r>
      <w:r>
        <w:rPr>
          <w:sz w:val="18"/>
        </w:rPr>
        <w:t>ÚZIS ČR</w:t>
      </w:r>
    </w:p>
    <w:p w14:paraId="23DBBA7F" w14:textId="77777777" w:rsidR="00D021CA" w:rsidRPr="001522B9" w:rsidRDefault="00D021CA" w:rsidP="001522B9"/>
    <w:p w14:paraId="5D68B437" w14:textId="111B7C23" w:rsidR="00977F2A" w:rsidRDefault="00977F2A" w:rsidP="0073249C">
      <w:pPr>
        <w:pStyle w:val="Nadpis2"/>
        <w:spacing w:after="100"/>
      </w:pPr>
      <w:bookmarkStart w:id="21" w:name="_Toc10117317"/>
      <w:r>
        <w:t>4.4 Výdaje na nemocenské</w:t>
      </w:r>
      <w:bookmarkEnd w:id="21"/>
    </w:p>
    <w:p w14:paraId="12A6EDCE" w14:textId="1CB354A0" w:rsidR="0073249C" w:rsidRPr="00E80782" w:rsidRDefault="0073249C" w:rsidP="004744DF">
      <w:pPr>
        <w:jc w:val="both"/>
      </w:pPr>
      <w:r w:rsidRPr="00E80782">
        <w:rPr>
          <w:b/>
        </w:rPr>
        <w:t>Systém nemocenského pojištění</w:t>
      </w:r>
      <w:r w:rsidRPr="00E80782">
        <w:t xml:space="preserve"> je určen pro výdělečně činné osoby, které při ztrátě příjmu v případech krátkodobých sociálních zabezpečuje peněžitými dávkami nemocenského pojištění.</w:t>
      </w:r>
    </w:p>
    <w:p w14:paraId="398CA60B" w14:textId="722272C9" w:rsidR="00AB63D9" w:rsidRDefault="00AB63D9" w:rsidP="00AB63D9">
      <w:pPr>
        <w:jc w:val="both"/>
      </w:pPr>
      <w:r>
        <w:t>Z nemocenského pojištění se poskytuje 6 peněžitých dávek, a to:</w:t>
      </w:r>
    </w:p>
    <w:p w14:paraId="3272B6B6" w14:textId="77777777" w:rsidR="00AB63D9" w:rsidRDefault="00AB63D9" w:rsidP="00AB63D9">
      <w:pPr>
        <w:spacing w:after="0"/>
        <w:jc w:val="both"/>
      </w:pPr>
      <w:r>
        <w:t xml:space="preserve">    Nemocenské</w:t>
      </w:r>
    </w:p>
    <w:p w14:paraId="7302E20C" w14:textId="0EA03089" w:rsidR="00AB63D9" w:rsidRDefault="00AB63D9" w:rsidP="00AB63D9">
      <w:pPr>
        <w:spacing w:after="0"/>
        <w:jc w:val="both"/>
      </w:pPr>
      <w:r>
        <w:t xml:space="preserve">    Peněžitá pomoc v mateřství</w:t>
      </w:r>
    </w:p>
    <w:p w14:paraId="50A6C9B7" w14:textId="77777777" w:rsidR="00AB63D9" w:rsidRDefault="00AB63D9" w:rsidP="00AB63D9">
      <w:pPr>
        <w:spacing w:after="0"/>
        <w:jc w:val="both"/>
      </w:pPr>
      <w:r>
        <w:t xml:space="preserve">    Ošetřovné</w:t>
      </w:r>
    </w:p>
    <w:p w14:paraId="299545ED" w14:textId="77777777" w:rsidR="00AB63D9" w:rsidRDefault="00AB63D9" w:rsidP="00AB63D9">
      <w:pPr>
        <w:spacing w:after="0"/>
        <w:jc w:val="both"/>
      </w:pPr>
      <w:r>
        <w:t xml:space="preserve">    Vyrovnávací příspěvek v těhotenství a v mateřství</w:t>
      </w:r>
    </w:p>
    <w:p w14:paraId="5EA863C5" w14:textId="756445DC" w:rsidR="00AB63D9" w:rsidRDefault="00AB63D9" w:rsidP="00AB63D9">
      <w:pPr>
        <w:spacing w:after="0"/>
        <w:jc w:val="both"/>
      </w:pPr>
      <w:r>
        <w:t xml:space="preserve">    Dávka otcovské poporodní péče (tzv. otcovská)</w:t>
      </w:r>
      <w:r w:rsidR="00421EAD">
        <w:t xml:space="preserve"> </w:t>
      </w:r>
      <w:r w:rsidR="00421EAD" w:rsidRPr="00421EAD">
        <w:rPr>
          <w:b/>
        </w:rPr>
        <w:t>od 1. 2. 2018</w:t>
      </w:r>
      <w:r w:rsidR="00421EAD">
        <w:rPr>
          <w:rStyle w:val="Znakapoznpodarou"/>
          <w:b/>
        </w:rPr>
        <w:footnoteReference w:id="9"/>
      </w:r>
    </w:p>
    <w:p w14:paraId="61BAEBF4" w14:textId="0E5234D5" w:rsidR="00AB63D9" w:rsidRPr="0073249C" w:rsidRDefault="00AB63D9" w:rsidP="00AB63D9">
      <w:pPr>
        <w:spacing w:after="100" w:afterAutospacing="1"/>
        <w:jc w:val="both"/>
        <w:rPr>
          <w:highlight w:val="yellow"/>
        </w:rPr>
      </w:pPr>
      <w:r>
        <w:t xml:space="preserve">    Dlouhodobé ošetřovné</w:t>
      </w:r>
      <w:r w:rsidR="00421EAD">
        <w:t xml:space="preserve"> </w:t>
      </w:r>
      <w:r w:rsidR="00421EAD" w:rsidRPr="00421EAD">
        <w:rPr>
          <w:b/>
        </w:rPr>
        <w:t>od 1. 6. 2018</w:t>
      </w:r>
      <w:r w:rsidR="00421EAD">
        <w:rPr>
          <w:rStyle w:val="Znakapoznpodarou"/>
          <w:b/>
        </w:rPr>
        <w:footnoteReference w:id="10"/>
      </w:r>
    </w:p>
    <w:p w14:paraId="3923C672" w14:textId="77777777" w:rsidR="000B068F" w:rsidRPr="00E80782" w:rsidRDefault="000B068F" w:rsidP="000B068F">
      <w:pPr>
        <w:jc w:val="both"/>
      </w:pPr>
      <w:r>
        <w:t xml:space="preserve">Výše dávek nemocenského pojištění závisí na dosahovaném výdělku, redukčních hranicích pro redukci denního vyměřovacího základu, redukci mezi jednotlivými redukčními hranicemi a na procentní sazbě pro jednotlivé dávky. </w:t>
      </w:r>
    </w:p>
    <w:p w14:paraId="21D450ED" w14:textId="1B05CA98" w:rsidR="0073249C" w:rsidRPr="0073249C" w:rsidRDefault="0073249C" w:rsidP="0073249C">
      <w:pPr>
        <w:jc w:val="both"/>
      </w:pPr>
      <w:r w:rsidRPr="00E80782">
        <w:lastRenderedPageBreak/>
        <w:t>Všechny dávky nemocenského pojištění vyplácí okresní správa sociálního zabezpečení a hradí se ze</w:t>
      </w:r>
      <w:r w:rsidR="00BA3658">
        <w:t> </w:t>
      </w:r>
      <w:r w:rsidRPr="00E80782">
        <w:t>státního rozpočtu (z příjmů z pojistného). Dávky nemocenského pojištění se vyplácejí za kalendářní dny.</w:t>
      </w:r>
    </w:p>
    <w:p w14:paraId="59DC08BD" w14:textId="3DDF8C5C" w:rsidR="0073249C" w:rsidRDefault="0073249C" w:rsidP="0073249C">
      <w:pPr>
        <w:pStyle w:val="Box1"/>
        <w:jc w:val="both"/>
        <w:rPr>
          <w:i/>
        </w:rPr>
      </w:pPr>
      <w:r>
        <w:rPr>
          <w:b/>
          <w:i/>
        </w:rPr>
        <w:t>Nemocenské</w:t>
      </w:r>
      <w:r w:rsidRPr="00F46EA8">
        <w:rPr>
          <w:b/>
          <w:i/>
        </w:rPr>
        <w:t xml:space="preserve"> </w:t>
      </w:r>
      <w:r w:rsidRPr="007445BF">
        <w:rPr>
          <w:i/>
        </w:rPr>
        <w:t xml:space="preserve">– </w:t>
      </w:r>
      <w:r>
        <w:rPr>
          <w:i/>
        </w:rPr>
        <w:t>je základní peněžitou dávkou systému nemocenského pojištění. Na nemocenské má nárok pojištěnec, který je uznán ošetřujícím lékařem dočasně práce neschopným, a to od</w:t>
      </w:r>
      <w:r w:rsidR="00BA3658">
        <w:rPr>
          <w:i/>
        </w:rPr>
        <w:t> </w:t>
      </w:r>
      <w:r>
        <w:rPr>
          <w:i/>
        </w:rPr>
        <w:t>15.</w:t>
      </w:r>
      <w:r w:rsidR="00E80782">
        <w:rPr>
          <w:i/>
        </w:rPr>
        <w:t> </w:t>
      </w:r>
      <w:r>
        <w:rPr>
          <w:i/>
        </w:rPr>
        <w:t>kalendářního dne trvání jeho dočasné pracovní neschopnosti do konce dočasné pracovní neschopnosti, maximálně však 380 kalendářních dnů počítaných od vzniku dočasné pracovní neschopnosti</w:t>
      </w:r>
      <w:r w:rsidRPr="00F46EA8">
        <w:rPr>
          <w:i/>
        </w:rPr>
        <w:t>.</w:t>
      </w:r>
    </w:p>
    <w:p w14:paraId="41F379B3" w14:textId="6459E8BB" w:rsidR="0073249C" w:rsidRDefault="00E80782" w:rsidP="00584D18">
      <w:pPr>
        <w:jc w:val="both"/>
      </w:pPr>
      <w:r w:rsidRPr="00E80782">
        <w:t>V roce 2018</w:t>
      </w:r>
      <w:r w:rsidR="0073249C" w:rsidRPr="00E80782">
        <w:t xml:space="preserve"> bylo pojištěncům vyplaceno nemocenské v celkové hodnotě </w:t>
      </w:r>
      <w:r w:rsidRPr="00E80782">
        <w:t>22,7</w:t>
      </w:r>
      <w:r w:rsidR="0073249C" w:rsidRPr="00E80782">
        <w:t xml:space="preserve"> mld. Kč, což představuje téměř 6</w:t>
      </w:r>
      <w:r w:rsidRPr="00E80782">
        <w:t>7</w:t>
      </w:r>
      <w:r w:rsidR="0073249C" w:rsidRPr="00E80782">
        <w:t>% podíl celkových výdajů na dávky systému nemocenského pojištění. Meziročně vzrostly výdaje na</w:t>
      </w:r>
      <w:r w:rsidR="00BA3658">
        <w:t> </w:t>
      </w:r>
      <w:r w:rsidR="0073249C" w:rsidRPr="00E80782">
        <w:t xml:space="preserve">nemocenské o </w:t>
      </w:r>
      <w:r w:rsidRPr="00E80782">
        <w:t>4,4</w:t>
      </w:r>
      <w:r w:rsidR="0073249C" w:rsidRPr="00E80782">
        <w:t xml:space="preserve"> mld. Kč, tj. o </w:t>
      </w:r>
      <w:r w:rsidRPr="00E80782">
        <w:t>24</w:t>
      </w:r>
      <w:r w:rsidR="0073249C" w:rsidRPr="00E80782">
        <w:t xml:space="preserve"> %.</w:t>
      </w:r>
      <w:r w:rsidRPr="00E80782">
        <w:t xml:space="preserve"> Takov</w:t>
      </w:r>
      <w:r w:rsidR="00C161D6">
        <w:t>é</w:t>
      </w:r>
      <w:r w:rsidRPr="00E80782">
        <w:t xml:space="preserve"> </w:t>
      </w:r>
      <w:r w:rsidR="00884749">
        <w:t>zvýšení výdajů</w:t>
      </w:r>
      <w:r w:rsidRPr="00E80782">
        <w:t xml:space="preserve"> je za posledních 10 let nebýval</w:t>
      </w:r>
      <w:r w:rsidR="00884749">
        <w:t>é</w:t>
      </w:r>
      <w:r w:rsidRPr="00E80782">
        <w:t>.</w:t>
      </w:r>
      <w:r w:rsidR="00884749">
        <w:t xml:space="preserve"> Je způsobeno zejména nárůstem počtu proplacených dnů a nárůstem výše průměrné </w:t>
      </w:r>
      <w:r w:rsidR="00B63720">
        <w:t xml:space="preserve">denní dávky nemocenského. </w:t>
      </w:r>
      <w:r w:rsidR="00584D18">
        <w:t>Došlo rovněž k meziročnímu nárůstu výše průměrné denní dávky nemocenského (o cca 22,5 % na 468 Kč).</w:t>
      </w:r>
    </w:p>
    <w:p w14:paraId="3490A8C3" w14:textId="3A59025C" w:rsidR="0073249C" w:rsidRDefault="0073249C" w:rsidP="0073249C">
      <w:pPr>
        <w:jc w:val="both"/>
      </w:pPr>
      <w:r w:rsidRPr="000B068F">
        <w:t>K nejdramatičtějším změnám v úrovni výdajů na nemocenské došlo v roce 2009 v souvislosti s</w:t>
      </w:r>
      <w:r w:rsidR="00C161D6">
        <w:t xml:space="preserve"> </w:t>
      </w:r>
      <w:r w:rsidRPr="000B068F">
        <w:t>již zmiňovanou legislativní úpravou nemocenského pojištění. Nový zákon o nemocenském pojištění znatelně snížil výši dávek nemocenského pojištění a zejména stanovil, že po dobu prvních 14 dnů pracovní neschopnosti je zaměstnanec zabezpečen náhradou mzdy nebo platu, kterou mu poskytuje zaměstnavatel (s výjimkou prvních 3 pracovních dnů). Poskytování náhrady mzdy nebo platu zaměstnavatelem bylo přijetím úsporných opatření v letech 2011 až 2013 dočasně prodlouženo z prvních 14 na 21 dnů pracovní neschopnosti. V důsledku těchto legislativních změn došlo k rapidnímu poklesu nemocnosti, což rovněž mělo vliv na pokles výdajů na nemocenské.</w:t>
      </w:r>
      <w:r w:rsidR="00C161D6">
        <w:t xml:space="preserve"> V roce 2013 byly výdaje </w:t>
      </w:r>
      <w:r w:rsidR="00B50ECC">
        <w:t>o více než 10 mld. Kč nižší než před zákonnou úpravou v roce 2008.</w:t>
      </w:r>
    </w:p>
    <w:p w14:paraId="57E55F8A" w14:textId="6A72FBB1" w:rsidR="00D96350" w:rsidRPr="00175D24" w:rsidRDefault="00D96350" w:rsidP="00D96350">
      <w:pPr>
        <w:jc w:val="both"/>
      </w:pPr>
      <w:r w:rsidRPr="00175D24">
        <w:t xml:space="preserve">V roce 2017 </w:t>
      </w:r>
      <w:r w:rsidRPr="00175D24">
        <w:rPr>
          <w:b/>
        </w:rPr>
        <w:t>bylo přijato několik významných legislativních opatření</w:t>
      </w:r>
      <w:r w:rsidRPr="00175D24">
        <w:t xml:space="preserve"> v oblasti nemocenského pojištění </w:t>
      </w:r>
      <w:r w:rsidRPr="00175D24">
        <w:rPr>
          <w:b/>
        </w:rPr>
        <w:t>s</w:t>
      </w:r>
      <w:r w:rsidR="00BA3658">
        <w:rPr>
          <w:b/>
        </w:rPr>
        <w:t> </w:t>
      </w:r>
      <w:r w:rsidRPr="00175D24">
        <w:rPr>
          <w:b/>
        </w:rPr>
        <w:t>účinností od roku 2018</w:t>
      </w:r>
      <w:r w:rsidRPr="00175D24">
        <w:t>, která mohou zásadním způsobem ovlivnit jeho finanční bilanci. Jedná se o</w:t>
      </w:r>
      <w:r w:rsidR="00BA3658">
        <w:t> </w:t>
      </w:r>
      <w:r w:rsidRPr="00175D24">
        <w:rPr>
          <w:b/>
        </w:rPr>
        <w:t>zvýšení nemocenského od 31. kalendářního dne DPN</w:t>
      </w:r>
      <w:r w:rsidRPr="00175D24">
        <w:t xml:space="preserve"> nebo karantény z</w:t>
      </w:r>
      <w:r w:rsidR="00B50ECC">
        <w:t> </w:t>
      </w:r>
      <w:r w:rsidRPr="00175D24">
        <w:t>60</w:t>
      </w:r>
      <w:r w:rsidR="00B50ECC">
        <w:t xml:space="preserve"> </w:t>
      </w:r>
      <w:r w:rsidRPr="00175D24">
        <w:t>% na 66</w:t>
      </w:r>
      <w:r w:rsidR="00B50ECC">
        <w:t xml:space="preserve"> </w:t>
      </w:r>
      <w:r w:rsidRPr="00175D24">
        <w:t>% redukovaného denního vyměřovacího základu a od 61. kalendářního dne DPN nebo karantény na 72 % redukovaného denního vyměřovacího základu s účinností od 1. ledna 2018 a dále o rozšíření okruhu dávek poskytovaných z nemocenského pojištění o novou dávku otcovské poporodní péče (dále jen „otcovská“) s účinností od</w:t>
      </w:r>
      <w:r w:rsidR="00BA3658">
        <w:t> </w:t>
      </w:r>
      <w:r w:rsidRPr="00175D24">
        <w:t>1.</w:t>
      </w:r>
      <w:r w:rsidR="00B50ECC">
        <w:t> </w:t>
      </w:r>
      <w:r w:rsidRPr="00175D24">
        <w:t>února 2018 a dávku dlouhodobého ošetřovného s účinností od 1. června 2018.</w:t>
      </w:r>
    </w:p>
    <w:p w14:paraId="158F1ED5" w14:textId="3F66065B" w:rsidR="00D96350" w:rsidRDefault="00D96350" w:rsidP="00D96350">
      <w:pPr>
        <w:jc w:val="both"/>
      </w:pPr>
      <w:r w:rsidRPr="00175D24">
        <w:t xml:space="preserve">Největší dopad na </w:t>
      </w:r>
      <w:r w:rsidR="00B50ECC">
        <w:t>výdaje na nemocenské pojištění</w:t>
      </w:r>
      <w:r w:rsidRPr="00175D24">
        <w:t xml:space="preserve"> </w:t>
      </w:r>
      <w:r>
        <w:t>plyne patrně ze</w:t>
      </w:r>
      <w:r w:rsidRPr="00175D24">
        <w:t xml:space="preserve"> zvýšení nemocenského od 31., resp. 61.</w:t>
      </w:r>
      <w:r w:rsidR="00BA3658">
        <w:t> </w:t>
      </w:r>
      <w:r w:rsidRPr="00175D24">
        <w:t xml:space="preserve">kalendářního dne DPN nebo karantény. </w:t>
      </w:r>
      <w:r>
        <w:t>Navýšení úrovně dávek vede ke zlepšení</w:t>
      </w:r>
      <w:r w:rsidRPr="00175D24">
        <w:t xml:space="preserve"> finanční situace dlouhodobě nemocných osob</w:t>
      </w:r>
      <w:r>
        <w:t>,</w:t>
      </w:r>
      <w:r w:rsidRPr="00175D24">
        <w:t xml:space="preserve"> a tedy částečně sn</w:t>
      </w:r>
      <w:r>
        <w:t>ižuje ekonomickou</w:t>
      </w:r>
      <w:r w:rsidRPr="00175D24">
        <w:t xml:space="preserve"> motivac</w:t>
      </w:r>
      <w:r>
        <w:t>i</w:t>
      </w:r>
      <w:r w:rsidRPr="00175D24">
        <w:t xml:space="preserve"> k co nejry</w:t>
      </w:r>
      <w:r>
        <w:t>chlejšímu návratu do</w:t>
      </w:r>
      <w:r w:rsidR="00BA3658">
        <w:t> </w:t>
      </w:r>
      <w:r>
        <w:t>zaměstnání.</w:t>
      </w:r>
      <w:r w:rsidRPr="00175D24">
        <w:t xml:space="preserve"> </w:t>
      </w:r>
      <w:r>
        <w:t xml:space="preserve">Což je patrné </w:t>
      </w:r>
      <w:r w:rsidR="00B50ECC">
        <w:t>na</w:t>
      </w:r>
      <w:r w:rsidRPr="00175D24">
        <w:t xml:space="preserve"> nárůstu celkového počtu prostonaných dnů případů DPN.</w:t>
      </w:r>
    </w:p>
    <w:p w14:paraId="2E9E81DC" w14:textId="7124873D" w:rsidR="004744DF" w:rsidRDefault="00D96350" w:rsidP="00D96350">
      <w:pPr>
        <w:jc w:val="both"/>
        <w:rPr>
          <w:szCs w:val="20"/>
        </w:rPr>
      </w:pPr>
      <w:r>
        <w:rPr>
          <w:szCs w:val="20"/>
        </w:rPr>
        <w:t>Podrobnější informace k výdajům na nemocenské a dalším dávkám, které jsou poskytovány ze systému nemocenského pojištění, naleznete na internetových stránkách MPSV v</w:t>
      </w:r>
      <w:r w:rsidR="004744DF">
        <w:rPr>
          <w:szCs w:val="20"/>
        </w:rPr>
        <w:t xml:space="preserve"> analýze </w:t>
      </w:r>
      <w:hyperlink r:id="rId32" w:history="1">
        <w:r w:rsidR="004744DF" w:rsidRPr="004744DF">
          <w:rPr>
            <w:rStyle w:val="Hypertextovodkaz"/>
            <w:szCs w:val="20"/>
          </w:rPr>
          <w:t>Informace o vyplacených dávkách v resortu MPSV ČR</w:t>
        </w:r>
      </w:hyperlink>
      <w:r w:rsidR="004744DF">
        <w:rPr>
          <w:szCs w:val="20"/>
        </w:rPr>
        <w:t>.</w:t>
      </w:r>
    </w:p>
    <w:p w14:paraId="216512BE" w14:textId="77777777" w:rsidR="004744DF" w:rsidRDefault="004744DF">
      <w:pPr>
        <w:spacing w:after="0" w:line="240" w:lineRule="auto"/>
        <w:rPr>
          <w:szCs w:val="20"/>
        </w:rPr>
      </w:pPr>
      <w:r>
        <w:rPr>
          <w:szCs w:val="20"/>
        </w:rPr>
        <w:br w:type="page"/>
      </w:r>
    </w:p>
    <w:p w14:paraId="0D349539" w14:textId="595DA2B6" w:rsidR="00E743C4" w:rsidRPr="00E743C4" w:rsidRDefault="00E743C4" w:rsidP="00B50ECC">
      <w:pPr>
        <w:pStyle w:val="Titulek"/>
        <w:keepNext/>
        <w:jc w:val="both"/>
        <w:rPr>
          <w:b/>
          <w:i w:val="0"/>
          <w:color w:val="auto"/>
          <w:sz w:val="20"/>
        </w:rPr>
      </w:pPr>
      <w:bookmarkStart w:id="22" w:name="_Toc10112629"/>
      <w:r w:rsidRPr="00E743C4">
        <w:rPr>
          <w:b/>
          <w:i w:val="0"/>
          <w:color w:val="auto"/>
          <w:sz w:val="20"/>
        </w:rPr>
        <w:lastRenderedPageBreak/>
        <w:t>Tab</w:t>
      </w:r>
      <w:r w:rsidR="00B50ECC">
        <w:rPr>
          <w:b/>
          <w:i w:val="0"/>
          <w:color w:val="auto"/>
          <w:sz w:val="20"/>
        </w:rPr>
        <w:t>.</w:t>
      </w:r>
      <w:r w:rsidRPr="00E743C4">
        <w:rPr>
          <w:b/>
          <w:i w:val="0"/>
          <w:color w:val="auto"/>
          <w:sz w:val="20"/>
        </w:rPr>
        <w:t xml:space="preserve"> 4.</w:t>
      </w:r>
      <w:r w:rsidR="004B5B2E">
        <w:rPr>
          <w:b/>
          <w:i w:val="0"/>
          <w:color w:val="auto"/>
          <w:sz w:val="20"/>
        </w:rPr>
        <w:t>1</w:t>
      </w:r>
      <w:r w:rsidRPr="00E743C4">
        <w:rPr>
          <w:b/>
          <w:i w:val="0"/>
          <w:color w:val="auto"/>
          <w:sz w:val="20"/>
        </w:rPr>
        <w:t>: Výdaje na dávky nemocenského pojištění v letech 200</w:t>
      </w:r>
      <w:r>
        <w:rPr>
          <w:b/>
          <w:i w:val="0"/>
          <w:color w:val="auto"/>
          <w:sz w:val="20"/>
        </w:rPr>
        <w:t>8</w:t>
      </w:r>
      <w:r w:rsidRPr="00E743C4">
        <w:rPr>
          <w:b/>
          <w:i w:val="0"/>
          <w:color w:val="auto"/>
          <w:sz w:val="20"/>
        </w:rPr>
        <w:t>–2018 (v mld. Kč)</w:t>
      </w:r>
      <w:bookmarkEnd w:id="22"/>
    </w:p>
    <w:tbl>
      <w:tblPr>
        <w:tblW w:w="9496" w:type="dxa"/>
        <w:tblInd w:w="70" w:type="dxa"/>
        <w:tblCellMar>
          <w:left w:w="70" w:type="dxa"/>
          <w:right w:w="70" w:type="dxa"/>
        </w:tblCellMar>
        <w:tblLook w:val="04A0" w:firstRow="1" w:lastRow="0" w:firstColumn="1" w:lastColumn="0" w:noHBand="0" w:noVBand="1"/>
      </w:tblPr>
      <w:tblGrid>
        <w:gridCol w:w="2324"/>
        <w:gridCol w:w="652"/>
        <w:gridCol w:w="652"/>
        <w:gridCol w:w="652"/>
        <w:gridCol w:w="652"/>
        <w:gridCol w:w="652"/>
        <w:gridCol w:w="652"/>
        <w:gridCol w:w="652"/>
        <w:gridCol w:w="652"/>
        <w:gridCol w:w="652"/>
        <w:gridCol w:w="652"/>
        <w:gridCol w:w="652"/>
      </w:tblGrid>
      <w:tr w:rsidR="00E743C4" w:rsidRPr="00E743C4" w14:paraId="0511B235" w14:textId="77777777" w:rsidTr="00E743C4">
        <w:trPr>
          <w:trHeight w:val="300"/>
        </w:trPr>
        <w:tc>
          <w:tcPr>
            <w:tcW w:w="2324" w:type="dxa"/>
            <w:vMerge w:val="restart"/>
            <w:tcBorders>
              <w:top w:val="nil"/>
              <w:left w:val="nil"/>
              <w:bottom w:val="single" w:sz="8" w:space="0" w:color="000000"/>
              <w:right w:val="single" w:sz="4" w:space="0" w:color="auto"/>
            </w:tcBorders>
            <w:shd w:val="clear" w:color="000000" w:fill="F5DADD"/>
            <w:vAlign w:val="center"/>
            <w:hideMark/>
          </w:tcPr>
          <w:p w14:paraId="743C9E0C" w14:textId="77777777" w:rsidR="00E743C4" w:rsidRPr="00E743C4" w:rsidRDefault="00E743C4" w:rsidP="00E743C4">
            <w:pPr>
              <w:spacing w:after="0" w:line="240" w:lineRule="auto"/>
              <w:jc w:val="center"/>
              <w:rPr>
                <w:rFonts w:cs="Arial"/>
                <w:sz w:val="16"/>
                <w:szCs w:val="16"/>
              </w:rPr>
            </w:pPr>
            <w:r w:rsidRPr="00E743C4">
              <w:rPr>
                <w:rFonts w:cs="Arial"/>
                <w:sz w:val="16"/>
                <w:szCs w:val="16"/>
              </w:rPr>
              <w:t>Druh dávky</w:t>
            </w:r>
          </w:p>
        </w:tc>
        <w:tc>
          <w:tcPr>
            <w:tcW w:w="7172" w:type="dxa"/>
            <w:gridSpan w:val="11"/>
            <w:tcBorders>
              <w:top w:val="nil"/>
              <w:left w:val="nil"/>
              <w:bottom w:val="single" w:sz="4" w:space="0" w:color="auto"/>
              <w:right w:val="nil"/>
            </w:tcBorders>
            <w:shd w:val="clear" w:color="000000" w:fill="F5DADD"/>
            <w:noWrap/>
            <w:vAlign w:val="bottom"/>
            <w:hideMark/>
          </w:tcPr>
          <w:p w14:paraId="54881EC8" w14:textId="77777777" w:rsidR="00E743C4" w:rsidRPr="00E743C4" w:rsidRDefault="00E743C4" w:rsidP="00E743C4">
            <w:pPr>
              <w:spacing w:after="0" w:line="240" w:lineRule="auto"/>
              <w:jc w:val="center"/>
              <w:rPr>
                <w:rFonts w:cs="Arial"/>
                <w:sz w:val="16"/>
                <w:szCs w:val="16"/>
              </w:rPr>
            </w:pPr>
            <w:r w:rsidRPr="00E743C4">
              <w:rPr>
                <w:rFonts w:cs="Arial"/>
                <w:sz w:val="16"/>
                <w:szCs w:val="16"/>
              </w:rPr>
              <w:t>Výdaje na dávky nemocenského pojištění v mld. Kč</w:t>
            </w:r>
          </w:p>
        </w:tc>
      </w:tr>
      <w:tr w:rsidR="00E743C4" w:rsidRPr="00E743C4" w14:paraId="30BFB059" w14:textId="77777777" w:rsidTr="00E743C4">
        <w:trPr>
          <w:trHeight w:val="315"/>
        </w:trPr>
        <w:tc>
          <w:tcPr>
            <w:tcW w:w="2324" w:type="dxa"/>
            <w:vMerge/>
            <w:tcBorders>
              <w:top w:val="nil"/>
              <w:left w:val="nil"/>
              <w:bottom w:val="single" w:sz="8" w:space="0" w:color="000000"/>
              <w:right w:val="single" w:sz="4" w:space="0" w:color="auto"/>
            </w:tcBorders>
            <w:vAlign w:val="center"/>
            <w:hideMark/>
          </w:tcPr>
          <w:p w14:paraId="12EE3CAD" w14:textId="77777777" w:rsidR="00E743C4" w:rsidRPr="00E743C4" w:rsidRDefault="00E743C4" w:rsidP="00E743C4">
            <w:pPr>
              <w:spacing w:after="0" w:line="240" w:lineRule="auto"/>
              <w:rPr>
                <w:rFonts w:cs="Arial"/>
                <w:sz w:val="16"/>
                <w:szCs w:val="16"/>
              </w:rPr>
            </w:pPr>
          </w:p>
        </w:tc>
        <w:tc>
          <w:tcPr>
            <w:tcW w:w="652" w:type="dxa"/>
            <w:tcBorders>
              <w:top w:val="nil"/>
              <w:left w:val="nil"/>
              <w:bottom w:val="single" w:sz="8" w:space="0" w:color="auto"/>
              <w:right w:val="nil"/>
            </w:tcBorders>
            <w:shd w:val="clear" w:color="000000" w:fill="F5DADD"/>
            <w:noWrap/>
            <w:vAlign w:val="bottom"/>
            <w:hideMark/>
          </w:tcPr>
          <w:p w14:paraId="589A6CC6" w14:textId="77777777" w:rsidR="00E743C4" w:rsidRPr="00E743C4" w:rsidRDefault="00E743C4" w:rsidP="00E743C4">
            <w:pPr>
              <w:spacing w:after="0" w:line="240" w:lineRule="auto"/>
              <w:jc w:val="center"/>
              <w:rPr>
                <w:rFonts w:cs="Arial"/>
                <w:sz w:val="16"/>
                <w:szCs w:val="16"/>
              </w:rPr>
            </w:pPr>
            <w:r w:rsidRPr="00E743C4">
              <w:rPr>
                <w:rFonts w:cs="Arial"/>
                <w:sz w:val="16"/>
                <w:szCs w:val="16"/>
              </w:rPr>
              <w:t>2008</w:t>
            </w:r>
          </w:p>
        </w:tc>
        <w:tc>
          <w:tcPr>
            <w:tcW w:w="652" w:type="dxa"/>
            <w:tcBorders>
              <w:top w:val="nil"/>
              <w:left w:val="nil"/>
              <w:bottom w:val="single" w:sz="8" w:space="0" w:color="auto"/>
              <w:right w:val="nil"/>
            </w:tcBorders>
            <w:shd w:val="clear" w:color="000000" w:fill="F5DADD"/>
            <w:noWrap/>
            <w:vAlign w:val="bottom"/>
            <w:hideMark/>
          </w:tcPr>
          <w:p w14:paraId="374BBD0D" w14:textId="77777777" w:rsidR="00E743C4" w:rsidRPr="00E743C4" w:rsidRDefault="00E743C4" w:rsidP="00E743C4">
            <w:pPr>
              <w:spacing w:after="0" w:line="240" w:lineRule="auto"/>
              <w:jc w:val="center"/>
              <w:rPr>
                <w:rFonts w:cs="Arial"/>
                <w:sz w:val="16"/>
                <w:szCs w:val="16"/>
              </w:rPr>
            </w:pPr>
            <w:r w:rsidRPr="00E743C4">
              <w:rPr>
                <w:rFonts w:cs="Arial"/>
                <w:sz w:val="16"/>
                <w:szCs w:val="16"/>
              </w:rPr>
              <w:t>2009</w:t>
            </w:r>
          </w:p>
        </w:tc>
        <w:tc>
          <w:tcPr>
            <w:tcW w:w="652" w:type="dxa"/>
            <w:tcBorders>
              <w:top w:val="nil"/>
              <w:left w:val="nil"/>
              <w:bottom w:val="single" w:sz="8" w:space="0" w:color="auto"/>
              <w:right w:val="nil"/>
            </w:tcBorders>
            <w:shd w:val="clear" w:color="000000" w:fill="F5DADD"/>
            <w:noWrap/>
            <w:vAlign w:val="bottom"/>
            <w:hideMark/>
          </w:tcPr>
          <w:p w14:paraId="6FA05C62"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2010</w:t>
            </w:r>
          </w:p>
        </w:tc>
        <w:tc>
          <w:tcPr>
            <w:tcW w:w="652" w:type="dxa"/>
            <w:tcBorders>
              <w:top w:val="nil"/>
              <w:left w:val="nil"/>
              <w:bottom w:val="single" w:sz="8" w:space="0" w:color="auto"/>
              <w:right w:val="nil"/>
            </w:tcBorders>
            <w:shd w:val="clear" w:color="000000" w:fill="F5DADD"/>
            <w:noWrap/>
            <w:vAlign w:val="bottom"/>
            <w:hideMark/>
          </w:tcPr>
          <w:p w14:paraId="7605126F"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2011</w:t>
            </w:r>
          </w:p>
        </w:tc>
        <w:tc>
          <w:tcPr>
            <w:tcW w:w="652" w:type="dxa"/>
            <w:tcBorders>
              <w:top w:val="nil"/>
              <w:left w:val="nil"/>
              <w:bottom w:val="single" w:sz="8" w:space="0" w:color="auto"/>
              <w:right w:val="nil"/>
            </w:tcBorders>
            <w:shd w:val="clear" w:color="000000" w:fill="F5DADD"/>
            <w:noWrap/>
            <w:vAlign w:val="bottom"/>
            <w:hideMark/>
          </w:tcPr>
          <w:p w14:paraId="3BA12FD3"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2012</w:t>
            </w:r>
          </w:p>
        </w:tc>
        <w:tc>
          <w:tcPr>
            <w:tcW w:w="652" w:type="dxa"/>
            <w:tcBorders>
              <w:top w:val="nil"/>
              <w:left w:val="nil"/>
              <w:bottom w:val="single" w:sz="8" w:space="0" w:color="auto"/>
              <w:right w:val="nil"/>
            </w:tcBorders>
            <w:shd w:val="clear" w:color="000000" w:fill="F5DADD"/>
            <w:noWrap/>
            <w:vAlign w:val="bottom"/>
            <w:hideMark/>
          </w:tcPr>
          <w:p w14:paraId="31B4831A"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2013</w:t>
            </w:r>
          </w:p>
        </w:tc>
        <w:tc>
          <w:tcPr>
            <w:tcW w:w="652" w:type="dxa"/>
            <w:tcBorders>
              <w:top w:val="nil"/>
              <w:left w:val="nil"/>
              <w:bottom w:val="single" w:sz="8" w:space="0" w:color="auto"/>
              <w:right w:val="nil"/>
            </w:tcBorders>
            <w:shd w:val="clear" w:color="000000" w:fill="F5DADD"/>
            <w:noWrap/>
            <w:vAlign w:val="bottom"/>
            <w:hideMark/>
          </w:tcPr>
          <w:p w14:paraId="751640ED"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2014</w:t>
            </w:r>
          </w:p>
        </w:tc>
        <w:tc>
          <w:tcPr>
            <w:tcW w:w="652" w:type="dxa"/>
            <w:tcBorders>
              <w:top w:val="nil"/>
              <w:left w:val="nil"/>
              <w:bottom w:val="single" w:sz="8" w:space="0" w:color="auto"/>
              <w:right w:val="nil"/>
            </w:tcBorders>
            <w:shd w:val="clear" w:color="000000" w:fill="F5DADD"/>
            <w:noWrap/>
            <w:vAlign w:val="bottom"/>
            <w:hideMark/>
          </w:tcPr>
          <w:p w14:paraId="71C5C50C"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2015</w:t>
            </w:r>
          </w:p>
        </w:tc>
        <w:tc>
          <w:tcPr>
            <w:tcW w:w="652" w:type="dxa"/>
            <w:tcBorders>
              <w:top w:val="nil"/>
              <w:left w:val="nil"/>
              <w:bottom w:val="single" w:sz="8" w:space="0" w:color="auto"/>
              <w:right w:val="nil"/>
            </w:tcBorders>
            <w:shd w:val="clear" w:color="000000" w:fill="F5DADD"/>
            <w:noWrap/>
            <w:vAlign w:val="bottom"/>
            <w:hideMark/>
          </w:tcPr>
          <w:p w14:paraId="4B254E6D"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2016</w:t>
            </w:r>
          </w:p>
        </w:tc>
        <w:tc>
          <w:tcPr>
            <w:tcW w:w="652" w:type="dxa"/>
            <w:tcBorders>
              <w:top w:val="nil"/>
              <w:left w:val="nil"/>
              <w:bottom w:val="single" w:sz="8" w:space="0" w:color="auto"/>
              <w:right w:val="nil"/>
            </w:tcBorders>
            <w:shd w:val="clear" w:color="000000" w:fill="F5DADD"/>
            <w:noWrap/>
            <w:vAlign w:val="bottom"/>
            <w:hideMark/>
          </w:tcPr>
          <w:p w14:paraId="713E892E"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2017</w:t>
            </w:r>
          </w:p>
        </w:tc>
        <w:tc>
          <w:tcPr>
            <w:tcW w:w="652" w:type="dxa"/>
            <w:tcBorders>
              <w:top w:val="nil"/>
              <w:left w:val="nil"/>
              <w:bottom w:val="single" w:sz="8" w:space="0" w:color="auto"/>
              <w:right w:val="nil"/>
            </w:tcBorders>
            <w:shd w:val="clear" w:color="000000" w:fill="F5DADD"/>
            <w:noWrap/>
            <w:vAlign w:val="bottom"/>
            <w:hideMark/>
          </w:tcPr>
          <w:p w14:paraId="0721A4E6" w14:textId="77777777" w:rsidR="00E743C4" w:rsidRPr="00E743C4" w:rsidRDefault="00E743C4" w:rsidP="00E743C4">
            <w:pPr>
              <w:spacing w:after="0" w:line="240" w:lineRule="auto"/>
              <w:jc w:val="center"/>
              <w:rPr>
                <w:rFonts w:cs="Arial"/>
                <w:sz w:val="16"/>
                <w:szCs w:val="16"/>
              </w:rPr>
            </w:pPr>
            <w:r w:rsidRPr="00E743C4">
              <w:rPr>
                <w:rFonts w:cs="Arial"/>
                <w:sz w:val="16"/>
                <w:szCs w:val="16"/>
              </w:rPr>
              <w:t>2018</w:t>
            </w:r>
          </w:p>
        </w:tc>
      </w:tr>
      <w:tr w:rsidR="00E743C4" w:rsidRPr="00E743C4" w14:paraId="2A09B405" w14:textId="77777777" w:rsidTr="00E743C4">
        <w:trPr>
          <w:trHeight w:val="300"/>
        </w:trPr>
        <w:tc>
          <w:tcPr>
            <w:tcW w:w="2324" w:type="dxa"/>
            <w:tcBorders>
              <w:top w:val="nil"/>
              <w:left w:val="nil"/>
              <w:bottom w:val="nil"/>
              <w:right w:val="single" w:sz="4" w:space="0" w:color="auto"/>
            </w:tcBorders>
            <w:shd w:val="clear" w:color="auto" w:fill="auto"/>
            <w:vAlign w:val="center"/>
            <w:hideMark/>
          </w:tcPr>
          <w:p w14:paraId="44DD00ED" w14:textId="77777777" w:rsidR="00E743C4" w:rsidRPr="00E743C4" w:rsidRDefault="00E743C4" w:rsidP="00E743C4">
            <w:pPr>
              <w:spacing w:after="0" w:line="240" w:lineRule="auto"/>
              <w:rPr>
                <w:rFonts w:cs="Arial"/>
                <w:b/>
                <w:bCs/>
                <w:sz w:val="16"/>
                <w:szCs w:val="16"/>
              </w:rPr>
            </w:pPr>
            <w:r w:rsidRPr="00E743C4">
              <w:rPr>
                <w:rFonts w:cs="Arial"/>
                <w:b/>
                <w:bCs/>
                <w:sz w:val="16"/>
                <w:szCs w:val="16"/>
              </w:rPr>
              <w:t>Celkem</w:t>
            </w:r>
          </w:p>
        </w:tc>
        <w:tc>
          <w:tcPr>
            <w:tcW w:w="652" w:type="dxa"/>
            <w:tcBorders>
              <w:top w:val="nil"/>
              <w:left w:val="nil"/>
              <w:bottom w:val="nil"/>
              <w:right w:val="nil"/>
            </w:tcBorders>
            <w:shd w:val="clear" w:color="auto" w:fill="auto"/>
            <w:noWrap/>
            <w:vAlign w:val="center"/>
            <w:hideMark/>
          </w:tcPr>
          <w:p w14:paraId="6D795F95"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31,88</w:t>
            </w:r>
          </w:p>
        </w:tc>
        <w:tc>
          <w:tcPr>
            <w:tcW w:w="652" w:type="dxa"/>
            <w:tcBorders>
              <w:top w:val="nil"/>
              <w:left w:val="nil"/>
              <w:bottom w:val="nil"/>
              <w:right w:val="nil"/>
            </w:tcBorders>
            <w:shd w:val="clear" w:color="auto" w:fill="auto"/>
            <w:noWrap/>
            <w:vAlign w:val="center"/>
            <w:hideMark/>
          </w:tcPr>
          <w:p w14:paraId="6454CF03"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26,03</w:t>
            </w:r>
          </w:p>
        </w:tc>
        <w:tc>
          <w:tcPr>
            <w:tcW w:w="652" w:type="dxa"/>
            <w:tcBorders>
              <w:top w:val="nil"/>
              <w:left w:val="nil"/>
              <w:bottom w:val="nil"/>
              <w:right w:val="nil"/>
            </w:tcBorders>
            <w:shd w:val="clear" w:color="auto" w:fill="auto"/>
            <w:noWrap/>
            <w:vAlign w:val="center"/>
            <w:hideMark/>
          </w:tcPr>
          <w:p w14:paraId="249697E8"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22,79</w:t>
            </w:r>
          </w:p>
        </w:tc>
        <w:tc>
          <w:tcPr>
            <w:tcW w:w="652" w:type="dxa"/>
            <w:tcBorders>
              <w:top w:val="nil"/>
              <w:left w:val="nil"/>
              <w:bottom w:val="nil"/>
              <w:right w:val="nil"/>
            </w:tcBorders>
            <w:shd w:val="clear" w:color="auto" w:fill="auto"/>
            <w:noWrap/>
            <w:vAlign w:val="center"/>
            <w:hideMark/>
          </w:tcPr>
          <w:p w14:paraId="404E75C0"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21,51</w:t>
            </w:r>
          </w:p>
        </w:tc>
        <w:tc>
          <w:tcPr>
            <w:tcW w:w="652" w:type="dxa"/>
            <w:tcBorders>
              <w:top w:val="nil"/>
              <w:left w:val="nil"/>
              <w:bottom w:val="nil"/>
              <w:right w:val="nil"/>
            </w:tcBorders>
            <w:shd w:val="clear" w:color="auto" w:fill="auto"/>
            <w:noWrap/>
            <w:vAlign w:val="center"/>
            <w:hideMark/>
          </w:tcPr>
          <w:p w14:paraId="1D0811C1"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19,38</w:t>
            </w:r>
          </w:p>
        </w:tc>
        <w:tc>
          <w:tcPr>
            <w:tcW w:w="652" w:type="dxa"/>
            <w:tcBorders>
              <w:top w:val="nil"/>
              <w:left w:val="nil"/>
              <w:bottom w:val="nil"/>
              <w:right w:val="nil"/>
            </w:tcBorders>
            <w:shd w:val="clear" w:color="auto" w:fill="auto"/>
            <w:noWrap/>
            <w:vAlign w:val="center"/>
            <w:hideMark/>
          </w:tcPr>
          <w:p w14:paraId="599DEC22"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20,14</w:t>
            </w:r>
          </w:p>
        </w:tc>
        <w:tc>
          <w:tcPr>
            <w:tcW w:w="652" w:type="dxa"/>
            <w:tcBorders>
              <w:top w:val="nil"/>
              <w:left w:val="nil"/>
              <w:bottom w:val="nil"/>
              <w:right w:val="nil"/>
            </w:tcBorders>
            <w:shd w:val="clear" w:color="auto" w:fill="auto"/>
            <w:noWrap/>
            <w:vAlign w:val="center"/>
            <w:hideMark/>
          </w:tcPr>
          <w:p w14:paraId="1A78B815"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22,08</w:t>
            </w:r>
          </w:p>
        </w:tc>
        <w:tc>
          <w:tcPr>
            <w:tcW w:w="652" w:type="dxa"/>
            <w:tcBorders>
              <w:top w:val="nil"/>
              <w:left w:val="nil"/>
              <w:bottom w:val="nil"/>
              <w:right w:val="nil"/>
            </w:tcBorders>
            <w:shd w:val="clear" w:color="auto" w:fill="auto"/>
            <w:noWrap/>
            <w:vAlign w:val="center"/>
            <w:hideMark/>
          </w:tcPr>
          <w:p w14:paraId="243ACE67"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24,11</w:t>
            </w:r>
          </w:p>
        </w:tc>
        <w:tc>
          <w:tcPr>
            <w:tcW w:w="652" w:type="dxa"/>
            <w:tcBorders>
              <w:top w:val="nil"/>
              <w:left w:val="nil"/>
              <w:bottom w:val="nil"/>
              <w:right w:val="nil"/>
            </w:tcBorders>
            <w:shd w:val="clear" w:color="auto" w:fill="auto"/>
            <w:noWrap/>
            <w:vAlign w:val="center"/>
            <w:hideMark/>
          </w:tcPr>
          <w:p w14:paraId="7F0D17E9"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26,28</w:t>
            </w:r>
          </w:p>
        </w:tc>
        <w:tc>
          <w:tcPr>
            <w:tcW w:w="652" w:type="dxa"/>
            <w:tcBorders>
              <w:top w:val="nil"/>
              <w:left w:val="nil"/>
              <w:bottom w:val="nil"/>
              <w:right w:val="nil"/>
            </w:tcBorders>
            <w:shd w:val="clear" w:color="auto" w:fill="auto"/>
            <w:noWrap/>
            <w:vAlign w:val="center"/>
            <w:hideMark/>
          </w:tcPr>
          <w:p w14:paraId="345B4553"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28,32</w:t>
            </w:r>
          </w:p>
        </w:tc>
        <w:tc>
          <w:tcPr>
            <w:tcW w:w="652" w:type="dxa"/>
            <w:tcBorders>
              <w:top w:val="nil"/>
              <w:left w:val="nil"/>
              <w:bottom w:val="nil"/>
              <w:right w:val="nil"/>
            </w:tcBorders>
            <w:shd w:val="clear" w:color="auto" w:fill="auto"/>
            <w:noWrap/>
            <w:vAlign w:val="center"/>
            <w:hideMark/>
          </w:tcPr>
          <w:p w14:paraId="2C7F4869" w14:textId="77777777" w:rsidR="00E743C4" w:rsidRPr="00E743C4" w:rsidRDefault="00E743C4" w:rsidP="00E743C4">
            <w:pPr>
              <w:spacing w:after="0" w:line="240" w:lineRule="auto"/>
              <w:jc w:val="right"/>
              <w:rPr>
                <w:rFonts w:cs="Arial"/>
                <w:b/>
                <w:bCs/>
                <w:sz w:val="16"/>
                <w:szCs w:val="16"/>
              </w:rPr>
            </w:pPr>
            <w:r w:rsidRPr="00E743C4">
              <w:rPr>
                <w:rFonts w:cs="Arial"/>
                <w:b/>
                <w:bCs/>
                <w:sz w:val="16"/>
                <w:szCs w:val="16"/>
              </w:rPr>
              <w:t>33,97</w:t>
            </w:r>
          </w:p>
        </w:tc>
      </w:tr>
      <w:tr w:rsidR="00E743C4" w:rsidRPr="00E743C4" w14:paraId="628A8E71" w14:textId="77777777" w:rsidTr="00E743C4">
        <w:trPr>
          <w:trHeight w:val="300"/>
        </w:trPr>
        <w:tc>
          <w:tcPr>
            <w:tcW w:w="2324" w:type="dxa"/>
            <w:tcBorders>
              <w:top w:val="nil"/>
              <w:left w:val="nil"/>
              <w:bottom w:val="nil"/>
              <w:right w:val="single" w:sz="4" w:space="0" w:color="auto"/>
            </w:tcBorders>
            <w:shd w:val="clear" w:color="000000" w:fill="F5DADD"/>
            <w:vAlign w:val="center"/>
            <w:hideMark/>
          </w:tcPr>
          <w:p w14:paraId="514BEF6B" w14:textId="77777777" w:rsidR="00E743C4" w:rsidRPr="00E743C4" w:rsidRDefault="00E743C4" w:rsidP="00E743C4">
            <w:pPr>
              <w:spacing w:after="0" w:line="240" w:lineRule="auto"/>
              <w:ind w:firstLineChars="100" w:firstLine="160"/>
              <w:rPr>
                <w:rFonts w:cs="Arial"/>
                <w:sz w:val="16"/>
                <w:szCs w:val="16"/>
              </w:rPr>
            </w:pPr>
            <w:r w:rsidRPr="00E743C4">
              <w:rPr>
                <w:rFonts w:cs="Arial"/>
                <w:sz w:val="16"/>
                <w:szCs w:val="16"/>
              </w:rPr>
              <w:t>nemocenské</w:t>
            </w:r>
          </w:p>
        </w:tc>
        <w:tc>
          <w:tcPr>
            <w:tcW w:w="652" w:type="dxa"/>
            <w:tcBorders>
              <w:top w:val="nil"/>
              <w:left w:val="nil"/>
              <w:bottom w:val="nil"/>
              <w:right w:val="nil"/>
            </w:tcBorders>
            <w:shd w:val="clear" w:color="000000" w:fill="F5DADD"/>
            <w:noWrap/>
            <w:vAlign w:val="center"/>
            <w:hideMark/>
          </w:tcPr>
          <w:p w14:paraId="692CC046" w14:textId="77777777" w:rsidR="00E743C4" w:rsidRPr="00E743C4" w:rsidRDefault="00E743C4" w:rsidP="00E743C4">
            <w:pPr>
              <w:spacing w:after="0" w:line="240" w:lineRule="auto"/>
              <w:jc w:val="right"/>
              <w:rPr>
                <w:rFonts w:cs="Arial"/>
                <w:sz w:val="16"/>
                <w:szCs w:val="16"/>
              </w:rPr>
            </w:pPr>
            <w:r w:rsidRPr="00E743C4">
              <w:rPr>
                <w:rFonts w:cs="Arial"/>
                <w:sz w:val="16"/>
                <w:szCs w:val="16"/>
              </w:rPr>
              <w:t>24,77</w:t>
            </w:r>
          </w:p>
        </w:tc>
        <w:tc>
          <w:tcPr>
            <w:tcW w:w="652" w:type="dxa"/>
            <w:tcBorders>
              <w:top w:val="nil"/>
              <w:left w:val="nil"/>
              <w:bottom w:val="nil"/>
              <w:right w:val="nil"/>
            </w:tcBorders>
            <w:shd w:val="clear" w:color="000000" w:fill="F5DADD"/>
            <w:noWrap/>
            <w:vAlign w:val="center"/>
            <w:hideMark/>
          </w:tcPr>
          <w:p w14:paraId="74D9268D" w14:textId="77777777" w:rsidR="00E743C4" w:rsidRPr="00E743C4" w:rsidRDefault="00E743C4" w:rsidP="00E743C4">
            <w:pPr>
              <w:spacing w:after="0" w:line="240" w:lineRule="auto"/>
              <w:jc w:val="right"/>
              <w:rPr>
                <w:rFonts w:cs="Arial"/>
                <w:sz w:val="16"/>
                <w:szCs w:val="16"/>
              </w:rPr>
            </w:pPr>
            <w:r w:rsidRPr="00E743C4">
              <w:rPr>
                <w:rFonts w:cs="Arial"/>
                <w:sz w:val="16"/>
                <w:szCs w:val="16"/>
              </w:rPr>
              <w:t>18,22</w:t>
            </w:r>
          </w:p>
        </w:tc>
        <w:tc>
          <w:tcPr>
            <w:tcW w:w="652" w:type="dxa"/>
            <w:tcBorders>
              <w:top w:val="nil"/>
              <w:left w:val="nil"/>
              <w:bottom w:val="nil"/>
              <w:right w:val="nil"/>
            </w:tcBorders>
            <w:shd w:val="clear" w:color="000000" w:fill="F5DADD"/>
            <w:noWrap/>
            <w:vAlign w:val="center"/>
            <w:hideMark/>
          </w:tcPr>
          <w:p w14:paraId="49A8E95B" w14:textId="77777777" w:rsidR="00E743C4" w:rsidRPr="00E743C4" w:rsidRDefault="00E743C4" w:rsidP="00E743C4">
            <w:pPr>
              <w:spacing w:after="0" w:line="240" w:lineRule="auto"/>
              <w:jc w:val="right"/>
              <w:rPr>
                <w:rFonts w:cs="Arial"/>
                <w:sz w:val="16"/>
                <w:szCs w:val="16"/>
              </w:rPr>
            </w:pPr>
            <w:r w:rsidRPr="00E743C4">
              <w:rPr>
                <w:rFonts w:cs="Arial"/>
                <w:sz w:val="16"/>
                <w:szCs w:val="16"/>
              </w:rPr>
              <w:t>14,94</w:t>
            </w:r>
          </w:p>
        </w:tc>
        <w:tc>
          <w:tcPr>
            <w:tcW w:w="652" w:type="dxa"/>
            <w:tcBorders>
              <w:top w:val="nil"/>
              <w:left w:val="nil"/>
              <w:bottom w:val="nil"/>
              <w:right w:val="nil"/>
            </w:tcBorders>
            <w:shd w:val="clear" w:color="000000" w:fill="F5DADD"/>
            <w:noWrap/>
            <w:vAlign w:val="center"/>
            <w:hideMark/>
          </w:tcPr>
          <w:p w14:paraId="700D24E4" w14:textId="77777777" w:rsidR="00E743C4" w:rsidRPr="00E743C4" w:rsidRDefault="00E743C4" w:rsidP="00E743C4">
            <w:pPr>
              <w:spacing w:after="0" w:line="240" w:lineRule="auto"/>
              <w:jc w:val="right"/>
              <w:rPr>
                <w:rFonts w:cs="Arial"/>
                <w:sz w:val="16"/>
                <w:szCs w:val="16"/>
              </w:rPr>
            </w:pPr>
            <w:r w:rsidRPr="00E743C4">
              <w:rPr>
                <w:rFonts w:cs="Arial"/>
                <w:sz w:val="16"/>
                <w:szCs w:val="16"/>
              </w:rPr>
              <w:t>13,35</w:t>
            </w:r>
          </w:p>
        </w:tc>
        <w:tc>
          <w:tcPr>
            <w:tcW w:w="652" w:type="dxa"/>
            <w:tcBorders>
              <w:top w:val="nil"/>
              <w:left w:val="nil"/>
              <w:bottom w:val="nil"/>
              <w:right w:val="nil"/>
            </w:tcBorders>
            <w:shd w:val="clear" w:color="000000" w:fill="F5DADD"/>
            <w:noWrap/>
            <w:vAlign w:val="center"/>
            <w:hideMark/>
          </w:tcPr>
          <w:p w14:paraId="434D410E" w14:textId="77777777" w:rsidR="00E743C4" w:rsidRPr="00E743C4" w:rsidRDefault="00E743C4" w:rsidP="00E743C4">
            <w:pPr>
              <w:spacing w:after="0" w:line="240" w:lineRule="auto"/>
              <w:jc w:val="right"/>
              <w:rPr>
                <w:rFonts w:cs="Arial"/>
                <w:sz w:val="16"/>
                <w:szCs w:val="16"/>
              </w:rPr>
            </w:pPr>
            <w:r w:rsidRPr="00E743C4">
              <w:rPr>
                <w:rFonts w:cs="Arial"/>
                <w:sz w:val="16"/>
                <w:szCs w:val="16"/>
              </w:rPr>
              <w:t>11,47</w:t>
            </w:r>
          </w:p>
        </w:tc>
        <w:tc>
          <w:tcPr>
            <w:tcW w:w="652" w:type="dxa"/>
            <w:tcBorders>
              <w:top w:val="nil"/>
              <w:left w:val="nil"/>
              <w:bottom w:val="nil"/>
              <w:right w:val="nil"/>
            </w:tcBorders>
            <w:shd w:val="clear" w:color="000000" w:fill="F5DADD"/>
            <w:noWrap/>
            <w:vAlign w:val="center"/>
            <w:hideMark/>
          </w:tcPr>
          <w:p w14:paraId="05C5843D" w14:textId="77777777" w:rsidR="00E743C4" w:rsidRPr="00E743C4" w:rsidRDefault="00E743C4" w:rsidP="00E743C4">
            <w:pPr>
              <w:spacing w:after="0" w:line="240" w:lineRule="auto"/>
              <w:jc w:val="right"/>
              <w:rPr>
                <w:rFonts w:cs="Arial"/>
                <w:sz w:val="16"/>
                <w:szCs w:val="16"/>
              </w:rPr>
            </w:pPr>
            <w:r w:rsidRPr="00E743C4">
              <w:rPr>
                <w:rFonts w:cs="Arial"/>
                <w:sz w:val="16"/>
                <w:szCs w:val="16"/>
              </w:rPr>
              <w:t>12,04</w:t>
            </w:r>
          </w:p>
        </w:tc>
        <w:tc>
          <w:tcPr>
            <w:tcW w:w="652" w:type="dxa"/>
            <w:tcBorders>
              <w:top w:val="nil"/>
              <w:left w:val="nil"/>
              <w:bottom w:val="nil"/>
              <w:right w:val="nil"/>
            </w:tcBorders>
            <w:shd w:val="clear" w:color="000000" w:fill="F5DADD"/>
            <w:noWrap/>
            <w:vAlign w:val="center"/>
            <w:hideMark/>
          </w:tcPr>
          <w:p w14:paraId="056EDCF3" w14:textId="77777777" w:rsidR="00E743C4" w:rsidRPr="00E743C4" w:rsidRDefault="00E743C4" w:rsidP="00E743C4">
            <w:pPr>
              <w:spacing w:after="0" w:line="240" w:lineRule="auto"/>
              <w:jc w:val="right"/>
              <w:rPr>
                <w:rFonts w:cs="Arial"/>
                <w:sz w:val="16"/>
                <w:szCs w:val="16"/>
              </w:rPr>
            </w:pPr>
            <w:r w:rsidRPr="00E743C4">
              <w:rPr>
                <w:rFonts w:cs="Arial"/>
                <w:sz w:val="16"/>
                <w:szCs w:val="16"/>
              </w:rPr>
              <w:t>13,88</w:t>
            </w:r>
          </w:p>
        </w:tc>
        <w:tc>
          <w:tcPr>
            <w:tcW w:w="652" w:type="dxa"/>
            <w:tcBorders>
              <w:top w:val="nil"/>
              <w:left w:val="nil"/>
              <w:bottom w:val="nil"/>
              <w:right w:val="nil"/>
            </w:tcBorders>
            <w:shd w:val="clear" w:color="000000" w:fill="F5DADD"/>
            <w:noWrap/>
            <w:vAlign w:val="center"/>
            <w:hideMark/>
          </w:tcPr>
          <w:p w14:paraId="091F0004" w14:textId="77777777" w:rsidR="00E743C4" w:rsidRPr="00E743C4" w:rsidRDefault="00E743C4" w:rsidP="00E743C4">
            <w:pPr>
              <w:spacing w:after="0" w:line="240" w:lineRule="auto"/>
              <w:jc w:val="right"/>
              <w:rPr>
                <w:rFonts w:cs="Arial"/>
                <w:sz w:val="16"/>
                <w:szCs w:val="16"/>
              </w:rPr>
            </w:pPr>
            <w:r w:rsidRPr="00E743C4">
              <w:rPr>
                <w:rFonts w:cs="Arial"/>
                <w:sz w:val="16"/>
                <w:szCs w:val="16"/>
              </w:rPr>
              <w:t>15,43</w:t>
            </w:r>
          </w:p>
        </w:tc>
        <w:tc>
          <w:tcPr>
            <w:tcW w:w="652" w:type="dxa"/>
            <w:tcBorders>
              <w:top w:val="nil"/>
              <w:left w:val="nil"/>
              <w:bottom w:val="nil"/>
              <w:right w:val="nil"/>
            </w:tcBorders>
            <w:shd w:val="clear" w:color="000000" w:fill="F5DADD"/>
            <w:noWrap/>
            <w:vAlign w:val="center"/>
            <w:hideMark/>
          </w:tcPr>
          <w:p w14:paraId="0550539A" w14:textId="77777777" w:rsidR="00E743C4" w:rsidRPr="00E743C4" w:rsidRDefault="00E743C4" w:rsidP="00E743C4">
            <w:pPr>
              <w:spacing w:after="0" w:line="240" w:lineRule="auto"/>
              <w:jc w:val="right"/>
              <w:rPr>
                <w:rFonts w:cs="Arial"/>
                <w:sz w:val="16"/>
                <w:szCs w:val="16"/>
              </w:rPr>
            </w:pPr>
            <w:r w:rsidRPr="00E743C4">
              <w:rPr>
                <w:rFonts w:cs="Arial"/>
                <w:sz w:val="16"/>
                <w:szCs w:val="16"/>
              </w:rPr>
              <w:t>16,99</w:t>
            </w:r>
          </w:p>
        </w:tc>
        <w:tc>
          <w:tcPr>
            <w:tcW w:w="652" w:type="dxa"/>
            <w:tcBorders>
              <w:top w:val="nil"/>
              <w:left w:val="nil"/>
              <w:bottom w:val="nil"/>
              <w:right w:val="nil"/>
            </w:tcBorders>
            <w:shd w:val="clear" w:color="000000" w:fill="F5DADD"/>
            <w:noWrap/>
            <w:vAlign w:val="center"/>
            <w:hideMark/>
          </w:tcPr>
          <w:p w14:paraId="75A3EC9F"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18,29</w:t>
            </w:r>
          </w:p>
        </w:tc>
        <w:tc>
          <w:tcPr>
            <w:tcW w:w="652" w:type="dxa"/>
            <w:tcBorders>
              <w:top w:val="nil"/>
              <w:left w:val="nil"/>
              <w:bottom w:val="nil"/>
              <w:right w:val="nil"/>
            </w:tcBorders>
            <w:shd w:val="clear" w:color="000000" w:fill="F5DADD"/>
            <w:noWrap/>
            <w:vAlign w:val="center"/>
            <w:hideMark/>
          </w:tcPr>
          <w:p w14:paraId="2CB97A03"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22,68</w:t>
            </w:r>
          </w:p>
        </w:tc>
      </w:tr>
      <w:tr w:rsidR="00E743C4" w:rsidRPr="00E743C4" w14:paraId="5B083129" w14:textId="77777777" w:rsidTr="00E743C4">
        <w:trPr>
          <w:trHeight w:val="300"/>
        </w:trPr>
        <w:tc>
          <w:tcPr>
            <w:tcW w:w="2324" w:type="dxa"/>
            <w:tcBorders>
              <w:top w:val="nil"/>
              <w:left w:val="nil"/>
              <w:bottom w:val="nil"/>
              <w:right w:val="single" w:sz="4" w:space="0" w:color="auto"/>
            </w:tcBorders>
            <w:shd w:val="clear" w:color="auto" w:fill="auto"/>
            <w:vAlign w:val="center"/>
            <w:hideMark/>
          </w:tcPr>
          <w:p w14:paraId="78877E95" w14:textId="77777777" w:rsidR="00E743C4" w:rsidRPr="00E743C4" w:rsidRDefault="00E743C4" w:rsidP="00E743C4">
            <w:pPr>
              <w:spacing w:after="0" w:line="240" w:lineRule="auto"/>
              <w:ind w:firstLineChars="100" w:firstLine="160"/>
              <w:rPr>
                <w:rFonts w:cs="Arial"/>
                <w:sz w:val="16"/>
                <w:szCs w:val="16"/>
              </w:rPr>
            </w:pPr>
            <w:r w:rsidRPr="00E743C4">
              <w:rPr>
                <w:rFonts w:cs="Arial"/>
                <w:sz w:val="16"/>
                <w:szCs w:val="16"/>
              </w:rPr>
              <w:t>ošetřovné</w:t>
            </w:r>
          </w:p>
        </w:tc>
        <w:tc>
          <w:tcPr>
            <w:tcW w:w="652" w:type="dxa"/>
            <w:tcBorders>
              <w:top w:val="nil"/>
              <w:left w:val="nil"/>
              <w:bottom w:val="nil"/>
              <w:right w:val="nil"/>
            </w:tcBorders>
            <w:shd w:val="clear" w:color="auto" w:fill="auto"/>
            <w:noWrap/>
            <w:vAlign w:val="center"/>
            <w:hideMark/>
          </w:tcPr>
          <w:p w14:paraId="01100BCD" w14:textId="77777777" w:rsidR="00E743C4" w:rsidRPr="00E743C4" w:rsidRDefault="00E743C4" w:rsidP="00E743C4">
            <w:pPr>
              <w:spacing w:after="0" w:line="240" w:lineRule="auto"/>
              <w:jc w:val="right"/>
              <w:rPr>
                <w:rFonts w:cs="Arial"/>
                <w:sz w:val="16"/>
                <w:szCs w:val="16"/>
              </w:rPr>
            </w:pPr>
            <w:r w:rsidRPr="00E743C4">
              <w:rPr>
                <w:rFonts w:cs="Arial"/>
                <w:sz w:val="16"/>
                <w:szCs w:val="16"/>
              </w:rPr>
              <w:t>0,81</w:t>
            </w:r>
          </w:p>
        </w:tc>
        <w:tc>
          <w:tcPr>
            <w:tcW w:w="652" w:type="dxa"/>
            <w:tcBorders>
              <w:top w:val="nil"/>
              <w:left w:val="nil"/>
              <w:bottom w:val="nil"/>
              <w:right w:val="nil"/>
            </w:tcBorders>
            <w:shd w:val="clear" w:color="auto" w:fill="auto"/>
            <w:noWrap/>
            <w:vAlign w:val="center"/>
            <w:hideMark/>
          </w:tcPr>
          <w:p w14:paraId="5FA159B7" w14:textId="77777777" w:rsidR="00E743C4" w:rsidRPr="00E743C4" w:rsidRDefault="00E743C4" w:rsidP="00E743C4">
            <w:pPr>
              <w:spacing w:after="0" w:line="240" w:lineRule="auto"/>
              <w:jc w:val="right"/>
              <w:rPr>
                <w:rFonts w:cs="Arial"/>
                <w:sz w:val="16"/>
                <w:szCs w:val="16"/>
              </w:rPr>
            </w:pPr>
            <w:r w:rsidRPr="00E743C4">
              <w:rPr>
                <w:rFonts w:cs="Arial"/>
                <w:sz w:val="16"/>
                <w:szCs w:val="16"/>
              </w:rPr>
              <w:t>0,73</w:t>
            </w:r>
          </w:p>
        </w:tc>
        <w:tc>
          <w:tcPr>
            <w:tcW w:w="652" w:type="dxa"/>
            <w:tcBorders>
              <w:top w:val="nil"/>
              <w:left w:val="nil"/>
              <w:bottom w:val="nil"/>
              <w:right w:val="nil"/>
            </w:tcBorders>
            <w:shd w:val="clear" w:color="auto" w:fill="auto"/>
            <w:noWrap/>
            <w:vAlign w:val="center"/>
            <w:hideMark/>
          </w:tcPr>
          <w:p w14:paraId="4BFB9BB2" w14:textId="77777777" w:rsidR="00E743C4" w:rsidRPr="00E743C4" w:rsidRDefault="00E743C4" w:rsidP="00E743C4">
            <w:pPr>
              <w:spacing w:after="0" w:line="240" w:lineRule="auto"/>
              <w:jc w:val="right"/>
              <w:rPr>
                <w:rFonts w:cs="Arial"/>
                <w:sz w:val="16"/>
                <w:szCs w:val="16"/>
              </w:rPr>
            </w:pPr>
            <w:r w:rsidRPr="00E743C4">
              <w:rPr>
                <w:rFonts w:cs="Arial"/>
                <w:sz w:val="16"/>
                <w:szCs w:val="16"/>
              </w:rPr>
              <w:t>0,43</w:t>
            </w:r>
          </w:p>
        </w:tc>
        <w:tc>
          <w:tcPr>
            <w:tcW w:w="652" w:type="dxa"/>
            <w:tcBorders>
              <w:top w:val="nil"/>
              <w:left w:val="nil"/>
              <w:bottom w:val="nil"/>
              <w:right w:val="nil"/>
            </w:tcBorders>
            <w:shd w:val="clear" w:color="auto" w:fill="auto"/>
            <w:noWrap/>
            <w:vAlign w:val="center"/>
            <w:hideMark/>
          </w:tcPr>
          <w:p w14:paraId="0E90D548" w14:textId="77777777" w:rsidR="00E743C4" w:rsidRPr="00E743C4" w:rsidRDefault="00E743C4" w:rsidP="00E743C4">
            <w:pPr>
              <w:spacing w:after="0" w:line="240" w:lineRule="auto"/>
              <w:jc w:val="right"/>
              <w:rPr>
                <w:rFonts w:cs="Arial"/>
                <w:sz w:val="16"/>
                <w:szCs w:val="16"/>
              </w:rPr>
            </w:pPr>
            <w:r w:rsidRPr="00E743C4">
              <w:rPr>
                <w:rFonts w:cs="Arial"/>
                <w:sz w:val="16"/>
                <w:szCs w:val="16"/>
              </w:rPr>
              <w:t>0,64</w:t>
            </w:r>
          </w:p>
        </w:tc>
        <w:tc>
          <w:tcPr>
            <w:tcW w:w="652" w:type="dxa"/>
            <w:tcBorders>
              <w:top w:val="nil"/>
              <w:left w:val="nil"/>
              <w:bottom w:val="nil"/>
              <w:right w:val="nil"/>
            </w:tcBorders>
            <w:shd w:val="clear" w:color="auto" w:fill="auto"/>
            <w:noWrap/>
            <w:vAlign w:val="center"/>
            <w:hideMark/>
          </w:tcPr>
          <w:p w14:paraId="6552E7EC" w14:textId="77777777" w:rsidR="00E743C4" w:rsidRPr="00E743C4" w:rsidRDefault="00E743C4" w:rsidP="00E743C4">
            <w:pPr>
              <w:spacing w:after="0" w:line="240" w:lineRule="auto"/>
              <w:jc w:val="right"/>
              <w:rPr>
                <w:rFonts w:cs="Arial"/>
                <w:sz w:val="16"/>
                <w:szCs w:val="16"/>
              </w:rPr>
            </w:pPr>
            <w:r w:rsidRPr="00E743C4">
              <w:rPr>
                <w:rFonts w:cs="Arial"/>
                <w:sz w:val="16"/>
                <w:szCs w:val="16"/>
              </w:rPr>
              <w:t>0,68</w:t>
            </w:r>
          </w:p>
        </w:tc>
        <w:tc>
          <w:tcPr>
            <w:tcW w:w="652" w:type="dxa"/>
            <w:tcBorders>
              <w:top w:val="nil"/>
              <w:left w:val="nil"/>
              <w:bottom w:val="nil"/>
              <w:right w:val="nil"/>
            </w:tcBorders>
            <w:shd w:val="clear" w:color="auto" w:fill="auto"/>
            <w:noWrap/>
            <w:vAlign w:val="center"/>
            <w:hideMark/>
          </w:tcPr>
          <w:p w14:paraId="38982E7D" w14:textId="77777777" w:rsidR="00E743C4" w:rsidRPr="00E743C4" w:rsidRDefault="00E743C4" w:rsidP="00E743C4">
            <w:pPr>
              <w:spacing w:after="0" w:line="240" w:lineRule="auto"/>
              <w:jc w:val="right"/>
              <w:rPr>
                <w:rFonts w:cs="Arial"/>
                <w:sz w:val="16"/>
                <w:szCs w:val="16"/>
              </w:rPr>
            </w:pPr>
            <w:r w:rsidRPr="00E743C4">
              <w:rPr>
                <w:rFonts w:cs="Arial"/>
                <w:sz w:val="16"/>
                <w:szCs w:val="16"/>
              </w:rPr>
              <w:t>0,84</w:t>
            </w:r>
          </w:p>
        </w:tc>
        <w:tc>
          <w:tcPr>
            <w:tcW w:w="652" w:type="dxa"/>
            <w:tcBorders>
              <w:top w:val="nil"/>
              <w:left w:val="nil"/>
              <w:bottom w:val="nil"/>
              <w:right w:val="nil"/>
            </w:tcBorders>
            <w:shd w:val="clear" w:color="auto" w:fill="auto"/>
            <w:noWrap/>
            <w:vAlign w:val="center"/>
            <w:hideMark/>
          </w:tcPr>
          <w:p w14:paraId="413C3E83" w14:textId="77777777" w:rsidR="00E743C4" w:rsidRPr="00E743C4" w:rsidRDefault="00E743C4" w:rsidP="00E743C4">
            <w:pPr>
              <w:spacing w:after="0" w:line="240" w:lineRule="auto"/>
              <w:jc w:val="right"/>
              <w:rPr>
                <w:rFonts w:cs="Arial"/>
                <w:sz w:val="16"/>
                <w:szCs w:val="16"/>
              </w:rPr>
            </w:pPr>
            <w:r w:rsidRPr="00E743C4">
              <w:rPr>
                <w:rFonts w:cs="Arial"/>
                <w:sz w:val="16"/>
                <w:szCs w:val="16"/>
              </w:rPr>
              <w:t>0,85</w:t>
            </w:r>
          </w:p>
        </w:tc>
        <w:tc>
          <w:tcPr>
            <w:tcW w:w="652" w:type="dxa"/>
            <w:tcBorders>
              <w:top w:val="nil"/>
              <w:left w:val="nil"/>
              <w:bottom w:val="nil"/>
              <w:right w:val="nil"/>
            </w:tcBorders>
            <w:shd w:val="clear" w:color="auto" w:fill="auto"/>
            <w:noWrap/>
            <w:vAlign w:val="center"/>
            <w:hideMark/>
          </w:tcPr>
          <w:p w14:paraId="3F36FDE8" w14:textId="77777777" w:rsidR="00E743C4" w:rsidRPr="00E743C4" w:rsidRDefault="00E743C4" w:rsidP="00E743C4">
            <w:pPr>
              <w:spacing w:after="0" w:line="240" w:lineRule="auto"/>
              <w:jc w:val="right"/>
              <w:rPr>
                <w:rFonts w:cs="Arial"/>
                <w:sz w:val="16"/>
                <w:szCs w:val="16"/>
              </w:rPr>
            </w:pPr>
            <w:r w:rsidRPr="00E743C4">
              <w:rPr>
                <w:rFonts w:cs="Arial"/>
                <w:sz w:val="16"/>
                <w:szCs w:val="16"/>
              </w:rPr>
              <w:t>1,06</w:t>
            </w:r>
          </w:p>
        </w:tc>
        <w:tc>
          <w:tcPr>
            <w:tcW w:w="652" w:type="dxa"/>
            <w:tcBorders>
              <w:top w:val="nil"/>
              <w:left w:val="nil"/>
              <w:bottom w:val="nil"/>
              <w:right w:val="nil"/>
            </w:tcBorders>
            <w:shd w:val="clear" w:color="auto" w:fill="auto"/>
            <w:noWrap/>
            <w:vAlign w:val="center"/>
            <w:hideMark/>
          </w:tcPr>
          <w:p w14:paraId="3BB790B6" w14:textId="77777777" w:rsidR="00E743C4" w:rsidRPr="00E743C4" w:rsidRDefault="00E743C4" w:rsidP="00E743C4">
            <w:pPr>
              <w:spacing w:after="0" w:line="240" w:lineRule="auto"/>
              <w:jc w:val="right"/>
              <w:rPr>
                <w:rFonts w:cs="Arial"/>
                <w:sz w:val="16"/>
                <w:szCs w:val="16"/>
              </w:rPr>
            </w:pPr>
            <w:r w:rsidRPr="00E743C4">
              <w:rPr>
                <w:rFonts w:cs="Arial"/>
                <w:sz w:val="16"/>
                <w:szCs w:val="16"/>
              </w:rPr>
              <w:t>1,18</w:t>
            </w:r>
          </w:p>
        </w:tc>
        <w:tc>
          <w:tcPr>
            <w:tcW w:w="652" w:type="dxa"/>
            <w:tcBorders>
              <w:top w:val="nil"/>
              <w:left w:val="nil"/>
              <w:bottom w:val="nil"/>
              <w:right w:val="nil"/>
            </w:tcBorders>
            <w:shd w:val="clear" w:color="auto" w:fill="auto"/>
            <w:noWrap/>
            <w:vAlign w:val="center"/>
            <w:hideMark/>
          </w:tcPr>
          <w:p w14:paraId="0C377162" w14:textId="77777777" w:rsidR="00E743C4" w:rsidRPr="00E743C4" w:rsidRDefault="00E743C4" w:rsidP="00E743C4">
            <w:pPr>
              <w:spacing w:after="0" w:line="240" w:lineRule="auto"/>
              <w:jc w:val="right"/>
              <w:rPr>
                <w:rFonts w:cs="Arial"/>
                <w:sz w:val="16"/>
                <w:szCs w:val="16"/>
              </w:rPr>
            </w:pPr>
            <w:r w:rsidRPr="00E743C4">
              <w:rPr>
                <w:rFonts w:cs="Arial"/>
                <w:sz w:val="16"/>
                <w:szCs w:val="16"/>
              </w:rPr>
              <w:t>1,40</w:t>
            </w:r>
          </w:p>
        </w:tc>
        <w:tc>
          <w:tcPr>
            <w:tcW w:w="652" w:type="dxa"/>
            <w:tcBorders>
              <w:top w:val="nil"/>
              <w:left w:val="nil"/>
              <w:bottom w:val="nil"/>
              <w:right w:val="nil"/>
            </w:tcBorders>
            <w:shd w:val="clear" w:color="auto" w:fill="auto"/>
            <w:noWrap/>
            <w:vAlign w:val="center"/>
            <w:hideMark/>
          </w:tcPr>
          <w:p w14:paraId="46057938" w14:textId="77777777" w:rsidR="00E743C4" w:rsidRPr="00E743C4" w:rsidRDefault="00E743C4" w:rsidP="00E743C4">
            <w:pPr>
              <w:spacing w:after="0" w:line="240" w:lineRule="auto"/>
              <w:jc w:val="right"/>
              <w:rPr>
                <w:rFonts w:cs="Arial"/>
                <w:sz w:val="16"/>
                <w:szCs w:val="16"/>
              </w:rPr>
            </w:pPr>
            <w:r w:rsidRPr="00E743C4">
              <w:rPr>
                <w:rFonts w:cs="Arial"/>
                <w:sz w:val="16"/>
                <w:szCs w:val="16"/>
              </w:rPr>
              <w:t>1,63</w:t>
            </w:r>
          </w:p>
        </w:tc>
      </w:tr>
      <w:tr w:rsidR="00E743C4" w:rsidRPr="00E743C4" w14:paraId="7DD4B230" w14:textId="77777777" w:rsidTr="00E743C4">
        <w:trPr>
          <w:trHeight w:val="300"/>
        </w:trPr>
        <w:tc>
          <w:tcPr>
            <w:tcW w:w="2324" w:type="dxa"/>
            <w:tcBorders>
              <w:top w:val="nil"/>
              <w:left w:val="nil"/>
              <w:bottom w:val="nil"/>
              <w:right w:val="single" w:sz="4" w:space="0" w:color="auto"/>
            </w:tcBorders>
            <w:shd w:val="clear" w:color="auto" w:fill="auto"/>
            <w:vAlign w:val="center"/>
            <w:hideMark/>
          </w:tcPr>
          <w:p w14:paraId="6452C73C" w14:textId="4BA8B6C9" w:rsidR="00E743C4" w:rsidRPr="00E743C4" w:rsidRDefault="00E743C4" w:rsidP="00E743C4">
            <w:pPr>
              <w:spacing w:after="0" w:line="240" w:lineRule="auto"/>
              <w:ind w:firstLineChars="100" w:firstLine="160"/>
              <w:rPr>
                <w:rFonts w:cs="Arial"/>
                <w:sz w:val="16"/>
                <w:szCs w:val="16"/>
              </w:rPr>
            </w:pPr>
            <w:r w:rsidRPr="00E743C4">
              <w:rPr>
                <w:rFonts w:cs="Arial"/>
                <w:sz w:val="16"/>
                <w:szCs w:val="16"/>
              </w:rPr>
              <w:t>peněžitá pomoc v</w:t>
            </w:r>
            <w:r>
              <w:rPr>
                <w:rFonts w:cs="Arial"/>
                <w:sz w:val="16"/>
                <w:szCs w:val="16"/>
              </w:rPr>
              <w:t xml:space="preserve"> </w:t>
            </w:r>
            <w:r w:rsidRPr="00E743C4">
              <w:rPr>
                <w:rFonts w:cs="Arial"/>
                <w:sz w:val="16"/>
                <w:szCs w:val="16"/>
              </w:rPr>
              <w:t>mateřství</w:t>
            </w:r>
          </w:p>
        </w:tc>
        <w:tc>
          <w:tcPr>
            <w:tcW w:w="652" w:type="dxa"/>
            <w:tcBorders>
              <w:top w:val="nil"/>
              <w:left w:val="nil"/>
              <w:bottom w:val="nil"/>
              <w:right w:val="nil"/>
            </w:tcBorders>
            <w:shd w:val="clear" w:color="auto" w:fill="auto"/>
            <w:noWrap/>
            <w:vAlign w:val="center"/>
            <w:hideMark/>
          </w:tcPr>
          <w:p w14:paraId="56B244BA" w14:textId="77777777" w:rsidR="00E743C4" w:rsidRPr="00E743C4" w:rsidRDefault="00E743C4" w:rsidP="00E743C4">
            <w:pPr>
              <w:spacing w:after="0" w:line="240" w:lineRule="auto"/>
              <w:jc w:val="right"/>
              <w:rPr>
                <w:rFonts w:cs="Arial"/>
                <w:sz w:val="16"/>
                <w:szCs w:val="16"/>
              </w:rPr>
            </w:pPr>
            <w:r w:rsidRPr="00E743C4">
              <w:rPr>
                <w:rFonts w:cs="Arial"/>
                <w:sz w:val="16"/>
                <w:szCs w:val="16"/>
              </w:rPr>
              <w:t>6,30</w:t>
            </w:r>
          </w:p>
        </w:tc>
        <w:tc>
          <w:tcPr>
            <w:tcW w:w="652" w:type="dxa"/>
            <w:tcBorders>
              <w:top w:val="nil"/>
              <w:left w:val="nil"/>
              <w:bottom w:val="nil"/>
              <w:right w:val="nil"/>
            </w:tcBorders>
            <w:shd w:val="clear" w:color="auto" w:fill="auto"/>
            <w:noWrap/>
            <w:vAlign w:val="center"/>
            <w:hideMark/>
          </w:tcPr>
          <w:p w14:paraId="10037E0C" w14:textId="77777777" w:rsidR="00E743C4" w:rsidRPr="00E743C4" w:rsidRDefault="00E743C4" w:rsidP="00E743C4">
            <w:pPr>
              <w:spacing w:after="0" w:line="240" w:lineRule="auto"/>
              <w:jc w:val="right"/>
              <w:rPr>
                <w:rFonts w:cs="Arial"/>
                <w:sz w:val="16"/>
                <w:szCs w:val="16"/>
              </w:rPr>
            </w:pPr>
            <w:r w:rsidRPr="00E743C4">
              <w:rPr>
                <w:rFonts w:cs="Arial"/>
                <w:sz w:val="16"/>
                <w:szCs w:val="16"/>
              </w:rPr>
              <w:t>7,08</w:t>
            </w:r>
          </w:p>
        </w:tc>
        <w:tc>
          <w:tcPr>
            <w:tcW w:w="652" w:type="dxa"/>
            <w:tcBorders>
              <w:top w:val="nil"/>
              <w:left w:val="nil"/>
              <w:bottom w:val="nil"/>
              <w:right w:val="nil"/>
            </w:tcBorders>
            <w:shd w:val="clear" w:color="auto" w:fill="auto"/>
            <w:noWrap/>
            <w:vAlign w:val="center"/>
            <w:hideMark/>
          </w:tcPr>
          <w:p w14:paraId="71074A1A" w14:textId="77777777" w:rsidR="00E743C4" w:rsidRPr="00E743C4" w:rsidRDefault="00E743C4" w:rsidP="00E743C4">
            <w:pPr>
              <w:spacing w:after="0" w:line="240" w:lineRule="auto"/>
              <w:jc w:val="right"/>
              <w:rPr>
                <w:rFonts w:cs="Arial"/>
                <w:sz w:val="16"/>
                <w:szCs w:val="16"/>
              </w:rPr>
            </w:pPr>
            <w:r w:rsidRPr="00E743C4">
              <w:rPr>
                <w:rFonts w:cs="Arial"/>
                <w:sz w:val="16"/>
                <w:szCs w:val="16"/>
              </w:rPr>
              <w:t>7,41</w:t>
            </w:r>
          </w:p>
        </w:tc>
        <w:tc>
          <w:tcPr>
            <w:tcW w:w="652" w:type="dxa"/>
            <w:tcBorders>
              <w:top w:val="nil"/>
              <w:left w:val="nil"/>
              <w:bottom w:val="nil"/>
              <w:right w:val="nil"/>
            </w:tcBorders>
            <w:shd w:val="clear" w:color="auto" w:fill="auto"/>
            <w:noWrap/>
            <w:vAlign w:val="center"/>
            <w:hideMark/>
          </w:tcPr>
          <w:p w14:paraId="3FB2CD0B" w14:textId="77777777" w:rsidR="00E743C4" w:rsidRPr="00E743C4" w:rsidRDefault="00E743C4" w:rsidP="00E743C4">
            <w:pPr>
              <w:spacing w:after="0" w:line="240" w:lineRule="auto"/>
              <w:jc w:val="right"/>
              <w:rPr>
                <w:rFonts w:cs="Arial"/>
                <w:sz w:val="16"/>
                <w:szCs w:val="16"/>
              </w:rPr>
            </w:pPr>
            <w:r w:rsidRPr="00E743C4">
              <w:rPr>
                <w:rFonts w:cs="Arial"/>
                <w:sz w:val="16"/>
                <w:szCs w:val="16"/>
              </w:rPr>
              <w:t>7,51</w:t>
            </w:r>
          </w:p>
        </w:tc>
        <w:tc>
          <w:tcPr>
            <w:tcW w:w="652" w:type="dxa"/>
            <w:tcBorders>
              <w:top w:val="nil"/>
              <w:left w:val="nil"/>
              <w:bottom w:val="nil"/>
              <w:right w:val="nil"/>
            </w:tcBorders>
            <w:shd w:val="clear" w:color="auto" w:fill="auto"/>
            <w:noWrap/>
            <w:vAlign w:val="center"/>
            <w:hideMark/>
          </w:tcPr>
          <w:p w14:paraId="4970F3BD" w14:textId="77777777" w:rsidR="00E743C4" w:rsidRPr="00E743C4" w:rsidRDefault="00E743C4" w:rsidP="00E743C4">
            <w:pPr>
              <w:spacing w:after="0" w:line="240" w:lineRule="auto"/>
              <w:jc w:val="right"/>
              <w:rPr>
                <w:rFonts w:cs="Arial"/>
                <w:sz w:val="16"/>
                <w:szCs w:val="16"/>
              </w:rPr>
            </w:pPr>
            <w:r w:rsidRPr="00E743C4">
              <w:rPr>
                <w:rFonts w:cs="Arial"/>
                <w:sz w:val="16"/>
                <w:szCs w:val="16"/>
              </w:rPr>
              <w:t>7,22</w:t>
            </w:r>
          </w:p>
        </w:tc>
        <w:tc>
          <w:tcPr>
            <w:tcW w:w="652" w:type="dxa"/>
            <w:tcBorders>
              <w:top w:val="nil"/>
              <w:left w:val="nil"/>
              <w:bottom w:val="nil"/>
              <w:right w:val="nil"/>
            </w:tcBorders>
            <w:shd w:val="clear" w:color="auto" w:fill="auto"/>
            <w:noWrap/>
            <w:vAlign w:val="center"/>
            <w:hideMark/>
          </w:tcPr>
          <w:p w14:paraId="0D438436" w14:textId="77777777" w:rsidR="00E743C4" w:rsidRPr="00E743C4" w:rsidRDefault="00E743C4" w:rsidP="00E743C4">
            <w:pPr>
              <w:spacing w:after="0" w:line="240" w:lineRule="auto"/>
              <w:jc w:val="right"/>
              <w:rPr>
                <w:rFonts w:cs="Arial"/>
                <w:sz w:val="16"/>
                <w:szCs w:val="16"/>
              </w:rPr>
            </w:pPr>
            <w:r w:rsidRPr="00E743C4">
              <w:rPr>
                <w:rFonts w:cs="Arial"/>
                <w:sz w:val="16"/>
                <w:szCs w:val="16"/>
              </w:rPr>
              <w:t>7,26</w:t>
            </w:r>
          </w:p>
        </w:tc>
        <w:tc>
          <w:tcPr>
            <w:tcW w:w="652" w:type="dxa"/>
            <w:tcBorders>
              <w:top w:val="nil"/>
              <w:left w:val="nil"/>
              <w:bottom w:val="nil"/>
              <w:right w:val="nil"/>
            </w:tcBorders>
            <w:shd w:val="clear" w:color="auto" w:fill="auto"/>
            <w:noWrap/>
            <w:vAlign w:val="center"/>
            <w:hideMark/>
          </w:tcPr>
          <w:p w14:paraId="7233CA54" w14:textId="77777777" w:rsidR="00E743C4" w:rsidRPr="00E743C4" w:rsidRDefault="00E743C4" w:rsidP="00E743C4">
            <w:pPr>
              <w:spacing w:after="0" w:line="240" w:lineRule="auto"/>
              <w:jc w:val="right"/>
              <w:rPr>
                <w:rFonts w:cs="Arial"/>
                <w:sz w:val="16"/>
                <w:szCs w:val="16"/>
              </w:rPr>
            </w:pPr>
            <w:r w:rsidRPr="00E743C4">
              <w:rPr>
                <w:rFonts w:cs="Arial"/>
                <w:sz w:val="16"/>
                <w:szCs w:val="16"/>
              </w:rPr>
              <w:t>7,33</w:t>
            </w:r>
          </w:p>
        </w:tc>
        <w:tc>
          <w:tcPr>
            <w:tcW w:w="652" w:type="dxa"/>
            <w:tcBorders>
              <w:top w:val="nil"/>
              <w:left w:val="nil"/>
              <w:bottom w:val="nil"/>
              <w:right w:val="nil"/>
            </w:tcBorders>
            <w:shd w:val="clear" w:color="auto" w:fill="auto"/>
            <w:noWrap/>
            <w:vAlign w:val="center"/>
            <w:hideMark/>
          </w:tcPr>
          <w:p w14:paraId="47E5F9FE" w14:textId="77777777" w:rsidR="00E743C4" w:rsidRPr="00E743C4" w:rsidRDefault="00E743C4" w:rsidP="00E743C4">
            <w:pPr>
              <w:spacing w:after="0" w:line="240" w:lineRule="auto"/>
              <w:jc w:val="right"/>
              <w:rPr>
                <w:rFonts w:cs="Arial"/>
                <w:sz w:val="16"/>
                <w:szCs w:val="16"/>
              </w:rPr>
            </w:pPr>
            <w:r w:rsidRPr="00E743C4">
              <w:rPr>
                <w:rFonts w:cs="Arial"/>
                <w:sz w:val="16"/>
                <w:szCs w:val="16"/>
              </w:rPr>
              <w:t>7,61</w:t>
            </w:r>
          </w:p>
        </w:tc>
        <w:tc>
          <w:tcPr>
            <w:tcW w:w="652" w:type="dxa"/>
            <w:tcBorders>
              <w:top w:val="nil"/>
              <w:left w:val="nil"/>
              <w:bottom w:val="nil"/>
              <w:right w:val="nil"/>
            </w:tcBorders>
            <w:shd w:val="clear" w:color="auto" w:fill="auto"/>
            <w:noWrap/>
            <w:vAlign w:val="center"/>
            <w:hideMark/>
          </w:tcPr>
          <w:p w14:paraId="5CB45A51" w14:textId="77777777" w:rsidR="00E743C4" w:rsidRPr="00E743C4" w:rsidRDefault="00E743C4" w:rsidP="00E743C4">
            <w:pPr>
              <w:spacing w:after="0" w:line="240" w:lineRule="auto"/>
              <w:jc w:val="right"/>
              <w:rPr>
                <w:rFonts w:cs="Arial"/>
                <w:sz w:val="16"/>
                <w:szCs w:val="16"/>
              </w:rPr>
            </w:pPr>
            <w:r w:rsidRPr="00E743C4">
              <w:rPr>
                <w:rFonts w:cs="Arial"/>
                <w:sz w:val="16"/>
                <w:szCs w:val="16"/>
              </w:rPr>
              <w:t>8,11</w:t>
            </w:r>
          </w:p>
        </w:tc>
        <w:tc>
          <w:tcPr>
            <w:tcW w:w="652" w:type="dxa"/>
            <w:tcBorders>
              <w:top w:val="nil"/>
              <w:left w:val="nil"/>
              <w:bottom w:val="nil"/>
              <w:right w:val="nil"/>
            </w:tcBorders>
            <w:shd w:val="clear" w:color="auto" w:fill="auto"/>
            <w:noWrap/>
            <w:vAlign w:val="center"/>
            <w:hideMark/>
          </w:tcPr>
          <w:p w14:paraId="0DF9B57D"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8,62</w:t>
            </w:r>
          </w:p>
        </w:tc>
        <w:tc>
          <w:tcPr>
            <w:tcW w:w="652" w:type="dxa"/>
            <w:tcBorders>
              <w:top w:val="nil"/>
              <w:left w:val="nil"/>
              <w:bottom w:val="nil"/>
              <w:right w:val="nil"/>
            </w:tcBorders>
            <w:shd w:val="clear" w:color="auto" w:fill="auto"/>
            <w:noWrap/>
            <w:vAlign w:val="center"/>
            <w:hideMark/>
          </w:tcPr>
          <w:p w14:paraId="3FB42AA4"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9,40</w:t>
            </w:r>
          </w:p>
        </w:tc>
      </w:tr>
      <w:tr w:rsidR="00E743C4" w:rsidRPr="00E743C4" w14:paraId="520D6410" w14:textId="77777777" w:rsidTr="00E743C4">
        <w:trPr>
          <w:trHeight w:val="450"/>
        </w:trPr>
        <w:tc>
          <w:tcPr>
            <w:tcW w:w="2324" w:type="dxa"/>
            <w:tcBorders>
              <w:top w:val="nil"/>
              <w:left w:val="nil"/>
              <w:bottom w:val="nil"/>
              <w:right w:val="single" w:sz="4" w:space="0" w:color="auto"/>
            </w:tcBorders>
            <w:shd w:val="clear" w:color="auto" w:fill="auto"/>
            <w:vAlign w:val="center"/>
            <w:hideMark/>
          </w:tcPr>
          <w:p w14:paraId="27C4A2E8" w14:textId="636B3970" w:rsidR="00E743C4" w:rsidRDefault="00E743C4" w:rsidP="00E743C4">
            <w:pPr>
              <w:spacing w:after="0" w:line="240" w:lineRule="auto"/>
              <w:ind w:firstLineChars="100" w:firstLine="160"/>
              <w:rPr>
                <w:rFonts w:cs="Arial"/>
                <w:sz w:val="16"/>
                <w:szCs w:val="16"/>
              </w:rPr>
            </w:pPr>
            <w:r>
              <w:rPr>
                <w:rFonts w:cs="Arial"/>
                <w:sz w:val="16"/>
                <w:szCs w:val="16"/>
              </w:rPr>
              <w:t>v</w:t>
            </w:r>
            <w:r w:rsidRPr="00E743C4">
              <w:rPr>
                <w:rFonts w:cs="Arial"/>
                <w:sz w:val="16"/>
                <w:szCs w:val="16"/>
              </w:rPr>
              <w:t>yrovnávací</w:t>
            </w:r>
            <w:r>
              <w:rPr>
                <w:rFonts w:cs="Arial"/>
                <w:sz w:val="16"/>
                <w:szCs w:val="16"/>
              </w:rPr>
              <w:t xml:space="preserve"> </w:t>
            </w:r>
            <w:r w:rsidRPr="00E743C4">
              <w:rPr>
                <w:rFonts w:cs="Arial"/>
                <w:sz w:val="16"/>
                <w:szCs w:val="16"/>
              </w:rPr>
              <w:t>příspěvek v</w:t>
            </w:r>
          </w:p>
          <w:p w14:paraId="63C4C8C2" w14:textId="2A2E2DAE" w:rsidR="00E743C4" w:rsidRPr="00E743C4" w:rsidRDefault="00E743C4" w:rsidP="00E743C4">
            <w:pPr>
              <w:spacing w:after="0" w:line="240" w:lineRule="auto"/>
              <w:ind w:firstLineChars="100" w:firstLine="160"/>
              <w:rPr>
                <w:rFonts w:cs="Arial"/>
                <w:sz w:val="16"/>
                <w:szCs w:val="16"/>
              </w:rPr>
            </w:pPr>
            <w:r w:rsidRPr="00E743C4">
              <w:rPr>
                <w:rFonts w:cs="Arial"/>
                <w:sz w:val="16"/>
                <w:szCs w:val="16"/>
              </w:rPr>
              <w:t>těhotenství a</w:t>
            </w:r>
            <w:r>
              <w:rPr>
                <w:rFonts w:cs="Arial"/>
                <w:sz w:val="16"/>
                <w:szCs w:val="16"/>
              </w:rPr>
              <w:t xml:space="preserve"> </w:t>
            </w:r>
            <w:r w:rsidRPr="00E743C4">
              <w:rPr>
                <w:rFonts w:cs="Arial"/>
                <w:sz w:val="16"/>
                <w:szCs w:val="16"/>
              </w:rPr>
              <w:t>mateřství</w:t>
            </w:r>
          </w:p>
        </w:tc>
        <w:tc>
          <w:tcPr>
            <w:tcW w:w="652" w:type="dxa"/>
            <w:tcBorders>
              <w:top w:val="nil"/>
              <w:left w:val="nil"/>
              <w:bottom w:val="nil"/>
              <w:right w:val="nil"/>
            </w:tcBorders>
            <w:shd w:val="clear" w:color="auto" w:fill="auto"/>
            <w:noWrap/>
            <w:vAlign w:val="center"/>
            <w:hideMark/>
          </w:tcPr>
          <w:p w14:paraId="0F5694EB" w14:textId="77777777" w:rsidR="00E743C4" w:rsidRPr="00E743C4" w:rsidRDefault="00E743C4" w:rsidP="00E743C4">
            <w:pPr>
              <w:spacing w:after="0" w:line="240" w:lineRule="auto"/>
              <w:jc w:val="right"/>
              <w:rPr>
                <w:rFonts w:cs="Arial"/>
                <w:sz w:val="16"/>
                <w:szCs w:val="16"/>
              </w:rPr>
            </w:pPr>
            <w:r w:rsidRPr="00E743C4">
              <w:rPr>
                <w:rFonts w:cs="Arial"/>
                <w:sz w:val="16"/>
                <w:szCs w:val="16"/>
              </w:rPr>
              <w:t>0,004</w:t>
            </w:r>
          </w:p>
        </w:tc>
        <w:tc>
          <w:tcPr>
            <w:tcW w:w="652" w:type="dxa"/>
            <w:tcBorders>
              <w:top w:val="nil"/>
              <w:left w:val="nil"/>
              <w:bottom w:val="nil"/>
              <w:right w:val="nil"/>
            </w:tcBorders>
            <w:shd w:val="clear" w:color="auto" w:fill="auto"/>
            <w:noWrap/>
            <w:vAlign w:val="center"/>
            <w:hideMark/>
          </w:tcPr>
          <w:p w14:paraId="079BB811" w14:textId="77777777" w:rsidR="00E743C4" w:rsidRPr="00E743C4" w:rsidRDefault="00E743C4" w:rsidP="00E743C4">
            <w:pPr>
              <w:spacing w:after="0" w:line="240" w:lineRule="auto"/>
              <w:jc w:val="right"/>
              <w:rPr>
                <w:rFonts w:cs="Arial"/>
                <w:sz w:val="16"/>
                <w:szCs w:val="16"/>
              </w:rPr>
            </w:pPr>
            <w:r w:rsidRPr="00E743C4">
              <w:rPr>
                <w:rFonts w:cs="Arial"/>
                <w:sz w:val="16"/>
                <w:szCs w:val="16"/>
              </w:rPr>
              <w:t>0,005</w:t>
            </w:r>
          </w:p>
        </w:tc>
        <w:tc>
          <w:tcPr>
            <w:tcW w:w="652" w:type="dxa"/>
            <w:tcBorders>
              <w:top w:val="nil"/>
              <w:left w:val="nil"/>
              <w:bottom w:val="nil"/>
              <w:right w:val="nil"/>
            </w:tcBorders>
            <w:shd w:val="clear" w:color="auto" w:fill="auto"/>
            <w:noWrap/>
            <w:vAlign w:val="center"/>
            <w:hideMark/>
          </w:tcPr>
          <w:p w14:paraId="7BF11C98" w14:textId="77777777" w:rsidR="00E743C4" w:rsidRPr="00E743C4" w:rsidRDefault="00E743C4" w:rsidP="00E743C4">
            <w:pPr>
              <w:spacing w:after="0" w:line="240" w:lineRule="auto"/>
              <w:jc w:val="right"/>
              <w:rPr>
                <w:rFonts w:cs="Arial"/>
                <w:sz w:val="16"/>
                <w:szCs w:val="16"/>
              </w:rPr>
            </w:pPr>
            <w:r w:rsidRPr="00E743C4">
              <w:rPr>
                <w:rFonts w:cs="Arial"/>
                <w:sz w:val="16"/>
                <w:szCs w:val="16"/>
              </w:rPr>
              <w:t>0,004</w:t>
            </w:r>
          </w:p>
        </w:tc>
        <w:tc>
          <w:tcPr>
            <w:tcW w:w="652" w:type="dxa"/>
            <w:tcBorders>
              <w:top w:val="nil"/>
              <w:left w:val="nil"/>
              <w:bottom w:val="nil"/>
              <w:right w:val="nil"/>
            </w:tcBorders>
            <w:shd w:val="clear" w:color="auto" w:fill="auto"/>
            <w:noWrap/>
            <w:vAlign w:val="center"/>
            <w:hideMark/>
          </w:tcPr>
          <w:p w14:paraId="6BE2EACD" w14:textId="77777777" w:rsidR="00E743C4" w:rsidRPr="00E743C4" w:rsidRDefault="00E743C4" w:rsidP="00E743C4">
            <w:pPr>
              <w:spacing w:after="0" w:line="240" w:lineRule="auto"/>
              <w:jc w:val="right"/>
              <w:rPr>
                <w:rFonts w:cs="Arial"/>
                <w:sz w:val="16"/>
                <w:szCs w:val="16"/>
              </w:rPr>
            </w:pPr>
            <w:r w:rsidRPr="00E743C4">
              <w:rPr>
                <w:rFonts w:cs="Arial"/>
                <w:sz w:val="16"/>
                <w:szCs w:val="16"/>
              </w:rPr>
              <w:t>0,006</w:t>
            </w:r>
          </w:p>
        </w:tc>
        <w:tc>
          <w:tcPr>
            <w:tcW w:w="652" w:type="dxa"/>
            <w:tcBorders>
              <w:top w:val="nil"/>
              <w:left w:val="nil"/>
              <w:bottom w:val="nil"/>
              <w:right w:val="nil"/>
            </w:tcBorders>
            <w:shd w:val="clear" w:color="auto" w:fill="auto"/>
            <w:noWrap/>
            <w:vAlign w:val="center"/>
            <w:hideMark/>
          </w:tcPr>
          <w:p w14:paraId="7B56B6C7" w14:textId="77777777" w:rsidR="00E743C4" w:rsidRPr="00E743C4" w:rsidRDefault="00E743C4" w:rsidP="00E743C4">
            <w:pPr>
              <w:spacing w:after="0" w:line="240" w:lineRule="auto"/>
              <w:jc w:val="right"/>
              <w:rPr>
                <w:rFonts w:cs="Arial"/>
                <w:sz w:val="16"/>
                <w:szCs w:val="16"/>
              </w:rPr>
            </w:pPr>
            <w:r w:rsidRPr="00E743C4">
              <w:rPr>
                <w:rFonts w:cs="Arial"/>
                <w:sz w:val="16"/>
                <w:szCs w:val="16"/>
              </w:rPr>
              <w:t>0,007</w:t>
            </w:r>
          </w:p>
        </w:tc>
        <w:tc>
          <w:tcPr>
            <w:tcW w:w="652" w:type="dxa"/>
            <w:tcBorders>
              <w:top w:val="nil"/>
              <w:left w:val="nil"/>
              <w:bottom w:val="nil"/>
              <w:right w:val="nil"/>
            </w:tcBorders>
            <w:shd w:val="clear" w:color="auto" w:fill="auto"/>
            <w:noWrap/>
            <w:vAlign w:val="center"/>
            <w:hideMark/>
          </w:tcPr>
          <w:p w14:paraId="48AED752" w14:textId="77777777" w:rsidR="00E743C4" w:rsidRPr="00E743C4" w:rsidRDefault="00E743C4" w:rsidP="00E743C4">
            <w:pPr>
              <w:spacing w:after="0" w:line="240" w:lineRule="auto"/>
              <w:jc w:val="right"/>
              <w:rPr>
                <w:rFonts w:cs="Arial"/>
                <w:sz w:val="16"/>
                <w:szCs w:val="16"/>
              </w:rPr>
            </w:pPr>
            <w:r w:rsidRPr="00E743C4">
              <w:rPr>
                <w:rFonts w:cs="Arial"/>
                <w:sz w:val="16"/>
                <w:szCs w:val="16"/>
              </w:rPr>
              <w:t>0,007</w:t>
            </w:r>
          </w:p>
        </w:tc>
        <w:tc>
          <w:tcPr>
            <w:tcW w:w="652" w:type="dxa"/>
            <w:tcBorders>
              <w:top w:val="nil"/>
              <w:left w:val="nil"/>
              <w:bottom w:val="nil"/>
              <w:right w:val="nil"/>
            </w:tcBorders>
            <w:shd w:val="clear" w:color="auto" w:fill="auto"/>
            <w:noWrap/>
            <w:vAlign w:val="center"/>
            <w:hideMark/>
          </w:tcPr>
          <w:p w14:paraId="76873555" w14:textId="77777777" w:rsidR="00E743C4" w:rsidRPr="00E743C4" w:rsidRDefault="00E743C4" w:rsidP="00E743C4">
            <w:pPr>
              <w:spacing w:after="0" w:line="240" w:lineRule="auto"/>
              <w:jc w:val="right"/>
              <w:rPr>
                <w:rFonts w:cs="Arial"/>
                <w:sz w:val="16"/>
                <w:szCs w:val="16"/>
              </w:rPr>
            </w:pPr>
            <w:r w:rsidRPr="00E743C4">
              <w:rPr>
                <w:rFonts w:cs="Arial"/>
                <w:sz w:val="16"/>
                <w:szCs w:val="16"/>
              </w:rPr>
              <w:t>0,009</w:t>
            </w:r>
          </w:p>
        </w:tc>
        <w:tc>
          <w:tcPr>
            <w:tcW w:w="652" w:type="dxa"/>
            <w:tcBorders>
              <w:top w:val="nil"/>
              <w:left w:val="nil"/>
              <w:bottom w:val="nil"/>
              <w:right w:val="nil"/>
            </w:tcBorders>
            <w:shd w:val="clear" w:color="auto" w:fill="auto"/>
            <w:noWrap/>
            <w:vAlign w:val="center"/>
            <w:hideMark/>
          </w:tcPr>
          <w:p w14:paraId="3C160832" w14:textId="77777777" w:rsidR="00E743C4" w:rsidRPr="00E743C4" w:rsidRDefault="00E743C4" w:rsidP="00E743C4">
            <w:pPr>
              <w:spacing w:after="0" w:line="240" w:lineRule="auto"/>
              <w:jc w:val="right"/>
              <w:rPr>
                <w:rFonts w:cs="Arial"/>
                <w:sz w:val="16"/>
                <w:szCs w:val="16"/>
              </w:rPr>
            </w:pPr>
            <w:r w:rsidRPr="00E743C4">
              <w:rPr>
                <w:rFonts w:cs="Arial"/>
                <w:sz w:val="16"/>
                <w:szCs w:val="16"/>
              </w:rPr>
              <w:t>0,009</w:t>
            </w:r>
          </w:p>
        </w:tc>
        <w:tc>
          <w:tcPr>
            <w:tcW w:w="652" w:type="dxa"/>
            <w:tcBorders>
              <w:top w:val="nil"/>
              <w:left w:val="nil"/>
              <w:bottom w:val="nil"/>
              <w:right w:val="nil"/>
            </w:tcBorders>
            <w:shd w:val="clear" w:color="auto" w:fill="auto"/>
            <w:noWrap/>
            <w:vAlign w:val="center"/>
            <w:hideMark/>
          </w:tcPr>
          <w:p w14:paraId="34454BFE" w14:textId="77777777" w:rsidR="00E743C4" w:rsidRPr="00E743C4" w:rsidRDefault="00E743C4" w:rsidP="00E743C4">
            <w:pPr>
              <w:spacing w:after="0" w:line="240" w:lineRule="auto"/>
              <w:jc w:val="right"/>
              <w:rPr>
                <w:rFonts w:cs="Arial"/>
                <w:sz w:val="16"/>
                <w:szCs w:val="16"/>
              </w:rPr>
            </w:pPr>
            <w:r w:rsidRPr="00E743C4">
              <w:rPr>
                <w:rFonts w:cs="Arial"/>
                <w:sz w:val="16"/>
                <w:szCs w:val="16"/>
              </w:rPr>
              <w:t>0,009</w:t>
            </w:r>
          </w:p>
        </w:tc>
        <w:tc>
          <w:tcPr>
            <w:tcW w:w="652" w:type="dxa"/>
            <w:tcBorders>
              <w:top w:val="nil"/>
              <w:left w:val="nil"/>
              <w:bottom w:val="nil"/>
              <w:right w:val="nil"/>
            </w:tcBorders>
            <w:shd w:val="clear" w:color="auto" w:fill="auto"/>
            <w:noWrap/>
            <w:vAlign w:val="center"/>
            <w:hideMark/>
          </w:tcPr>
          <w:p w14:paraId="61812357"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0,008</w:t>
            </w:r>
          </w:p>
        </w:tc>
        <w:tc>
          <w:tcPr>
            <w:tcW w:w="652" w:type="dxa"/>
            <w:tcBorders>
              <w:top w:val="nil"/>
              <w:left w:val="nil"/>
              <w:bottom w:val="nil"/>
              <w:right w:val="nil"/>
            </w:tcBorders>
            <w:shd w:val="clear" w:color="auto" w:fill="auto"/>
            <w:noWrap/>
            <w:vAlign w:val="center"/>
            <w:hideMark/>
          </w:tcPr>
          <w:p w14:paraId="3235B92B"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0,009</w:t>
            </w:r>
          </w:p>
        </w:tc>
      </w:tr>
      <w:tr w:rsidR="00E743C4" w:rsidRPr="00E743C4" w14:paraId="7FB4F66E" w14:textId="77777777" w:rsidTr="00E743C4">
        <w:trPr>
          <w:trHeight w:val="300"/>
        </w:trPr>
        <w:tc>
          <w:tcPr>
            <w:tcW w:w="2324" w:type="dxa"/>
            <w:tcBorders>
              <w:top w:val="nil"/>
              <w:left w:val="nil"/>
              <w:bottom w:val="nil"/>
              <w:right w:val="single" w:sz="4" w:space="0" w:color="auto"/>
            </w:tcBorders>
            <w:shd w:val="clear" w:color="auto" w:fill="auto"/>
            <w:vAlign w:val="center"/>
            <w:hideMark/>
          </w:tcPr>
          <w:p w14:paraId="66C4918D" w14:textId="7342285A" w:rsidR="00E743C4" w:rsidRPr="00E743C4" w:rsidRDefault="00E743C4" w:rsidP="00E743C4">
            <w:pPr>
              <w:spacing w:after="0" w:line="240" w:lineRule="auto"/>
              <w:ind w:firstLineChars="100" w:firstLine="160"/>
              <w:rPr>
                <w:rFonts w:cs="Arial"/>
                <w:sz w:val="16"/>
                <w:szCs w:val="16"/>
              </w:rPr>
            </w:pPr>
            <w:r w:rsidRPr="00E743C4">
              <w:rPr>
                <w:rFonts w:cs="Arial"/>
                <w:sz w:val="16"/>
                <w:szCs w:val="16"/>
              </w:rPr>
              <w:t>otcovská poporodní péče</w:t>
            </w:r>
            <w:r w:rsidRPr="00E743C4">
              <w:rPr>
                <w:rFonts w:cs="Arial"/>
                <w:sz w:val="16"/>
                <w:szCs w:val="16"/>
                <w:vertAlign w:val="superscript"/>
              </w:rPr>
              <w:t>1)</w:t>
            </w:r>
          </w:p>
        </w:tc>
        <w:tc>
          <w:tcPr>
            <w:tcW w:w="652" w:type="dxa"/>
            <w:tcBorders>
              <w:top w:val="nil"/>
              <w:left w:val="nil"/>
              <w:bottom w:val="nil"/>
              <w:right w:val="nil"/>
            </w:tcBorders>
            <w:shd w:val="clear" w:color="auto" w:fill="auto"/>
            <w:noWrap/>
            <w:vAlign w:val="bottom"/>
            <w:hideMark/>
          </w:tcPr>
          <w:p w14:paraId="1E10C2F7"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0414310F"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15AAD030"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55017CB4"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3519F93B"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407B1F3B"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4E69E942"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5026661D"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6C2837E8"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5DF5A329"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center"/>
            <w:hideMark/>
          </w:tcPr>
          <w:p w14:paraId="33813AAE"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0,221</w:t>
            </w:r>
          </w:p>
        </w:tc>
      </w:tr>
      <w:tr w:rsidR="00E743C4" w:rsidRPr="00E743C4" w14:paraId="73315847" w14:textId="77777777" w:rsidTr="00E743C4">
        <w:trPr>
          <w:trHeight w:val="300"/>
        </w:trPr>
        <w:tc>
          <w:tcPr>
            <w:tcW w:w="2324" w:type="dxa"/>
            <w:tcBorders>
              <w:top w:val="nil"/>
              <w:left w:val="nil"/>
              <w:bottom w:val="nil"/>
              <w:right w:val="single" w:sz="4" w:space="0" w:color="auto"/>
            </w:tcBorders>
            <w:shd w:val="clear" w:color="auto" w:fill="auto"/>
            <w:vAlign w:val="center"/>
            <w:hideMark/>
          </w:tcPr>
          <w:p w14:paraId="5C5ED644" w14:textId="29E2810C" w:rsidR="00E743C4" w:rsidRPr="00E743C4" w:rsidRDefault="00E743C4" w:rsidP="00E743C4">
            <w:pPr>
              <w:spacing w:after="0" w:line="240" w:lineRule="auto"/>
              <w:ind w:firstLineChars="100" w:firstLine="160"/>
              <w:rPr>
                <w:rFonts w:cs="Arial"/>
                <w:sz w:val="16"/>
                <w:szCs w:val="16"/>
              </w:rPr>
            </w:pPr>
            <w:r w:rsidRPr="00E743C4">
              <w:rPr>
                <w:rFonts w:cs="Arial"/>
                <w:sz w:val="16"/>
                <w:szCs w:val="16"/>
              </w:rPr>
              <w:t>dlouhodobé ošetřovné</w:t>
            </w:r>
            <w:r w:rsidRPr="00E743C4">
              <w:rPr>
                <w:rFonts w:cs="Arial"/>
                <w:sz w:val="16"/>
                <w:szCs w:val="16"/>
                <w:vertAlign w:val="superscript"/>
              </w:rPr>
              <w:t>2)</w:t>
            </w:r>
          </w:p>
        </w:tc>
        <w:tc>
          <w:tcPr>
            <w:tcW w:w="652" w:type="dxa"/>
            <w:tcBorders>
              <w:top w:val="nil"/>
              <w:left w:val="nil"/>
              <w:bottom w:val="nil"/>
              <w:right w:val="nil"/>
            </w:tcBorders>
            <w:shd w:val="clear" w:color="auto" w:fill="auto"/>
            <w:noWrap/>
            <w:vAlign w:val="bottom"/>
            <w:hideMark/>
          </w:tcPr>
          <w:p w14:paraId="3D4ED5BB"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146A3769"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49DC6DC4"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286BE201"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4DCA061F"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5A59B138"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3DF0A901"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54906846"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42FD2843"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bottom"/>
            <w:hideMark/>
          </w:tcPr>
          <w:p w14:paraId="04FE5C39" w14:textId="77777777" w:rsidR="00E743C4" w:rsidRPr="00E743C4" w:rsidRDefault="00E743C4" w:rsidP="00E743C4">
            <w:pPr>
              <w:spacing w:after="0" w:line="240" w:lineRule="auto"/>
              <w:jc w:val="right"/>
              <w:rPr>
                <w:rFonts w:ascii="Calibri" w:hAnsi="Calibri"/>
                <w:color w:val="000000"/>
                <w:sz w:val="22"/>
                <w:szCs w:val="22"/>
              </w:rPr>
            </w:pPr>
            <w:r w:rsidRPr="00E743C4">
              <w:rPr>
                <w:rFonts w:ascii="Calibri" w:hAnsi="Calibri"/>
                <w:color w:val="000000"/>
                <w:sz w:val="22"/>
                <w:szCs w:val="22"/>
              </w:rPr>
              <w:t>-</w:t>
            </w:r>
          </w:p>
        </w:tc>
        <w:tc>
          <w:tcPr>
            <w:tcW w:w="652" w:type="dxa"/>
            <w:tcBorders>
              <w:top w:val="nil"/>
              <w:left w:val="nil"/>
              <w:bottom w:val="nil"/>
              <w:right w:val="nil"/>
            </w:tcBorders>
            <w:shd w:val="clear" w:color="auto" w:fill="auto"/>
            <w:noWrap/>
            <w:vAlign w:val="center"/>
            <w:hideMark/>
          </w:tcPr>
          <w:p w14:paraId="2D24ADEE" w14:textId="77777777" w:rsidR="00E743C4" w:rsidRPr="00E743C4" w:rsidRDefault="00E743C4" w:rsidP="00E743C4">
            <w:pPr>
              <w:spacing w:after="0" w:line="240" w:lineRule="auto"/>
              <w:jc w:val="right"/>
              <w:rPr>
                <w:rFonts w:cs="Arial"/>
                <w:color w:val="000000"/>
                <w:sz w:val="16"/>
                <w:szCs w:val="16"/>
              </w:rPr>
            </w:pPr>
            <w:r w:rsidRPr="00E743C4">
              <w:rPr>
                <w:rFonts w:cs="Arial"/>
                <w:color w:val="000000"/>
                <w:sz w:val="16"/>
                <w:szCs w:val="16"/>
              </w:rPr>
              <w:t>0,032</w:t>
            </w:r>
          </w:p>
        </w:tc>
      </w:tr>
    </w:tbl>
    <w:p w14:paraId="2BA169C7" w14:textId="0698BC29" w:rsidR="00E743C4" w:rsidRDefault="00E743C4" w:rsidP="0073249C">
      <w:pPr>
        <w:jc w:val="both"/>
      </w:pPr>
    </w:p>
    <w:p w14:paraId="5525E2F7" w14:textId="77777777" w:rsidR="00E90976" w:rsidRPr="001338A0" w:rsidRDefault="00E90976" w:rsidP="00E90976">
      <w:pPr>
        <w:jc w:val="both"/>
        <w:rPr>
          <w:rFonts w:cs="Arial"/>
          <w:sz w:val="16"/>
          <w:szCs w:val="16"/>
        </w:rPr>
      </w:pPr>
      <w:r>
        <w:rPr>
          <w:rFonts w:cs="Arial"/>
          <w:sz w:val="16"/>
          <w:szCs w:val="16"/>
        </w:rPr>
        <w:t>Zdroj: ČSSZ</w:t>
      </w:r>
    </w:p>
    <w:p w14:paraId="04488802" w14:textId="43195F7E" w:rsidR="00B3110D" w:rsidRPr="00B3110D" w:rsidRDefault="00B3110D" w:rsidP="004C5CA5">
      <w:pPr>
        <w:pStyle w:val="Odstavecseseznamem"/>
        <w:numPr>
          <w:ilvl w:val="0"/>
          <w:numId w:val="25"/>
        </w:numPr>
        <w:spacing w:before="120" w:after="0"/>
        <w:ind w:left="284" w:hanging="142"/>
        <w:jc w:val="both"/>
        <w:rPr>
          <w:rFonts w:ascii="Arial" w:hAnsi="Arial" w:cs="Arial"/>
          <w:sz w:val="16"/>
        </w:rPr>
      </w:pPr>
      <w:r w:rsidRPr="00B3110D">
        <w:rPr>
          <w:rFonts w:ascii="Arial" w:hAnsi="Arial" w:cs="Arial"/>
          <w:sz w:val="16"/>
        </w:rPr>
        <w:t>Zavedení dávky otcovské poporodní péče, tzv. "otcovská" – účinnost od 1. února 2018</w:t>
      </w:r>
    </w:p>
    <w:p w14:paraId="5D18CC9A" w14:textId="452F6897" w:rsidR="00B3110D" w:rsidRDefault="00B3110D" w:rsidP="004C5CA5">
      <w:pPr>
        <w:pStyle w:val="Odstavecseseznamem"/>
        <w:numPr>
          <w:ilvl w:val="0"/>
          <w:numId w:val="25"/>
        </w:numPr>
        <w:spacing w:before="120"/>
        <w:ind w:left="284" w:hanging="153"/>
        <w:jc w:val="both"/>
        <w:rPr>
          <w:rFonts w:ascii="Arial" w:hAnsi="Arial" w:cs="Arial"/>
          <w:sz w:val="16"/>
        </w:rPr>
      </w:pPr>
      <w:r w:rsidRPr="00B3110D">
        <w:rPr>
          <w:rFonts w:ascii="Arial" w:hAnsi="Arial" w:cs="Arial"/>
          <w:sz w:val="16"/>
        </w:rPr>
        <w:t>Zavedení dávky dlouhodobé ošetřovné – účinnost od 1. června 2018</w:t>
      </w:r>
    </w:p>
    <w:p w14:paraId="6746ED9F" w14:textId="2E6CAF46" w:rsidR="00B3110D" w:rsidRPr="00B3110D" w:rsidRDefault="00B3110D" w:rsidP="00B3110D">
      <w:pPr>
        <w:pStyle w:val="Titulek"/>
        <w:keepNext/>
        <w:jc w:val="both"/>
        <w:rPr>
          <w:b/>
          <w:i w:val="0"/>
          <w:color w:val="auto"/>
          <w:sz w:val="20"/>
        </w:rPr>
      </w:pPr>
      <w:r w:rsidRPr="00B3110D">
        <w:rPr>
          <w:b/>
          <w:i w:val="0"/>
          <w:color w:val="auto"/>
          <w:sz w:val="20"/>
        </w:rPr>
        <w:t xml:space="preserve">Graf </w:t>
      </w:r>
      <w:r w:rsidRPr="00B3110D">
        <w:rPr>
          <w:b/>
          <w:i w:val="0"/>
          <w:color w:val="auto"/>
          <w:sz w:val="20"/>
        </w:rPr>
        <w:fldChar w:fldCharType="begin"/>
      </w:r>
      <w:r w:rsidRPr="00B3110D">
        <w:rPr>
          <w:b/>
          <w:i w:val="0"/>
          <w:color w:val="auto"/>
          <w:sz w:val="20"/>
        </w:rPr>
        <w:instrText xml:space="preserve"> SEQ Graf \* ARABIC </w:instrText>
      </w:r>
      <w:r w:rsidRPr="00B3110D">
        <w:rPr>
          <w:b/>
          <w:i w:val="0"/>
          <w:color w:val="auto"/>
          <w:sz w:val="20"/>
        </w:rPr>
        <w:fldChar w:fldCharType="separate"/>
      </w:r>
      <w:r w:rsidR="004426F5">
        <w:rPr>
          <w:b/>
          <w:i w:val="0"/>
          <w:noProof/>
          <w:color w:val="auto"/>
          <w:sz w:val="20"/>
        </w:rPr>
        <w:t>4</w:t>
      </w:r>
      <w:r w:rsidRPr="00B3110D">
        <w:rPr>
          <w:b/>
          <w:i w:val="0"/>
          <w:color w:val="auto"/>
          <w:sz w:val="20"/>
        </w:rPr>
        <w:fldChar w:fldCharType="end"/>
      </w:r>
      <w:r w:rsidR="00162BC5">
        <w:rPr>
          <w:b/>
          <w:i w:val="0"/>
          <w:color w:val="auto"/>
          <w:sz w:val="20"/>
        </w:rPr>
        <w:t>.</w:t>
      </w:r>
      <w:r w:rsidRPr="00B3110D">
        <w:rPr>
          <w:b/>
          <w:i w:val="0"/>
          <w:color w:val="auto"/>
          <w:sz w:val="20"/>
        </w:rPr>
        <w:t>1: Výdaje na nemocenské a průměrné procento pracovní neschopnosti v letech 200</w:t>
      </w:r>
      <w:r>
        <w:rPr>
          <w:b/>
          <w:i w:val="0"/>
          <w:color w:val="auto"/>
          <w:sz w:val="20"/>
        </w:rPr>
        <w:t>8–2018</w:t>
      </w:r>
    </w:p>
    <w:p w14:paraId="6A726EF4" w14:textId="43C6ACC3" w:rsidR="00B3110D" w:rsidRDefault="004B5B2E" w:rsidP="0073249C">
      <w:pPr>
        <w:jc w:val="both"/>
      </w:pPr>
      <w:r>
        <w:rPr>
          <w:noProof/>
        </w:rPr>
        <w:drawing>
          <wp:inline distT="0" distB="0" distL="0" distR="0" wp14:anchorId="37DE97D2" wp14:editId="6E8B4064">
            <wp:extent cx="5805488" cy="308610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2DDB39" w14:textId="77777777" w:rsidR="00E90976" w:rsidRPr="00B32168" w:rsidRDefault="00E90976" w:rsidP="00E90976">
      <w:pPr>
        <w:jc w:val="both"/>
        <w:rPr>
          <w:rFonts w:cs="Arial"/>
          <w:sz w:val="16"/>
          <w:szCs w:val="16"/>
        </w:rPr>
      </w:pPr>
      <w:r w:rsidRPr="00B32168">
        <w:rPr>
          <w:rFonts w:cs="Arial"/>
          <w:sz w:val="16"/>
          <w:szCs w:val="16"/>
        </w:rPr>
        <w:t>Zdroj: ČSSZ, ČSÚ</w:t>
      </w:r>
    </w:p>
    <w:p w14:paraId="63276FF9" w14:textId="6ED19E0C" w:rsidR="00E90976" w:rsidRDefault="00E90976" w:rsidP="00E90976">
      <w:pPr>
        <w:jc w:val="both"/>
      </w:pPr>
      <w:r w:rsidRPr="00B32168">
        <w:t>Od roku 200</w:t>
      </w:r>
      <w:r w:rsidR="00D96350" w:rsidRPr="00B32168">
        <w:t>8</w:t>
      </w:r>
      <w:r w:rsidRPr="00B32168">
        <w:t xml:space="preserve"> postupně klesal objem vyplacených dávek nemocenského až do roku 2012 (celkem o</w:t>
      </w:r>
      <w:r w:rsidR="008A15C0">
        <w:t> </w:t>
      </w:r>
      <w:r w:rsidR="00D96350" w:rsidRPr="00B32168">
        <w:t>13,3</w:t>
      </w:r>
      <w:r w:rsidR="00B50ECC">
        <w:t> </w:t>
      </w:r>
      <w:r w:rsidRPr="00B32168">
        <w:t>mld. Kč), kdy dosáhl pouze 4</w:t>
      </w:r>
      <w:r w:rsidR="00D96350" w:rsidRPr="00B32168">
        <w:t>6</w:t>
      </w:r>
      <w:r w:rsidRPr="00B32168">
        <w:t xml:space="preserve"> % objemu nemocenského </w:t>
      </w:r>
      <w:r w:rsidR="00B32168" w:rsidRPr="00B32168">
        <w:t>vyplaceného v roce 2008</w:t>
      </w:r>
      <w:r w:rsidRPr="00B32168">
        <w:t>. V posledních pěti letech dochází k poměrně výraznému nárůstu objemu vyplacených dávek nemocenského, a to o</w:t>
      </w:r>
      <w:r w:rsidR="008A15C0">
        <w:t> </w:t>
      </w:r>
      <w:r w:rsidR="00B32168" w:rsidRPr="00B32168">
        <w:t>10,7</w:t>
      </w:r>
      <w:r w:rsidR="008A15C0">
        <w:t> </w:t>
      </w:r>
      <w:r w:rsidRPr="00B32168">
        <w:t>mld.</w:t>
      </w:r>
      <w:r w:rsidR="008A15C0">
        <w:t> </w:t>
      </w:r>
      <w:r w:rsidRPr="00B32168">
        <w:t>Kč</w:t>
      </w:r>
      <w:r w:rsidR="00B50ECC">
        <w:t xml:space="preserve"> od roku 2013</w:t>
      </w:r>
      <w:r w:rsidRPr="00B32168">
        <w:t>. Vývojová křivka výdajů na nemocenské v posledním desetiletí má obdobný trend jako vývoj nemocnosti, změny v objemu výdajů na nemocenské jsou však dynamičtější.</w:t>
      </w:r>
    </w:p>
    <w:p w14:paraId="1ADCDE50" w14:textId="77777777" w:rsidR="004744DF" w:rsidRDefault="004744DF">
      <w:pPr>
        <w:spacing w:after="0" w:line="240" w:lineRule="auto"/>
        <w:rPr>
          <w:rFonts w:eastAsia="MS Gothic"/>
          <w:b/>
          <w:bCs/>
          <w:color w:val="BC091B"/>
          <w:sz w:val="28"/>
          <w:szCs w:val="26"/>
        </w:rPr>
      </w:pPr>
      <w:r>
        <w:br w:type="page"/>
      </w:r>
    </w:p>
    <w:p w14:paraId="6F691807" w14:textId="71BA8067" w:rsidR="00977F2A" w:rsidRDefault="00977F2A" w:rsidP="004223A0">
      <w:pPr>
        <w:pStyle w:val="Nadpis2"/>
        <w:spacing w:after="100"/>
      </w:pPr>
      <w:bookmarkStart w:id="23" w:name="_Toc10117318"/>
      <w:r>
        <w:lastRenderedPageBreak/>
        <w:t>4.</w:t>
      </w:r>
      <w:r w:rsidR="00661E61">
        <w:t>5</w:t>
      </w:r>
      <w:r>
        <w:t xml:space="preserve"> </w:t>
      </w:r>
      <w:r w:rsidR="00C62BD6">
        <w:t>Pracovní úrazy</w:t>
      </w:r>
      <w:bookmarkEnd w:id="23"/>
    </w:p>
    <w:p w14:paraId="011AAE76" w14:textId="77777777" w:rsidR="004223A0" w:rsidRPr="008961BE" w:rsidRDefault="004223A0" w:rsidP="004223A0">
      <w:pPr>
        <w:jc w:val="both"/>
      </w:pPr>
      <w:r w:rsidRPr="00BF7B0E">
        <w:t>V oblasti pracovní úrazovosti ukládá česká i evropská legislativa zaměstnavatelům řadu povinností související s evidencí, hlášením a objasněním příčin a okolností vzniku každého pracovního úrazu.</w:t>
      </w:r>
      <w:r>
        <w:t xml:space="preserve"> </w:t>
      </w:r>
    </w:p>
    <w:p w14:paraId="55B052BA" w14:textId="177FD4BE" w:rsidR="004223A0" w:rsidRPr="004223A0" w:rsidRDefault="00700B12" w:rsidP="004223A0">
      <w:pPr>
        <w:pStyle w:val="Box1"/>
        <w:jc w:val="both"/>
        <w:rPr>
          <w:i/>
        </w:rPr>
      </w:pPr>
      <w:r w:rsidRPr="00A2036D">
        <w:rPr>
          <w:b/>
          <w:i/>
        </w:rPr>
        <w:t xml:space="preserve">Pracovní úraz </w:t>
      </w:r>
      <w:r w:rsidRPr="00F46EA8">
        <w:rPr>
          <w:i/>
        </w:rPr>
        <w:t xml:space="preserve">– </w:t>
      </w:r>
      <w:r w:rsidRPr="00700B12">
        <w:rPr>
          <w:i/>
        </w:rPr>
        <w:t>pracovním úrazem se rozumí poškození zdraví nebo smrt</w:t>
      </w:r>
      <w:r w:rsidR="002B03C8">
        <w:rPr>
          <w:i/>
        </w:rPr>
        <w:t xml:space="preserve"> zaměstnance, došlo-li k</w:t>
      </w:r>
      <w:r w:rsidR="00BF7B0E">
        <w:rPr>
          <w:i/>
        </w:rPr>
        <w:t> </w:t>
      </w:r>
      <w:r w:rsidR="002B03C8">
        <w:rPr>
          <w:i/>
        </w:rPr>
        <w:t>nim</w:t>
      </w:r>
      <w:r w:rsidRPr="00700B12">
        <w:rPr>
          <w:i/>
        </w:rPr>
        <w:t xml:space="preserve"> nezávisle na jeho vůli krátkodobým, náhlým a násilným působením </w:t>
      </w:r>
      <w:r w:rsidR="002B03C8">
        <w:rPr>
          <w:i/>
        </w:rPr>
        <w:t>zevních</w:t>
      </w:r>
      <w:r w:rsidRPr="00700B12">
        <w:rPr>
          <w:i/>
        </w:rPr>
        <w:t xml:space="preserve"> vlivů při plnění pracovních úkolů nebo v přímé souvislosti s ním </w:t>
      </w:r>
      <w:r w:rsidRPr="002B03C8">
        <w:rPr>
          <w:i/>
        </w:rPr>
        <w:t xml:space="preserve">(viz § </w:t>
      </w:r>
      <w:r w:rsidR="002B03C8">
        <w:rPr>
          <w:i/>
        </w:rPr>
        <w:t>271k</w:t>
      </w:r>
      <w:r w:rsidRPr="002B03C8">
        <w:rPr>
          <w:i/>
        </w:rPr>
        <w:t xml:space="preserve"> odst. 1 až 3 zákona č. 262/2006 Sb., zákoník práce</w:t>
      </w:r>
      <w:r w:rsidR="002B03C8">
        <w:rPr>
          <w:i/>
        </w:rPr>
        <w:t>, ve znění pozdějších předpisů</w:t>
      </w:r>
      <w:r w:rsidRPr="002B03C8">
        <w:rPr>
          <w:i/>
        </w:rPr>
        <w:t>).</w:t>
      </w:r>
    </w:p>
    <w:p w14:paraId="4846D2F8" w14:textId="77777777" w:rsidR="004223A0" w:rsidRDefault="004223A0" w:rsidP="004223A0">
      <w:pPr>
        <w:pStyle w:val="Box1"/>
        <w:jc w:val="both"/>
        <w:rPr>
          <w:b/>
          <w:i/>
        </w:rPr>
      </w:pPr>
    </w:p>
    <w:p w14:paraId="4C6CA5B5" w14:textId="74DFC99F" w:rsidR="004223A0" w:rsidRPr="00A07544" w:rsidRDefault="004223A0" w:rsidP="004223A0">
      <w:pPr>
        <w:pStyle w:val="Box1"/>
        <w:jc w:val="both"/>
        <w:rPr>
          <w:i/>
        </w:rPr>
      </w:pPr>
      <w:r>
        <w:rPr>
          <w:b/>
          <w:i/>
        </w:rPr>
        <w:t>Smrtelný pracovní úraz</w:t>
      </w:r>
      <w:r>
        <w:rPr>
          <w:i/>
        </w:rPr>
        <w:t xml:space="preserve"> – je takové poškození zdraví, na jehož následky úrazem postižený zaměstnanec nejpozději do 1 roku zemřel.</w:t>
      </w:r>
    </w:p>
    <w:p w14:paraId="7F1DFFDE" w14:textId="77777777" w:rsidR="004223A0" w:rsidRDefault="004223A0" w:rsidP="004223A0">
      <w:pPr>
        <w:pStyle w:val="Box1"/>
        <w:jc w:val="both"/>
        <w:rPr>
          <w:b/>
          <w:i/>
        </w:rPr>
      </w:pPr>
    </w:p>
    <w:p w14:paraId="3CEDF62A" w14:textId="257E9708" w:rsidR="004223A0" w:rsidRDefault="004223A0" w:rsidP="004223A0">
      <w:pPr>
        <w:pStyle w:val="Box1"/>
        <w:jc w:val="both"/>
        <w:rPr>
          <w:i/>
        </w:rPr>
      </w:pPr>
      <w:r>
        <w:rPr>
          <w:b/>
          <w:i/>
        </w:rPr>
        <w:t>Závažný pracovní úraz</w:t>
      </w:r>
      <w:r>
        <w:rPr>
          <w:i/>
        </w:rPr>
        <w:t xml:space="preserve"> – je takové poškození zdraví, trvá-li hospitalizace úrazem postiženého zaměstnance více než 5 dnů.</w:t>
      </w:r>
    </w:p>
    <w:p w14:paraId="53A13CD5" w14:textId="77777777" w:rsidR="004223A0" w:rsidRDefault="004223A0" w:rsidP="004223A0">
      <w:pPr>
        <w:pStyle w:val="Box1"/>
        <w:jc w:val="both"/>
        <w:rPr>
          <w:b/>
          <w:i/>
        </w:rPr>
      </w:pPr>
    </w:p>
    <w:p w14:paraId="6BA79DCE" w14:textId="77777777" w:rsidR="004223A0" w:rsidRPr="00F46EA8" w:rsidRDefault="004223A0" w:rsidP="004223A0">
      <w:pPr>
        <w:pStyle w:val="Box1"/>
        <w:jc w:val="both"/>
        <w:rPr>
          <w:i/>
        </w:rPr>
      </w:pPr>
      <w:r w:rsidRPr="00A2036D">
        <w:rPr>
          <w:b/>
          <w:i/>
        </w:rPr>
        <w:t xml:space="preserve">Pracovní úrazy s pracovní neschopností delší než 3 dny </w:t>
      </w:r>
      <w:r w:rsidRPr="00F46EA8">
        <w:rPr>
          <w:i/>
        </w:rPr>
        <w:t xml:space="preserve">– </w:t>
      </w:r>
      <w:r>
        <w:rPr>
          <w:i/>
        </w:rPr>
        <w:t>u</w:t>
      </w:r>
      <w:r w:rsidRPr="00A2036D">
        <w:rPr>
          <w:i/>
        </w:rPr>
        <w:t>kazatel zahrnuje případy pracovních úrazů, které měly za následek pracovní neschopnost delší než tři kalendářní dny. Do těchto tří dnů se nezapočítává den, ve kterém k úrazu došlo.</w:t>
      </w:r>
    </w:p>
    <w:p w14:paraId="792A5DBC" w14:textId="02157FB2" w:rsidR="004223A0" w:rsidRPr="00BF7B0E" w:rsidRDefault="004223A0" w:rsidP="004223A0">
      <w:pPr>
        <w:jc w:val="both"/>
      </w:pPr>
      <w:r w:rsidRPr="00BF7B0E">
        <w:t xml:space="preserve">Ohlášení pracovního úrazu místně příslušnému Oblastnímu inspektorátu práce (OIP) podléhá smrtelný pracovní </w:t>
      </w:r>
      <w:r w:rsidR="00386434">
        <w:t>úraz</w:t>
      </w:r>
      <w:r w:rsidRPr="00BF7B0E">
        <w:t xml:space="preserve"> a pracovní úraz s hospitalizací delší než 5 dnů (</w:t>
      </w:r>
      <w:r w:rsidR="00386434">
        <w:t xml:space="preserve">tzv. </w:t>
      </w:r>
      <w:r w:rsidRPr="00BF7B0E">
        <w:t>závažný</w:t>
      </w:r>
      <w:r w:rsidR="00386434">
        <w:t xml:space="preserve"> pracovní úraz</w:t>
      </w:r>
      <w:r w:rsidRPr="00BF7B0E">
        <w:t>). Vyhotovit záznam o úrazu (vč. případného hlášení změn) a zaslat jej na místně příslušný OIP je zaměstnavatel povinen u</w:t>
      </w:r>
      <w:r w:rsidR="008A15C0">
        <w:t> </w:t>
      </w:r>
      <w:r w:rsidRPr="00BF7B0E">
        <w:t>smrtelného úrazu, závažného úrazu i u pracovního úrazu s pracovní neschopností delší než 3 dny. V závislosti na druhu a okolnostech vzniku pracovního úrazu se pracovní úraz ohlašuje a záznam o něm se zasílá ještě na další stanovené orgány a instituce. Evidenci všech úrazů, tedy i takových, kterými nebyla způsobena pracovní neschopnost nebo jimi byla způsobena pracovní neschopnost nepřesahující 3</w:t>
      </w:r>
      <w:r w:rsidR="008A15C0">
        <w:t> </w:t>
      </w:r>
      <w:r w:rsidRPr="00BF7B0E">
        <w:t>kalendářní dny, je zaměstnavatel povinen vést v knize úrazů.</w:t>
      </w:r>
    </w:p>
    <w:p w14:paraId="695AFFB0" w14:textId="3F5AFF47" w:rsidR="004223A0" w:rsidRPr="00F33271" w:rsidRDefault="004223A0" w:rsidP="004223A0">
      <w:pPr>
        <w:jc w:val="both"/>
        <w:rPr>
          <w:rFonts w:cs="Arial"/>
        </w:rPr>
      </w:pPr>
      <w:r w:rsidRPr="00F33271">
        <w:rPr>
          <w:bCs/>
        </w:rPr>
        <w:t>Absolutní počet nově hlášených případů dočasné pracovní neschopnosti</w:t>
      </w:r>
      <w:r w:rsidRPr="00F33271">
        <w:rPr>
          <w:rFonts w:cs="Arial"/>
        </w:rPr>
        <w:t xml:space="preserve"> pro pracovní úraz meziročně </w:t>
      </w:r>
      <w:r w:rsidR="00BF7B0E" w:rsidRPr="00F33271">
        <w:rPr>
          <w:rFonts w:cs="Arial"/>
        </w:rPr>
        <w:t>poklesl</w:t>
      </w:r>
      <w:r w:rsidRPr="00F33271">
        <w:rPr>
          <w:rFonts w:cs="Arial"/>
        </w:rPr>
        <w:t xml:space="preserve"> ze 47 </w:t>
      </w:r>
      <w:r w:rsidR="00BF7B0E" w:rsidRPr="00F33271">
        <w:rPr>
          <w:rFonts w:cs="Arial"/>
        </w:rPr>
        <w:t>491</w:t>
      </w:r>
      <w:r w:rsidRPr="00F33271">
        <w:rPr>
          <w:rFonts w:cs="Arial"/>
        </w:rPr>
        <w:t xml:space="preserve"> případů v roce 201</w:t>
      </w:r>
      <w:r w:rsidR="00496F97">
        <w:rPr>
          <w:rFonts w:cs="Arial"/>
        </w:rPr>
        <w:t>7</w:t>
      </w:r>
      <w:r w:rsidRPr="00F33271">
        <w:rPr>
          <w:rFonts w:cs="Arial"/>
        </w:rPr>
        <w:t xml:space="preserve"> na </w:t>
      </w:r>
      <w:r w:rsidR="00BF7B0E" w:rsidRPr="00F33271">
        <w:rPr>
          <w:rFonts w:cs="Arial"/>
        </w:rPr>
        <w:t>46 223</w:t>
      </w:r>
      <w:r w:rsidRPr="00F33271">
        <w:rPr>
          <w:rFonts w:cs="Arial"/>
        </w:rPr>
        <w:t xml:space="preserve"> případ</w:t>
      </w:r>
      <w:r w:rsidR="00BF7B0E" w:rsidRPr="00F33271">
        <w:rPr>
          <w:rFonts w:cs="Arial"/>
        </w:rPr>
        <w:t>ů</w:t>
      </w:r>
      <w:r w:rsidRPr="00F33271">
        <w:rPr>
          <w:rFonts w:cs="Arial"/>
        </w:rPr>
        <w:t xml:space="preserve"> v roc</w:t>
      </w:r>
      <w:r w:rsidR="00BF7B0E" w:rsidRPr="00F33271">
        <w:rPr>
          <w:rFonts w:cs="Arial"/>
        </w:rPr>
        <w:t>e 2018</w:t>
      </w:r>
      <w:r w:rsidRPr="00F33271">
        <w:rPr>
          <w:rFonts w:cs="Arial"/>
        </w:rPr>
        <w:t xml:space="preserve"> (tj. o 2</w:t>
      </w:r>
      <w:r w:rsidR="00F33271" w:rsidRPr="00F33271">
        <w:rPr>
          <w:rFonts w:cs="Arial"/>
        </w:rPr>
        <w:t>,7</w:t>
      </w:r>
      <w:r w:rsidRPr="00F33271">
        <w:rPr>
          <w:rFonts w:cs="Arial"/>
        </w:rPr>
        <w:t xml:space="preserve"> %). Z tohoto celkového počtu bylo </w:t>
      </w:r>
      <w:r w:rsidR="00F33271" w:rsidRPr="00F33271">
        <w:rPr>
          <w:rFonts w:cs="Arial"/>
        </w:rPr>
        <w:t>45 666</w:t>
      </w:r>
      <w:r w:rsidRPr="00F33271">
        <w:rPr>
          <w:rFonts w:cs="Arial"/>
        </w:rPr>
        <w:t xml:space="preserve"> případů (98,</w:t>
      </w:r>
      <w:r w:rsidR="00F33271" w:rsidRPr="00F33271">
        <w:rPr>
          <w:rFonts w:cs="Arial"/>
        </w:rPr>
        <w:t>8</w:t>
      </w:r>
      <w:r w:rsidRPr="00F33271">
        <w:rPr>
          <w:rFonts w:cs="Arial"/>
        </w:rPr>
        <w:t xml:space="preserve"> %) </w:t>
      </w:r>
      <w:r w:rsidRPr="00F33271">
        <w:rPr>
          <w:rFonts w:cs="Arial"/>
          <w:b/>
        </w:rPr>
        <w:t>pracovních úrazů s pracovní neschopností delší než 3 kalendářní dny</w:t>
      </w:r>
      <w:r w:rsidRPr="00F33271">
        <w:rPr>
          <w:rFonts w:cs="Arial"/>
        </w:rPr>
        <w:t xml:space="preserve"> (tedy těch, které podléhají povinnosti vyhotovit záznam o úrazu a zaslat jej OIP). Nadále se v této kapitole budeme věnovat této skupině pracovních úrazů.</w:t>
      </w:r>
    </w:p>
    <w:p w14:paraId="630FEFA8" w14:textId="3E5AA3D2" w:rsidR="004744DF" w:rsidRDefault="004223A0" w:rsidP="004223A0">
      <w:pPr>
        <w:jc w:val="both"/>
      </w:pPr>
      <w:r w:rsidRPr="00F33271">
        <w:rPr>
          <w:rFonts w:cs="Arial"/>
        </w:rPr>
        <w:t xml:space="preserve">V pracovní úrazovosti je dlouhodobě patrný rozdíl mezi </w:t>
      </w:r>
      <w:r w:rsidRPr="00722773">
        <w:rPr>
          <w:rFonts w:cs="Arial"/>
          <w:b/>
        </w:rPr>
        <w:t>pohlavími</w:t>
      </w:r>
      <w:r w:rsidRPr="00F33271">
        <w:rPr>
          <w:rFonts w:cs="Arial"/>
        </w:rPr>
        <w:t>, muži zde výrazně dominují. Z celkového počtu pracovních úrazů připadalo v roce 201</w:t>
      </w:r>
      <w:r w:rsidR="00386434">
        <w:rPr>
          <w:rFonts w:cs="Arial"/>
        </w:rPr>
        <w:t>8</w:t>
      </w:r>
      <w:r w:rsidRPr="00F33271">
        <w:rPr>
          <w:rFonts w:cs="Arial"/>
        </w:rPr>
        <w:t xml:space="preserve"> na muže </w:t>
      </w:r>
      <w:r w:rsidR="00F33271" w:rsidRPr="00F33271">
        <w:rPr>
          <w:rFonts w:cs="Arial"/>
        </w:rPr>
        <w:t>67,8</w:t>
      </w:r>
      <w:r w:rsidRPr="00F33271">
        <w:rPr>
          <w:rFonts w:cs="Arial"/>
        </w:rPr>
        <w:t xml:space="preserve"> %</w:t>
      </w:r>
      <w:r w:rsidR="00F33271" w:rsidRPr="00F33271">
        <w:rPr>
          <w:rFonts w:cs="Arial"/>
        </w:rPr>
        <w:t xml:space="preserve"> (v roce 2008 dokonce 73,</w:t>
      </w:r>
      <w:r w:rsidR="00386434">
        <w:rPr>
          <w:rFonts w:cs="Arial"/>
        </w:rPr>
        <w:t>4</w:t>
      </w:r>
      <w:r w:rsidRPr="00F33271">
        <w:rPr>
          <w:rFonts w:cs="Arial"/>
        </w:rPr>
        <w:t xml:space="preserve"> %) a na ženy pouze </w:t>
      </w:r>
      <w:r w:rsidR="00F33271" w:rsidRPr="00F33271">
        <w:rPr>
          <w:rFonts w:cs="Arial"/>
        </w:rPr>
        <w:t>32,2</w:t>
      </w:r>
      <w:r w:rsidRPr="00F33271">
        <w:rPr>
          <w:rFonts w:cs="Arial"/>
        </w:rPr>
        <w:t> % (</w:t>
      </w:r>
      <w:r w:rsidR="00F33271" w:rsidRPr="00F33271">
        <w:rPr>
          <w:rFonts w:cs="Arial"/>
        </w:rPr>
        <w:t>26,</w:t>
      </w:r>
      <w:r w:rsidR="00386434">
        <w:rPr>
          <w:rFonts w:cs="Arial"/>
        </w:rPr>
        <w:t>6</w:t>
      </w:r>
      <w:r w:rsidRPr="00F33271">
        <w:rPr>
          <w:rFonts w:cs="Arial"/>
        </w:rPr>
        <w:t xml:space="preserve"> % v roce 200</w:t>
      </w:r>
      <w:r w:rsidR="00F33271" w:rsidRPr="00F33271">
        <w:rPr>
          <w:rFonts w:cs="Arial"/>
        </w:rPr>
        <w:t>8</w:t>
      </w:r>
      <w:r w:rsidRPr="00F33271">
        <w:rPr>
          <w:rFonts w:cs="Arial"/>
        </w:rPr>
        <w:t xml:space="preserve">) pracovních úrazů, což je dáno i odlišnou strukturou zaměstnanosti žen a mužů. Odvětví, </w:t>
      </w:r>
      <w:r w:rsidRPr="00F33271">
        <w:t>kde převládají muži a vyskytují se zvýšená rizika pracovního úrazu, jsou např. T</w:t>
      </w:r>
      <w:r w:rsidRPr="00F33271">
        <w:rPr>
          <w:rFonts w:cs="Arial"/>
        </w:rPr>
        <w:t>ěžba a</w:t>
      </w:r>
      <w:r w:rsidR="008A15C0">
        <w:rPr>
          <w:rFonts w:cs="Arial"/>
        </w:rPr>
        <w:t> </w:t>
      </w:r>
      <w:r w:rsidRPr="00F33271">
        <w:rPr>
          <w:rFonts w:cs="Arial"/>
        </w:rPr>
        <w:t>dobývání, Zpracovatelský průmysl, S</w:t>
      </w:r>
      <w:r w:rsidRPr="00F33271">
        <w:t xml:space="preserve">tavebnictví, Doprava a skladování či Zemědělství, lesnictví, rybářství. Naopak odvětví, kde převažují v zaměstnání ženy a rizika pracovních úrazů </w:t>
      </w:r>
      <w:r w:rsidR="00386434">
        <w:t>bývají</w:t>
      </w:r>
      <w:r w:rsidRPr="00F33271">
        <w:t xml:space="preserve"> méně častá, jsou Peněžnictví a pojišťovnictví, </w:t>
      </w:r>
      <w:r w:rsidRPr="00F33271">
        <w:rPr>
          <w:rFonts w:cs="Arial"/>
        </w:rPr>
        <w:t xml:space="preserve">Veřejná správa </w:t>
      </w:r>
      <w:r w:rsidRPr="00F33271">
        <w:t>a Vzdělávání. Ještě výraznější rozdíl mezi pohlavími je patrný u smrtelných pracovních úrazů.</w:t>
      </w:r>
      <w:r w:rsidR="00F33271">
        <w:t xml:space="preserve"> V roce 201</w:t>
      </w:r>
      <w:r w:rsidR="00386434">
        <w:t>8</w:t>
      </w:r>
      <w:r w:rsidR="00F33271">
        <w:t xml:space="preserve"> se muži se podíleli na smrtelných úrazech z 9</w:t>
      </w:r>
      <w:r w:rsidR="00386434">
        <w:t>5</w:t>
      </w:r>
      <w:r w:rsidR="00F33271">
        <w:t xml:space="preserve"> %.</w:t>
      </w:r>
      <w:r w:rsidR="00386434">
        <w:t xml:space="preserve"> Oproti </w:t>
      </w:r>
      <w:r w:rsidR="00F03E5C">
        <w:t>předchozímu</w:t>
      </w:r>
      <w:r w:rsidR="00386434">
        <w:t xml:space="preserve"> roku došlo k nárůstu </w:t>
      </w:r>
      <w:r w:rsidR="00F03E5C">
        <w:t>smrtelných pracovních úrazů z 95 na 123, tj. téměř o 30 %. Zejména u</w:t>
      </w:r>
      <w:r w:rsidR="008A15C0">
        <w:t> </w:t>
      </w:r>
      <w:r w:rsidR="00F03E5C">
        <w:t>mužů je zvýšení markantní, v roce 2018 došlo ke 117 smrtelným úrazům mužů, což je o 16 více než v roce 2017.</w:t>
      </w:r>
    </w:p>
    <w:p w14:paraId="596830F9" w14:textId="77777777" w:rsidR="004744DF" w:rsidRDefault="004744DF">
      <w:pPr>
        <w:spacing w:after="0" w:line="240" w:lineRule="auto"/>
      </w:pPr>
      <w:r>
        <w:br w:type="page"/>
      </w:r>
    </w:p>
    <w:p w14:paraId="10A96B56" w14:textId="72746BBE" w:rsidR="00532BBD" w:rsidRPr="00532BBD" w:rsidRDefault="00532BBD" w:rsidP="00F03E5C">
      <w:pPr>
        <w:pStyle w:val="Titulek"/>
        <w:keepNext/>
        <w:rPr>
          <w:b/>
          <w:i w:val="0"/>
          <w:color w:val="auto"/>
          <w:sz w:val="20"/>
        </w:rPr>
      </w:pPr>
      <w:bookmarkStart w:id="24" w:name="_Toc10112630"/>
      <w:r w:rsidRPr="00532BBD">
        <w:rPr>
          <w:b/>
          <w:i w:val="0"/>
          <w:color w:val="auto"/>
          <w:sz w:val="20"/>
        </w:rPr>
        <w:lastRenderedPageBreak/>
        <w:t>Tab</w:t>
      </w:r>
      <w:r w:rsidR="00F03E5C">
        <w:rPr>
          <w:b/>
          <w:i w:val="0"/>
          <w:color w:val="auto"/>
          <w:sz w:val="20"/>
        </w:rPr>
        <w:t>.</w:t>
      </w:r>
      <w:r w:rsidRPr="00532BBD">
        <w:rPr>
          <w:b/>
          <w:i w:val="0"/>
          <w:color w:val="auto"/>
          <w:sz w:val="20"/>
        </w:rPr>
        <w:t xml:space="preserve"> 5.</w:t>
      </w:r>
      <w:r w:rsidR="00F547BE">
        <w:rPr>
          <w:b/>
          <w:i w:val="0"/>
          <w:color w:val="auto"/>
          <w:sz w:val="20"/>
        </w:rPr>
        <w:t>1</w:t>
      </w:r>
      <w:r w:rsidRPr="00532BBD">
        <w:rPr>
          <w:b/>
          <w:i w:val="0"/>
          <w:color w:val="auto"/>
          <w:sz w:val="20"/>
        </w:rPr>
        <w:t>: Pracovní úrazy podle pohlaví v letech 2008–2018</w:t>
      </w:r>
      <w:bookmarkEnd w:id="24"/>
    </w:p>
    <w:tbl>
      <w:tblPr>
        <w:tblW w:w="9600" w:type="dxa"/>
        <w:tblInd w:w="7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41370D" w:rsidRPr="0041370D" w14:paraId="1B305B5E" w14:textId="77777777" w:rsidTr="0041370D">
        <w:trPr>
          <w:trHeight w:val="705"/>
        </w:trPr>
        <w:tc>
          <w:tcPr>
            <w:tcW w:w="960" w:type="dxa"/>
            <w:vMerge w:val="restart"/>
            <w:tcBorders>
              <w:top w:val="single" w:sz="4" w:space="0" w:color="auto"/>
              <w:left w:val="nil"/>
              <w:bottom w:val="single" w:sz="8" w:space="0" w:color="000000"/>
              <w:right w:val="single" w:sz="4" w:space="0" w:color="auto"/>
            </w:tcBorders>
            <w:shd w:val="clear" w:color="000000" w:fill="F5DADD"/>
            <w:vAlign w:val="center"/>
            <w:hideMark/>
          </w:tcPr>
          <w:p w14:paraId="266E6037" w14:textId="77777777" w:rsidR="0041370D" w:rsidRPr="0041370D" w:rsidRDefault="0041370D" w:rsidP="0041370D">
            <w:pPr>
              <w:spacing w:after="0" w:line="240" w:lineRule="auto"/>
              <w:jc w:val="center"/>
              <w:rPr>
                <w:rFonts w:cs="Arial"/>
                <w:sz w:val="16"/>
                <w:szCs w:val="16"/>
              </w:rPr>
            </w:pPr>
            <w:r w:rsidRPr="0041370D">
              <w:rPr>
                <w:rFonts w:cs="Arial"/>
                <w:sz w:val="16"/>
                <w:szCs w:val="16"/>
              </w:rPr>
              <w:t>Rok</w:t>
            </w:r>
          </w:p>
        </w:tc>
        <w:tc>
          <w:tcPr>
            <w:tcW w:w="2880" w:type="dxa"/>
            <w:gridSpan w:val="3"/>
            <w:tcBorders>
              <w:top w:val="single" w:sz="4" w:space="0" w:color="auto"/>
              <w:left w:val="nil"/>
              <w:bottom w:val="single" w:sz="4" w:space="0" w:color="auto"/>
              <w:right w:val="nil"/>
            </w:tcBorders>
            <w:shd w:val="clear" w:color="000000" w:fill="F5DADD"/>
            <w:vAlign w:val="center"/>
            <w:hideMark/>
          </w:tcPr>
          <w:p w14:paraId="736DE948" w14:textId="77777777" w:rsidR="0041370D" w:rsidRPr="0041370D" w:rsidRDefault="0041370D" w:rsidP="0041370D">
            <w:pPr>
              <w:spacing w:after="0" w:line="240" w:lineRule="auto"/>
              <w:jc w:val="center"/>
              <w:rPr>
                <w:rFonts w:cs="Arial"/>
                <w:sz w:val="16"/>
                <w:szCs w:val="16"/>
              </w:rPr>
            </w:pPr>
            <w:r w:rsidRPr="0041370D">
              <w:rPr>
                <w:rFonts w:cs="Arial"/>
                <w:sz w:val="16"/>
                <w:szCs w:val="16"/>
              </w:rPr>
              <w:t xml:space="preserve">Počet pracovních úrazů </w:t>
            </w:r>
            <w:r w:rsidRPr="0041370D">
              <w:rPr>
                <w:rFonts w:cs="Arial"/>
                <w:sz w:val="16"/>
                <w:szCs w:val="16"/>
              </w:rPr>
              <w:br/>
              <w:t xml:space="preserve">s pracovní neschopností </w:t>
            </w:r>
          </w:p>
        </w:tc>
        <w:tc>
          <w:tcPr>
            <w:tcW w:w="2880" w:type="dxa"/>
            <w:gridSpan w:val="3"/>
            <w:tcBorders>
              <w:top w:val="single" w:sz="4" w:space="0" w:color="auto"/>
              <w:left w:val="single" w:sz="4" w:space="0" w:color="auto"/>
              <w:bottom w:val="single" w:sz="4" w:space="0" w:color="auto"/>
              <w:right w:val="single" w:sz="4" w:space="0" w:color="000000"/>
            </w:tcBorders>
            <w:shd w:val="clear" w:color="000000" w:fill="F5DADD"/>
            <w:vAlign w:val="center"/>
            <w:hideMark/>
          </w:tcPr>
          <w:p w14:paraId="5A9B5E0C" w14:textId="77777777" w:rsidR="0041370D" w:rsidRPr="0041370D" w:rsidRDefault="0041370D" w:rsidP="0041370D">
            <w:pPr>
              <w:spacing w:after="0" w:line="240" w:lineRule="auto"/>
              <w:jc w:val="center"/>
              <w:rPr>
                <w:rFonts w:cs="Arial"/>
                <w:sz w:val="16"/>
                <w:szCs w:val="16"/>
              </w:rPr>
            </w:pPr>
            <w:r w:rsidRPr="0041370D">
              <w:rPr>
                <w:rFonts w:cs="Arial"/>
                <w:sz w:val="16"/>
                <w:szCs w:val="16"/>
              </w:rPr>
              <w:t xml:space="preserve">Počet pracovních úrazů </w:t>
            </w:r>
            <w:r w:rsidRPr="0041370D">
              <w:rPr>
                <w:rFonts w:cs="Arial"/>
                <w:sz w:val="16"/>
                <w:szCs w:val="16"/>
              </w:rPr>
              <w:br/>
              <w:t xml:space="preserve">s pracovní neschopností </w:t>
            </w:r>
            <w:r w:rsidRPr="0041370D">
              <w:rPr>
                <w:rFonts w:cs="Arial"/>
                <w:sz w:val="16"/>
                <w:szCs w:val="16"/>
              </w:rPr>
              <w:br/>
              <w:t>delší než 3 dny</w:t>
            </w:r>
          </w:p>
        </w:tc>
        <w:tc>
          <w:tcPr>
            <w:tcW w:w="2880" w:type="dxa"/>
            <w:gridSpan w:val="3"/>
            <w:tcBorders>
              <w:top w:val="single" w:sz="4" w:space="0" w:color="auto"/>
              <w:left w:val="nil"/>
              <w:bottom w:val="single" w:sz="4" w:space="0" w:color="auto"/>
              <w:right w:val="nil"/>
            </w:tcBorders>
            <w:shd w:val="clear" w:color="000000" w:fill="F5DADD"/>
            <w:vAlign w:val="center"/>
            <w:hideMark/>
          </w:tcPr>
          <w:p w14:paraId="1573EBF9" w14:textId="47585F9A" w:rsidR="0041370D" w:rsidRPr="0041370D" w:rsidRDefault="0041370D" w:rsidP="0041370D">
            <w:pPr>
              <w:spacing w:after="0" w:line="240" w:lineRule="auto"/>
              <w:jc w:val="center"/>
              <w:rPr>
                <w:rFonts w:cs="Arial"/>
                <w:sz w:val="16"/>
                <w:szCs w:val="16"/>
              </w:rPr>
            </w:pPr>
            <w:r w:rsidRPr="0041370D">
              <w:rPr>
                <w:rFonts w:cs="Arial"/>
                <w:sz w:val="16"/>
                <w:szCs w:val="16"/>
              </w:rPr>
              <w:t>Poč</w:t>
            </w:r>
            <w:r w:rsidR="00F03E5C">
              <w:rPr>
                <w:rFonts w:cs="Arial"/>
                <w:sz w:val="16"/>
                <w:szCs w:val="16"/>
              </w:rPr>
              <w:t xml:space="preserve">et smrtelných </w:t>
            </w:r>
            <w:r w:rsidR="00F03E5C">
              <w:rPr>
                <w:rFonts w:cs="Arial"/>
                <w:sz w:val="16"/>
                <w:szCs w:val="16"/>
              </w:rPr>
              <w:br/>
              <w:t>pracovních úrazů</w:t>
            </w:r>
          </w:p>
        </w:tc>
      </w:tr>
      <w:tr w:rsidR="0041370D" w:rsidRPr="0041370D" w14:paraId="1462FB3B" w14:textId="77777777" w:rsidTr="0041370D">
        <w:trPr>
          <w:trHeight w:val="300"/>
        </w:trPr>
        <w:tc>
          <w:tcPr>
            <w:tcW w:w="960" w:type="dxa"/>
            <w:vMerge/>
            <w:tcBorders>
              <w:top w:val="single" w:sz="4" w:space="0" w:color="auto"/>
              <w:left w:val="nil"/>
              <w:bottom w:val="single" w:sz="8" w:space="0" w:color="000000"/>
              <w:right w:val="single" w:sz="4" w:space="0" w:color="auto"/>
            </w:tcBorders>
            <w:vAlign w:val="center"/>
            <w:hideMark/>
          </w:tcPr>
          <w:p w14:paraId="292DE98F" w14:textId="77777777" w:rsidR="0041370D" w:rsidRPr="0041370D" w:rsidRDefault="0041370D" w:rsidP="0041370D">
            <w:pPr>
              <w:spacing w:after="0" w:line="240" w:lineRule="auto"/>
              <w:rPr>
                <w:rFonts w:cs="Arial"/>
                <w:sz w:val="16"/>
                <w:szCs w:val="16"/>
              </w:rPr>
            </w:pPr>
          </w:p>
        </w:tc>
        <w:tc>
          <w:tcPr>
            <w:tcW w:w="960" w:type="dxa"/>
            <w:vMerge w:val="restart"/>
            <w:tcBorders>
              <w:top w:val="nil"/>
              <w:left w:val="single" w:sz="4" w:space="0" w:color="auto"/>
              <w:bottom w:val="single" w:sz="8" w:space="0" w:color="000000"/>
              <w:right w:val="single" w:sz="4" w:space="0" w:color="auto"/>
            </w:tcBorders>
            <w:shd w:val="clear" w:color="000000" w:fill="F5DADD"/>
            <w:vAlign w:val="center"/>
            <w:hideMark/>
          </w:tcPr>
          <w:p w14:paraId="6165E691" w14:textId="718B5FA8" w:rsidR="0041370D" w:rsidRPr="0041370D" w:rsidRDefault="00F03E5C" w:rsidP="0041370D">
            <w:pPr>
              <w:spacing w:after="0" w:line="240" w:lineRule="auto"/>
              <w:jc w:val="center"/>
              <w:rPr>
                <w:rFonts w:cs="Arial"/>
                <w:sz w:val="16"/>
                <w:szCs w:val="16"/>
              </w:rPr>
            </w:pPr>
            <w:r>
              <w:rPr>
                <w:rFonts w:cs="Arial"/>
                <w:sz w:val="16"/>
                <w:szCs w:val="16"/>
              </w:rPr>
              <w:t>C</w:t>
            </w:r>
            <w:r w:rsidR="0041370D" w:rsidRPr="0041370D">
              <w:rPr>
                <w:rFonts w:cs="Arial"/>
                <w:sz w:val="16"/>
                <w:szCs w:val="16"/>
              </w:rPr>
              <w:t>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1D4B3DCB" w14:textId="302B2131" w:rsidR="0041370D" w:rsidRPr="0041370D" w:rsidRDefault="00776E3B" w:rsidP="0041370D">
            <w:pPr>
              <w:spacing w:after="0" w:line="240" w:lineRule="auto"/>
              <w:jc w:val="center"/>
              <w:rPr>
                <w:rFonts w:cs="Arial"/>
                <w:sz w:val="16"/>
                <w:szCs w:val="16"/>
              </w:rPr>
            </w:pPr>
            <w:r>
              <w:rPr>
                <w:rFonts w:cs="Arial"/>
                <w:sz w:val="16"/>
                <w:szCs w:val="16"/>
              </w:rPr>
              <w:t>podle pohlaví</w:t>
            </w:r>
          </w:p>
        </w:tc>
        <w:tc>
          <w:tcPr>
            <w:tcW w:w="960" w:type="dxa"/>
            <w:vMerge w:val="restart"/>
            <w:tcBorders>
              <w:top w:val="nil"/>
              <w:left w:val="single" w:sz="4" w:space="0" w:color="auto"/>
              <w:bottom w:val="single" w:sz="8" w:space="0" w:color="000000"/>
              <w:right w:val="single" w:sz="4" w:space="0" w:color="auto"/>
            </w:tcBorders>
            <w:shd w:val="clear" w:color="000000" w:fill="F5DADD"/>
            <w:vAlign w:val="center"/>
            <w:hideMark/>
          </w:tcPr>
          <w:p w14:paraId="6A8E448C" w14:textId="302E2E83" w:rsidR="0041370D" w:rsidRPr="0041370D" w:rsidRDefault="00F03E5C" w:rsidP="0041370D">
            <w:pPr>
              <w:spacing w:after="0" w:line="240" w:lineRule="auto"/>
              <w:jc w:val="center"/>
              <w:rPr>
                <w:rFonts w:cs="Arial"/>
                <w:sz w:val="16"/>
                <w:szCs w:val="16"/>
              </w:rPr>
            </w:pPr>
            <w:r>
              <w:rPr>
                <w:rFonts w:cs="Arial"/>
                <w:sz w:val="16"/>
                <w:szCs w:val="16"/>
              </w:rPr>
              <w:t>C</w:t>
            </w:r>
            <w:r w:rsidR="0041370D" w:rsidRPr="0041370D">
              <w:rPr>
                <w:rFonts w:cs="Arial"/>
                <w:sz w:val="16"/>
                <w:szCs w:val="16"/>
              </w:rPr>
              <w:t>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6EE8AAB7" w14:textId="75FB00C7" w:rsidR="0041370D" w:rsidRPr="0041370D" w:rsidRDefault="00776E3B" w:rsidP="0041370D">
            <w:pPr>
              <w:spacing w:after="0" w:line="240" w:lineRule="auto"/>
              <w:jc w:val="center"/>
              <w:rPr>
                <w:rFonts w:cs="Arial"/>
                <w:sz w:val="16"/>
                <w:szCs w:val="16"/>
              </w:rPr>
            </w:pPr>
            <w:r>
              <w:rPr>
                <w:rFonts w:cs="Arial"/>
                <w:sz w:val="16"/>
                <w:szCs w:val="16"/>
              </w:rPr>
              <w:t>podle pohlaví</w:t>
            </w:r>
          </w:p>
        </w:tc>
        <w:tc>
          <w:tcPr>
            <w:tcW w:w="960" w:type="dxa"/>
            <w:vMerge w:val="restart"/>
            <w:tcBorders>
              <w:top w:val="nil"/>
              <w:left w:val="single" w:sz="4" w:space="0" w:color="auto"/>
              <w:bottom w:val="single" w:sz="8" w:space="0" w:color="000000"/>
              <w:right w:val="single" w:sz="4" w:space="0" w:color="auto"/>
            </w:tcBorders>
            <w:shd w:val="clear" w:color="000000" w:fill="F5DADD"/>
            <w:vAlign w:val="center"/>
            <w:hideMark/>
          </w:tcPr>
          <w:p w14:paraId="6EEA11FC" w14:textId="643C2A42" w:rsidR="0041370D" w:rsidRPr="0041370D" w:rsidRDefault="00F03E5C" w:rsidP="0041370D">
            <w:pPr>
              <w:spacing w:after="0" w:line="240" w:lineRule="auto"/>
              <w:jc w:val="center"/>
              <w:rPr>
                <w:rFonts w:cs="Arial"/>
                <w:sz w:val="16"/>
                <w:szCs w:val="16"/>
              </w:rPr>
            </w:pPr>
            <w:r>
              <w:rPr>
                <w:rFonts w:cs="Arial"/>
                <w:sz w:val="16"/>
                <w:szCs w:val="16"/>
              </w:rPr>
              <w:t>C</w:t>
            </w:r>
            <w:r w:rsidR="0041370D" w:rsidRPr="0041370D">
              <w:rPr>
                <w:rFonts w:cs="Arial"/>
                <w:sz w:val="16"/>
                <w:szCs w:val="16"/>
              </w:rPr>
              <w:t>elkem</w:t>
            </w:r>
          </w:p>
        </w:tc>
        <w:tc>
          <w:tcPr>
            <w:tcW w:w="1920" w:type="dxa"/>
            <w:gridSpan w:val="2"/>
            <w:tcBorders>
              <w:top w:val="single" w:sz="4" w:space="0" w:color="auto"/>
              <w:left w:val="nil"/>
              <w:bottom w:val="single" w:sz="4" w:space="0" w:color="auto"/>
            </w:tcBorders>
            <w:shd w:val="clear" w:color="000000" w:fill="F5DADD"/>
            <w:vAlign w:val="center"/>
            <w:hideMark/>
          </w:tcPr>
          <w:p w14:paraId="24C0D2C8" w14:textId="05DAD2E1" w:rsidR="0041370D" w:rsidRPr="0041370D" w:rsidRDefault="00776E3B" w:rsidP="0041370D">
            <w:pPr>
              <w:spacing w:after="0" w:line="240" w:lineRule="auto"/>
              <w:jc w:val="center"/>
              <w:rPr>
                <w:rFonts w:cs="Arial"/>
                <w:sz w:val="16"/>
                <w:szCs w:val="16"/>
              </w:rPr>
            </w:pPr>
            <w:r>
              <w:rPr>
                <w:rFonts w:cs="Arial"/>
                <w:sz w:val="16"/>
                <w:szCs w:val="16"/>
              </w:rPr>
              <w:t>podle pohlaví</w:t>
            </w:r>
          </w:p>
        </w:tc>
      </w:tr>
      <w:tr w:rsidR="0041370D" w:rsidRPr="0041370D" w14:paraId="789BDE22" w14:textId="77777777" w:rsidTr="00776E3B">
        <w:trPr>
          <w:trHeight w:val="315"/>
        </w:trPr>
        <w:tc>
          <w:tcPr>
            <w:tcW w:w="960" w:type="dxa"/>
            <w:vMerge/>
            <w:tcBorders>
              <w:top w:val="single" w:sz="4" w:space="0" w:color="auto"/>
              <w:left w:val="nil"/>
              <w:bottom w:val="single" w:sz="8" w:space="0" w:color="000000"/>
              <w:right w:val="single" w:sz="4" w:space="0" w:color="auto"/>
            </w:tcBorders>
            <w:vAlign w:val="center"/>
            <w:hideMark/>
          </w:tcPr>
          <w:p w14:paraId="344CBF3B" w14:textId="77777777" w:rsidR="0041370D" w:rsidRPr="0041370D" w:rsidRDefault="0041370D" w:rsidP="0041370D">
            <w:pPr>
              <w:spacing w:after="0" w:line="240" w:lineRule="auto"/>
              <w:rPr>
                <w:rFonts w:cs="Arial"/>
                <w:sz w:val="16"/>
                <w:szCs w:val="16"/>
              </w:rPr>
            </w:pPr>
          </w:p>
        </w:tc>
        <w:tc>
          <w:tcPr>
            <w:tcW w:w="960" w:type="dxa"/>
            <w:vMerge/>
            <w:tcBorders>
              <w:top w:val="nil"/>
              <w:left w:val="single" w:sz="4" w:space="0" w:color="auto"/>
              <w:bottom w:val="single" w:sz="8" w:space="0" w:color="000000"/>
              <w:right w:val="single" w:sz="4" w:space="0" w:color="auto"/>
            </w:tcBorders>
            <w:vAlign w:val="center"/>
            <w:hideMark/>
          </w:tcPr>
          <w:p w14:paraId="7F510821" w14:textId="77777777" w:rsidR="0041370D" w:rsidRPr="0041370D" w:rsidRDefault="0041370D" w:rsidP="0041370D">
            <w:pPr>
              <w:spacing w:after="0" w:line="240" w:lineRule="auto"/>
              <w:rPr>
                <w:rFonts w:cs="Arial"/>
                <w:sz w:val="16"/>
                <w:szCs w:val="16"/>
              </w:rPr>
            </w:pPr>
          </w:p>
        </w:tc>
        <w:tc>
          <w:tcPr>
            <w:tcW w:w="960" w:type="dxa"/>
            <w:tcBorders>
              <w:top w:val="nil"/>
              <w:left w:val="nil"/>
              <w:bottom w:val="single" w:sz="8" w:space="0" w:color="auto"/>
              <w:right w:val="single" w:sz="4" w:space="0" w:color="auto"/>
            </w:tcBorders>
            <w:shd w:val="clear" w:color="000000" w:fill="F5DADD"/>
            <w:vAlign w:val="center"/>
            <w:hideMark/>
          </w:tcPr>
          <w:p w14:paraId="62B1E80D" w14:textId="77777777" w:rsidR="0041370D" w:rsidRPr="0041370D" w:rsidRDefault="0041370D" w:rsidP="0041370D">
            <w:pPr>
              <w:spacing w:after="0" w:line="240" w:lineRule="auto"/>
              <w:jc w:val="center"/>
              <w:rPr>
                <w:rFonts w:cs="Arial"/>
                <w:sz w:val="16"/>
                <w:szCs w:val="16"/>
              </w:rPr>
            </w:pPr>
            <w:r w:rsidRPr="0041370D">
              <w:rPr>
                <w:rFonts w:cs="Arial"/>
                <w:sz w:val="16"/>
                <w:szCs w:val="16"/>
              </w:rPr>
              <w:t>muži</w:t>
            </w:r>
          </w:p>
        </w:tc>
        <w:tc>
          <w:tcPr>
            <w:tcW w:w="960" w:type="dxa"/>
            <w:tcBorders>
              <w:top w:val="nil"/>
              <w:left w:val="nil"/>
              <w:bottom w:val="single" w:sz="8" w:space="0" w:color="auto"/>
              <w:right w:val="nil"/>
            </w:tcBorders>
            <w:shd w:val="clear" w:color="000000" w:fill="F5DADD"/>
            <w:vAlign w:val="center"/>
            <w:hideMark/>
          </w:tcPr>
          <w:p w14:paraId="5E20238C" w14:textId="77777777" w:rsidR="0041370D" w:rsidRPr="0041370D" w:rsidRDefault="0041370D" w:rsidP="0041370D">
            <w:pPr>
              <w:spacing w:after="0" w:line="240" w:lineRule="auto"/>
              <w:jc w:val="center"/>
              <w:rPr>
                <w:rFonts w:cs="Arial"/>
                <w:sz w:val="16"/>
                <w:szCs w:val="16"/>
              </w:rPr>
            </w:pPr>
            <w:r w:rsidRPr="0041370D">
              <w:rPr>
                <w:rFonts w:cs="Arial"/>
                <w:sz w:val="16"/>
                <w:szCs w:val="16"/>
              </w:rPr>
              <w:t>ženy</w:t>
            </w:r>
          </w:p>
        </w:tc>
        <w:tc>
          <w:tcPr>
            <w:tcW w:w="960" w:type="dxa"/>
            <w:vMerge/>
            <w:tcBorders>
              <w:top w:val="nil"/>
              <w:left w:val="single" w:sz="4" w:space="0" w:color="auto"/>
              <w:bottom w:val="single" w:sz="8" w:space="0" w:color="000000"/>
              <w:right w:val="single" w:sz="4" w:space="0" w:color="auto"/>
            </w:tcBorders>
            <w:vAlign w:val="center"/>
            <w:hideMark/>
          </w:tcPr>
          <w:p w14:paraId="1200901F" w14:textId="77777777" w:rsidR="0041370D" w:rsidRPr="0041370D" w:rsidRDefault="0041370D" w:rsidP="0041370D">
            <w:pPr>
              <w:spacing w:after="0" w:line="240" w:lineRule="auto"/>
              <w:rPr>
                <w:rFonts w:cs="Arial"/>
                <w:sz w:val="16"/>
                <w:szCs w:val="16"/>
              </w:rPr>
            </w:pPr>
          </w:p>
        </w:tc>
        <w:tc>
          <w:tcPr>
            <w:tcW w:w="960" w:type="dxa"/>
            <w:tcBorders>
              <w:top w:val="nil"/>
              <w:left w:val="nil"/>
              <w:bottom w:val="single" w:sz="8" w:space="0" w:color="auto"/>
              <w:right w:val="single" w:sz="4" w:space="0" w:color="auto"/>
            </w:tcBorders>
            <w:shd w:val="clear" w:color="000000" w:fill="F5DADD"/>
            <w:vAlign w:val="center"/>
            <w:hideMark/>
          </w:tcPr>
          <w:p w14:paraId="3AA5BC12" w14:textId="77777777" w:rsidR="0041370D" w:rsidRPr="0041370D" w:rsidRDefault="0041370D" w:rsidP="0041370D">
            <w:pPr>
              <w:spacing w:after="0" w:line="240" w:lineRule="auto"/>
              <w:jc w:val="center"/>
              <w:rPr>
                <w:rFonts w:cs="Arial"/>
                <w:sz w:val="16"/>
                <w:szCs w:val="16"/>
              </w:rPr>
            </w:pPr>
            <w:r w:rsidRPr="0041370D">
              <w:rPr>
                <w:rFonts w:cs="Arial"/>
                <w:sz w:val="16"/>
                <w:szCs w:val="16"/>
              </w:rPr>
              <w:t>muži</w:t>
            </w:r>
          </w:p>
        </w:tc>
        <w:tc>
          <w:tcPr>
            <w:tcW w:w="960" w:type="dxa"/>
            <w:tcBorders>
              <w:top w:val="nil"/>
              <w:left w:val="nil"/>
              <w:bottom w:val="single" w:sz="8" w:space="0" w:color="auto"/>
              <w:right w:val="single" w:sz="4" w:space="0" w:color="auto"/>
            </w:tcBorders>
            <w:shd w:val="clear" w:color="000000" w:fill="F5DADD"/>
            <w:vAlign w:val="center"/>
            <w:hideMark/>
          </w:tcPr>
          <w:p w14:paraId="032CCAF8" w14:textId="77777777" w:rsidR="0041370D" w:rsidRPr="0041370D" w:rsidRDefault="0041370D" w:rsidP="0041370D">
            <w:pPr>
              <w:spacing w:after="0" w:line="240" w:lineRule="auto"/>
              <w:jc w:val="center"/>
              <w:rPr>
                <w:rFonts w:cs="Arial"/>
                <w:sz w:val="16"/>
                <w:szCs w:val="16"/>
              </w:rPr>
            </w:pPr>
            <w:r w:rsidRPr="0041370D">
              <w:rPr>
                <w:rFonts w:cs="Arial"/>
                <w:sz w:val="16"/>
                <w:szCs w:val="16"/>
              </w:rPr>
              <w:t>ženy</w:t>
            </w:r>
          </w:p>
        </w:tc>
        <w:tc>
          <w:tcPr>
            <w:tcW w:w="960" w:type="dxa"/>
            <w:vMerge/>
            <w:tcBorders>
              <w:top w:val="nil"/>
              <w:left w:val="single" w:sz="4" w:space="0" w:color="auto"/>
              <w:bottom w:val="single" w:sz="8" w:space="0" w:color="000000"/>
              <w:right w:val="single" w:sz="4" w:space="0" w:color="auto"/>
            </w:tcBorders>
            <w:vAlign w:val="center"/>
            <w:hideMark/>
          </w:tcPr>
          <w:p w14:paraId="68734A0F" w14:textId="77777777" w:rsidR="0041370D" w:rsidRPr="0041370D" w:rsidRDefault="0041370D" w:rsidP="0041370D">
            <w:pPr>
              <w:spacing w:after="0" w:line="240" w:lineRule="auto"/>
              <w:rPr>
                <w:rFonts w:cs="Arial"/>
                <w:sz w:val="16"/>
                <w:szCs w:val="16"/>
              </w:rPr>
            </w:pPr>
          </w:p>
        </w:tc>
        <w:tc>
          <w:tcPr>
            <w:tcW w:w="960" w:type="dxa"/>
            <w:tcBorders>
              <w:top w:val="nil"/>
              <w:left w:val="nil"/>
              <w:bottom w:val="single" w:sz="8" w:space="0" w:color="auto"/>
              <w:right w:val="single" w:sz="4" w:space="0" w:color="auto"/>
            </w:tcBorders>
            <w:shd w:val="clear" w:color="000000" w:fill="F5DADD"/>
            <w:vAlign w:val="center"/>
            <w:hideMark/>
          </w:tcPr>
          <w:p w14:paraId="29ED039C" w14:textId="77777777" w:rsidR="0041370D" w:rsidRPr="0041370D" w:rsidRDefault="0041370D" w:rsidP="0041370D">
            <w:pPr>
              <w:spacing w:after="0" w:line="240" w:lineRule="auto"/>
              <w:jc w:val="center"/>
              <w:rPr>
                <w:rFonts w:cs="Arial"/>
                <w:sz w:val="16"/>
                <w:szCs w:val="16"/>
              </w:rPr>
            </w:pPr>
            <w:r w:rsidRPr="0041370D">
              <w:rPr>
                <w:rFonts w:cs="Arial"/>
                <w:sz w:val="16"/>
                <w:szCs w:val="16"/>
              </w:rPr>
              <w:t>muži</w:t>
            </w:r>
          </w:p>
        </w:tc>
        <w:tc>
          <w:tcPr>
            <w:tcW w:w="960" w:type="dxa"/>
            <w:tcBorders>
              <w:top w:val="nil"/>
              <w:left w:val="nil"/>
              <w:bottom w:val="single" w:sz="8" w:space="0" w:color="auto"/>
              <w:right w:val="nil"/>
            </w:tcBorders>
            <w:shd w:val="clear" w:color="000000" w:fill="F5DADD"/>
            <w:vAlign w:val="center"/>
            <w:hideMark/>
          </w:tcPr>
          <w:p w14:paraId="04B04035" w14:textId="77777777" w:rsidR="0041370D" w:rsidRPr="0041370D" w:rsidRDefault="0041370D" w:rsidP="0041370D">
            <w:pPr>
              <w:spacing w:after="0" w:line="240" w:lineRule="auto"/>
              <w:jc w:val="center"/>
              <w:rPr>
                <w:rFonts w:cs="Arial"/>
                <w:sz w:val="16"/>
                <w:szCs w:val="16"/>
              </w:rPr>
            </w:pPr>
            <w:r w:rsidRPr="0041370D">
              <w:rPr>
                <w:rFonts w:cs="Arial"/>
                <w:sz w:val="16"/>
                <w:szCs w:val="16"/>
              </w:rPr>
              <w:t>ženy</w:t>
            </w:r>
          </w:p>
        </w:tc>
      </w:tr>
      <w:tr w:rsidR="0041370D" w:rsidRPr="0041370D" w14:paraId="178B224D"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0EA5B6FD" w14:textId="77777777" w:rsidR="0041370D" w:rsidRPr="0041370D" w:rsidRDefault="0041370D" w:rsidP="0041370D">
            <w:pPr>
              <w:spacing w:after="0" w:line="240" w:lineRule="auto"/>
              <w:jc w:val="center"/>
              <w:rPr>
                <w:rFonts w:cs="Arial"/>
                <w:sz w:val="16"/>
                <w:szCs w:val="16"/>
              </w:rPr>
            </w:pPr>
            <w:r w:rsidRPr="0041370D">
              <w:rPr>
                <w:rFonts w:cs="Arial"/>
                <w:sz w:val="16"/>
                <w:szCs w:val="16"/>
              </w:rPr>
              <w:t>2008</w:t>
            </w:r>
          </w:p>
        </w:tc>
        <w:tc>
          <w:tcPr>
            <w:tcW w:w="960" w:type="dxa"/>
            <w:tcBorders>
              <w:top w:val="nil"/>
              <w:left w:val="single" w:sz="4" w:space="0" w:color="auto"/>
              <w:bottom w:val="nil"/>
              <w:right w:val="nil"/>
            </w:tcBorders>
            <w:shd w:val="clear" w:color="auto" w:fill="auto"/>
            <w:noWrap/>
            <w:vAlign w:val="bottom"/>
            <w:hideMark/>
          </w:tcPr>
          <w:p w14:paraId="0669CC79"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71 281</w:t>
            </w:r>
          </w:p>
        </w:tc>
        <w:tc>
          <w:tcPr>
            <w:tcW w:w="960" w:type="dxa"/>
            <w:tcBorders>
              <w:top w:val="nil"/>
              <w:left w:val="nil"/>
              <w:bottom w:val="nil"/>
              <w:right w:val="nil"/>
            </w:tcBorders>
            <w:shd w:val="clear" w:color="auto" w:fill="auto"/>
            <w:noWrap/>
            <w:vAlign w:val="bottom"/>
            <w:hideMark/>
          </w:tcPr>
          <w:p w14:paraId="23D5F927"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52 286</w:t>
            </w:r>
          </w:p>
        </w:tc>
        <w:tc>
          <w:tcPr>
            <w:tcW w:w="960" w:type="dxa"/>
            <w:tcBorders>
              <w:top w:val="single" w:sz="8" w:space="0" w:color="auto"/>
              <w:left w:val="nil"/>
              <w:bottom w:val="nil"/>
              <w:right w:val="single" w:sz="4" w:space="0" w:color="auto"/>
            </w:tcBorders>
            <w:shd w:val="clear" w:color="auto" w:fill="auto"/>
            <w:noWrap/>
            <w:vAlign w:val="bottom"/>
            <w:hideMark/>
          </w:tcPr>
          <w:p w14:paraId="62C413AC"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18 995</w:t>
            </w:r>
          </w:p>
        </w:tc>
        <w:tc>
          <w:tcPr>
            <w:tcW w:w="960" w:type="dxa"/>
            <w:tcBorders>
              <w:top w:val="nil"/>
              <w:left w:val="single" w:sz="4" w:space="0" w:color="auto"/>
              <w:bottom w:val="nil"/>
              <w:right w:val="nil"/>
            </w:tcBorders>
            <w:shd w:val="clear" w:color="auto" w:fill="auto"/>
            <w:noWrap/>
            <w:vAlign w:val="bottom"/>
            <w:hideMark/>
          </w:tcPr>
          <w:p w14:paraId="1733AAC4"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69 243</w:t>
            </w:r>
          </w:p>
        </w:tc>
        <w:tc>
          <w:tcPr>
            <w:tcW w:w="960" w:type="dxa"/>
            <w:tcBorders>
              <w:top w:val="nil"/>
              <w:left w:val="nil"/>
              <w:bottom w:val="nil"/>
              <w:right w:val="nil"/>
            </w:tcBorders>
            <w:shd w:val="clear" w:color="auto" w:fill="auto"/>
            <w:vAlign w:val="bottom"/>
            <w:hideMark/>
          </w:tcPr>
          <w:p w14:paraId="342AEFA7" w14:textId="77777777" w:rsidR="0041370D" w:rsidRPr="0041370D" w:rsidRDefault="0041370D" w:rsidP="0041370D">
            <w:pPr>
              <w:spacing w:after="0" w:line="240" w:lineRule="auto"/>
              <w:jc w:val="right"/>
              <w:rPr>
                <w:rFonts w:cs="Arial"/>
                <w:sz w:val="16"/>
                <w:szCs w:val="16"/>
              </w:rPr>
            </w:pPr>
            <w:r w:rsidRPr="0041370D">
              <w:rPr>
                <w:rFonts w:cs="Arial"/>
                <w:sz w:val="16"/>
                <w:szCs w:val="16"/>
              </w:rPr>
              <w:t>50 697</w:t>
            </w:r>
          </w:p>
        </w:tc>
        <w:tc>
          <w:tcPr>
            <w:tcW w:w="960" w:type="dxa"/>
            <w:tcBorders>
              <w:top w:val="single" w:sz="8" w:space="0" w:color="auto"/>
              <w:left w:val="nil"/>
              <w:bottom w:val="nil"/>
              <w:right w:val="single" w:sz="4" w:space="0" w:color="auto"/>
            </w:tcBorders>
            <w:shd w:val="clear" w:color="auto" w:fill="auto"/>
            <w:vAlign w:val="bottom"/>
            <w:hideMark/>
          </w:tcPr>
          <w:p w14:paraId="6E38BA53" w14:textId="77777777" w:rsidR="0041370D" w:rsidRPr="0041370D" w:rsidRDefault="0041370D" w:rsidP="0041370D">
            <w:pPr>
              <w:spacing w:after="0" w:line="240" w:lineRule="auto"/>
              <w:jc w:val="right"/>
              <w:rPr>
                <w:rFonts w:cs="Arial"/>
                <w:sz w:val="16"/>
                <w:szCs w:val="16"/>
              </w:rPr>
            </w:pPr>
            <w:r w:rsidRPr="0041370D">
              <w:rPr>
                <w:rFonts w:cs="Arial"/>
                <w:sz w:val="16"/>
                <w:szCs w:val="16"/>
              </w:rPr>
              <w:t>18 546</w:t>
            </w:r>
          </w:p>
        </w:tc>
        <w:tc>
          <w:tcPr>
            <w:tcW w:w="960" w:type="dxa"/>
            <w:tcBorders>
              <w:top w:val="nil"/>
              <w:left w:val="single" w:sz="4" w:space="0" w:color="auto"/>
              <w:bottom w:val="nil"/>
              <w:right w:val="nil"/>
            </w:tcBorders>
            <w:shd w:val="clear" w:color="auto" w:fill="auto"/>
            <w:vAlign w:val="bottom"/>
            <w:hideMark/>
          </w:tcPr>
          <w:p w14:paraId="1150E822" w14:textId="77777777" w:rsidR="0041370D" w:rsidRPr="0041370D" w:rsidRDefault="0041370D" w:rsidP="0041370D">
            <w:pPr>
              <w:spacing w:after="0" w:line="240" w:lineRule="auto"/>
              <w:jc w:val="right"/>
              <w:rPr>
                <w:rFonts w:cs="Arial"/>
                <w:sz w:val="16"/>
                <w:szCs w:val="16"/>
              </w:rPr>
            </w:pPr>
            <w:r w:rsidRPr="0041370D">
              <w:rPr>
                <w:rFonts w:cs="Arial"/>
                <w:sz w:val="16"/>
                <w:szCs w:val="16"/>
              </w:rPr>
              <w:t>174</w:t>
            </w:r>
          </w:p>
        </w:tc>
        <w:tc>
          <w:tcPr>
            <w:tcW w:w="960" w:type="dxa"/>
            <w:tcBorders>
              <w:top w:val="nil"/>
              <w:left w:val="nil"/>
              <w:bottom w:val="nil"/>
              <w:right w:val="nil"/>
            </w:tcBorders>
            <w:shd w:val="clear" w:color="auto" w:fill="auto"/>
            <w:vAlign w:val="bottom"/>
            <w:hideMark/>
          </w:tcPr>
          <w:p w14:paraId="67E61C11" w14:textId="77777777" w:rsidR="0041370D" w:rsidRPr="0041370D" w:rsidRDefault="0041370D" w:rsidP="0041370D">
            <w:pPr>
              <w:spacing w:after="0" w:line="240" w:lineRule="auto"/>
              <w:jc w:val="right"/>
              <w:rPr>
                <w:rFonts w:cs="Arial"/>
                <w:sz w:val="16"/>
                <w:szCs w:val="16"/>
              </w:rPr>
            </w:pPr>
            <w:r w:rsidRPr="0041370D">
              <w:rPr>
                <w:rFonts w:cs="Arial"/>
                <w:sz w:val="16"/>
                <w:szCs w:val="16"/>
              </w:rPr>
              <w:t>166</w:t>
            </w:r>
          </w:p>
        </w:tc>
        <w:tc>
          <w:tcPr>
            <w:tcW w:w="960" w:type="dxa"/>
            <w:tcBorders>
              <w:top w:val="nil"/>
              <w:left w:val="nil"/>
              <w:bottom w:val="nil"/>
              <w:right w:val="nil"/>
            </w:tcBorders>
            <w:shd w:val="clear" w:color="auto" w:fill="auto"/>
            <w:vAlign w:val="bottom"/>
            <w:hideMark/>
          </w:tcPr>
          <w:p w14:paraId="01CFAF77" w14:textId="77777777" w:rsidR="0041370D" w:rsidRPr="0041370D" w:rsidRDefault="0041370D" w:rsidP="0041370D">
            <w:pPr>
              <w:spacing w:after="0" w:line="240" w:lineRule="auto"/>
              <w:jc w:val="right"/>
              <w:rPr>
                <w:rFonts w:cs="Arial"/>
                <w:sz w:val="16"/>
                <w:szCs w:val="16"/>
              </w:rPr>
            </w:pPr>
            <w:r w:rsidRPr="0041370D">
              <w:rPr>
                <w:rFonts w:cs="Arial"/>
                <w:sz w:val="16"/>
                <w:szCs w:val="16"/>
              </w:rPr>
              <w:t>8</w:t>
            </w:r>
          </w:p>
        </w:tc>
      </w:tr>
      <w:tr w:rsidR="0041370D" w:rsidRPr="0041370D" w14:paraId="59EE4C6D"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4FAFB50C" w14:textId="77777777" w:rsidR="0041370D" w:rsidRPr="0041370D" w:rsidRDefault="0041370D" w:rsidP="0041370D">
            <w:pPr>
              <w:spacing w:after="0" w:line="240" w:lineRule="auto"/>
              <w:jc w:val="center"/>
              <w:rPr>
                <w:rFonts w:cs="Arial"/>
                <w:sz w:val="16"/>
                <w:szCs w:val="16"/>
              </w:rPr>
            </w:pPr>
            <w:r w:rsidRPr="0041370D">
              <w:rPr>
                <w:rFonts w:cs="Arial"/>
                <w:sz w:val="16"/>
                <w:szCs w:val="16"/>
              </w:rPr>
              <w:t>2009</w:t>
            </w:r>
          </w:p>
        </w:tc>
        <w:tc>
          <w:tcPr>
            <w:tcW w:w="960" w:type="dxa"/>
            <w:tcBorders>
              <w:top w:val="nil"/>
              <w:left w:val="single" w:sz="4" w:space="0" w:color="auto"/>
              <w:bottom w:val="nil"/>
              <w:right w:val="nil"/>
            </w:tcBorders>
            <w:shd w:val="clear" w:color="auto" w:fill="auto"/>
            <w:noWrap/>
            <w:vAlign w:val="bottom"/>
            <w:hideMark/>
          </w:tcPr>
          <w:p w14:paraId="22C16C5F"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50 173</w:t>
            </w:r>
          </w:p>
        </w:tc>
        <w:tc>
          <w:tcPr>
            <w:tcW w:w="960" w:type="dxa"/>
            <w:tcBorders>
              <w:top w:val="nil"/>
              <w:left w:val="nil"/>
              <w:bottom w:val="nil"/>
              <w:right w:val="nil"/>
            </w:tcBorders>
            <w:shd w:val="clear" w:color="auto" w:fill="auto"/>
            <w:noWrap/>
            <w:vAlign w:val="bottom"/>
            <w:hideMark/>
          </w:tcPr>
          <w:p w14:paraId="71673846"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35 985</w:t>
            </w:r>
          </w:p>
        </w:tc>
        <w:tc>
          <w:tcPr>
            <w:tcW w:w="960" w:type="dxa"/>
            <w:tcBorders>
              <w:top w:val="nil"/>
              <w:left w:val="nil"/>
              <w:bottom w:val="nil"/>
              <w:right w:val="single" w:sz="4" w:space="0" w:color="auto"/>
            </w:tcBorders>
            <w:shd w:val="clear" w:color="auto" w:fill="auto"/>
            <w:noWrap/>
            <w:vAlign w:val="bottom"/>
            <w:hideMark/>
          </w:tcPr>
          <w:p w14:paraId="1FE6C560"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14 188</w:t>
            </w:r>
          </w:p>
        </w:tc>
        <w:tc>
          <w:tcPr>
            <w:tcW w:w="960" w:type="dxa"/>
            <w:tcBorders>
              <w:top w:val="nil"/>
              <w:left w:val="single" w:sz="4" w:space="0" w:color="auto"/>
              <w:bottom w:val="nil"/>
              <w:right w:val="nil"/>
            </w:tcBorders>
            <w:shd w:val="clear" w:color="auto" w:fill="auto"/>
            <w:noWrap/>
            <w:vAlign w:val="bottom"/>
            <w:hideMark/>
          </w:tcPr>
          <w:p w14:paraId="732EB5BC"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48 568</w:t>
            </w:r>
          </w:p>
        </w:tc>
        <w:tc>
          <w:tcPr>
            <w:tcW w:w="960" w:type="dxa"/>
            <w:tcBorders>
              <w:top w:val="nil"/>
              <w:left w:val="nil"/>
              <w:bottom w:val="nil"/>
              <w:right w:val="nil"/>
            </w:tcBorders>
            <w:shd w:val="clear" w:color="auto" w:fill="auto"/>
            <w:vAlign w:val="bottom"/>
            <w:hideMark/>
          </w:tcPr>
          <w:p w14:paraId="61FEE089" w14:textId="77777777" w:rsidR="0041370D" w:rsidRPr="0041370D" w:rsidRDefault="0041370D" w:rsidP="0041370D">
            <w:pPr>
              <w:spacing w:after="0" w:line="240" w:lineRule="auto"/>
              <w:jc w:val="right"/>
              <w:rPr>
                <w:rFonts w:cs="Arial"/>
                <w:sz w:val="16"/>
                <w:szCs w:val="16"/>
              </w:rPr>
            </w:pPr>
            <w:r w:rsidRPr="0041370D">
              <w:rPr>
                <w:rFonts w:cs="Arial"/>
                <w:sz w:val="16"/>
                <w:szCs w:val="16"/>
              </w:rPr>
              <w:t>34 763</w:t>
            </w:r>
          </w:p>
        </w:tc>
        <w:tc>
          <w:tcPr>
            <w:tcW w:w="960" w:type="dxa"/>
            <w:tcBorders>
              <w:top w:val="nil"/>
              <w:left w:val="nil"/>
              <w:bottom w:val="nil"/>
              <w:right w:val="single" w:sz="4" w:space="0" w:color="auto"/>
            </w:tcBorders>
            <w:shd w:val="clear" w:color="auto" w:fill="auto"/>
            <w:vAlign w:val="bottom"/>
            <w:hideMark/>
          </w:tcPr>
          <w:p w14:paraId="09F8CFB3" w14:textId="77777777" w:rsidR="0041370D" w:rsidRPr="0041370D" w:rsidRDefault="0041370D" w:rsidP="0041370D">
            <w:pPr>
              <w:spacing w:after="0" w:line="240" w:lineRule="auto"/>
              <w:jc w:val="right"/>
              <w:rPr>
                <w:rFonts w:cs="Arial"/>
                <w:sz w:val="16"/>
                <w:szCs w:val="16"/>
              </w:rPr>
            </w:pPr>
            <w:r w:rsidRPr="0041370D">
              <w:rPr>
                <w:rFonts w:cs="Arial"/>
                <w:sz w:val="16"/>
                <w:szCs w:val="16"/>
              </w:rPr>
              <w:t>13 805</w:t>
            </w:r>
          </w:p>
        </w:tc>
        <w:tc>
          <w:tcPr>
            <w:tcW w:w="960" w:type="dxa"/>
            <w:tcBorders>
              <w:top w:val="nil"/>
              <w:left w:val="single" w:sz="4" w:space="0" w:color="auto"/>
              <w:bottom w:val="nil"/>
              <w:right w:val="nil"/>
            </w:tcBorders>
            <w:shd w:val="clear" w:color="auto" w:fill="auto"/>
            <w:vAlign w:val="bottom"/>
            <w:hideMark/>
          </w:tcPr>
          <w:p w14:paraId="2944B708" w14:textId="77777777" w:rsidR="0041370D" w:rsidRPr="0041370D" w:rsidRDefault="0041370D" w:rsidP="0041370D">
            <w:pPr>
              <w:spacing w:after="0" w:line="240" w:lineRule="auto"/>
              <w:jc w:val="right"/>
              <w:rPr>
                <w:rFonts w:cs="Arial"/>
                <w:sz w:val="16"/>
                <w:szCs w:val="16"/>
              </w:rPr>
            </w:pPr>
            <w:r w:rsidRPr="0041370D">
              <w:rPr>
                <w:rFonts w:cs="Arial"/>
                <w:sz w:val="16"/>
                <w:szCs w:val="16"/>
              </w:rPr>
              <w:t>105</w:t>
            </w:r>
          </w:p>
        </w:tc>
        <w:tc>
          <w:tcPr>
            <w:tcW w:w="960" w:type="dxa"/>
            <w:tcBorders>
              <w:top w:val="nil"/>
              <w:left w:val="nil"/>
              <w:bottom w:val="nil"/>
              <w:right w:val="nil"/>
            </w:tcBorders>
            <w:shd w:val="clear" w:color="auto" w:fill="auto"/>
            <w:vAlign w:val="bottom"/>
            <w:hideMark/>
          </w:tcPr>
          <w:p w14:paraId="4C2E7FCD" w14:textId="77777777" w:rsidR="0041370D" w:rsidRPr="0041370D" w:rsidRDefault="0041370D" w:rsidP="0041370D">
            <w:pPr>
              <w:spacing w:after="0" w:line="240" w:lineRule="auto"/>
              <w:jc w:val="right"/>
              <w:rPr>
                <w:rFonts w:cs="Arial"/>
                <w:sz w:val="16"/>
                <w:szCs w:val="16"/>
              </w:rPr>
            </w:pPr>
            <w:r w:rsidRPr="0041370D">
              <w:rPr>
                <w:rFonts w:cs="Arial"/>
                <w:sz w:val="16"/>
                <w:szCs w:val="16"/>
              </w:rPr>
              <w:t>97</w:t>
            </w:r>
          </w:p>
        </w:tc>
        <w:tc>
          <w:tcPr>
            <w:tcW w:w="960" w:type="dxa"/>
            <w:tcBorders>
              <w:top w:val="nil"/>
              <w:left w:val="nil"/>
              <w:bottom w:val="nil"/>
              <w:right w:val="nil"/>
            </w:tcBorders>
            <w:shd w:val="clear" w:color="auto" w:fill="auto"/>
            <w:vAlign w:val="bottom"/>
            <w:hideMark/>
          </w:tcPr>
          <w:p w14:paraId="2EE9C9C5" w14:textId="77777777" w:rsidR="0041370D" w:rsidRPr="0041370D" w:rsidRDefault="0041370D" w:rsidP="0041370D">
            <w:pPr>
              <w:spacing w:after="0" w:line="240" w:lineRule="auto"/>
              <w:jc w:val="right"/>
              <w:rPr>
                <w:rFonts w:cs="Arial"/>
                <w:sz w:val="16"/>
                <w:szCs w:val="16"/>
              </w:rPr>
            </w:pPr>
            <w:r w:rsidRPr="0041370D">
              <w:rPr>
                <w:rFonts w:cs="Arial"/>
                <w:sz w:val="16"/>
                <w:szCs w:val="16"/>
              </w:rPr>
              <w:t>8</w:t>
            </w:r>
          </w:p>
        </w:tc>
      </w:tr>
      <w:tr w:rsidR="0041370D" w:rsidRPr="0041370D" w14:paraId="7576E8DA"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25F6E4D7"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2010</w:t>
            </w:r>
          </w:p>
        </w:tc>
        <w:tc>
          <w:tcPr>
            <w:tcW w:w="960" w:type="dxa"/>
            <w:tcBorders>
              <w:top w:val="nil"/>
              <w:left w:val="single" w:sz="4" w:space="0" w:color="auto"/>
              <w:bottom w:val="nil"/>
              <w:right w:val="nil"/>
            </w:tcBorders>
            <w:shd w:val="clear" w:color="auto" w:fill="auto"/>
            <w:noWrap/>
            <w:vAlign w:val="bottom"/>
            <w:hideMark/>
          </w:tcPr>
          <w:p w14:paraId="0BB5CD85"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51 678</w:t>
            </w:r>
          </w:p>
        </w:tc>
        <w:tc>
          <w:tcPr>
            <w:tcW w:w="960" w:type="dxa"/>
            <w:tcBorders>
              <w:top w:val="nil"/>
              <w:left w:val="nil"/>
              <w:bottom w:val="nil"/>
              <w:right w:val="nil"/>
            </w:tcBorders>
            <w:shd w:val="clear" w:color="auto" w:fill="auto"/>
            <w:noWrap/>
            <w:vAlign w:val="bottom"/>
            <w:hideMark/>
          </w:tcPr>
          <w:p w14:paraId="589A30BF"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36 701</w:t>
            </w:r>
          </w:p>
        </w:tc>
        <w:tc>
          <w:tcPr>
            <w:tcW w:w="960" w:type="dxa"/>
            <w:tcBorders>
              <w:top w:val="nil"/>
              <w:left w:val="nil"/>
              <w:bottom w:val="nil"/>
              <w:right w:val="single" w:sz="4" w:space="0" w:color="auto"/>
            </w:tcBorders>
            <w:shd w:val="clear" w:color="auto" w:fill="auto"/>
            <w:noWrap/>
            <w:vAlign w:val="bottom"/>
            <w:hideMark/>
          </w:tcPr>
          <w:p w14:paraId="2E4CE987"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14 977</w:t>
            </w:r>
          </w:p>
        </w:tc>
        <w:tc>
          <w:tcPr>
            <w:tcW w:w="960" w:type="dxa"/>
            <w:tcBorders>
              <w:top w:val="nil"/>
              <w:left w:val="single" w:sz="4" w:space="0" w:color="auto"/>
              <w:bottom w:val="nil"/>
              <w:right w:val="nil"/>
            </w:tcBorders>
            <w:shd w:val="clear" w:color="auto" w:fill="auto"/>
            <w:noWrap/>
            <w:vAlign w:val="bottom"/>
            <w:hideMark/>
          </w:tcPr>
          <w:p w14:paraId="57A7A739"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50 047</w:t>
            </w:r>
          </w:p>
        </w:tc>
        <w:tc>
          <w:tcPr>
            <w:tcW w:w="960" w:type="dxa"/>
            <w:tcBorders>
              <w:top w:val="nil"/>
              <w:left w:val="nil"/>
              <w:bottom w:val="nil"/>
              <w:right w:val="nil"/>
            </w:tcBorders>
            <w:shd w:val="clear" w:color="auto" w:fill="auto"/>
            <w:vAlign w:val="bottom"/>
            <w:hideMark/>
          </w:tcPr>
          <w:p w14:paraId="55C724F9" w14:textId="77777777" w:rsidR="0041370D" w:rsidRPr="0041370D" w:rsidRDefault="0041370D" w:rsidP="0041370D">
            <w:pPr>
              <w:spacing w:after="0" w:line="240" w:lineRule="auto"/>
              <w:jc w:val="right"/>
              <w:rPr>
                <w:rFonts w:cs="Arial"/>
                <w:sz w:val="16"/>
                <w:szCs w:val="16"/>
              </w:rPr>
            </w:pPr>
            <w:r w:rsidRPr="0041370D">
              <w:rPr>
                <w:rFonts w:cs="Arial"/>
                <w:sz w:val="16"/>
                <w:szCs w:val="16"/>
              </w:rPr>
              <w:t>35 460</w:t>
            </w:r>
          </w:p>
        </w:tc>
        <w:tc>
          <w:tcPr>
            <w:tcW w:w="960" w:type="dxa"/>
            <w:tcBorders>
              <w:top w:val="nil"/>
              <w:left w:val="nil"/>
              <w:bottom w:val="nil"/>
              <w:right w:val="single" w:sz="4" w:space="0" w:color="auto"/>
            </w:tcBorders>
            <w:shd w:val="clear" w:color="auto" w:fill="auto"/>
            <w:vAlign w:val="bottom"/>
            <w:hideMark/>
          </w:tcPr>
          <w:p w14:paraId="53E25A8B" w14:textId="77777777" w:rsidR="0041370D" w:rsidRPr="0041370D" w:rsidRDefault="0041370D" w:rsidP="0041370D">
            <w:pPr>
              <w:spacing w:after="0" w:line="240" w:lineRule="auto"/>
              <w:jc w:val="right"/>
              <w:rPr>
                <w:rFonts w:cs="Arial"/>
                <w:sz w:val="16"/>
                <w:szCs w:val="16"/>
              </w:rPr>
            </w:pPr>
            <w:r w:rsidRPr="0041370D">
              <w:rPr>
                <w:rFonts w:cs="Arial"/>
                <w:sz w:val="16"/>
                <w:szCs w:val="16"/>
              </w:rPr>
              <w:t>14 587</w:t>
            </w:r>
          </w:p>
        </w:tc>
        <w:tc>
          <w:tcPr>
            <w:tcW w:w="960" w:type="dxa"/>
            <w:tcBorders>
              <w:top w:val="nil"/>
              <w:left w:val="single" w:sz="4" w:space="0" w:color="auto"/>
              <w:bottom w:val="nil"/>
              <w:right w:val="nil"/>
            </w:tcBorders>
            <w:shd w:val="clear" w:color="auto" w:fill="auto"/>
            <w:vAlign w:val="bottom"/>
            <w:hideMark/>
          </w:tcPr>
          <w:p w14:paraId="2DB86A87" w14:textId="77777777" w:rsidR="0041370D" w:rsidRPr="0041370D" w:rsidRDefault="0041370D" w:rsidP="0041370D">
            <w:pPr>
              <w:spacing w:after="0" w:line="240" w:lineRule="auto"/>
              <w:jc w:val="right"/>
              <w:rPr>
                <w:rFonts w:cs="Arial"/>
                <w:sz w:val="16"/>
                <w:szCs w:val="16"/>
              </w:rPr>
            </w:pPr>
            <w:r w:rsidRPr="0041370D">
              <w:rPr>
                <w:rFonts w:cs="Arial"/>
                <w:sz w:val="16"/>
                <w:szCs w:val="16"/>
              </w:rPr>
              <w:t>121</w:t>
            </w:r>
          </w:p>
        </w:tc>
        <w:tc>
          <w:tcPr>
            <w:tcW w:w="960" w:type="dxa"/>
            <w:tcBorders>
              <w:top w:val="nil"/>
              <w:left w:val="nil"/>
              <w:bottom w:val="nil"/>
              <w:right w:val="nil"/>
            </w:tcBorders>
            <w:shd w:val="clear" w:color="auto" w:fill="auto"/>
            <w:vAlign w:val="bottom"/>
            <w:hideMark/>
          </w:tcPr>
          <w:p w14:paraId="16DB8354" w14:textId="77777777" w:rsidR="0041370D" w:rsidRPr="0041370D" w:rsidRDefault="0041370D" w:rsidP="0041370D">
            <w:pPr>
              <w:spacing w:after="0" w:line="240" w:lineRule="auto"/>
              <w:jc w:val="right"/>
              <w:rPr>
                <w:rFonts w:cs="Arial"/>
                <w:sz w:val="16"/>
                <w:szCs w:val="16"/>
              </w:rPr>
            </w:pPr>
            <w:r w:rsidRPr="0041370D">
              <w:rPr>
                <w:rFonts w:cs="Arial"/>
                <w:sz w:val="16"/>
                <w:szCs w:val="16"/>
              </w:rPr>
              <w:t>112</w:t>
            </w:r>
          </w:p>
        </w:tc>
        <w:tc>
          <w:tcPr>
            <w:tcW w:w="960" w:type="dxa"/>
            <w:tcBorders>
              <w:top w:val="nil"/>
              <w:left w:val="nil"/>
              <w:bottom w:val="nil"/>
              <w:right w:val="nil"/>
            </w:tcBorders>
            <w:shd w:val="clear" w:color="auto" w:fill="auto"/>
            <w:vAlign w:val="bottom"/>
            <w:hideMark/>
          </w:tcPr>
          <w:p w14:paraId="7E49EF86" w14:textId="77777777" w:rsidR="0041370D" w:rsidRPr="0041370D" w:rsidRDefault="0041370D" w:rsidP="0041370D">
            <w:pPr>
              <w:spacing w:after="0" w:line="240" w:lineRule="auto"/>
              <w:jc w:val="right"/>
              <w:rPr>
                <w:rFonts w:cs="Arial"/>
                <w:sz w:val="16"/>
                <w:szCs w:val="16"/>
              </w:rPr>
            </w:pPr>
            <w:r w:rsidRPr="0041370D">
              <w:rPr>
                <w:rFonts w:cs="Arial"/>
                <w:sz w:val="16"/>
                <w:szCs w:val="16"/>
              </w:rPr>
              <w:t>9</w:t>
            </w:r>
          </w:p>
        </w:tc>
      </w:tr>
      <w:tr w:rsidR="0041370D" w:rsidRPr="0041370D" w14:paraId="758BE457"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6DCFF917"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2011</w:t>
            </w:r>
          </w:p>
        </w:tc>
        <w:tc>
          <w:tcPr>
            <w:tcW w:w="960" w:type="dxa"/>
            <w:tcBorders>
              <w:top w:val="nil"/>
              <w:left w:val="single" w:sz="4" w:space="0" w:color="auto"/>
              <w:bottom w:val="nil"/>
              <w:right w:val="nil"/>
            </w:tcBorders>
            <w:shd w:val="clear" w:color="auto" w:fill="auto"/>
            <w:noWrap/>
            <w:vAlign w:val="bottom"/>
            <w:hideMark/>
          </w:tcPr>
          <w:p w14:paraId="5E93D7F9"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47 111</w:t>
            </w:r>
          </w:p>
        </w:tc>
        <w:tc>
          <w:tcPr>
            <w:tcW w:w="960" w:type="dxa"/>
            <w:tcBorders>
              <w:top w:val="nil"/>
              <w:left w:val="nil"/>
              <w:bottom w:val="nil"/>
              <w:right w:val="nil"/>
            </w:tcBorders>
            <w:shd w:val="clear" w:color="auto" w:fill="auto"/>
            <w:noWrap/>
            <w:vAlign w:val="bottom"/>
            <w:hideMark/>
          </w:tcPr>
          <w:p w14:paraId="68D14598"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33 619</w:t>
            </w:r>
          </w:p>
        </w:tc>
        <w:tc>
          <w:tcPr>
            <w:tcW w:w="960" w:type="dxa"/>
            <w:tcBorders>
              <w:top w:val="nil"/>
              <w:left w:val="nil"/>
              <w:bottom w:val="nil"/>
              <w:right w:val="single" w:sz="4" w:space="0" w:color="auto"/>
            </w:tcBorders>
            <w:shd w:val="clear" w:color="auto" w:fill="auto"/>
            <w:noWrap/>
            <w:vAlign w:val="bottom"/>
            <w:hideMark/>
          </w:tcPr>
          <w:p w14:paraId="3F67C5C4"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13 492</w:t>
            </w:r>
          </w:p>
        </w:tc>
        <w:tc>
          <w:tcPr>
            <w:tcW w:w="960" w:type="dxa"/>
            <w:tcBorders>
              <w:top w:val="nil"/>
              <w:left w:val="single" w:sz="4" w:space="0" w:color="auto"/>
              <w:bottom w:val="nil"/>
              <w:right w:val="nil"/>
            </w:tcBorders>
            <w:shd w:val="clear" w:color="auto" w:fill="auto"/>
            <w:noWrap/>
            <w:vAlign w:val="bottom"/>
            <w:hideMark/>
          </w:tcPr>
          <w:p w14:paraId="0B1AB91D"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45 482</w:t>
            </w:r>
          </w:p>
        </w:tc>
        <w:tc>
          <w:tcPr>
            <w:tcW w:w="960" w:type="dxa"/>
            <w:tcBorders>
              <w:top w:val="nil"/>
              <w:left w:val="nil"/>
              <w:bottom w:val="nil"/>
              <w:right w:val="nil"/>
            </w:tcBorders>
            <w:shd w:val="clear" w:color="auto" w:fill="auto"/>
            <w:vAlign w:val="bottom"/>
            <w:hideMark/>
          </w:tcPr>
          <w:p w14:paraId="1B3C36E6" w14:textId="77777777" w:rsidR="0041370D" w:rsidRPr="0041370D" w:rsidRDefault="0041370D" w:rsidP="0041370D">
            <w:pPr>
              <w:spacing w:after="0" w:line="240" w:lineRule="auto"/>
              <w:jc w:val="right"/>
              <w:rPr>
                <w:rFonts w:cs="Arial"/>
                <w:sz w:val="16"/>
                <w:szCs w:val="16"/>
              </w:rPr>
            </w:pPr>
            <w:r w:rsidRPr="0041370D">
              <w:rPr>
                <w:rFonts w:cs="Arial"/>
                <w:sz w:val="16"/>
                <w:szCs w:val="16"/>
              </w:rPr>
              <w:t>32 354</w:t>
            </w:r>
          </w:p>
        </w:tc>
        <w:tc>
          <w:tcPr>
            <w:tcW w:w="960" w:type="dxa"/>
            <w:tcBorders>
              <w:top w:val="nil"/>
              <w:left w:val="nil"/>
              <w:bottom w:val="nil"/>
              <w:right w:val="single" w:sz="4" w:space="0" w:color="auto"/>
            </w:tcBorders>
            <w:shd w:val="clear" w:color="auto" w:fill="auto"/>
            <w:vAlign w:val="bottom"/>
            <w:hideMark/>
          </w:tcPr>
          <w:p w14:paraId="7012D338" w14:textId="77777777" w:rsidR="0041370D" w:rsidRPr="0041370D" w:rsidRDefault="0041370D" w:rsidP="0041370D">
            <w:pPr>
              <w:spacing w:after="0" w:line="240" w:lineRule="auto"/>
              <w:jc w:val="right"/>
              <w:rPr>
                <w:rFonts w:cs="Arial"/>
                <w:sz w:val="16"/>
                <w:szCs w:val="16"/>
              </w:rPr>
            </w:pPr>
            <w:r w:rsidRPr="0041370D">
              <w:rPr>
                <w:rFonts w:cs="Arial"/>
                <w:sz w:val="16"/>
                <w:szCs w:val="16"/>
              </w:rPr>
              <w:t>13 128</w:t>
            </w:r>
          </w:p>
        </w:tc>
        <w:tc>
          <w:tcPr>
            <w:tcW w:w="960" w:type="dxa"/>
            <w:tcBorders>
              <w:top w:val="nil"/>
              <w:left w:val="single" w:sz="4" w:space="0" w:color="auto"/>
              <w:bottom w:val="nil"/>
              <w:right w:val="nil"/>
            </w:tcBorders>
            <w:shd w:val="clear" w:color="auto" w:fill="auto"/>
            <w:vAlign w:val="bottom"/>
            <w:hideMark/>
          </w:tcPr>
          <w:p w14:paraId="1D3DF7FE" w14:textId="77777777" w:rsidR="0041370D" w:rsidRPr="0041370D" w:rsidRDefault="0041370D" w:rsidP="0041370D">
            <w:pPr>
              <w:spacing w:after="0" w:line="240" w:lineRule="auto"/>
              <w:jc w:val="right"/>
              <w:rPr>
                <w:rFonts w:cs="Arial"/>
                <w:sz w:val="16"/>
                <w:szCs w:val="16"/>
              </w:rPr>
            </w:pPr>
            <w:r w:rsidRPr="0041370D">
              <w:rPr>
                <w:rFonts w:cs="Arial"/>
                <w:sz w:val="16"/>
                <w:szCs w:val="16"/>
              </w:rPr>
              <w:t>125</w:t>
            </w:r>
          </w:p>
        </w:tc>
        <w:tc>
          <w:tcPr>
            <w:tcW w:w="960" w:type="dxa"/>
            <w:tcBorders>
              <w:top w:val="nil"/>
              <w:left w:val="nil"/>
              <w:bottom w:val="nil"/>
              <w:right w:val="nil"/>
            </w:tcBorders>
            <w:shd w:val="clear" w:color="auto" w:fill="auto"/>
            <w:vAlign w:val="bottom"/>
            <w:hideMark/>
          </w:tcPr>
          <w:p w14:paraId="6D5F8D6F" w14:textId="77777777" w:rsidR="0041370D" w:rsidRPr="0041370D" w:rsidRDefault="0041370D" w:rsidP="0041370D">
            <w:pPr>
              <w:spacing w:after="0" w:line="240" w:lineRule="auto"/>
              <w:jc w:val="right"/>
              <w:rPr>
                <w:rFonts w:cs="Arial"/>
                <w:sz w:val="16"/>
                <w:szCs w:val="16"/>
              </w:rPr>
            </w:pPr>
            <w:r w:rsidRPr="0041370D">
              <w:rPr>
                <w:rFonts w:cs="Arial"/>
                <w:sz w:val="16"/>
                <w:szCs w:val="16"/>
              </w:rPr>
              <w:t>117</w:t>
            </w:r>
          </w:p>
        </w:tc>
        <w:tc>
          <w:tcPr>
            <w:tcW w:w="960" w:type="dxa"/>
            <w:tcBorders>
              <w:top w:val="nil"/>
              <w:left w:val="nil"/>
              <w:bottom w:val="nil"/>
              <w:right w:val="nil"/>
            </w:tcBorders>
            <w:shd w:val="clear" w:color="auto" w:fill="auto"/>
            <w:vAlign w:val="bottom"/>
            <w:hideMark/>
          </w:tcPr>
          <w:p w14:paraId="05C1C414" w14:textId="77777777" w:rsidR="0041370D" w:rsidRPr="0041370D" w:rsidRDefault="0041370D" w:rsidP="0041370D">
            <w:pPr>
              <w:spacing w:after="0" w:line="240" w:lineRule="auto"/>
              <w:jc w:val="right"/>
              <w:rPr>
                <w:rFonts w:cs="Arial"/>
                <w:sz w:val="16"/>
                <w:szCs w:val="16"/>
              </w:rPr>
            </w:pPr>
            <w:r w:rsidRPr="0041370D">
              <w:rPr>
                <w:rFonts w:cs="Arial"/>
                <w:sz w:val="16"/>
                <w:szCs w:val="16"/>
              </w:rPr>
              <w:t>8</w:t>
            </w:r>
          </w:p>
        </w:tc>
      </w:tr>
      <w:tr w:rsidR="0041370D" w:rsidRPr="0041370D" w14:paraId="1E186C83"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12C3DCD6"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2012</w:t>
            </w:r>
          </w:p>
        </w:tc>
        <w:tc>
          <w:tcPr>
            <w:tcW w:w="960" w:type="dxa"/>
            <w:tcBorders>
              <w:top w:val="nil"/>
              <w:left w:val="single" w:sz="4" w:space="0" w:color="auto"/>
              <w:bottom w:val="nil"/>
              <w:right w:val="nil"/>
            </w:tcBorders>
            <w:shd w:val="clear" w:color="auto" w:fill="auto"/>
            <w:noWrap/>
            <w:vAlign w:val="bottom"/>
            <w:hideMark/>
          </w:tcPr>
          <w:p w14:paraId="7EFBC1B3"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44 108</w:t>
            </w:r>
          </w:p>
        </w:tc>
        <w:tc>
          <w:tcPr>
            <w:tcW w:w="960" w:type="dxa"/>
            <w:tcBorders>
              <w:top w:val="nil"/>
              <w:left w:val="nil"/>
              <w:bottom w:val="nil"/>
              <w:right w:val="nil"/>
            </w:tcBorders>
            <w:shd w:val="clear" w:color="auto" w:fill="auto"/>
            <w:noWrap/>
            <w:vAlign w:val="bottom"/>
            <w:hideMark/>
          </w:tcPr>
          <w:p w14:paraId="1B42E691"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31 455</w:t>
            </w:r>
          </w:p>
        </w:tc>
        <w:tc>
          <w:tcPr>
            <w:tcW w:w="960" w:type="dxa"/>
            <w:tcBorders>
              <w:top w:val="nil"/>
              <w:left w:val="nil"/>
              <w:bottom w:val="nil"/>
              <w:right w:val="single" w:sz="4" w:space="0" w:color="auto"/>
            </w:tcBorders>
            <w:shd w:val="clear" w:color="auto" w:fill="auto"/>
            <w:noWrap/>
            <w:vAlign w:val="bottom"/>
            <w:hideMark/>
          </w:tcPr>
          <w:p w14:paraId="709409F0"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12 653</w:t>
            </w:r>
          </w:p>
        </w:tc>
        <w:tc>
          <w:tcPr>
            <w:tcW w:w="960" w:type="dxa"/>
            <w:tcBorders>
              <w:top w:val="nil"/>
              <w:left w:val="single" w:sz="4" w:space="0" w:color="auto"/>
              <w:bottom w:val="nil"/>
              <w:right w:val="nil"/>
            </w:tcBorders>
            <w:shd w:val="clear" w:color="auto" w:fill="auto"/>
            <w:noWrap/>
            <w:vAlign w:val="bottom"/>
            <w:hideMark/>
          </w:tcPr>
          <w:p w14:paraId="7A4E1E0A"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43 543</w:t>
            </w:r>
          </w:p>
        </w:tc>
        <w:tc>
          <w:tcPr>
            <w:tcW w:w="960" w:type="dxa"/>
            <w:tcBorders>
              <w:top w:val="nil"/>
              <w:left w:val="nil"/>
              <w:bottom w:val="nil"/>
              <w:right w:val="nil"/>
            </w:tcBorders>
            <w:shd w:val="clear" w:color="auto" w:fill="auto"/>
            <w:vAlign w:val="bottom"/>
            <w:hideMark/>
          </w:tcPr>
          <w:p w14:paraId="21E36E87" w14:textId="77777777" w:rsidR="0041370D" w:rsidRPr="0041370D" w:rsidRDefault="0041370D" w:rsidP="0041370D">
            <w:pPr>
              <w:spacing w:after="0" w:line="240" w:lineRule="auto"/>
              <w:jc w:val="right"/>
              <w:rPr>
                <w:rFonts w:cs="Arial"/>
                <w:sz w:val="16"/>
                <w:szCs w:val="16"/>
              </w:rPr>
            </w:pPr>
            <w:r w:rsidRPr="0041370D">
              <w:rPr>
                <w:rFonts w:cs="Arial"/>
                <w:sz w:val="16"/>
                <w:szCs w:val="16"/>
              </w:rPr>
              <w:t>31 019</w:t>
            </w:r>
          </w:p>
        </w:tc>
        <w:tc>
          <w:tcPr>
            <w:tcW w:w="960" w:type="dxa"/>
            <w:tcBorders>
              <w:top w:val="nil"/>
              <w:left w:val="nil"/>
              <w:bottom w:val="nil"/>
              <w:right w:val="single" w:sz="4" w:space="0" w:color="auto"/>
            </w:tcBorders>
            <w:shd w:val="clear" w:color="auto" w:fill="auto"/>
            <w:vAlign w:val="bottom"/>
            <w:hideMark/>
          </w:tcPr>
          <w:p w14:paraId="2D14057D" w14:textId="77777777" w:rsidR="0041370D" w:rsidRPr="0041370D" w:rsidRDefault="0041370D" w:rsidP="0041370D">
            <w:pPr>
              <w:spacing w:after="0" w:line="240" w:lineRule="auto"/>
              <w:jc w:val="right"/>
              <w:rPr>
                <w:rFonts w:cs="Arial"/>
                <w:sz w:val="16"/>
                <w:szCs w:val="16"/>
              </w:rPr>
            </w:pPr>
            <w:r w:rsidRPr="0041370D">
              <w:rPr>
                <w:rFonts w:cs="Arial"/>
                <w:sz w:val="16"/>
                <w:szCs w:val="16"/>
              </w:rPr>
              <w:t>12 524</w:t>
            </w:r>
          </w:p>
        </w:tc>
        <w:tc>
          <w:tcPr>
            <w:tcW w:w="960" w:type="dxa"/>
            <w:tcBorders>
              <w:top w:val="nil"/>
              <w:left w:val="single" w:sz="4" w:space="0" w:color="auto"/>
              <w:bottom w:val="nil"/>
              <w:right w:val="nil"/>
            </w:tcBorders>
            <w:shd w:val="clear" w:color="auto" w:fill="auto"/>
            <w:vAlign w:val="bottom"/>
            <w:hideMark/>
          </w:tcPr>
          <w:p w14:paraId="74235B15" w14:textId="77777777" w:rsidR="0041370D" w:rsidRPr="0041370D" w:rsidRDefault="0041370D" w:rsidP="0041370D">
            <w:pPr>
              <w:spacing w:after="0" w:line="240" w:lineRule="auto"/>
              <w:jc w:val="right"/>
              <w:rPr>
                <w:rFonts w:cs="Arial"/>
                <w:sz w:val="16"/>
                <w:szCs w:val="16"/>
              </w:rPr>
            </w:pPr>
            <w:r w:rsidRPr="0041370D">
              <w:rPr>
                <w:rFonts w:cs="Arial"/>
                <w:sz w:val="16"/>
                <w:szCs w:val="16"/>
              </w:rPr>
              <w:t>113</w:t>
            </w:r>
          </w:p>
        </w:tc>
        <w:tc>
          <w:tcPr>
            <w:tcW w:w="960" w:type="dxa"/>
            <w:tcBorders>
              <w:top w:val="nil"/>
              <w:left w:val="nil"/>
              <w:bottom w:val="nil"/>
              <w:right w:val="nil"/>
            </w:tcBorders>
            <w:shd w:val="clear" w:color="auto" w:fill="auto"/>
            <w:vAlign w:val="bottom"/>
            <w:hideMark/>
          </w:tcPr>
          <w:p w14:paraId="0B6A2A32" w14:textId="77777777" w:rsidR="0041370D" w:rsidRPr="0041370D" w:rsidRDefault="0041370D" w:rsidP="0041370D">
            <w:pPr>
              <w:spacing w:after="0" w:line="240" w:lineRule="auto"/>
              <w:jc w:val="right"/>
              <w:rPr>
                <w:rFonts w:cs="Arial"/>
                <w:sz w:val="16"/>
                <w:szCs w:val="16"/>
              </w:rPr>
            </w:pPr>
            <w:r w:rsidRPr="0041370D">
              <w:rPr>
                <w:rFonts w:cs="Arial"/>
                <w:sz w:val="16"/>
                <w:szCs w:val="16"/>
              </w:rPr>
              <w:t>111</w:t>
            </w:r>
          </w:p>
        </w:tc>
        <w:tc>
          <w:tcPr>
            <w:tcW w:w="960" w:type="dxa"/>
            <w:tcBorders>
              <w:top w:val="nil"/>
              <w:left w:val="nil"/>
              <w:bottom w:val="nil"/>
              <w:right w:val="nil"/>
            </w:tcBorders>
            <w:shd w:val="clear" w:color="auto" w:fill="auto"/>
            <w:vAlign w:val="bottom"/>
            <w:hideMark/>
          </w:tcPr>
          <w:p w14:paraId="02E1737E" w14:textId="77777777" w:rsidR="0041370D" w:rsidRPr="0041370D" w:rsidRDefault="0041370D" w:rsidP="0041370D">
            <w:pPr>
              <w:spacing w:after="0" w:line="240" w:lineRule="auto"/>
              <w:jc w:val="right"/>
              <w:rPr>
                <w:rFonts w:cs="Arial"/>
                <w:sz w:val="16"/>
                <w:szCs w:val="16"/>
              </w:rPr>
            </w:pPr>
            <w:r w:rsidRPr="0041370D">
              <w:rPr>
                <w:rFonts w:cs="Arial"/>
                <w:sz w:val="16"/>
                <w:szCs w:val="16"/>
              </w:rPr>
              <w:t>2</w:t>
            </w:r>
          </w:p>
        </w:tc>
      </w:tr>
      <w:tr w:rsidR="0041370D" w:rsidRPr="0041370D" w14:paraId="0E6503E8"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2A0798DD"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2013</w:t>
            </w:r>
          </w:p>
        </w:tc>
        <w:tc>
          <w:tcPr>
            <w:tcW w:w="960" w:type="dxa"/>
            <w:tcBorders>
              <w:top w:val="nil"/>
              <w:left w:val="single" w:sz="4" w:space="0" w:color="auto"/>
              <w:bottom w:val="nil"/>
              <w:right w:val="nil"/>
            </w:tcBorders>
            <w:shd w:val="clear" w:color="auto" w:fill="auto"/>
            <w:noWrap/>
            <w:vAlign w:val="bottom"/>
            <w:hideMark/>
          </w:tcPr>
          <w:p w14:paraId="00801468"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42 927</w:t>
            </w:r>
          </w:p>
        </w:tc>
        <w:tc>
          <w:tcPr>
            <w:tcW w:w="960" w:type="dxa"/>
            <w:tcBorders>
              <w:top w:val="nil"/>
              <w:left w:val="nil"/>
              <w:bottom w:val="nil"/>
              <w:right w:val="nil"/>
            </w:tcBorders>
            <w:shd w:val="clear" w:color="auto" w:fill="auto"/>
            <w:noWrap/>
            <w:vAlign w:val="bottom"/>
            <w:hideMark/>
          </w:tcPr>
          <w:p w14:paraId="4C9B7D26"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30 418</w:t>
            </w:r>
          </w:p>
        </w:tc>
        <w:tc>
          <w:tcPr>
            <w:tcW w:w="960" w:type="dxa"/>
            <w:tcBorders>
              <w:top w:val="nil"/>
              <w:left w:val="nil"/>
              <w:bottom w:val="nil"/>
              <w:right w:val="single" w:sz="4" w:space="0" w:color="auto"/>
            </w:tcBorders>
            <w:shd w:val="clear" w:color="auto" w:fill="auto"/>
            <w:noWrap/>
            <w:vAlign w:val="bottom"/>
            <w:hideMark/>
          </w:tcPr>
          <w:p w14:paraId="041CEA75"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12 509</w:t>
            </w:r>
          </w:p>
        </w:tc>
        <w:tc>
          <w:tcPr>
            <w:tcW w:w="960" w:type="dxa"/>
            <w:tcBorders>
              <w:top w:val="nil"/>
              <w:left w:val="single" w:sz="4" w:space="0" w:color="auto"/>
              <w:bottom w:val="nil"/>
              <w:right w:val="nil"/>
            </w:tcBorders>
            <w:shd w:val="clear" w:color="auto" w:fill="auto"/>
            <w:noWrap/>
            <w:vAlign w:val="bottom"/>
            <w:hideMark/>
          </w:tcPr>
          <w:p w14:paraId="645B4CAA"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42 355</w:t>
            </w:r>
          </w:p>
        </w:tc>
        <w:tc>
          <w:tcPr>
            <w:tcW w:w="960" w:type="dxa"/>
            <w:tcBorders>
              <w:top w:val="nil"/>
              <w:left w:val="nil"/>
              <w:bottom w:val="nil"/>
              <w:right w:val="nil"/>
            </w:tcBorders>
            <w:shd w:val="clear" w:color="auto" w:fill="auto"/>
            <w:vAlign w:val="bottom"/>
            <w:hideMark/>
          </w:tcPr>
          <w:p w14:paraId="1D98FE83" w14:textId="77777777" w:rsidR="0041370D" w:rsidRPr="0041370D" w:rsidRDefault="0041370D" w:rsidP="0041370D">
            <w:pPr>
              <w:spacing w:after="0" w:line="240" w:lineRule="auto"/>
              <w:jc w:val="right"/>
              <w:rPr>
                <w:rFonts w:cs="Arial"/>
                <w:sz w:val="16"/>
                <w:szCs w:val="16"/>
              </w:rPr>
            </w:pPr>
            <w:r w:rsidRPr="0041370D">
              <w:rPr>
                <w:rFonts w:cs="Arial"/>
                <w:sz w:val="16"/>
                <w:szCs w:val="16"/>
              </w:rPr>
              <w:t>29 955</w:t>
            </w:r>
          </w:p>
        </w:tc>
        <w:tc>
          <w:tcPr>
            <w:tcW w:w="960" w:type="dxa"/>
            <w:tcBorders>
              <w:top w:val="nil"/>
              <w:left w:val="nil"/>
              <w:bottom w:val="nil"/>
              <w:right w:val="single" w:sz="4" w:space="0" w:color="auto"/>
            </w:tcBorders>
            <w:shd w:val="clear" w:color="auto" w:fill="auto"/>
            <w:vAlign w:val="bottom"/>
            <w:hideMark/>
          </w:tcPr>
          <w:p w14:paraId="11689885" w14:textId="77777777" w:rsidR="0041370D" w:rsidRPr="0041370D" w:rsidRDefault="0041370D" w:rsidP="0041370D">
            <w:pPr>
              <w:spacing w:after="0" w:line="240" w:lineRule="auto"/>
              <w:jc w:val="right"/>
              <w:rPr>
                <w:rFonts w:cs="Arial"/>
                <w:sz w:val="16"/>
                <w:szCs w:val="16"/>
              </w:rPr>
            </w:pPr>
            <w:r w:rsidRPr="0041370D">
              <w:rPr>
                <w:rFonts w:cs="Arial"/>
                <w:sz w:val="16"/>
                <w:szCs w:val="16"/>
              </w:rPr>
              <w:t>12 400</w:t>
            </w:r>
          </w:p>
        </w:tc>
        <w:tc>
          <w:tcPr>
            <w:tcW w:w="960" w:type="dxa"/>
            <w:tcBorders>
              <w:top w:val="nil"/>
              <w:left w:val="single" w:sz="4" w:space="0" w:color="auto"/>
              <w:bottom w:val="nil"/>
              <w:right w:val="nil"/>
            </w:tcBorders>
            <w:shd w:val="clear" w:color="auto" w:fill="auto"/>
            <w:vAlign w:val="bottom"/>
            <w:hideMark/>
          </w:tcPr>
          <w:p w14:paraId="74AFF13E" w14:textId="77777777" w:rsidR="0041370D" w:rsidRPr="0041370D" w:rsidRDefault="0041370D" w:rsidP="0041370D">
            <w:pPr>
              <w:spacing w:after="0" w:line="240" w:lineRule="auto"/>
              <w:jc w:val="right"/>
              <w:rPr>
                <w:rFonts w:cs="Arial"/>
                <w:sz w:val="16"/>
                <w:szCs w:val="16"/>
              </w:rPr>
            </w:pPr>
            <w:r w:rsidRPr="0041370D">
              <w:rPr>
                <w:rFonts w:cs="Arial"/>
                <w:sz w:val="16"/>
                <w:szCs w:val="16"/>
              </w:rPr>
              <w:t>113</w:t>
            </w:r>
          </w:p>
        </w:tc>
        <w:tc>
          <w:tcPr>
            <w:tcW w:w="960" w:type="dxa"/>
            <w:tcBorders>
              <w:top w:val="nil"/>
              <w:left w:val="nil"/>
              <w:bottom w:val="nil"/>
              <w:right w:val="nil"/>
            </w:tcBorders>
            <w:shd w:val="clear" w:color="auto" w:fill="auto"/>
            <w:vAlign w:val="bottom"/>
            <w:hideMark/>
          </w:tcPr>
          <w:p w14:paraId="1CC6C9F1" w14:textId="77777777" w:rsidR="0041370D" w:rsidRPr="0041370D" w:rsidRDefault="0041370D" w:rsidP="0041370D">
            <w:pPr>
              <w:spacing w:after="0" w:line="240" w:lineRule="auto"/>
              <w:jc w:val="right"/>
              <w:rPr>
                <w:rFonts w:cs="Arial"/>
                <w:sz w:val="16"/>
                <w:szCs w:val="16"/>
              </w:rPr>
            </w:pPr>
            <w:r w:rsidRPr="0041370D">
              <w:rPr>
                <w:rFonts w:cs="Arial"/>
                <w:sz w:val="16"/>
                <w:szCs w:val="16"/>
              </w:rPr>
              <w:t>106</w:t>
            </w:r>
          </w:p>
        </w:tc>
        <w:tc>
          <w:tcPr>
            <w:tcW w:w="960" w:type="dxa"/>
            <w:tcBorders>
              <w:top w:val="nil"/>
              <w:left w:val="nil"/>
              <w:bottom w:val="nil"/>
              <w:right w:val="nil"/>
            </w:tcBorders>
            <w:shd w:val="clear" w:color="auto" w:fill="auto"/>
            <w:vAlign w:val="bottom"/>
            <w:hideMark/>
          </w:tcPr>
          <w:p w14:paraId="113DE41E" w14:textId="77777777" w:rsidR="0041370D" w:rsidRPr="0041370D" w:rsidRDefault="0041370D" w:rsidP="0041370D">
            <w:pPr>
              <w:spacing w:after="0" w:line="240" w:lineRule="auto"/>
              <w:jc w:val="right"/>
              <w:rPr>
                <w:rFonts w:cs="Arial"/>
                <w:sz w:val="16"/>
                <w:szCs w:val="16"/>
              </w:rPr>
            </w:pPr>
            <w:r w:rsidRPr="0041370D">
              <w:rPr>
                <w:rFonts w:cs="Arial"/>
                <w:sz w:val="16"/>
                <w:szCs w:val="16"/>
              </w:rPr>
              <w:t>7</w:t>
            </w:r>
          </w:p>
        </w:tc>
      </w:tr>
      <w:tr w:rsidR="0041370D" w:rsidRPr="0041370D" w14:paraId="795B03A0"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545386D0"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2014</w:t>
            </w:r>
          </w:p>
        </w:tc>
        <w:tc>
          <w:tcPr>
            <w:tcW w:w="960" w:type="dxa"/>
            <w:tcBorders>
              <w:top w:val="nil"/>
              <w:left w:val="single" w:sz="4" w:space="0" w:color="auto"/>
              <w:bottom w:val="nil"/>
              <w:right w:val="nil"/>
            </w:tcBorders>
            <w:shd w:val="clear" w:color="auto" w:fill="auto"/>
            <w:vAlign w:val="bottom"/>
            <w:hideMark/>
          </w:tcPr>
          <w:p w14:paraId="2367C7DC" w14:textId="77777777" w:rsidR="0041370D" w:rsidRPr="0041370D" w:rsidRDefault="0041370D" w:rsidP="0041370D">
            <w:pPr>
              <w:spacing w:after="0" w:line="240" w:lineRule="auto"/>
              <w:jc w:val="right"/>
              <w:rPr>
                <w:rFonts w:cs="Arial"/>
                <w:sz w:val="16"/>
                <w:szCs w:val="16"/>
              </w:rPr>
            </w:pPr>
            <w:r w:rsidRPr="0041370D">
              <w:rPr>
                <w:rFonts w:cs="Arial"/>
                <w:sz w:val="16"/>
                <w:szCs w:val="16"/>
              </w:rPr>
              <w:t>45 058</w:t>
            </w:r>
          </w:p>
        </w:tc>
        <w:tc>
          <w:tcPr>
            <w:tcW w:w="960" w:type="dxa"/>
            <w:tcBorders>
              <w:top w:val="nil"/>
              <w:left w:val="nil"/>
              <w:bottom w:val="nil"/>
              <w:right w:val="nil"/>
            </w:tcBorders>
            <w:shd w:val="clear" w:color="auto" w:fill="auto"/>
            <w:noWrap/>
            <w:vAlign w:val="bottom"/>
            <w:hideMark/>
          </w:tcPr>
          <w:p w14:paraId="5F6B04C8"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31 737</w:t>
            </w:r>
          </w:p>
        </w:tc>
        <w:tc>
          <w:tcPr>
            <w:tcW w:w="960" w:type="dxa"/>
            <w:tcBorders>
              <w:top w:val="nil"/>
              <w:left w:val="nil"/>
              <w:bottom w:val="nil"/>
              <w:right w:val="single" w:sz="4" w:space="0" w:color="auto"/>
            </w:tcBorders>
            <w:shd w:val="clear" w:color="auto" w:fill="auto"/>
            <w:noWrap/>
            <w:vAlign w:val="bottom"/>
            <w:hideMark/>
          </w:tcPr>
          <w:p w14:paraId="27A35FE6"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13 321</w:t>
            </w:r>
          </w:p>
        </w:tc>
        <w:tc>
          <w:tcPr>
            <w:tcW w:w="960" w:type="dxa"/>
            <w:tcBorders>
              <w:top w:val="nil"/>
              <w:left w:val="single" w:sz="4" w:space="0" w:color="auto"/>
              <w:bottom w:val="nil"/>
              <w:right w:val="nil"/>
            </w:tcBorders>
            <w:shd w:val="clear" w:color="auto" w:fill="auto"/>
            <w:noWrap/>
            <w:vAlign w:val="bottom"/>
            <w:hideMark/>
          </w:tcPr>
          <w:p w14:paraId="41A2BBF8"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44 301</w:t>
            </w:r>
          </w:p>
        </w:tc>
        <w:tc>
          <w:tcPr>
            <w:tcW w:w="960" w:type="dxa"/>
            <w:tcBorders>
              <w:top w:val="nil"/>
              <w:left w:val="nil"/>
              <w:bottom w:val="nil"/>
              <w:right w:val="nil"/>
            </w:tcBorders>
            <w:shd w:val="clear" w:color="auto" w:fill="auto"/>
            <w:vAlign w:val="bottom"/>
            <w:hideMark/>
          </w:tcPr>
          <w:p w14:paraId="1B11E287" w14:textId="77777777" w:rsidR="0041370D" w:rsidRPr="0041370D" w:rsidRDefault="0041370D" w:rsidP="0041370D">
            <w:pPr>
              <w:spacing w:after="0" w:line="240" w:lineRule="auto"/>
              <w:jc w:val="right"/>
              <w:rPr>
                <w:rFonts w:cs="Arial"/>
                <w:sz w:val="16"/>
                <w:szCs w:val="16"/>
              </w:rPr>
            </w:pPr>
            <w:r w:rsidRPr="0041370D">
              <w:rPr>
                <w:rFonts w:cs="Arial"/>
                <w:sz w:val="16"/>
                <w:szCs w:val="16"/>
              </w:rPr>
              <w:t>31 188</w:t>
            </w:r>
          </w:p>
        </w:tc>
        <w:tc>
          <w:tcPr>
            <w:tcW w:w="960" w:type="dxa"/>
            <w:tcBorders>
              <w:top w:val="nil"/>
              <w:left w:val="nil"/>
              <w:bottom w:val="nil"/>
              <w:right w:val="single" w:sz="4" w:space="0" w:color="auto"/>
            </w:tcBorders>
            <w:shd w:val="clear" w:color="auto" w:fill="auto"/>
            <w:vAlign w:val="bottom"/>
            <w:hideMark/>
          </w:tcPr>
          <w:p w14:paraId="182C08D2" w14:textId="77777777" w:rsidR="0041370D" w:rsidRPr="0041370D" w:rsidRDefault="0041370D" w:rsidP="0041370D">
            <w:pPr>
              <w:spacing w:after="0" w:line="240" w:lineRule="auto"/>
              <w:jc w:val="right"/>
              <w:rPr>
                <w:rFonts w:cs="Arial"/>
                <w:sz w:val="16"/>
                <w:szCs w:val="16"/>
              </w:rPr>
            </w:pPr>
            <w:r w:rsidRPr="0041370D">
              <w:rPr>
                <w:rFonts w:cs="Arial"/>
                <w:sz w:val="16"/>
                <w:szCs w:val="16"/>
              </w:rPr>
              <w:t>13 113</w:t>
            </w:r>
          </w:p>
        </w:tc>
        <w:tc>
          <w:tcPr>
            <w:tcW w:w="960" w:type="dxa"/>
            <w:tcBorders>
              <w:top w:val="nil"/>
              <w:left w:val="single" w:sz="4" w:space="0" w:color="auto"/>
              <w:bottom w:val="nil"/>
              <w:right w:val="nil"/>
            </w:tcBorders>
            <w:shd w:val="clear" w:color="auto" w:fill="auto"/>
            <w:vAlign w:val="bottom"/>
            <w:hideMark/>
          </w:tcPr>
          <w:p w14:paraId="6C5B2778" w14:textId="77777777" w:rsidR="0041370D" w:rsidRPr="0041370D" w:rsidRDefault="0041370D" w:rsidP="0041370D">
            <w:pPr>
              <w:spacing w:after="0" w:line="240" w:lineRule="auto"/>
              <w:jc w:val="right"/>
              <w:rPr>
                <w:rFonts w:cs="Arial"/>
                <w:sz w:val="16"/>
                <w:szCs w:val="16"/>
              </w:rPr>
            </w:pPr>
            <w:r w:rsidRPr="0041370D">
              <w:rPr>
                <w:rFonts w:cs="Arial"/>
                <w:sz w:val="16"/>
                <w:szCs w:val="16"/>
              </w:rPr>
              <w:t>117</w:t>
            </w:r>
          </w:p>
        </w:tc>
        <w:tc>
          <w:tcPr>
            <w:tcW w:w="960" w:type="dxa"/>
            <w:tcBorders>
              <w:top w:val="nil"/>
              <w:left w:val="nil"/>
              <w:bottom w:val="nil"/>
              <w:right w:val="nil"/>
            </w:tcBorders>
            <w:shd w:val="clear" w:color="auto" w:fill="auto"/>
            <w:vAlign w:val="bottom"/>
            <w:hideMark/>
          </w:tcPr>
          <w:p w14:paraId="000615DE" w14:textId="77777777" w:rsidR="0041370D" w:rsidRPr="0041370D" w:rsidRDefault="0041370D" w:rsidP="0041370D">
            <w:pPr>
              <w:spacing w:after="0" w:line="240" w:lineRule="auto"/>
              <w:jc w:val="right"/>
              <w:rPr>
                <w:rFonts w:cs="Arial"/>
                <w:sz w:val="16"/>
                <w:szCs w:val="16"/>
              </w:rPr>
            </w:pPr>
            <w:r w:rsidRPr="0041370D">
              <w:rPr>
                <w:rFonts w:cs="Arial"/>
                <w:sz w:val="16"/>
                <w:szCs w:val="16"/>
              </w:rPr>
              <w:t>115</w:t>
            </w:r>
          </w:p>
        </w:tc>
        <w:tc>
          <w:tcPr>
            <w:tcW w:w="960" w:type="dxa"/>
            <w:tcBorders>
              <w:top w:val="nil"/>
              <w:left w:val="nil"/>
              <w:bottom w:val="nil"/>
              <w:right w:val="nil"/>
            </w:tcBorders>
            <w:shd w:val="clear" w:color="auto" w:fill="auto"/>
            <w:vAlign w:val="bottom"/>
            <w:hideMark/>
          </w:tcPr>
          <w:p w14:paraId="04818F16" w14:textId="77777777" w:rsidR="0041370D" w:rsidRPr="0041370D" w:rsidRDefault="0041370D" w:rsidP="0041370D">
            <w:pPr>
              <w:spacing w:after="0" w:line="240" w:lineRule="auto"/>
              <w:jc w:val="right"/>
              <w:rPr>
                <w:rFonts w:cs="Arial"/>
                <w:sz w:val="16"/>
                <w:szCs w:val="16"/>
              </w:rPr>
            </w:pPr>
            <w:r w:rsidRPr="0041370D">
              <w:rPr>
                <w:rFonts w:cs="Arial"/>
                <w:sz w:val="16"/>
                <w:szCs w:val="16"/>
              </w:rPr>
              <w:t>2</w:t>
            </w:r>
          </w:p>
        </w:tc>
      </w:tr>
      <w:tr w:rsidR="0041370D" w:rsidRPr="0041370D" w14:paraId="1B29078E"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33A7074F"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2015</w:t>
            </w:r>
          </w:p>
        </w:tc>
        <w:tc>
          <w:tcPr>
            <w:tcW w:w="960" w:type="dxa"/>
            <w:tcBorders>
              <w:top w:val="nil"/>
              <w:left w:val="single" w:sz="4" w:space="0" w:color="auto"/>
              <w:bottom w:val="nil"/>
              <w:right w:val="nil"/>
            </w:tcBorders>
            <w:shd w:val="clear" w:color="auto" w:fill="auto"/>
            <w:noWrap/>
            <w:vAlign w:val="bottom"/>
            <w:hideMark/>
          </w:tcPr>
          <w:p w14:paraId="29D01E9E"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46 331</w:t>
            </w:r>
          </w:p>
        </w:tc>
        <w:tc>
          <w:tcPr>
            <w:tcW w:w="960" w:type="dxa"/>
            <w:tcBorders>
              <w:top w:val="nil"/>
              <w:left w:val="nil"/>
              <w:bottom w:val="nil"/>
              <w:right w:val="nil"/>
            </w:tcBorders>
            <w:shd w:val="clear" w:color="auto" w:fill="auto"/>
            <w:noWrap/>
            <w:vAlign w:val="bottom"/>
            <w:hideMark/>
          </w:tcPr>
          <w:p w14:paraId="303360BA"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32 117</w:t>
            </w:r>
          </w:p>
        </w:tc>
        <w:tc>
          <w:tcPr>
            <w:tcW w:w="960" w:type="dxa"/>
            <w:tcBorders>
              <w:top w:val="nil"/>
              <w:left w:val="nil"/>
              <w:bottom w:val="nil"/>
              <w:right w:val="single" w:sz="4" w:space="0" w:color="auto"/>
            </w:tcBorders>
            <w:shd w:val="clear" w:color="auto" w:fill="auto"/>
            <w:noWrap/>
            <w:vAlign w:val="bottom"/>
            <w:hideMark/>
          </w:tcPr>
          <w:p w14:paraId="3E12846E"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14 214</w:t>
            </w:r>
          </w:p>
        </w:tc>
        <w:tc>
          <w:tcPr>
            <w:tcW w:w="960" w:type="dxa"/>
            <w:tcBorders>
              <w:top w:val="nil"/>
              <w:left w:val="single" w:sz="4" w:space="0" w:color="auto"/>
              <w:bottom w:val="nil"/>
              <w:right w:val="nil"/>
            </w:tcBorders>
            <w:shd w:val="clear" w:color="auto" w:fill="auto"/>
            <w:noWrap/>
            <w:vAlign w:val="bottom"/>
            <w:hideMark/>
          </w:tcPr>
          <w:p w14:paraId="676F4707"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45 621</w:t>
            </w:r>
          </w:p>
        </w:tc>
        <w:tc>
          <w:tcPr>
            <w:tcW w:w="960" w:type="dxa"/>
            <w:tcBorders>
              <w:top w:val="nil"/>
              <w:left w:val="nil"/>
              <w:bottom w:val="nil"/>
              <w:right w:val="nil"/>
            </w:tcBorders>
            <w:shd w:val="clear" w:color="auto" w:fill="auto"/>
            <w:vAlign w:val="bottom"/>
            <w:hideMark/>
          </w:tcPr>
          <w:p w14:paraId="3304B3EE" w14:textId="77777777" w:rsidR="0041370D" w:rsidRPr="0041370D" w:rsidRDefault="0041370D" w:rsidP="0041370D">
            <w:pPr>
              <w:spacing w:after="0" w:line="240" w:lineRule="auto"/>
              <w:jc w:val="right"/>
              <w:rPr>
                <w:rFonts w:cs="Arial"/>
                <w:sz w:val="16"/>
                <w:szCs w:val="16"/>
              </w:rPr>
            </w:pPr>
            <w:r w:rsidRPr="0041370D">
              <w:rPr>
                <w:rFonts w:cs="Arial"/>
                <w:sz w:val="16"/>
                <w:szCs w:val="16"/>
              </w:rPr>
              <w:t>31 605</w:t>
            </w:r>
          </w:p>
        </w:tc>
        <w:tc>
          <w:tcPr>
            <w:tcW w:w="960" w:type="dxa"/>
            <w:tcBorders>
              <w:top w:val="nil"/>
              <w:left w:val="nil"/>
              <w:bottom w:val="nil"/>
              <w:right w:val="single" w:sz="4" w:space="0" w:color="auto"/>
            </w:tcBorders>
            <w:shd w:val="clear" w:color="auto" w:fill="auto"/>
            <w:vAlign w:val="bottom"/>
            <w:hideMark/>
          </w:tcPr>
          <w:p w14:paraId="567789E0" w14:textId="77777777" w:rsidR="0041370D" w:rsidRPr="0041370D" w:rsidRDefault="0041370D" w:rsidP="0041370D">
            <w:pPr>
              <w:spacing w:after="0" w:line="240" w:lineRule="auto"/>
              <w:jc w:val="right"/>
              <w:rPr>
                <w:rFonts w:cs="Arial"/>
                <w:sz w:val="16"/>
                <w:szCs w:val="16"/>
              </w:rPr>
            </w:pPr>
            <w:r w:rsidRPr="0041370D">
              <w:rPr>
                <w:rFonts w:cs="Arial"/>
                <w:sz w:val="16"/>
                <w:szCs w:val="16"/>
              </w:rPr>
              <w:t>14 016</w:t>
            </w:r>
          </w:p>
        </w:tc>
        <w:tc>
          <w:tcPr>
            <w:tcW w:w="960" w:type="dxa"/>
            <w:tcBorders>
              <w:top w:val="nil"/>
              <w:left w:val="single" w:sz="4" w:space="0" w:color="auto"/>
              <w:bottom w:val="nil"/>
              <w:right w:val="nil"/>
            </w:tcBorders>
            <w:shd w:val="clear" w:color="auto" w:fill="auto"/>
            <w:vAlign w:val="bottom"/>
            <w:hideMark/>
          </w:tcPr>
          <w:p w14:paraId="42F13D1A" w14:textId="77777777" w:rsidR="0041370D" w:rsidRPr="0041370D" w:rsidRDefault="0041370D" w:rsidP="0041370D">
            <w:pPr>
              <w:spacing w:after="0" w:line="240" w:lineRule="auto"/>
              <w:jc w:val="right"/>
              <w:rPr>
                <w:rFonts w:cs="Arial"/>
                <w:sz w:val="16"/>
                <w:szCs w:val="16"/>
              </w:rPr>
            </w:pPr>
            <w:r w:rsidRPr="0041370D">
              <w:rPr>
                <w:rFonts w:cs="Arial"/>
                <w:sz w:val="16"/>
                <w:szCs w:val="16"/>
              </w:rPr>
              <w:t>131</w:t>
            </w:r>
          </w:p>
        </w:tc>
        <w:tc>
          <w:tcPr>
            <w:tcW w:w="960" w:type="dxa"/>
            <w:tcBorders>
              <w:top w:val="nil"/>
              <w:left w:val="nil"/>
              <w:bottom w:val="nil"/>
              <w:right w:val="nil"/>
            </w:tcBorders>
            <w:shd w:val="clear" w:color="auto" w:fill="auto"/>
            <w:vAlign w:val="bottom"/>
            <w:hideMark/>
          </w:tcPr>
          <w:p w14:paraId="3BC1E969" w14:textId="77777777" w:rsidR="0041370D" w:rsidRPr="0041370D" w:rsidRDefault="0041370D" w:rsidP="0041370D">
            <w:pPr>
              <w:spacing w:after="0" w:line="240" w:lineRule="auto"/>
              <w:jc w:val="right"/>
              <w:rPr>
                <w:rFonts w:cs="Arial"/>
                <w:sz w:val="16"/>
                <w:szCs w:val="16"/>
              </w:rPr>
            </w:pPr>
            <w:r w:rsidRPr="0041370D">
              <w:rPr>
                <w:rFonts w:cs="Arial"/>
                <w:sz w:val="16"/>
                <w:szCs w:val="16"/>
              </w:rPr>
              <w:t>120</w:t>
            </w:r>
          </w:p>
        </w:tc>
        <w:tc>
          <w:tcPr>
            <w:tcW w:w="960" w:type="dxa"/>
            <w:tcBorders>
              <w:top w:val="nil"/>
              <w:left w:val="nil"/>
              <w:bottom w:val="nil"/>
              <w:right w:val="nil"/>
            </w:tcBorders>
            <w:shd w:val="clear" w:color="auto" w:fill="auto"/>
            <w:vAlign w:val="bottom"/>
            <w:hideMark/>
          </w:tcPr>
          <w:p w14:paraId="19242841" w14:textId="77777777" w:rsidR="0041370D" w:rsidRPr="0041370D" w:rsidRDefault="0041370D" w:rsidP="0041370D">
            <w:pPr>
              <w:spacing w:after="0" w:line="240" w:lineRule="auto"/>
              <w:jc w:val="right"/>
              <w:rPr>
                <w:rFonts w:cs="Arial"/>
                <w:sz w:val="16"/>
                <w:szCs w:val="16"/>
              </w:rPr>
            </w:pPr>
            <w:r w:rsidRPr="0041370D">
              <w:rPr>
                <w:rFonts w:cs="Arial"/>
                <w:sz w:val="16"/>
                <w:szCs w:val="16"/>
              </w:rPr>
              <w:t>11</w:t>
            </w:r>
          </w:p>
        </w:tc>
      </w:tr>
      <w:tr w:rsidR="0041370D" w:rsidRPr="0041370D" w14:paraId="465AA70F"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10138012"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2016</w:t>
            </w:r>
          </w:p>
        </w:tc>
        <w:tc>
          <w:tcPr>
            <w:tcW w:w="960" w:type="dxa"/>
            <w:tcBorders>
              <w:top w:val="nil"/>
              <w:left w:val="single" w:sz="4" w:space="0" w:color="auto"/>
              <w:bottom w:val="nil"/>
              <w:right w:val="nil"/>
            </w:tcBorders>
            <w:shd w:val="clear" w:color="auto" w:fill="auto"/>
            <w:noWrap/>
            <w:vAlign w:val="bottom"/>
            <w:hideMark/>
          </w:tcPr>
          <w:p w14:paraId="5724EFD4"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47 379</w:t>
            </w:r>
          </w:p>
        </w:tc>
        <w:tc>
          <w:tcPr>
            <w:tcW w:w="960" w:type="dxa"/>
            <w:tcBorders>
              <w:top w:val="nil"/>
              <w:left w:val="nil"/>
              <w:bottom w:val="nil"/>
              <w:right w:val="nil"/>
            </w:tcBorders>
            <w:shd w:val="clear" w:color="auto" w:fill="auto"/>
            <w:noWrap/>
            <w:vAlign w:val="bottom"/>
            <w:hideMark/>
          </w:tcPr>
          <w:p w14:paraId="3F11882F"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32 592</w:t>
            </w:r>
          </w:p>
        </w:tc>
        <w:tc>
          <w:tcPr>
            <w:tcW w:w="960" w:type="dxa"/>
            <w:tcBorders>
              <w:top w:val="nil"/>
              <w:left w:val="nil"/>
              <w:bottom w:val="nil"/>
              <w:right w:val="single" w:sz="4" w:space="0" w:color="auto"/>
            </w:tcBorders>
            <w:shd w:val="clear" w:color="auto" w:fill="auto"/>
            <w:noWrap/>
            <w:vAlign w:val="bottom"/>
            <w:hideMark/>
          </w:tcPr>
          <w:p w14:paraId="1EA249B2"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14 787</w:t>
            </w:r>
          </w:p>
        </w:tc>
        <w:tc>
          <w:tcPr>
            <w:tcW w:w="960" w:type="dxa"/>
            <w:tcBorders>
              <w:top w:val="nil"/>
              <w:left w:val="single" w:sz="4" w:space="0" w:color="auto"/>
              <w:bottom w:val="nil"/>
              <w:right w:val="nil"/>
            </w:tcBorders>
            <w:shd w:val="clear" w:color="auto" w:fill="auto"/>
            <w:noWrap/>
            <w:vAlign w:val="bottom"/>
            <w:hideMark/>
          </w:tcPr>
          <w:p w14:paraId="52F1E43D"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46 713</w:t>
            </w:r>
          </w:p>
        </w:tc>
        <w:tc>
          <w:tcPr>
            <w:tcW w:w="960" w:type="dxa"/>
            <w:tcBorders>
              <w:top w:val="nil"/>
              <w:left w:val="nil"/>
              <w:bottom w:val="nil"/>
              <w:right w:val="nil"/>
            </w:tcBorders>
            <w:shd w:val="clear" w:color="auto" w:fill="auto"/>
            <w:vAlign w:val="bottom"/>
            <w:hideMark/>
          </w:tcPr>
          <w:p w14:paraId="24CDE94E" w14:textId="77777777" w:rsidR="0041370D" w:rsidRPr="0041370D" w:rsidRDefault="0041370D" w:rsidP="0041370D">
            <w:pPr>
              <w:spacing w:after="0" w:line="240" w:lineRule="auto"/>
              <w:jc w:val="right"/>
              <w:rPr>
                <w:rFonts w:cs="Arial"/>
                <w:sz w:val="16"/>
                <w:szCs w:val="16"/>
              </w:rPr>
            </w:pPr>
            <w:r w:rsidRPr="0041370D">
              <w:rPr>
                <w:rFonts w:cs="Arial"/>
                <w:sz w:val="16"/>
                <w:szCs w:val="16"/>
              </w:rPr>
              <w:t>32 102</w:t>
            </w:r>
          </w:p>
        </w:tc>
        <w:tc>
          <w:tcPr>
            <w:tcW w:w="960" w:type="dxa"/>
            <w:tcBorders>
              <w:top w:val="nil"/>
              <w:left w:val="nil"/>
              <w:bottom w:val="nil"/>
              <w:right w:val="single" w:sz="4" w:space="0" w:color="auto"/>
            </w:tcBorders>
            <w:shd w:val="clear" w:color="auto" w:fill="auto"/>
            <w:vAlign w:val="bottom"/>
            <w:hideMark/>
          </w:tcPr>
          <w:p w14:paraId="0A7C1375" w14:textId="77777777" w:rsidR="0041370D" w:rsidRPr="0041370D" w:rsidRDefault="0041370D" w:rsidP="0041370D">
            <w:pPr>
              <w:spacing w:after="0" w:line="240" w:lineRule="auto"/>
              <w:jc w:val="right"/>
              <w:rPr>
                <w:rFonts w:cs="Arial"/>
                <w:sz w:val="16"/>
                <w:szCs w:val="16"/>
              </w:rPr>
            </w:pPr>
            <w:r w:rsidRPr="0041370D">
              <w:rPr>
                <w:rFonts w:cs="Arial"/>
                <w:sz w:val="16"/>
                <w:szCs w:val="16"/>
              </w:rPr>
              <w:t>14 611</w:t>
            </w:r>
          </w:p>
        </w:tc>
        <w:tc>
          <w:tcPr>
            <w:tcW w:w="960" w:type="dxa"/>
            <w:tcBorders>
              <w:top w:val="nil"/>
              <w:left w:val="single" w:sz="4" w:space="0" w:color="auto"/>
              <w:bottom w:val="nil"/>
              <w:right w:val="nil"/>
            </w:tcBorders>
            <w:shd w:val="clear" w:color="auto" w:fill="auto"/>
            <w:vAlign w:val="bottom"/>
            <w:hideMark/>
          </w:tcPr>
          <w:p w14:paraId="550312DE" w14:textId="77777777" w:rsidR="0041370D" w:rsidRPr="0041370D" w:rsidRDefault="0041370D" w:rsidP="0041370D">
            <w:pPr>
              <w:spacing w:after="0" w:line="240" w:lineRule="auto"/>
              <w:jc w:val="right"/>
              <w:rPr>
                <w:rFonts w:cs="Arial"/>
                <w:sz w:val="16"/>
                <w:szCs w:val="16"/>
              </w:rPr>
            </w:pPr>
            <w:r w:rsidRPr="0041370D">
              <w:rPr>
                <w:rFonts w:cs="Arial"/>
                <w:sz w:val="16"/>
                <w:szCs w:val="16"/>
              </w:rPr>
              <w:t>104</w:t>
            </w:r>
          </w:p>
        </w:tc>
        <w:tc>
          <w:tcPr>
            <w:tcW w:w="960" w:type="dxa"/>
            <w:tcBorders>
              <w:top w:val="nil"/>
              <w:left w:val="nil"/>
              <w:bottom w:val="nil"/>
              <w:right w:val="nil"/>
            </w:tcBorders>
            <w:shd w:val="clear" w:color="auto" w:fill="auto"/>
            <w:vAlign w:val="bottom"/>
            <w:hideMark/>
          </w:tcPr>
          <w:p w14:paraId="71F7C4A8" w14:textId="77777777" w:rsidR="0041370D" w:rsidRPr="0041370D" w:rsidRDefault="0041370D" w:rsidP="0041370D">
            <w:pPr>
              <w:spacing w:after="0" w:line="240" w:lineRule="auto"/>
              <w:jc w:val="right"/>
              <w:rPr>
                <w:rFonts w:cs="Arial"/>
                <w:sz w:val="16"/>
                <w:szCs w:val="16"/>
              </w:rPr>
            </w:pPr>
            <w:r w:rsidRPr="0041370D">
              <w:rPr>
                <w:rFonts w:cs="Arial"/>
                <w:sz w:val="16"/>
                <w:szCs w:val="16"/>
              </w:rPr>
              <w:t>101</w:t>
            </w:r>
          </w:p>
        </w:tc>
        <w:tc>
          <w:tcPr>
            <w:tcW w:w="960" w:type="dxa"/>
            <w:tcBorders>
              <w:top w:val="nil"/>
              <w:left w:val="nil"/>
              <w:bottom w:val="nil"/>
              <w:right w:val="nil"/>
            </w:tcBorders>
            <w:shd w:val="clear" w:color="auto" w:fill="auto"/>
            <w:vAlign w:val="bottom"/>
            <w:hideMark/>
          </w:tcPr>
          <w:p w14:paraId="49406475" w14:textId="77777777" w:rsidR="0041370D" w:rsidRPr="0041370D" w:rsidRDefault="0041370D" w:rsidP="0041370D">
            <w:pPr>
              <w:spacing w:after="0" w:line="240" w:lineRule="auto"/>
              <w:jc w:val="right"/>
              <w:rPr>
                <w:rFonts w:cs="Arial"/>
                <w:sz w:val="16"/>
                <w:szCs w:val="16"/>
              </w:rPr>
            </w:pPr>
            <w:r w:rsidRPr="0041370D">
              <w:rPr>
                <w:rFonts w:cs="Arial"/>
                <w:sz w:val="16"/>
                <w:szCs w:val="16"/>
              </w:rPr>
              <w:t>3</w:t>
            </w:r>
          </w:p>
        </w:tc>
      </w:tr>
      <w:tr w:rsidR="0041370D" w:rsidRPr="0041370D" w14:paraId="2426EF29"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1EC7BA07"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2017</w:t>
            </w:r>
          </w:p>
        </w:tc>
        <w:tc>
          <w:tcPr>
            <w:tcW w:w="960" w:type="dxa"/>
            <w:tcBorders>
              <w:top w:val="nil"/>
              <w:left w:val="single" w:sz="4" w:space="0" w:color="auto"/>
              <w:bottom w:val="nil"/>
              <w:right w:val="nil"/>
            </w:tcBorders>
            <w:shd w:val="clear" w:color="auto" w:fill="auto"/>
            <w:vAlign w:val="bottom"/>
            <w:hideMark/>
          </w:tcPr>
          <w:p w14:paraId="6F384E45" w14:textId="77777777" w:rsidR="0041370D" w:rsidRPr="0041370D" w:rsidRDefault="0041370D" w:rsidP="0041370D">
            <w:pPr>
              <w:spacing w:after="0" w:line="240" w:lineRule="auto"/>
              <w:jc w:val="right"/>
              <w:rPr>
                <w:rFonts w:cs="Arial"/>
                <w:sz w:val="16"/>
                <w:szCs w:val="16"/>
              </w:rPr>
            </w:pPr>
            <w:r w:rsidRPr="0041370D">
              <w:rPr>
                <w:rFonts w:cs="Arial"/>
                <w:sz w:val="16"/>
                <w:szCs w:val="16"/>
              </w:rPr>
              <w:t>47 491</w:t>
            </w:r>
          </w:p>
        </w:tc>
        <w:tc>
          <w:tcPr>
            <w:tcW w:w="960" w:type="dxa"/>
            <w:tcBorders>
              <w:top w:val="nil"/>
              <w:left w:val="nil"/>
              <w:bottom w:val="nil"/>
              <w:right w:val="nil"/>
            </w:tcBorders>
            <w:shd w:val="clear" w:color="auto" w:fill="auto"/>
            <w:noWrap/>
            <w:vAlign w:val="bottom"/>
            <w:hideMark/>
          </w:tcPr>
          <w:p w14:paraId="5E1FA1F4"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32 575</w:t>
            </w:r>
          </w:p>
        </w:tc>
        <w:tc>
          <w:tcPr>
            <w:tcW w:w="960" w:type="dxa"/>
            <w:tcBorders>
              <w:top w:val="nil"/>
              <w:left w:val="nil"/>
              <w:bottom w:val="nil"/>
              <w:right w:val="single" w:sz="4" w:space="0" w:color="auto"/>
            </w:tcBorders>
            <w:shd w:val="clear" w:color="auto" w:fill="auto"/>
            <w:noWrap/>
            <w:vAlign w:val="bottom"/>
            <w:hideMark/>
          </w:tcPr>
          <w:p w14:paraId="7E94F543" w14:textId="77777777" w:rsidR="0041370D" w:rsidRPr="0041370D" w:rsidRDefault="0041370D" w:rsidP="0041370D">
            <w:pPr>
              <w:spacing w:after="0" w:line="240" w:lineRule="auto"/>
              <w:jc w:val="right"/>
              <w:rPr>
                <w:rFonts w:cs="Arial"/>
                <w:color w:val="000000"/>
                <w:sz w:val="16"/>
                <w:szCs w:val="16"/>
              </w:rPr>
            </w:pPr>
            <w:r w:rsidRPr="0041370D">
              <w:rPr>
                <w:rFonts w:cs="Arial"/>
                <w:color w:val="000000"/>
                <w:sz w:val="16"/>
                <w:szCs w:val="16"/>
              </w:rPr>
              <w:t>14 916</w:t>
            </w:r>
          </w:p>
        </w:tc>
        <w:tc>
          <w:tcPr>
            <w:tcW w:w="960" w:type="dxa"/>
            <w:tcBorders>
              <w:top w:val="nil"/>
              <w:left w:val="single" w:sz="4" w:space="0" w:color="auto"/>
              <w:bottom w:val="nil"/>
              <w:right w:val="nil"/>
            </w:tcBorders>
            <w:shd w:val="clear" w:color="auto" w:fill="auto"/>
            <w:noWrap/>
            <w:vAlign w:val="bottom"/>
            <w:hideMark/>
          </w:tcPr>
          <w:p w14:paraId="33921390"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46 870</w:t>
            </w:r>
          </w:p>
        </w:tc>
        <w:tc>
          <w:tcPr>
            <w:tcW w:w="960" w:type="dxa"/>
            <w:tcBorders>
              <w:top w:val="nil"/>
              <w:left w:val="nil"/>
              <w:bottom w:val="nil"/>
              <w:right w:val="nil"/>
            </w:tcBorders>
            <w:shd w:val="clear" w:color="auto" w:fill="auto"/>
            <w:vAlign w:val="bottom"/>
            <w:hideMark/>
          </w:tcPr>
          <w:p w14:paraId="0605377C" w14:textId="77777777" w:rsidR="0041370D" w:rsidRPr="0041370D" w:rsidRDefault="0041370D" w:rsidP="0041370D">
            <w:pPr>
              <w:spacing w:after="0" w:line="240" w:lineRule="auto"/>
              <w:jc w:val="right"/>
              <w:rPr>
                <w:rFonts w:cs="Arial"/>
                <w:sz w:val="16"/>
                <w:szCs w:val="16"/>
              </w:rPr>
            </w:pPr>
            <w:r w:rsidRPr="0041370D">
              <w:rPr>
                <w:rFonts w:cs="Arial"/>
                <w:sz w:val="16"/>
                <w:szCs w:val="16"/>
              </w:rPr>
              <w:t>32 120</w:t>
            </w:r>
          </w:p>
        </w:tc>
        <w:tc>
          <w:tcPr>
            <w:tcW w:w="960" w:type="dxa"/>
            <w:tcBorders>
              <w:top w:val="nil"/>
              <w:left w:val="nil"/>
              <w:bottom w:val="nil"/>
              <w:right w:val="single" w:sz="4" w:space="0" w:color="auto"/>
            </w:tcBorders>
            <w:shd w:val="clear" w:color="auto" w:fill="auto"/>
            <w:vAlign w:val="bottom"/>
            <w:hideMark/>
          </w:tcPr>
          <w:p w14:paraId="112E3E0E" w14:textId="77777777" w:rsidR="0041370D" w:rsidRPr="0041370D" w:rsidRDefault="0041370D" w:rsidP="0041370D">
            <w:pPr>
              <w:spacing w:after="0" w:line="240" w:lineRule="auto"/>
              <w:jc w:val="right"/>
              <w:rPr>
                <w:rFonts w:cs="Arial"/>
                <w:sz w:val="16"/>
                <w:szCs w:val="16"/>
              </w:rPr>
            </w:pPr>
            <w:r w:rsidRPr="0041370D">
              <w:rPr>
                <w:rFonts w:cs="Arial"/>
                <w:sz w:val="16"/>
                <w:szCs w:val="16"/>
              </w:rPr>
              <w:t>14 750</w:t>
            </w:r>
          </w:p>
        </w:tc>
        <w:tc>
          <w:tcPr>
            <w:tcW w:w="960" w:type="dxa"/>
            <w:tcBorders>
              <w:top w:val="nil"/>
              <w:left w:val="single" w:sz="4" w:space="0" w:color="auto"/>
              <w:bottom w:val="nil"/>
              <w:right w:val="nil"/>
            </w:tcBorders>
            <w:shd w:val="clear" w:color="auto" w:fill="auto"/>
            <w:vAlign w:val="bottom"/>
            <w:hideMark/>
          </w:tcPr>
          <w:p w14:paraId="360F66CB" w14:textId="77777777" w:rsidR="0041370D" w:rsidRPr="0041370D" w:rsidRDefault="0041370D" w:rsidP="0041370D">
            <w:pPr>
              <w:spacing w:after="0" w:line="240" w:lineRule="auto"/>
              <w:jc w:val="right"/>
              <w:rPr>
                <w:rFonts w:cs="Arial"/>
                <w:sz w:val="16"/>
                <w:szCs w:val="16"/>
              </w:rPr>
            </w:pPr>
            <w:r w:rsidRPr="0041370D">
              <w:rPr>
                <w:rFonts w:cs="Arial"/>
                <w:sz w:val="16"/>
                <w:szCs w:val="16"/>
              </w:rPr>
              <w:t>95</w:t>
            </w:r>
          </w:p>
        </w:tc>
        <w:tc>
          <w:tcPr>
            <w:tcW w:w="960" w:type="dxa"/>
            <w:tcBorders>
              <w:top w:val="nil"/>
              <w:left w:val="nil"/>
              <w:bottom w:val="nil"/>
              <w:right w:val="nil"/>
            </w:tcBorders>
            <w:shd w:val="clear" w:color="auto" w:fill="auto"/>
            <w:vAlign w:val="bottom"/>
            <w:hideMark/>
          </w:tcPr>
          <w:p w14:paraId="07E74D12" w14:textId="77777777" w:rsidR="0041370D" w:rsidRPr="0041370D" w:rsidRDefault="0041370D" w:rsidP="0041370D">
            <w:pPr>
              <w:spacing w:after="0" w:line="240" w:lineRule="auto"/>
              <w:jc w:val="right"/>
              <w:rPr>
                <w:rFonts w:cs="Arial"/>
                <w:sz w:val="16"/>
                <w:szCs w:val="16"/>
              </w:rPr>
            </w:pPr>
            <w:r w:rsidRPr="0041370D">
              <w:rPr>
                <w:rFonts w:cs="Arial"/>
                <w:sz w:val="16"/>
                <w:szCs w:val="16"/>
              </w:rPr>
              <w:t>91</w:t>
            </w:r>
          </w:p>
        </w:tc>
        <w:tc>
          <w:tcPr>
            <w:tcW w:w="960" w:type="dxa"/>
            <w:tcBorders>
              <w:top w:val="nil"/>
              <w:left w:val="nil"/>
              <w:bottom w:val="nil"/>
              <w:right w:val="nil"/>
            </w:tcBorders>
            <w:shd w:val="clear" w:color="auto" w:fill="auto"/>
            <w:vAlign w:val="bottom"/>
            <w:hideMark/>
          </w:tcPr>
          <w:p w14:paraId="4F845E6A" w14:textId="77777777" w:rsidR="0041370D" w:rsidRPr="0041370D" w:rsidRDefault="0041370D" w:rsidP="0041370D">
            <w:pPr>
              <w:spacing w:after="0" w:line="240" w:lineRule="auto"/>
              <w:jc w:val="right"/>
              <w:rPr>
                <w:rFonts w:cs="Arial"/>
                <w:sz w:val="16"/>
                <w:szCs w:val="16"/>
              </w:rPr>
            </w:pPr>
            <w:r w:rsidRPr="0041370D">
              <w:rPr>
                <w:rFonts w:cs="Arial"/>
                <w:sz w:val="16"/>
                <w:szCs w:val="16"/>
              </w:rPr>
              <w:t>4</w:t>
            </w:r>
          </w:p>
        </w:tc>
      </w:tr>
      <w:tr w:rsidR="0041370D" w:rsidRPr="0041370D" w14:paraId="0DA2A678" w14:textId="77777777" w:rsidTr="00776E3B">
        <w:trPr>
          <w:trHeight w:val="300"/>
        </w:trPr>
        <w:tc>
          <w:tcPr>
            <w:tcW w:w="960" w:type="dxa"/>
            <w:tcBorders>
              <w:top w:val="nil"/>
              <w:left w:val="nil"/>
              <w:bottom w:val="nil"/>
              <w:right w:val="single" w:sz="4" w:space="0" w:color="auto"/>
            </w:tcBorders>
            <w:shd w:val="clear" w:color="auto" w:fill="auto"/>
            <w:vAlign w:val="bottom"/>
            <w:hideMark/>
          </w:tcPr>
          <w:p w14:paraId="04B1CBE5" w14:textId="77777777" w:rsidR="0041370D" w:rsidRPr="0041370D" w:rsidRDefault="0041370D" w:rsidP="0041370D">
            <w:pPr>
              <w:spacing w:after="0" w:line="240" w:lineRule="auto"/>
              <w:jc w:val="center"/>
              <w:rPr>
                <w:rFonts w:cs="Arial"/>
                <w:sz w:val="16"/>
                <w:szCs w:val="16"/>
              </w:rPr>
            </w:pPr>
            <w:r w:rsidRPr="0041370D">
              <w:rPr>
                <w:rFonts w:cs="Arial"/>
                <w:sz w:val="16"/>
                <w:szCs w:val="16"/>
              </w:rPr>
              <w:t>2018</w:t>
            </w:r>
          </w:p>
        </w:tc>
        <w:tc>
          <w:tcPr>
            <w:tcW w:w="960" w:type="dxa"/>
            <w:tcBorders>
              <w:top w:val="nil"/>
              <w:left w:val="nil"/>
              <w:bottom w:val="nil"/>
              <w:right w:val="nil"/>
            </w:tcBorders>
            <w:shd w:val="clear" w:color="auto" w:fill="auto"/>
            <w:noWrap/>
            <w:vAlign w:val="bottom"/>
            <w:hideMark/>
          </w:tcPr>
          <w:p w14:paraId="33E7B50F"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46 223</w:t>
            </w:r>
          </w:p>
        </w:tc>
        <w:tc>
          <w:tcPr>
            <w:tcW w:w="960" w:type="dxa"/>
            <w:tcBorders>
              <w:top w:val="nil"/>
              <w:left w:val="nil"/>
              <w:bottom w:val="nil"/>
              <w:right w:val="nil"/>
            </w:tcBorders>
            <w:shd w:val="clear" w:color="auto" w:fill="auto"/>
            <w:vAlign w:val="bottom"/>
            <w:hideMark/>
          </w:tcPr>
          <w:p w14:paraId="5B19C203" w14:textId="77777777" w:rsidR="0041370D" w:rsidRPr="0041370D" w:rsidRDefault="0041370D" w:rsidP="0041370D">
            <w:pPr>
              <w:spacing w:after="0" w:line="240" w:lineRule="auto"/>
              <w:jc w:val="right"/>
              <w:rPr>
                <w:rFonts w:cs="Arial"/>
                <w:sz w:val="16"/>
                <w:szCs w:val="16"/>
              </w:rPr>
            </w:pPr>
            <w:r w:rsidRPr="0041370D">
              <w:rPr>
                <w:rFonts w:cs="Arial"/>
                <w:sz w:val="16"/>
                <w:szCs w:val="16"/>
              </w:rPr>
              <w:t>31 340</w:t>
            </w:r>
          </w:p>
        </w:tc>
        <w:tc>
          <w:tcPr>
            <w:tcW w:w="960" w:type="dxa"/>
            <w:tcBorders>
              <w:top w:val="nil"/>
              <w:left w:val="nil"/>
              <w:bottom w:val="nil"/>
              <w:right w:val="single" w:sz="4" w:space="0" w:color="auto"/>
            </w:tcBorders>
            <w:shd w:val="clear" w:color="auto" w:fill="auto"/>
            <w:vAlign w:val="bottom"/>
            <w:hideMark/>
          </w:tcPr>
          <w:p w14:paraId="0634C476" w14:textId="77777777" w:rsidR="0041370D" w:rsidRPr="0041370D" w:rsidRDefault="0041370D" w:rsidP="0041370D">
            <w:pPr>
              <w:spacing w:after="0" w:line="240" w:lineRule="auto"/>
              <w:jc w:val="right"/>
              <w:rPr>
                <w:rFonts w:cs="Arial"/>
                <w:sz w:val="16"/>
                <w:szCs w:val="16"/>
              </w:rPr>
            </w:pPr>
            <w:r w:rsidRPr="0041370D">
              <w:rPr>
                <w:rFonts w:cs="Arial"/>
                <w:sz w:val="16"/>
                <w:szCs w:val="16"/>
              </w:rPr>
              <w:t>14 883</w:t>
            </w:r>
          </w:p>
        </w:tc>
        <w:tc>
          <w:tcPr>
            <w:tcW w:w="960" w:type="dxa"/>
            <w:tcBorders>
              <w:top w:val="nil"/>
              <w:left w:val="single" w:sz="4" w:space="0" w:color="auto"/>
              <w:bottom w:val="nil"/>
              <w:right w:val="nil"/>
            </w:tcBorders>
            <w:shd w:val="clear" w:color="auto" w:fill="auto"/>
            <w:noWrap/>
            <w:vAlign w:val="bottom"/>
            <w:hideMark/>
          </w:tcPr>
          <w:p w14:paraId="31618E67" w14:textId="77777777" w:rsidR="0041370D" w:rsidRPr="0041370D" w:rsidRDefault="0041370D" w:rsidP="0041370D">
            <w:pPr>
              <w:spacing w:after="0" w:line="240" w:lineRule="auto"/>
              <w:jc w:val="right"/>
              <w:rPr>
                <w:rFonts w:ascii="Arial CE" w:hAnsi="Arial CE" w:cs="Arial CE"/>
                <w:sz w:val="16"/>
                <w:szCs w:val="16"/>
              </w:rPr>
            </w:pPr>
            <w:r w:rsidRPr="0041370D">
              <w:rPr>
                <w:rFonts w:ascii="Arial CE" w:hAnsi="Arial CE" w:cs="Arial CE"/>
                <w:sz w:val="16"/>
                <w:szCs w:val="16"/>
              </w:rPr>
              <w:t>45 666</w:t>
            </w:r>
          </w:p>
        </w:tc>
        <w:tc>
          <w:tcPr>
            <w:tcW w:w="960" w:type="dxa"/>
            <w:tcBorders>
              <w:top w:val="nil"/>
              <w:left w:val="nil"/>
              <w:bottom w:val="nil"/>
              <w:right w:val="nil"/>
            </w:tcBorders>
            <w:shd w:val="clear" w:color="auto" w:fill="auto"/>
            <w:vAlign w:val="bottom"/>
            <w:hideMark/>
          </w:tcPr>
          <w:p w14:paraId="06A0CD5A" w14:textId="77777777" w:rsidR="0041370D" w:rsidRPr="0041370D" w:rsidRDefault="0041370D" w:rsidP="0041370D">
            <w:pPr>
              <w:spacing w:after="0" w:line="240" w:lineRule="auto"/>
              <w:jc w:val="right"/>
              <w:rPr>
                <w:rFonts w:cs="Arial"/>
                <w:sz w:val="16"/>
                <w:szCs w:val="16"/>
              </w:rPr>
            </w:pPr>
            <w:r w:rsidRPr="0041370D">
              <w:rPr>
                <w:rFonts w:cs="Arial"/>
                <w:sz w:val="16"/>
                <w:szCs w:val="16"/>
              </w:rPr>
              <w:t>30 947</w:t>
            </w:r>
          </w:p>
        </w:tc>
        <w:tc>
          <w:tcPr>
            <w:tcW w:w="960" w:type="dxa"/>
            <w:tcBorders>
              <w:top w:val="nil"/>
              <w:left w:val="nil"/>
              <w:bottom w:val="nil"/>
              <w:right w:val="single" w:sz="4" w:space="0" w:color="auto"/>
            </w:tcBorders>
            <w:shd w:val="clear" w:color="auto" w:fill="auto"/>
            <w:vAlign w:val="bottom"/>
            <w:hideMark/>
          </w:tcPr>
          <w:p w14:paraId="61F2B78E" w14:textId="77777777" w:rsidR="0041370D" w:rsidRPr="0041370D" w:rsidRDefault="0041370D" w:rsidP="0041370D">
            <w:pPr>
              <w:spacing w:after="0" w:line="240" w:lineRule="auto"/>
              <w:jc w:val="right"/>
              <w:rPr>
                <w:rFonts w:cs="Arial"/>
                <w:sz w:val="16"/>
                <w:szCs w:val="16"/>
              </w:rPr>
            </w:pPr>
            <w:r w:rsidRPr="0041370D">
              <w:rPr>
                <w:rFonts w:cs="Arial"/>
                <w:sz w:val="16"/>
                <w:szCs w:val="16"/>
              </w:rPr>
              <w:t>14 719</w:t>
            </w:r>
          </w:p>
        </w:tc>
        <w:tc>
          <w:tcPr>
            <w:tcW w:w="960" w:type="dxa"/>
            <w:tcBorders>
              <w:top w:val="nil"/>
              <w:left w:val="single" w:sz="4" w:space="0" w:color="auto"/>
              <w:bottom w:val="nil"/>
              <w:right w:val="nil"/>
            </w:tcBorders>
            <w:shd w:val="clear" w:color="auto" w:fill="auto"/>
            <w:vAlign w:val="bottom"/>
            <w:hideMark/>
          </w:tcPr>
          <w:p w14:paraId="3778B5D4" w14:textId="3862C638" w:rsidR="0041370D" w:rsidRPr="0041370D" w:rsidRDefault="00532BBD" w:rsidP="00532BBD">
            <w:pPr>
              <w:spacing w:after="0" w:line="240" w:lineRule="auto"/>
              <w:jc w:val="right"/>
              <w:rPr>
                <w:rFonts w:cs="Arial"/>
                <w:sz w:val="16"/>
                <w:szCs w:val="16"/>
              </w:rPr>
            </w:pPr>
            <w:r>
              <w:rPr>
                <w:rFonts w:cs="Arial"/>
                <w:sz w:val="16"/>
                <w:szCs w:val="16"/>
              </w:rPr>
              <w:t>123</w:t>
            </w:r>
          </w:p>
        </w:tc>
        <w:tc>
          <w:tcPr>
            <w:tcW w:w="960" w:type="dxa"/>
            <w:tcBorders>
              <w:top w:val="nil"/>
              <w:left w:val="nil"/>
              <w:bottom w:val="nil"/>
              <w:right w:val="nil"/>
            </w:tcBorders>
            <w:shd w:val="clear" w:color="auto" w:fill="auto"/>
            <w:vAlign w:val="bottom"/>
            <w:hideMark/>
          </w:tcPr>
          <w:p w14:paraId="2CE4476E" w14:textId="0038F35F" w:rsidR="0041370D" w:rsidRPr="0041370D" w:rsidRDefault="00F03E5C" w:rsidP="00F03E5C">
            <w:pPr>
              <w:spacing w:after="0" w:line="240" w:lineRule="auto"/>
              <w:jc w:val="right"/>
              <w:rPr>
                <w:rFonts w:cs="Arial"/>
                <w:sz w:val="16"/>
                <w:szCs w:val="16"/>
              </w:rPr>
            </w:pPr>
            <w:r>
              <w:rPr>
                <w:rFonts w:cs="Arial"/>
                <w:sz w:val="16"/>
                <w:szCs w:val="16"/>
              </w:rPr>
              <w:t>117</w:t>
            </w:r>
          </w:p>
        </w:tc>
        <w:tc>
          <w:tcPr>
            <w:tcW w:w="960" w:type="dxa"/>
            <w:tcBorders>
              <w:top w:val="nil"/>
              <w:left w:val="nil"/>
              <w:bottom w:val="nil"/>
              <w:right w:val="nil"/>
            </w:tcBorders>
            <w:shd w:val="clear" w:color="auto" w:fill="auto"/>
            <w:vAlign w:val="bottom"/>
            <w:hideMark/>
          </w:tcPr>
          <w:p w14:paraId="4C951064" w14:textId="034C6905" w:rsidR="0041370D" w:rsidRPr="0041370D" w:rsidRDefault="00F03E5C" w:rsidP="00F03E5C">
            <w:pPr>
              <w:spacing w:after="0" w:line="240" w:lineRule="auto"/>
              <w:jc w:val="right"/>
              <w:rPr>
                <w:rFonts w:cs="Arial"/>
                <w:sz w:val="16"/>
                <w:szCs w:val="16"/>
              </w:rPr>
            </w:pPr>
            <w:r>
              <w:rPr>
                <w:rFonts w:cs="Arial"/>
                <w:sz w:val="16"/>
                <w:szCs w:val="16"/>
              </w:rPr>
              <w:t>6</w:t>
            </w:r>
          </w:p>
        </w:tc>
      </w:tr>
    </w:tbl>
    <w:p w14:paraId="0474E341" w14:textId="77777777" w:rsidR="004223A0" w:rsidRPr="004223A0" w:rsidRDefault="004223A0" w:rsidP="004223A0"/>
    <w:p w14:paraId="4543F612" w14:textId="13C55400" w:rsidR="00E712BD" w:rsidRDefault="00532BBD" w:rsidP="004223A0">
      <w:pPr>
        <w:rPr>
          <w:sz w:val="16"/>
        </w:rPr>
      </w:pPr>
      <w:r w:rsidRPr="00532BBD">
        <w:rPr>
          <w:sz w:val="16"/>
        </w:rPr>
        <w:t xml:space="preserve">Zdroj: </w:t>
      </w:r>
      <w:r w:rsidR="00776E3B">
        <w:rPr>
          <w:sz w:val="16"/>
        </w:rPr>
        <w:t xml:space="preserve">ČSÚ, </w:t>
      </w:r>
      <w:r w:rsidRPr="00532BBD">
        <w:rPr>
          <w:sz w:val="16"/>
        </w:rPr>
        <w:t>SÚIP</w:t>
      </w:r>
    </w:p>
    <w:p w14:paraId="62B35223" w14:textId="1CC9F546" w:rsidR="00E712BD" w:rsidRPr="00E712BD" w:rsidRDefault="00E712BD" w:rsidP="00E712BD">
      <w:pPr>
        <w:pStyle w:val="Titulek"/>
        <w:keepNext/>
        <w:rPr>
          <w:b/>
          <w:i w:val="0"/>
          <w:color w:val="auto"/>
          <w:sz w:val="20"/>
        </w:rPr>
      </w:pPr>
      <w:r w:rsidRPr="00E712BD">
        <w:rPr>
          <w:b/>
          <w:i w:val="0"/>
          <w:color w:val="auto"/>
          <w:sz w:val="20"/>
        </w:rPr>
        <w:t xml:space="preserve">Graf </w:t>
      </w:r>
      <w:r w:rsidRPr="00E712BD">
        <w:rPr>
          <w:b/>
          <w:i w:val="0"/>
          <w:color w:val="auto"/>
          <w:sz w:val="20"/>
        </w:rPr>
        <w:fldChar w:fldCharType="begin"/>
      </w:r>
      <w:r w:rsidRPr="00E712BD">
        <w:rPr>
          <w:b/>
          <w:i w:val="0"/>
          <w:color w:val="auto"/>
          <w:sz w:val="20"/>
        </w:rPr>
        <w:instrText xml:space="preserve"> SEQ Graf \* ARABIC </w:instrText>
      </w:r>
      <w:r w:rsidRPr="00E712BD">
        <w:rPr>
          <w:b/>
          <w:i w:val="0"/>
          <w:color w:val="auto"/>
          <w:sz w:val="20"/>
        </w:rPr>
        <w:fldChar w:fldCharType="separate"/>
      </w:r>
      <w:r w:rsidR="004426F5">
        <w:rPr>
          <w:b/>
          <w:i w:val="0"/>
          <w:noProof/>
          <w:color w:val="auto"/>
          <w:sz w:val="20"/>
        </w:rPr>
        <w:t>5</w:t>
      </w:r>
      <w:r w:rsidRPr="00E712BD">
        <w:rPr>
          <w:b/>
          <w:i w:val="0"/>
          <w:color w:val="auto"/>
          <w:sz w:val="20"/>
        </w:rPr>
        <w:fldChar w:fldCharType="end"/>
      </w:r>
      <w:r w:rsidRPr="00E712BD">
        <w:rPr>
          <w:b/>
          <w:i w:val="0"/>
          <w:color w:val="auto"/>
          <w:sz w:val="20"/>
        </w:rPr>
        <w:t>.1: Pracovní úrazy s pracovní neschopností delší než 3 dny na 100 tis. pojištěnců v letech 2008–2018</w:t>
      </w:r>
    </w:p>
    <w:p w14:paraId="71CA37CA" w14:textId="53CE8C5F" w:rsidR="00E712BD" w:rsidRDefault="00E712BD" w:rsidP="004223A0">
      <w:pPr>
        <w:rPr>
          <w:sz w:val="16"/>
        </w:rPr>
      </w:pPr>
      <w:r>
        <w:rPr>
          <w:noProof/>
        </w:rPr>
        <w:drawing>
          <wp:inline distT="0" distB="0" distL="0" distR="0" wp14:anchorId="57421334" wp14:editId="2958FA3A">
            <wp:extent cx="6029325" cy="27813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EBF041" w14:textId="7AB1F318" w:rsidR="00E712BD" w:rsidRDefault="00E712BD" w:rsidP="004223A0">
      <w:pPr>
        <w:rPr>
          <w:sz w:val="16"/>
        </w:rPr>
      </w:pPr>
      <w:r>
        <w:rPr>
          <w:sz w:val="16"/>
        </w:rPr>
        <w:t>Zdroj: ČSÚ</w:t>
      </w:r>
    </w:p>
    <w:p w14:paraId="7B36C4B1" w14:textId="50109E5A" w:rsidR="0025379B" w:rsidRPr="00E41A63" w:rsidRDefault="0025379B" w:rsidP="0025379B">
      <w:pPr>
        <w:jc w:val="both"/>
      </w:pPr>
      <w:r w:rsidRPr="00E41A63">
        <w:t>Za posledních deset let došlo k celkovému poklesu počtu pracovních úrazů s </w:t>
      </w:r>
      <w:r w:rsidRPr="00722773">
        <w:rPr>
          <w:b/>
        </w:rPr>
        <w:t>DPN delší než 3 dny</w:t>
      </w:r>
      <w:r w:rsidRPr="00E41A63">
        <w:t xml:space="preserve"> o </w:t>
      </w:r>
      <w:r w:rsidR="00E41A63" w:rsidRPr="00E41A63">
        <w:t>34</w:t>
      </w:r>
      <w:r w:rsidRPr="00E41A63">
        <w:t xml:space="preserve"> %, výraznější byl pokles u mužů (o </w:t>
      </w:r>
      <w:r w:rsidR="00E41A63" w:rsidRPr="00E41A63">
        <w:t>39</w:t>
      </w:r>
      <w:r w:rsidRPr="00E41A63">
        <w:t xml:space="preserve"> %) než u žen (o </w:t>
      </w:r>
      <w:r w:rsidR="00E41A63" w:rsidRPr="00E41A63">
        <w:t xml:space="preserve">20,6 </w:t>
      </w:r>
      <w:r w:rsidRPr="00E41A63">
        <w:t>%). Rozdíl dynamiky poklesu u obou pohlaví se projevil v již zmíněné změně podílu mužů či žen na celkové pracovní úrazovosti. Nutno podotknout, že počet pracovních úrazů ve sledovaném období se nesnižoval proporcionálně, pokles byl zastaven v roce 2013 a</w:t>
      </w:r>
      <w:r w:rsidR="008A15C0">
        <w:t> </w:t>
      </w:r>
      <w:r w:rsidRPr="00E41A63">
        <w:t>od roku 2014 dochází k mírnému meziročnímu</w:t>
      </w:r>
      <w:r w:rsidR="00E41A63" w:rsidRPr="00E41A63">
        <w:t xml:space="preserve"> nárůstu počtu pracovních úrazů, který v roce 2018 vystřídal pokles.</w:t>
      </w:r>
      <w:r w:rsidRPr="00E41A63">
        <w:t xml:space="preserve"> Podobný vývojový trend má i relativní ukazatel počtu pracovních úrazů s DPN delší než 3 dny na</w:t>
      </w:r>
      <w:r w:rsidR="008A15C0">
        <w:t> </w:t>
      </w:r>
      <w:r w:rsidRPr="00E41A63">
        <w:t>100 000 nemocensky pojištěných osob (viz graf 5.1).</w:t>
      </w:r>
    </w:p>
    <w:p w14:paraId="7F24B3D5" w14:textId="25B71049" w:rsidR="0025379B" w:rsidRDefault="0025379B" w:rsidP="0025379B">
      <w:pPr>
        <w:jc w:val="both"/>
      </w:pPr>
      <w:r w:rsidRPr="005E2102">
        <w:lastRenderedPageBreak/>
        <w:t>V absolutním vyjádření nejvíce pracovních úrazů s DPN delší než 3 dny se v roce 201</w:t>
      </w:r>
      <w:r w:rsidR="00E41A63" w:rsidRPr="005E2102">
        <w:t>8</w:t>
      </w:r>
      <w:r w:rsidRPr="005E2102">
        <w:t xml:space="preserve"> událo ve</w:t>
      </w:r>
      <w:r w:rsidR="008A15C0">
        <w:t> </w:t>
      </w:r>
      <w:r w:rsidRPr="005E2102">
        <w:t>Zpracovatelském průmyslu (19 </w:t>
      </w:r>
      <w:r w:rsidR="00E41A63" w:rsidRPr="005E2102">
        <w:t>515</w:t>
      </w:r>
      <w:r w:rsidRPr="005E2102">
        <w:t xml:space="preserve"> případů), následují </w:t>
      </w:r>
      <w:r w:rsidRPr="00722773">
        <w:rPr>
          <w:b/>
        </w:rPr>
        <w:t>odvětví</w:t>
      </w:r>
      <w:r w:rsidRPr="005E2102">
        <w:t xml:space="preserve"> Velkoobchod a maloobchod, opravy a</w:t>
      </w:r>
      <w:r w:rsidR="008A15C0">
        <w:t> </w:t>
      </w:r>
      <w:r w:rsidRPr="005E2102">
        <w:t>údržba motorových vozidel (5 </w:t>
      </w:r>
      <w:r w:rsidR="005E2102" w:rsidRPr="005E2102">
        <w:t>261</w:t>
      </w:r>
      <w:r w:rsidRPr="005E2102">
        <w:t xml:space="preserve"> případů) a Doprava a skladování (4 5</w:t>
      </w:r>
      <w:r w:rsidR="005E2102" w:rsidRPr="005E2102">
        <w:t>34</w:t>
      </w:r>
      <w:r w:rsidRPr="005E2102">
        <w:t xml:space="preserve"> případy). Pokud však zohledníme zaměstnanost v jednotlivých odvětvích a použijeme relativní ukazatel </w:t>
      </w:r>
      <w:r w:rsidR="005E2102" w:rsidRPr="005E2102">
        <w:t>vz</w:t>
      </w:r>
      <w:r w:rsidRPr="005E2102">
        <w:t>tažený na</w:t>
      </w:r>
      <w:r w:rsidR="008A15C0">
        <w:t> </w:t>
      </w:r>
      <w:r w:rsidRPr="005E2102">
        <w:t>100</w:t>
      </w:r>
      <w:r w:rsidR="008A15C0">
        <w:t> </w:t>
      </w:r>
      <w:r w:rsidRPr="005E2102">
        <w:t>tis.</w:t>
      </w:r>
      <w:r w:rsidR="008A15C0">
        <w:t> </w:t>
      </w:r>
      <w:r w:rsidRPr="005E2102">
        <w:t>pojištěnců, nejrizikovějším odvětvím je Zemědělství, lesnictví a rybářství (2 3</w:t>
      </w:r>
      <w:r w:rsidR="005E2102" w:rsidRPr="005E2102">
        <w:t>41</w:t>
      </w:r>
      <w:r w:rsidRPr="005E2102">
        <w:t xml:space="preserve"> pracovních úrazů na 100 tis. pojištěnců), dále odvětví Zásobování vodou, činnosti související s odpadními vodami, odpady a</w:t>
      </w:r>
      <w:r w:rsidR="008A15C0">
        <w:t> </w:t>
      </w:r>
      <w:r w:rsidRPr="005E2102">
        <w:t>sanacemi (1 </w:t>
      </w:r>
      <w:r w:rsidR="005E2102" w:rsidRPr="005E2102">
        <w:t>772</w:t>
      </w:r>
      <w:r w:rsidRPr="005E2102">
        <w:t xml:space="preserve">), </w:t>
      </w:r>
      <w:r w:rsidR="005E2102" w:rsidRPr="005E2102">
        <w:t xml:space="preserve">Těžba a dobývání (1 646), </w:t>
      </w:r>
      <w:r w:rsidRPr="005E2102">
        <w:t>teprve poté následuje Zpracovatelský průmysl (1 </w:t>
      </w:r>
      <w:r w:rsidR="005E2102" w:rsidRPr="005E2102">
        <w:t>567</w:t>
      </w:r>
      <w:r w:rsidRPr="005E2102">
        <w:t>), Doprava a skladování (1 5</w:t>
      </w:r>
      <w:r w:rsidR="005E2102" w:rsidRPr="005E2102">
        <w:t xml:space="preserve">19) </w:t>
      </w:r>
      <w:r w:rsidRPr="005E2102">
        <w:t>a Stavebnictví (1 </w:t>
      </w:r>
      <w:r w:rsidR="005E2102" w:rsidRPr="005E2102">
        <w:t>190</w:t>
      </w:r>
      <w:r w:rsidRPr="005E2102">
        <w:t>). Nejméně rizikovým se jeví odvětví Informační a</w:t>
      </w:r>
      <w:r w:rsidR="008A15C0">
        <w:t> </w:t>
      </w:r>
      <w:r w:rsidRPr="005E2102">
        <w:t>komunikační činnosti s 9</w:t>
      </w:r>
      <w:r w:rsidR="005E2102" w:rsidRPr="005E2102">
        <w:t>3</w:t>
      </w:r>
      <w:r w:rsidRPr="005E2102">
        <w:t xml:space="preserve"> pracovními úrazy a Peněžnictví a pojišťovnictví se 1</w:t>
      </w:r>
      <w:r w:rsidR="005E2102" w:rsidRPr="005E2102">
        <w:t>02</w:t>
      </w:r>
      <w:r w:rsidRPr="005E2102">
        <w:t xml:space="preserve"> pracovními úrazy</w:t>
      </w:r>
      <w:r w:rsidR="00F03E5C">
        <w:t xml:space="preserve"> v přepočtu na 100 tis. pojištěnců</w:t>
      </w:r>
      <w:r w:rsidR="005E2102" w:rsidRPr="005E2102">
        <w:t xml:space="preserve">, které si </w:t>
      </w:r>
      <w:r w:rsidR="005E2102">
        <w:t>vyžádaly</w:t>
      </w:r>
      <w:r w:rsidR="005E2102" w:rsidRPr="005E2102">
        <w:t xml:space="preserve"> 3denní a delší pracovní neschopnost</w:t>
      </w:r>
      <w:r w:rsidRPr="005E2102">
        <w:t>.</w:t>
      </w:r>
    </w:p>
    <w:p w14:paraId="7F3FD44E" w14:textId="01AAAC91" w:rsidR="0025379B" w:rsidRPr="0025379B" w:rsidRDefault="0025379B" w:rsidP="0025379B">
      <w:pPr>
        <w:pStyle w:val="Titulek"/>
        <w:keepNext/>
        <w:jc w:val="both"/>
        <w:rPr>
          <w:b/>
          <w:i w:val="0"/>
          <w:color w:val="auto"/>
          <w:sz w:val="20"/>
        </w:rPr>
      </w:pPr>
      <w:r w:rsidRPr="0025379B">
        <w:rPr>
          <w:b/>
          <w:i w:val="0"/>
          <w:color w:val="auto"/>
          <w:sz w:val="20"/>
        </w:rPr>
        <w:t>Graf 5.2: Pracovní úrazy s pracovní neschopností delší než 3 dny na 100 tis. pojištěnců dle odvětví ekonomické činnosti v roce 2018</w:t>
      </w:r>
    </w:p>
    <w:p w14:paraId="2690EB03" w14:textId="29593437" w:rsidR="0025379B" w:rsidRPr="00C132AF" w:rsidRDefault="00AA5FC8" w:rsidP="0025379B">
      <w:pPr>
        <w:jc w:val="both"/>
      </w:pPr>
      <w:r>
        <w:rPr>
          <w:noProof/>
        </w:rPr>
        <w:drawing>
          <wp:inline distT="0" distB="0" distL="0" distR="0" wp14:anchorId="5E34DFA5" wp14:editId="3D3F8C65">
            <wp:extent cx="6120130" cy="3912235"/>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FE3865" w14:textId="77777777" w:rsidR="0025379B" w:rsidRDefault="0025379B" w:rsidP="0025379B">
      <w:pPr>
        <w:rPr>
          <w:sz w:val="16"/>
        </w:rPr>
      </w:pPr>
      <w:r>
        <w:rPr>
          <w:sz w:val="16"/>
        </w:rPr>
        <w:t>Zdroj: ČSÚ</w:t>
      </w:r>
    </w:p>
    <w:p w14:paraId="17C7DFC6" w14:textId="239C756A" w:rsidR="0025379B" w:rsidRDefault="0025379B" w:rsidP="004223A0">
      <w:pPr>
        <w:rPr>
          <w:sz w:val="16"/>
        </w:rPr>
      </w:pPr>
    </w:p>
    <w:p w14:paraId="18C8C782" w14:textId="21D42C76" w:rsidR="00D61CD9" w:rsidRPr="00D61CD9" w:rsidRDefault="00D61CD9" w:rsidP="00D61CD9">
      <w:pPr>
        <w:pStyle w:val="Titulek"/>
        <w:keepNext/>
        <w:rPr>
          <w:b/>
          <w:i w:val="0"/>
          <w:color w:val="auto"/>
          <w:sz w:val="20"/>
        </w:rPr>
      </w:pPr>
      <w:r w:rsidRPr="00D61CD9">
        <w:rPr>
          <w:b/>
          <w:i w:val="0"/>
          <w:color w:val="auto"/>
          <w:sz w:val="20"/>
        </w:rPr>
        <w:lastRenderedPageBreak/>
        <w:t xml:space="preserve">Graf </w:t>
      </w:r>
      <w:r w:rsidR="00BF7B0E">
        <w:rPr>
          <w:b/>
          <w:i w:val="0"/>
          <w:color w:val="auto"/>
          <w:sz w:val="20"/>
        </w:rPr>
        <w:t>5</w:t>
      </w:r>
      <w:r w:rsidRPr="00D61CD9">
        <w:rPr>
          <w:b/>
          <w:i w:val="0"/>
          <w:color w:val="auto"/>
          <w:sz w:val="20"/>
        </w:rPr>
        <w:t>.</w:t>
      </w:r>
      <w:r w:rsidR="00BF7B0E">
        <w:rPr>
          <w:b/>
          <w:i w:val="0"/>
          <w:color w:val="auto"/>
          <w:sz w:val="20"/>
        </w:rPr>
        <w:t>3</w:t>
      </w:r>
      <w:r w:rsidRPr="00D61CD9">
        <w:rPr>
          <w:b/>
          <w:i w:val="0"/>
          <w:color w:val="auto"/>
          <w:sz w:val="20"/>
        </w:rPr>
        <w:t>: Pracovní úrazy s pracovní neschopností delší než 3 dny na 100 tis. pojištěnců podle krajů ČR v roce 2018</w:t>
      </w:r>
    </w:p>
    <w:p w14:paraId="44513BD9" w14:textId="548DB65F" w:rsidR="00D61CD9" w:rsidRDefault="00D61CD9" w:rsidP="004223A0">
      <w:pPr>
        <w:rPr>
          <w:sz w:val="16"/>
        </w:rPr>
      </w:pPr>
      <w:r>
        <w:rPr>
          <w:noProof/>
        </w:rPr>
        <w:drawing>
          <wp:inline distT="0" distB="0" distL="0" distR="0" wp14:anchorId="78A58E23" wp14:editId="64511E12">
            <wp:extent cx="5934075" cy="272415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CDB5638" w14:textId="7A453D34" w:rsidR="00BF7B0E" w:rsidRPr="00743BCB" w:rsidRDefault="00BF7B0E" w:rsidP="00BF7B0E">
      <w:pPr>
        <w:jc w:val="both"/>
        <w:rPr>
          <w:rFonts w:cs="Arial"/>
        </w:rPr>
      </w:pPr>
      <w:r w:rsidRPr="00743BCB">
        <w:rPr>
          <w:rFonts w:cs="Arial"/>
        </w:rPr>
        <w:t xml:space="preserve">Z pohledu </w:t>
      </w:r>
      <w:r w:rsidRPr="00722773">
        <w:rPr>
          <w:rFonts w:cs="Arial"/>
          <w:b/>
        </w:rPr>
        <w:t>územního členění</w:t>
      </w:r>
      <w:r w:rsidRPr="00743BCB">
        <w:rPr>
          <w:rFonts w:cs="Arial"/>
        </w:rPr>
        <w:t xml:space="preserve"> bylo v roce 201</w:t>
      </w:r>
      <w:r w:rsidR="00743BCB" w:rsidRPr="00743BCB">
        <w:rPr>
          <w:rFonts w:cs="Arial"/>
        </w:rPr>
        <w:t>8</w:t>
      </w:r>
      <w:r w:rsidRPr="00743BCB">
        <w:rPr>
          <w:rFonts w:cs="Arial"/>
        </w:rPr>
        <w:t xml:space="preserve"> nejvíce případů pracovních úrazů s pracovní neschopností delší než 3 kalendářní dny na 100 tis. nemocensky pojištěných osob hlášeno v kraji Vysočina (1 </w:t>
      </w:r>
      <w:r w:rsidR="00743BCB" w:rsidRPr="00743BCB">
        <w:rPr>
          <w:rFonts w:cs="Arial"/>
        </w:rPr>
        <w:t>515</w:t>
      </w:r>
      <w:r w:rsidRPr="00743BCB">
        <w:rPr>
          <w:rFonts w:cs="Arial"/>
        </w:rPr>
        <w:t xml:space="preserve">), Jihočeském (1 </w:t>
      </w:r>
      <w:r w:rsidR="00743BCB" w:rsidRPr="00743BCB">
        <w:rPr>
          <w:rFonts w:cs="Arial"/>
        </w:rPr>
        <w:t>438</w:t>
      </w:r>
      <w:r w:rsidRPr="00743BCB">
        <w:rPr>
          <w:rFonts w:cs="Arial"/>
        </w:rPr>
        <w:t>) a Plzeňském kraji (1 4</w:t>
      </w:r>
      <w:r w:rsidR="00743BCB" w:rsidRPr="00743BCB">
        <w:rPr>
          <w:rFonts w:cs="Arial"/>
        </w:rPr>
        <w:t>06</w:t>
      </w:r>
      <w:r w:rsidRPr="00743BCB">
        <w:rPr>
          <w:rFonts w:cs="Arial"/>
        </w:rPr>
        <w:t>). Následují Ústecký kraj s 1 3</w:t>
      </w:r>
      <w:r w:rsidR="00743BCB" w:rsidRPr="00743BCB">
        <w:rPr>
          <w:rFonts w:cs="Arial"/>
        </w:rPr>
        <w:t>14</w:t>
      </w:r>
      <w:r w:rsidRPr="00743BCB">
        <w:rPr>
          <w:rFonts w:cs="Arial"/>
        </w:rPr>
        <w:t xml:space="preserve"> případy a Královéhradecký kraj s 1 </w:t>
      </w:r>
      <w:r w:rsidR="00743BCB" w:rsidRPr="00743BCB">
        <w:rPr>
          <w:rFonts w:cs="Arial"/>
        </w:rPr>
        <w:t>266</w:t>
      </w:r>
      <w:r w:rsidRPr="00743BCB">
        <w:rPr>
          <w:rFonts w:cs="Arial"/>
        </w:rPr>
        <w:t xml:space="preserve"> případy na 100 tis. pojištěnců. Nejméně případů pak bylo hlášeno v Hlavním městě Praze (5</w:t>
      </w:r>
      <w:r w:rsidR="00743BCB" w:rsidRPr="00743BCB">
        <w:rPr>
          <w:rFonts w:cs="Arial"/>
        </w:rPr>
        <w:t>57</w:t>
      </w:r>
      <w:r w:rsidRPr="00743BCB">
        <w:rPr>
          <w:rFonts w:cs="Arial"/>
        </w:rPr>
        <w:t xml:space="preserve">). Pod hranicí </w:t>
      </w:r>
      <w:r w:rsidR="00743BCB" w:rsidRPr="00743BCB">
        <w:rPr>
          <w:rFonts w:cs="Arial"/>
        </w:rPr>
        <w:t xml:space="preserve">republikového průměru (965 úrazů </w:t>
      </w:r>
      <w:r w:rsidRPr="00743BCB">
        <w:rPr>
          <w:rFonts w:cs="Arial"/>
        </w:rPr>
        <w:t>na 100 tis. nemocensky pojištěných osob</w:t>
      </w:r>
      <w:r w:rsidR="00743BCB" w:rsidRPr="00743BCB">
        <w:rPr>
          <w:rFonts w:cs="Arial"/>
        </w:rPr>
        <w:t>) se dále nachází Středočeský (949</w:t>
      </w:r>
      <w:r w:rsidR="00F03E5C">
        <w:rPr>
          <w:rFonts w:cs="Arial"/>
        </w:rPr>
        <w:t xml:space="preserve"> úrazů</w:t>
      </w:r>
      <w:r w:rsidR="00743BCB" w:rsidRPr="00743BCB">
        <w:rPr>
          <w:rFonts w:cs="Arial"/>
        </w:rPr>
        <w:t>) a</w:t>
      </w:r>
      <w:r w:rsidRPr="00743BCB">
        <w:rPr>
          <w:rFonts w:cs="Arial"/>
        </w:rPr>
        <w:t xml:space="preserve"> Jihomoravský (9</w:t>
      </w:r>
      <w:r w:rsidR="00743BCB" w:rsidRPr="00743BCB">
        <w:rPr>
          <w:rFonts w:cs="Arial"/>
        </w:rPr>
        <w:t>01</w:t>
      </w:r>
      <w:r w:rsidR="00F03E5C">
        <w:rPr>
          <w:rFonts w:cs="Arial"/>
        </w:rPr>
        <w:t xml:space="preserve"> úrazů</w:t>
      </w:r>
      <w:r w:rsidR="00743BCB" w:rsidRPr="00743BCB">
        <w:rPr>
          <w:rFonts w:cs="Arial"/>
        </w:rPr>
        <w:t>) kraj.</w:t>
      </w:r>
      <w:r w:rsidRPr="00743BCB">
        <w:rPr>
          <w:rFonts w:cs="Arial"/>
        </w:rPr>
        <w:t xml:space="preserve"> </w:t>
      </w:r>
    </w:p>
    <w:p w14:paraId="55875631" w14:textId="77777777" w:rsidR="00BF7B0E" w:rsidRPr="00743BCB" w:rsidRDefault="00BF7B0E" w:rsidP="00BF7B0E">
      <w:pPr>
        <w:jc w:val="both"/>
        <w:rPr>
          <w:rFonts w:cs="Arial"/>
        </w:rPr>
      </w:pPr>
      <w:r w:rsidRPr="00743BCB">
        <w:rPr>
          <w:rFonts w:cs="Arial"/>
        </w:rPr>
        <w:t>Rozdíly výskytu pracovních úrazů podle územního členění jsou do značné míry ovlivněny strukturou zaměstnanosti, charakterem převažující ekonomické činnosti a mírou nezaměstnanosti v daném regionu. Je nutné připomenout i metodiku zpracování dat, kdy rozdělení do</w:t>
      </w:r>
      <w:r w:rsidRPr="00743BCB">
        <w:rPr>
          <w:rFonts w:cs="Arial"/>
          <w:szCs w:val="20"/>
        </w:rPr>
        <w:t xml:space="preserve"> krajů vychází z údaje o sídle útvaru, který vede evidenci mezd u zaměstnavatele osoby, která je v pracovní neschopnosti pro pracovní úraz.</w:t>
      </w:r>
    </w:p>
    <w:p w14:paraId="44028A50" w14:textId="7AFD4E47" w:rsidR="00BF7B0E" w:rsidRDefault="00BF7B0E" w:rsidP="006846A7">
      <w:pPr>
        <w:jc w:val="both"/>
        <w:rPr>
          <w:rFonts w:cs="Arial"/>
        </w:rPr>
      </w:pPr>
      <w:r w:rsidRPr="006846A7">
        <w:rPr>
          <w:rFonts w:cs="Arial"/>
        </w:rPr>
        <w:t xml:space="preserve">Z pohledu </w:t>
      </w:r>
      <w:r w:rsidRPr="00722773">
        <w:rPr>
          <w:rFonts w:cs="Arial"/>
          <w:b/>
        </w:rPr>
        <w:t>velikosti podniku</w:t>
      </w:r>
      <w:r w:rsidRPr="006846A7">
        <w:rPr>
          <w:rFonts w:cs="Arial"/>
        </w:rPr>
        <w:t xml:space="preserve"> </w:t>
      </w:r>
      <w:r w:rsidR="00F03E5C">
        <w:rPr>
          <w:rFonts w:cs="Arial"/>
        </w:rPr>
        <w:t>se</w:t>
      </w:r>
      <w:r w:rsidRPr="006846A7">
        <w:rPr>
          <w:rFonts w:cs="Arial"/>
        </w:rPr>
        <w:t xml:space="preserve"> v roce 201</w:t>
      </w:r>
      <w:r w:rsidR="00743BCB" w:rsidRPr="006846A7">
        <w:rPr>
          <w:rFonts w:cs="Arial"/>
        </w:rPr>
        <w:t>8</w:t>
      </w:r>
      <w:r w:rsidRPr="006846A7">
        <w:rPr>
          <w:rFonts w:cs="Arial"/>
        </w:rPr>
        <w:t xml:space="preserve"> nejvíce pracovních úrazů s pracovní neschopností delší než 3</w:t>
      </w:r>
      <w:r w:rsidR="006846A7">
        <w:rPr>
          <w:rFonts w:cs="Arial"/>
        </w:rPr>
        <w:t> </w:t>
      </w:r>
      <w:r w:rsidRPr="006846A7">
        <w:rPr>
          <w:rFonts w:cs="Arial"/>
        </w:rPr>
        <w:t xml:space="preserve">dny </w:t>
      </w:r>
      <w:r w:rsidR="00F03E5C">
        <w:rPr>
          <w:rFonts w:cs="Arial"/>
        </w:rPr>
        <w:t xml:space="preserve">událo u </w:t>
      </w:r>
      <w:r w:rsidRPr="006846A7">
        <w:rPr>
          <w:rFonts w:cs="Arial"/>
        </w:rPr>
        <w:t>zaměstnavatel</w:t>
      </w:r>
      <w:r w:rsidR="00F03E5C">
        <w:rPr>
          <w:rFonts w:cs="Arial"/>
        </w:rPr>
        <w:t>ů</w:t>
      </w:r>
      <w:r w:rsidRPr="006846A7">
        <w:rPr>
          <w:rFonts w:cs="Arial"/>
        </w:rPr>
        <w:t xml:space="preserve"> s 500 a více zaměstnanci – 14 </w:t>
      </w:r>
      <w:r w:rsidR="006846A7" w:rsidRPr="006846A7">
        <w:rPr>
          <w:rFonts w:cs="Arial"/>
        </w:rPr>
        <w:t>456</w:t>
      </w:r>
      <w:r w:rsidRPr="006846A7">
        <w:rPr>
          <w:rFonts w:cs="Arial"/>
        </w:rPr>
        <w:t xml:space="preserve"> případů (32% podíl na </w:t>
      </w:r>
      <w:r w:rsidR="006846A7" w:rsidRPr="006846A7">
        <w:rPr>
          <w:rFonts w:cs="Arial"/>
        </w:rPr>
        <w:t>celkové</w:t>
      </w:r>
      <w:r w:rsidRPr="006846A7">
        <w:rPr>
          <w:rFonts w:cs="Arial"/>
        </w:rPr>
        <w:t xml:space="preserve"> hodnotě</w:t>
      </w:r>
      <w:r w:rsidR="006846A7" w:rsidRPr="006846A7">
        <w:rPr>
          <w:rFonts w:cs="Arial"/>
        </w:rPr>
        <w:t xml:space="preserve"> bez ohledu na velikost firmy</w:t>
      </w:r>
      <w:r w:rsidRPr="006846A7">
        <w:rPr>
          <w:rFonts w:cs="Arial"/>
        </w:rPr>
        <w:t xml:space="preserve">), následováni zaměstnavateli </w:t>
      </w:r>
      <w:r w:rsidR="00F03E5C">
        <w:rPr>
          <w:rFonts w:cs="Arial"/>
        </w:rPr>
        <w:t>mající do 50 zaměstnanců</w:t>
      </w:r>
      <w:r w:rsidRPr="006846A7">
        <w:rPr>
          <w:rFonts w:cs="Arial"/>
        </w:rPr>
        <w:t xml:space="preserve"> – </w:t>
      </w:r>
      <w:r w:rsidR="006846A7" w:rsidRPr="006846A7">
        <w:rPr>
          <w:rFonts w:cs="Arial"/>
        </w:rPr>
        <w:t>11 143</w:t>
      </w:r>
      <w:r w:rsidRPr="006846A7">
        <w:rPr>
          <w:rFonts w:cs="Arial"/>
        </w:rPr>
        <w:t xml:space="preserve"> případy (24%</w:t>
      </w:r>
      <w:r w:rsidR="008A15C0">
        <w:rPr>
          <w:rFonts w:cs="Arial"/>
        </w:rPr>
        <w:t> </w:t>
      </w:r>
      <w:r w:rsidRPr="006846A7">
        <w:rPr>
          <w:rFonts w:cs="Arial"/>
        </w:rPr>
        <w:t xml:space="preserve">podíl). V případě relativního ukazatele je situace odlišná – nejvíce pracovních úrazů s pracovní neschopnosti delší než 3 dny na 100 tis. pojištěnců </w:t>
      </w:r>
      <w:r w:rsidR="00F03E5C">
        <w:rPr>
          <w:rFonts w:cs="Arial"/>
        </w:rPr>
        <w:t>hlásily podniky</w:t>
      </w:r>
      <w:r w:rsidRPr="006846A7">
        <w:rPr>
          <w:rFonts w:cs="Arial"/>
        </w:rPr>
        <w:t xml:space="preserve"> se 100–249 zaměstnanci (1</w:t>
      </w:r>
      <w:r w:rsidR="008A15C0">
        <w:rPr>
          <w:rFonts w:cs="Arial"/>
        </w:rPr>
        <w:t> </w:t>
      </w:r>
      <w:r w:rsidR="006846A7" w:rsidRPr="006846A7">
        <w:rPr>
          <w:rFonts w:cs="Arial"/>
        </w:rPr>
        <w:t>350</w:t>
      </w:r>
      <w:r w:rsidR="008A15C0">
        <w:rPr>
          <w:rFonts w:cs="Arial"/>
        </w:rPr>
        <w:t> </w:t>
      </w:r>
      <w:r w:rsidRPr="006846A7">
        <w:rPr>
          <w:rFonts w:cs="Arial"/>
        </w:rPr>
        <w:t>případů), nejméně případů pak zaznamenáváme u osob samostatně výdělečně činných (2</w:t>
      </w:r>
      <w:r w:rsidR="006846A7" w:rsidRPr="006846A7">
        <w:rPr>
          <w:rFonts w:cs="Arial"/>
        </w:rPr>
        <w:t>02</w:t>
      </w:r>
      <w:r w:rsidR="008A15C0">
        <w:rPr>
          <w:rFonts w:cs="Arial"/>
        </w:rPr>
        <w:t> </w:t>
      </w:r>
      <w:r w:rsidRPr="006846A7">
        <w:rPr>
          <w:rFonts w:cs="Arial"/>
        </w:rPr>
        <w:t>případů).</w:t>
      </w:r>
    </w:p>
    <w:p w14:paraId="58C55BF1" w14:textId="77777777" w:rsidR="004744DF" w:rsidRDefault="004744DF">
      <w:pPr>
        <w:spacing w:after="0" w:line="240" w:lineRule="auto"/>
        <w:rPr>
          <w:rFonts w:eastAsia="MS Gothic"/>
          <w:b/>
          <w:bCs/>
          <w:color w:val="BC091B"/>
          <w:sz w:val="28"/>
          <w:szCs w:val="26"/>
        </w:rPr>
      </w:pPr>
      <w:r>
        <w:br w:type="page"/>
      </w:r>
    </w:p>
    <w:p w14:paraId="2A68CD12" w14:textId="33FF0090" w:rsidR="00C62BD6" w:rsidRDefault="00C62BD6" w:rsidP="004542FC">
      <w:pPr>
        <w:pStyle w:val="Nadpis2"/>
        <w:spacing w:after="100"/>
      </w:pPr>
      <w:bookmarkStart w:id="25" w:name="_Toc10117319"/>
      <w:r>
        <w:lastRenderedPageBreak/>
        <w:t>4.</w:t>
      </w:r>
      <w:r w:rsidR="00661E61">
        <w:t>6</w:t>
      </w:r>
      <w:r>
        <w:t>. Evropská statistika pracovních úrazů (ESAW)</w:t>
      </w:r>
      <w:bookmarkEnd w:id="25"/>
    </w:p>
    <w:p w14:paraId="25A9DB0E" w14:textId="6F5C4BFB" w:rsidR="004542FC" w:rsidRPr="00793707" w:rsidRDefault="004542FC" w:rsidP="004542FC">
      <w:pPr>
        <w:jc w:val="both"/>
      </w:pPr>
      <w:r w:rsidRPr="00793707">
        <w:rPr>
          <w:rFonts w:cs="Arial"/>
          <w:szCs w:val="20"/>
        </w:rPr>
        <w:t>Evropská statistika pracovních úrazů – systém ESAW – umožňuje sledovat pracovní úrazovost na základě jednotné metodiky, kterou připravil Eurostat. Hlavním cílem je snížit jak výskyt pracovních úrazů, tak dopady s nimi spojené (sociální problémy, ekonomické ztráty). Projekt ESAW přispívá na evropské úrovni svými výsledky významnou měrou k hlavnímu cíli statistiky pracovních úrazů, tj. vytvoření dostatečného objemu údajů o pracovní úrazovosti, na jejichž základě je zvyšována bezpečnost a ochrana zdraví při práci prostřednictvím účinných opatření, která umožňují aktivním způsobem předcházet pracovním úrazům</w:t>
      </w:r>
      <w:r w:rsidR="00793707">
        <w:rPr>
          <w:rFonts w:cs="Arial"/>
          <w:szCs w:val="20"/>
        </w:rPr>
        <w:t>,</w:t>
      </w:r>
      <w:r w:rsidRPr="00793707">
        <w:rPr>
          <w:rFonts w:cs="Arial"/>
          <w:szCs w:val="20"/>
        </w:rPr>
        <w:t xml:space="preserve"> a tak snižovat jejich počet</w:t>
      </w:r>
      <w:r w:rsidRPr="00793707">
        <w:t>.</w:t>
      </w:r>
    </w:p>
    <w:p w14:paraId="00455ECA" w14:textId="77777777" w:rsidR="004542FC" w:rsidRPr="00793707" w:rsidRDefault="004542FC" w:rsidP="004542FC">
      <w:pPr>
        <w:jc w:val="both"/>
        <w:rPr>
          <w:rFonts w:cs="Arial"/>
          <w:szCs w:val="20"/>
        </w:rPr>
      </w:pPr>
      <w:r w:rsidRPr="00793707">
        <w:rPr>
          <w:rFonts w:cs="Arial"/>
          <w:szCs w:val="20"/>
        </w:rPr>
        <w:t xml:space="preserve">Rámcová směrnice 89/391/EHS týkající se opatření pro zlepšení bezpečnosti a ochrany zdraví zaměstnanců při práci zavedla povinnost pro zaměstnavatele vést seznam pracovních úrazů, které měly za následek pracovní neschopnost delší než tři pracovní dny a vypracovávat v souladu s vnitrostátními právními předpisy nebo zvyklostmi zprávy o pracovních úrazech, které utrpěli jeho zaměstnanci. Na tomto základě byl v roce 1990 zahájen projekt evropské statistiky pracovních úrazů s cílem harmonizovat údaje o pracovních úrazech u všech úrazů, které měly za následek více než třídenní pracovní neschopnost. Nařízení Evropského parlamentu a Rady (ES) č. 1338/2008 ze dne 16. prosince 2008 o statistice Společenství v oblasti veřejného zdraví a bezpečnosti a ochrany zdraví při práci stanoví povinnost poskytovat statistiky pracovních úrazů Komisi (Eurostatu). </w:t>
      </w:r>
    </w:p>
    <w:p w14:paraId="00520F6D" w14:textId="464F7BE2" w:rsidR="004542FC" w:rsidRPr="00793707" w:rsidRDefault="004542FC" w:rsidP="004542FC">
      <w:pPr>
        <w:jc w:val="both"/>
        <w:rPr>
          <w:rFonts w:cs="Arial"/>
          <w:szCs w:val="20"/>
        </w:rPr>
      </w:pPr>
      <w:r w:rsidRPr="00793707">
        <w:rPr>
          <w:rFonts w:cs="Arial"/>
          <w:szCs w:val="20"/>
        </w:rPr>
        <w:t xml:space="preserve">V České republice byl rozhodnutím Ministerstva práce a sociálních věcí pověřen Státní úřad inspekce práce zpracováním Zprávy o pracovní úrazovosti v České republice a </w:t>
      </w:r>
      <w:r w:rsidR="00F03E5C">
        <w:rPr>
          <w:rFonts w:cs="Arial"/>
          <w:szCs w:val="20"/>
        </w:rPr>
        <w:t xml:space="preserve">správou </w:t>
      </w:r>
      <w:r w:rsidRPr="00793707">
        <w:rPr>
          <w:rFonts w:cs="Arial"/>
          <w:szCs w:val="20"/>
        </w:rPr>
        <w:t>databáze statistických údajů o</w:t>
      </w:r>
      <w:r w:rsidR="008A15C0">
        <w:rPr>
          <w:rFonts w:cs="Arial"/>
          <w:szCs w:val="20"/>
        </w:rPr>
        <w:t> </w:t>
      </w:r>
      <w:r w:rsidRPr="00793707">
        <w:rPr>
          <w:rFonts w:cs="Arial"/>
          <w:szCs w:val="20"/>
        </w:rPr>
        <w:t>pracovních úrazech ve formátu ESAW k zaslání do Eurostatu. Státní úřad inspekce práce (SÚIP) úzce spolupracuje v této oblasti s Českým báňským úřadem (ČBÚ) a ČSÚ.</w:t>
      </w:r>
    </w:p>
    <w:p w14:paraId="67268A3C" w14:textId="1A0D362D" w:rsidR="004542FC" w:rsidRPr="00502F2A" w:rsidRDefault="004542FC" w:rsidP="004542FC">
      <w:pPr>
        <w:spacing w:after="120"/>
        <w:jc w:val="both"/>
        <w:rPr>
          <w:rFonts w:cs="Arial"/>
          <w:szCs w:val="20"/>
        </w:rPr>
      </w:pPr>
      <w:r w:rsidRPr="00793707">
        <w:rPr>
          <w:rFonts w:cs="Arial"/>
          <w:szCs w:val="20"/>
        </w:rPr>
        <w:t>Statistiky se Eurostatu poskytují každoročně a předkládají se nejpozději 18 měsíců po skončení referenčního roku. Eurostat zveřejňuje na svých stránkách výsledky zpracování dat za členské země EU, a to podle závažnosti pracovního úrazu samostatně za smrtelné pracovní úrazy a za ostatní pracovní úrazy, které mají za následek pracovní neschopnost delší než tři pracovní dny. K dispozici jsou dva základní ukazatele – absolutní ukazatel počtu pracovních úrazů a relativní ukazat</w:t>
      </w:r>
      <w:r w:rsidR="00F03E5C">
        <w:rPr>
          <w:rFonts w:cs="Arial"/>
          <w:szCs w:val="20"/>
        </w:rPr>
        <w:t>el standardizovaná míra výskytu.</w:t>
      </w:r>
      <w:r w:rsidRPr="00793707">
        <w:rPr>
          <w:rFonts w:cs="Arial"/>
          <w:szCs w:val="20"/>
        </w:rPr>
        <w:t xml:space="preserve"> </w:t>
      </w:r>
      <w:r w:rsidR="00F03E5C">
        <w:rPr>
          <w:rFonts w:cs="Arial"/>
          <w:szCs w:val="20"/>
        </w:rPr>
        <w:t>Data jsou</w:t>
      </w:r>
      <w:r w:rsidRPr="00793707">
        <w:rPr>
          <w:rFonts w:cs="Arial"/>
          <w:szCs w:val="20"/>
        </w:rPr>
        <w:t xml:space="preserve"> </w:t>
      </w:r>
      <w:r w:rsidR="00F03E5C">
        <w:rPr>
          <w:rFonts w:cs="Arial"/>
          <w:szCs w:val="20"/>
        </w:rPr>
        <w:t>tříděna</w:t>
      </w:r>
      <w:r w:rsidRPr="00793707">
        <w:rPr>
          <w:rFonts w:cs="Arial"/>
          <w:szCs w:val="20"/>
        </w:rPr>
        <w:t xml:space="preserve"> podle pohlaví, věku, zaměstnání </w:t>
      </w:r>
      <w:r w:rsidR="00584D18">
        <w:rPr>
          <w:rFonts w:cs="Arial"/>
          <w:szCs w:val="20"/>
        </w:rPr>
        <w:t>pojištěnce</w:t>
      </w:r>
      <w:r w:rsidRPr="00793707">
        <w:rPr>
          <w:rFonts w:cs="Arial"/>
          <w:szCs w:val="20"/>
        </w:rPr>
        <w:t>, ekonomické činnosti zaměstnavate</w:t>
      </w:r>
      <w:r w:rsidR="00F03E5C">
        <w:rPr>
          <w:rFonts w:cs="Arial"/>
          <w:szCs w:val="20"/>
        </w:rPr>
        <w:t>le a dalších kritérií</w:t>
      </w:r>
      <w:r w:rsidRPr="00793707">
        <w:rPr>
          <w:rFonts w:cs="Arial"/>
          <w:szCs w:val="20"/>
        </w:rPr>
        <w:t>.</w:t>
      </w:r>
      <w:r w:rsidRPr="00793707">
        <w:rPr>
          <w:rStyle w:val="Znakapoznpodarou"/>
          <w:rFonts w:cs="Arial"/>
          <w:szCs w:val="20"/>
        </w:rPr>
        <w:footnoteReference w:id="11"/>
      </w:r>
      <w:r>
        <w:rPr>
          <w:rFonts w:cs="Arial"/>
          <w:szCs w:val="20"/>
        </w:rPr>
        <w:t xml:space="preserve"> </w:t>
      </w:r>
    </w:p>
    <w:p w14:paraId="6A8737A1" w14:textId="77777777" w:rsidR="004542FC" w:rsidRPr="004542FC" w:rsidRDefault="004542FC" w:rsidP="004542FC"/>
    <w:p w14:paraId="67088467" w14:textId="77777777" w:rsidR="004542FC" w:rsidRPr="00A2036D" w:rsidRDefault="004542FC" w:rsidP="004542FC">
      <w:pPr>
        <w:pStyle w:val="Box1"/>
        <w:jc w:val="both"/>
        <w:rPr>
          <w:i/>
        </w:rPr>
      </w:pPr>
      <w:r>
        <w:rPr>
          <w:b/>
          <w:i/>
        </w:rPr>
        <w:t xml:space="preserve">Míra výskytu (četnost) </w:t>
      </w:r>
      <w:r w:rsidRPr="00C26854">
        <w:rPr>
          <w:i/>
        </w:rPr>
        <w:t>–</w:t>
      </w:r>
      <w:r w:rsidRPr="00F46EA8">
        <w:rPr>
          <w:i/>
        </w:rPr>
        <w:t xml:space="preserve"> </w:t>
      </w:r>
      <w:r>
        <w:rPr>
          <w:i/>
        </w:rPr>
        <w:t>u</w:t>
      </w:r>
      <w:r w:rsidRPr="00A2036D">
        <w:rPr>
          <w:i/>
        </w:rPr>
        <w:t xml:space="preserve">kazatel vyjadřuje počet </w:t>
      </w:r>
      <w:r>
        <w:rPr>
          <w:i/>
        </w:rPr>
        <w:t>pracovních úrazů na 100 000 zaměstnaných osob. Samostatné míry výskytu se počítají u smrtelných pracovních úrazů a pracovních úrazů, které mají za následek pracovní neschopnost delší než tři pracovní dny.</w:t>
      </w:r>
      <w:r w:rsidRPr="00A2036D">
        <w:rPr>
          <w:i/>
        </w:rPr>
        <w:t xml:space="preserve"> </w:t>
      </w:r>
    </w:p>
    <w:p w14:paraId="4CCC5708" w14:textId="77777777" w:rsidR="004542FC" w:rsidRPr="00A2036D" w:rsidRDefault="004542FC" w:rsidP="004542FC">
      <w:pPr>
        <w:pStyle w:val="Box1"/>
        <w:jc w:val="both"/>
        <w:rPr>
          <w:i/>
          <w:u w:val="single"/>
        </w:rPr>
      </w:pPr>
      <w:r w:rsidRPr="00A2036D">
        <w:rPr>
          <w:i/>
          <w:u w:val="single"/>
        </w:rPr>
        <w:t>Způsob výpočtu:</w:t>
      </w:r>
    </w:p>
    <w:p w14:paraId="5633B229" w14:textId="77777777" w:rsidR="004542FC" w:rsidRDefault="004542FC" w:rsidP="004542FC">
      <w:pPr>
        <w:pStyle w:val="Box1"/>
        <w:jc w:val="both"/>
        <w:rPr>
          <w:i/>
        </w:rPr>
      </w:pPr>
      <w:r>
        <w:rPr>
          <w:i/>
        </w:rPr>
        <w:t>Míra výskytu</w:t>
      </w:r>
      <w:r w:rsidRPr="00A2036D">
        <w:rPr>
          <w:i/>
        </w:rPr>
        <w:t xml:space="preserve"> = </w:t>
      </w:r>
      <w:r>
        <w:rPr>
          <w:i/>
        </w:rPr>
        <w:t xml:space="preserve">počet úrazů (smrtelných nebo ostatních) </w:t>
      </w:r>
      <w:r w:rsidRPr="00A2036D">
        <w:rPr>
          <w:i/>
        </w:rPr>
        <w:t xml:space="preserve">/ počet </w:t>
      </w:r>
      <w:r>
        <w:rPr>
          <w:i/>
        </w:rPr>
        <w:t xml:space="preserve">zaměstnaných </w:t>
      </w:r>
      <w:r w:rsidRPr="00A2036D">
        <w:rPr>
          <w:i/>
        </w:rPr>
        <w:t>osob</w:t>
      </w:r>
      <w:r>
        <w:rPr>
          <w:i/>
        </w:rPr>
        <w:t xml:space="preserve"> ve sledované populaci x 100 000.</w:t>
      </w:r>
    </w:p>
    <w:p w14:paraId="1846AA16" w14:textId="77777777" w:rsidR="004542FC" w:rsidRDefault="004542FC" w:rsidP="004542FC">
      <w:pPr>
        <w:pStyle w:val="Box1"/>
        <w:jc w:val="both"/>
        <w:rPr>
          <w:i/>
        </w:rPr>
      </w:pPr>
    </w:p>
    <w:p w14:paraId="69F7C3A3" w14:textId="0423309E" w:rsidR="004542FC" w:rsidRDefault="004542FC" w:rsidP="004542FC">
      <w:pPr>
        <w:pStyle w:val="Box1"/>
        <w:jc w:val="both"/>
        <w:rPr>
          <w:i/>
        </w:rPr>
      </w:pPr>
      <w:r w:rsidRPr="00CB71CA">
        <w:rPr>
          <w:b/>
          <w:i/>
        </w:rPr>
        <w:t>Standardizovaná míra výskytu</w:t>
      </w:r>
      <w:r>
        <w:rPr>
          <w:i/>
        </w:rPr>
        <w:t xml:space="preserve"> – standardizovaný počet pracovních úrazů na</w:t>
      </w:r>
      <w:r w:rsidR="008A15C0">
        <w:rPr>
          <w:i/>
        </w:rPr>
        <w:t> </w:t>
      </w:r>
      <w:r>
        <w:rPr>
          <w:i/>
        </w:rPr>
        <w:t>100</w:t>
      </w:r>
      <w:r w:rsidR="008A15C0">
        <w:rPr>
          <w:i/>
        </w:rPr>
        <w:t> </w:t>
      </w:r>
      <w:r>
        <w:rPr>
          <w:i/>
        </w:rPr>
        <w:t>000</w:t>
      </w:r>
      <w:r w:rsidR="008A15C0">
        <w:rPr>
          <w:i/>
        </w:rPr>
        <w:t> </w:t>
      </w:r>
      <w:r>
        <w:rPr>
          <w:i/>
        </w:rPr>
        <w:t>zaměstnaných osob, spočívající v použití stejné (standardizované) váhy v každém odvětví v každé zemi, jako je celková v rámci EU („standardizovaná“ míra úrazovosti)</w:t>
      </w:r>
      <w:r w:rsidRPr="00A2036D">
        <w:rPr>
          <w:i/>
        </w:rPr>
        <w:t>.</w:t>
      </w:r>
      <w:r>
        <w:rPr>
          <w:i/>
        </w:rPr>
        <w:t xml:space="preserve"> Použití standardizovaného ukazatele řeší problém častějšího výskytu pracovních úrazů v některých zaměstnáních v závislosti na vyšším podílu vysoce rizikových odvětví v průmyslové struktuře země.</w:t>
      </w:r>
    </w:p>
    <w:p w14:paraId="1224FD3C" w14:textId="74FDE5D3" w:rsidR="004542FC" w:rsidRPr="00512226" w:rsidRDefault="004542FC" w:rsidP="004542FC">
      <w:pPr>
        <w:jc w:val="both"/>
      </w:pPr>
      <w:r w:rsidRPr="00512226">
        <w:t xml:space="preserve">Pro mezinárodní srovnání za členské státy EU byl v této publikaci použit relativní ukazatel – standardizovaná míra výskytu pracovních úrazů na 100 tis. zaměstnaných osob, který je pro srovnání zemí různé velikosti </w:t>
      </w:r>
      <w:r w:rsidRPr="00512226">
        <w:lastRenderedPageBreak/>
        <w:t xml:space="preserve">vhodnějším ukazatelem než ukazatel absolutní. </w:t>
      </w:r>
      <w:r w:rsidR="00F03E5C">
        <w:t xml:space="preserve">Navíc ošetřuje problém </w:t>
      </w:r>
      <w:r w:rsidR="00584D18">
        <w:t>rozdílné</w:t>
      </w:r>
      <w:r w:rsidR="00F03E5C">
        <w:t xml:space="preserve"> odvětvové struktury v jednotlivých zemích. </w:t>
      </w:r>
      <w:r w:rsidRPr="00512226">
        <w:t>Pro zachycení vývoje míry úrazovosti v jednotlivých členských zemích EU byly použity údaje za roky 201</w:t>
      </w:r>
      <w:r w:rsidR="00512226" w:rsidRPr="00512226">
        <w:t>2</w:t>
      </w:r>
      <w:r w:rsidRPr="00512226">
        <w:t>–</w:t>
      </w:r>
      <w:r w:rsidR="00512226" w:rsidRPr="00512226">
        <w:t>2016</w:t>
      </w:r>
      <w:r w:rsidRPr="00512226">
        <w:t xml:space="preserve">. </w:t>
      </w:r>
    </w:p>
    <w:p w14:paraId="3013ACB5" w14:textId="77777777" w:rsidR="004542FC" w:rsidRPr="00512226" w:rsidRDefault="004542FC" w:rsidP="004542FC">
      <w:pPr>
        <w:jc w:val="both"/>
      </w:pPr>
      <w:r w:rsidRPr="00512226">
        <w:t>Je nutné však upozornit na skutečnost, že vnitrostátní legislativa nebo zvyklosti v oblasti pracovní úrazovosti se mohou v jednotlivých zemích poměrně značně lišit, a tak i data předávaná do Eurostatu, i přes veškerou snahu statistiků o harmonizaci a standardizaci, nemusí být zcela srovnatelná.</w:t>
      </w:r>
    </w:p>
    <w:p w14:paraId="7DD56149" w14:textId="68547B09" w:rsidR="004542FC" w:rsidRDefault="004542FC" w:rsidP="004542FC">
      <w:pPr>
        <w:jc w:val="both"/>
      </w:pPr>
      <w:r w:rsidRPr="00E755F0">
        <w:t xml:space="preserve">Co se týče pracovních úrazů, které si vyžádaly pracovní neschopnost delší než 3 pracovní dny, se Česká republika s hodnotou </w:t>
      </w:r>
      <w:r w:rsidR="00F03E5C">
        <w:t>922</w:t>
      </w:r>
      <w:r w:rsidRPr="00E755F0">
        <w:t xml:space="preserve"> pracovních úrazů na 100 ti</w:t>
      </w:r>
      <w:r w:rsidR="00E755F0" w:rsidRPr="00E755F0">
        <w:t>s. zaměstnaných osob v roce 2016</w:t>
      </w:r>
      <w:r w:rsidRPr="00E755F0">
        <w:t xml:space="preserve"> řadila na 1</w:t>
      </w:r>
      <w:r w:rsidR="00E755F0" w:rsidRPr="00E755F0">
        <w:t>6</w:t>
      </w:r>
      <w:r w:rsidRPr="00E755F0">
        <w:t xml:space="preserve">. místo v rámci EU28. </w:t>
      </w:r>
      <w:r w:rsidR="00E755F0" w:rsidRPr="00E755F0">
        <w:t>Podobné</w:t>
      </w:r>
      <w:r w:rsidRPr="00E755F0">
        <w:t xml:space="preserve"> hodnoty dosáhl</w:t>
      </w:r>
      <w:r w:rsidR="00E755F0" w:rsidRPr="00E755F0">
        <w:t>o</w:t>
      </w:r>
      <w:r w:rsidRPr="00E755F0">
        <w:t xml:space="preserve"> </w:t>
      </w:r>
      <w:r w:rsidR="00E755F0" w:rsidRPr="00E755F0">
        <w:t xml:space="preserve">Chorvatsko a </w:t>
      </w:r>
      <w:r w:rsidRPr="00E755F0">
        <w:t>Velká Británie. Nejvyšší míra pracovní úrazovosti byla podle Eurostatu v Portugalsku, Francii a ve Španělsku (více než 3 tis. pracovních úrazů na</w:t>
      </w:r>
      <w:r w:rsidR="008A15C0">
        <w:t> </w:t>
      </w:r>
      <w:r w:rsidRPr="00E755F0">
        <w:t>100</w:t>
      </w:r>
      <w:r w:rsidR="008A15C0">
        <w:t> </w:t>
      </w:r>
      <w:r w:rsidRPr="00E755F0">
        <w:t>tis.</w:t>
      </w:r>
      <w:r w:rsidR="008A15C0">
        <w:t> </w:t>
      </w:r>
      <w:r w:rsidRPr="00E755F0">
        <w:t xml:space="preserve">zaměstnaných osob), okolo hranice 2 tis. pracovních úrazů se pohybovalo </w:t>
      </w:r>
      <w:r w:rsidR="00E755F0" w:rsidRPr="00E755F0">
        <w:t>Rakousko, Německo a</w:t>
      </w:r>
      <w:r w:rsidR="008A15C0">
        <w:t> </w:t>
      </w:r>
      <w:r w:rsidR="00E755F0" w:rsidRPr="00E755F0">
        <w:t>Belgie</w:t>
      </w:r>
      <w:r w:rsidRPr="00E755F0">
        <w:t>. Nejnižší míra pracovní úrazovosti (pod hranicí 500 pracovních úrazů) byla v roce 201</w:t>
      </w:r>
      <w:r w:rsidR="00E755F0" w:rsidRPr="00E755F0">
        <w:t>6</w:t>
      </w:r>
      <w:r w:rsidRPr="00E755F0">
        <w:t xml:space="preserve"> vykazována v Bulharsku, Rumunsku, Řecku, Lotyšsku a Litvě.</w:t>
      </w:r>
    </w:p>
    <w:p w14:paraId="0EF790D8" w14:textId="5D4A31E7" w:rsidR="00CA58EE" w:rsidRPr="00CA58EE" w:rsidRDefault="00CA58EE" w:rsidP="00CA58EE">
      <w:pPr>
        <w:pStyle w:val="Titulek"/>
        <w:keepNext/>
        <w:jc w:val="both"/>
        <w:rPr>
          <w:b/>
          <w:i w:val="0"/>
          <w:color w:val="auto"/>
          <w:sz w:val="20"/>
        </w:rPr>
      </w:pPr>
      <w:r w:rsidRPr="00CA58EE">
        <w:rPr>
          <w:b/>
          <w:i w:val="0"/>
          <w:color w:val="auto"/>
          <w:sz w:val="20"/>
        </w:rPr>
        <w:t xml:space="preserve">Graf </w:t>
      </w:r>
      <w:r w:rsidRPr="00CA58EE">
        <w:rPr>
          <w:b/>
          <w:i w:val="0"/>
          <w:color w:val="auto"/>
          <w:sz w:val="20"/>
        </w:rPr>
        <w:fldChar w:fldCharType="begin"/>
      </w:r>
      <w:r w:rsidRPr="00CA58EE">
        <w:rPr>
          <w:b/>
          <w:i w:val="0"/>
          <w:color w:val="auto"/>
          <w:sz w:val="20"/>
        </w:rPr>
        <w:instrText xml:space="preserve"> SEQ Graf \* ARABIC </w:instrText>
      </w:r>
      <w:r w:rsidRPr="00CA58EE">
        <w:rPr>
          <w:b/>
          <w:i w:val="0"/>
          <w:color w:val="auto"/>
          <w:sz w:val="20"/>
        </w:rPr>
        <w:fldChar w:fldCharType="separate"/>
      </w:r>
      <w:r w:rsidR="004426F5">
        <w:rPr>
          <w:b/>
          <w:i w:val="0"/>
          <w:noProof/>
          <w:color w:val="auto"/>
          <w:sz w:val="20"/>
        </w:rPr>
        <w:t>6</w:t>
      </w:r>
      <w:r w:rsidRPr="00CA58EE">
        <w:rPr>
          <w:b/>
          <w:i w:val="0"/>
          <w:color w:val="auto"/>
          <w:sz w:val="20"/>
        </w:rPr>
        <w:fldChar w:fldCharType="end"/>
      </w:r>
      <w:r w:rsidR="00162BC5">
        <w:rPr>
          <w:b/>
          <w:i w:val="0"/>
          <w:color w:val="auto"/>
          <w:sz w:val="20"/>
        </w:rPr>
        <w:t>.</w:t>
      </w:r>
      <w:r w:rsidRPr="00CA58EE">
        <w:rPr>
          <w:b/>
          <w:i w:val="0"/>
          <w:color w:val="auto"/>
          <w:sz w:val="20"/>
        </w:rPr>
        <w:t>1: Pracovní úrazy s pracovní neschopností delší než</w:t>
      </w:r>
      <w:r>
        <w:rPr>
          <w:b/>
          <w:i w:val="0"/>
          <w:color w:val="auto"/>
          <w:sz w:val="20"/>
        </w:rPr>
        <w:t xml:space="preserve"> 3 pracovní dny v</w:t>
      </w:r>
      <w:r w:rsidR="0067117F">
        <w:rPr>
          <w:b/>
          <w:i w:val="0"/>
          <w:color w:val="auto"/>
          <w:sz w:val="20"/>
        </w:rPr>
        <w:t xml:space="preserve"> zemích </w:t>
      </w:r>
      <w:r>
        <w:rPr>
          <w:b/>
          <w:i w:val="0"/>
          <w:color w:val="auto"/>
          <w:sz w:val="20"/>
        </w:rPr>
        <w:t>EU v roce 2016</w:t>
      </w:r>
      <w:r w:rsidRPr="00CA58EE">
        <w:rPr>
          <w:b/>
          <w:i w:val="0"/>
          <w:color w:val="auto"/>
          <w:sz w:val="20"/>
        </w:rPr>
        <w:t xml:space="preserve"> (standardizovaná míra výskytu)</w:t>
      </w:r>
    </w:p>
    <w:p w14:paraId="51DDD25E" w14:textId="763B5D0D" w:rsidR="00A37A9C" w:rsidRPr="00893D9C" w:rsidRDefault="00C062EB" w:rsidP="004542FC">
      <w:pPr>
        <w:jc w:val="both"/>
      </w:pPr>
      <w:r>
        <w:rPr>
          <w:noProof/>
        </w:rPr>
        <w:drawing>
          <wp:inline distT="0" distB="0" distL="0" distR="0" wp14:anchorId="5E6DA811" wp14:editId="6334809B">
            <wp:extent cx="6115050" cy="4657725"/>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23BDD8B" w14:textId="77777777" w:rsidR="00CA58EE" w:rsidRPr="00CA58EE" w:rsidRDefault="00CA58EE" w:rsidP="00C62BD6">
      <w:pPr>
        <w:rPr>
          <w:sz w:val="16"/>
        </w:rPr>
      </w:pPr>
      <w:r w:rsidRPr="00CA58EE">
        <w:rPr>
          <w:sz w:val="16"/>
        </w:rPr>
        <w:t>Zdroj: Eurostat (ESAW)</w:t>
      </w:r>
    </w:p>
    <w:p w14:paraId="6AB08E5B" w14:textId="2CDDD1BA" w:rsidR="00CA58EE" w:rsidRDefault="00CA58EE" w:rsidP="00CA58EE">
      <w:pPr>
        <w:jc w:val="both"/>
      </w:pPr>
      <w:r w:rsidRPr="001A09FF">
        <w:t xml:space="preserve">Vývoj pracovní úrazovosti v posledních pěti letech je v jednotlivých </w:t>
      </w:r>
      <w:r w:rsidR="001A09FF" w:rsidRPr="001A09FF">
        <w:t>zemích EU různý (viz tab. 6.1). Největší pokles (</w:t>
      </w:r>
      <w:r w:rsidR="00F03E5C">
        <w:t xml:space="preserve">o </w:t>
      </w:r>
      <w:r w:rsidR="001A09FF" w:rsidRPr="001A09FF">
        <w:t>51</w:t>
      </w:r>
      <w:r w:rsidR="00584D18">
        <w:t xml:space="preserve"> </w:t>
      </w:r>
      <w:r w:rsidR="001A09FF" w:rsidRPr="001A09FF">
        <w:t>%) zaznamenalo Nizozemsko, kde v roce 2012 připadalo na 100 000 zaměstnaných osob 2 663 pracovních úrazů obnášející pracovní neschopnost delší než 3 dny. V roce 2016 hodnota poklesla na</w:t>
      </w:r>
      <w:r w:rsidR="008A15C0">
        <w:t> </w:t>
      </w:r>
      <w:r w:rsidR="00584D18">
        <w:t>polovinu (</w:t>
      </w:r>
      <w:r w:rsidR="001A09FF" w:rsidRPr="001A09FF">
        <w:t>1 304 úrazů</w:t>
      </w:r>
      <w:r w:rsidR="00584D18">
        <w:t>)</w:t>
      </w:r>
      <w:r w:rsidR="001A09FF" w:rsidRPr="001A09FF">
        <w:t xml:space="preserve">. Obdobně na tom bylo Řecko, kde došlo k poklesu ze 460 na 229 pracovních úrazů. Naopak </w:t>
      </w:r>
      <w:r w:rsidR="001A09FF" w:rsidRPr="001A09FF">
        <w:lastRenderedPageBreak/>
        <w:t xml:space="preserve">největší nárůst byl patrný </w:t>
      </w:r>
      <w:r w:rsidR="00C062EB">
        <w:t>na Slove</w:t>
      </w:r>
      <w:r w:rsidR="001A09FF" w:rsidRPr="001A09FF">
        <w:t>nsku (o 26,6 %) ze 421 případů na 533 pracovních úrazů. V</w:t>
      </w:r>
      <w:r w:rsidR="008A15C0">
        <w:t> </w:t>
      </w:r>
      <w:r w:rsidR="001A09FF" w:rsidRPr="001A09FF">
        <w:t xml:space="preserve">České republice se za 5leté období situace příliš nezměnila, oproti roku 2012 bylo v roce 2016 o 2,1 % závažných pracovních úrazů </w:t>
      </w:r>
      <w:r w:rsidR="00F03E5C">
        <w:t xml:space="preserve">– vyžadujících neschopenku delší než 3 dny – </w:t>
      </w:r>
      <w:r w:rsidR="001A09FF" w:rsidRPr="001A09FF">
        <w:t>méně.</w:t>
      </w:r>
    </w:p>
    <w:p w14:paraId="28D78733" w14:textId="06AF90C1" w:rsidR="0067117F" w:rsidRPr="0067117F" w:rsidRDefault="0067117F" w:rsidP="0067117F">
      <w:pPr>
        <w:pStyle w:val="Titulek"/>
        <w:keepNext/>
        <w:rPr>
          <w:b/>
          <w:i w:val="0"/>
          <w:color w:val="auto"/>
          <w:sz w:val="20"/>
        </w:rPr>
      </w:pPr>
      <w:bookmarkStart w:id="26" w:name="_Toc10112631"/>
      <w:r w:rsidRPr="0067117F">
        <w:rPr>
          <w:b/>
          <w:i w:val="0"/>
          <w:color w:val="auto"/>
          <w:sz w:val="20"/>
        </w:rPr>
        <w:t>Tab</w:t>
      </w:r>
      <w:r w:rsidR="00F03E5C">
        <w:rPr>
          <w:b/>
          <w:i w:val="0"/>
          <w:color w:val="auto"/>
          <w:sz w:val="20"/>
        </w:rPr>
        <w:t>.</w:t>
      </w:r>
      <w:r w:rsidRPr="0067117F">
        <w:rPr>
          <w:b/>
          <w:i w:val="0"/>
          <w:color w:val="auto"/>
          <w:sz w:val="20"/>
        </w:rPr>
        <w:t xml:space="preserve"> 6.</w:t>
      </w:r>
      <w:r w:rsidR="00F547BE">
        <w:rPr>
          <w:b/>
          <w:i w:val="0"/>
          <w:color w:val="auto"/>
          <w:sz w:val="20"/>
        </w:rPr>
        <w:t>1</w:t>
      </w:r>
      <w:r w:rsidRPr="0067117F">
        <w:rPr>
          <w:b/>
          <w:i w:val="0"/>
          <w:color w:val="auto"/>
          <w:sz w:val="20"/>
        </w:rPr>
        <w:t>: Pracovní úrazy s pracovní neschopností delší než 3 pracovní dny v zemích EU v letech 2012–2016</w:t>
      </w:r>
      <w:bookmarkEnd w:id="26"/>
    </w:p>
    <w:tbl>
      <w:tblPr>
        <w:tblW w:w="8400" w:type="dxa"/>
        <w:tblInd w:w="70" w:type="dxa"/>
        <w:tblCellMar>
          <w:left w:w="70" w:type="dxa"/>
          <w:right w:w="70" w:type="dxa"/>
        </w:tblCellMar>
        <w:tblLook w:val="04A0" w:firstRow="1" w:lastRow="0" w:firstColumn="1" w:lastColumn="0" w:noHBand="0" w:noVBand="1"/>
      </w:tblPr>
      <w:tblGrid>
        <w:gridCol w:w="1699"/>
        <w:gridCol w:w="1349"/>
        <w:gridCol w:w="1338"/>
        <w:gridCol w:w="1338"/>
        <w:gridCol w:w="1338"/>
        <w:gridCol w:w="1338"/>
      </w:tblGrid>
      <w:tr w:rsidR="0067117F" w:rsidRPr="0067117F" w14:paraId="728B40A1" w14:textId="77777777" w:rsidTr="0067117F">
        <w:trPr>
          <w:trHeight w:val="525"/>
        </w:trPr>
        <w:tc>
          <w:tcPr>
            <w:tcW w:w="1699" w:type="dxa"/>
            <w:vMerge w:val="restart"/>
            <w:tcBorders>
              <w:top w:val="nil"/>
              <w:left w:val="nil"/>
              <w:bottom w:val="single" w:sz="8" w:space="0" w:color="000000"/>
              <w:right w:val="single" w:sz="4" w:space="0" w:color="auto"/>
            </w:tcBorders>
            <w:shd w:val="clear" w:color="000000" w:fill="F5DADD"/>
            <w:vAlign w:val="center"/>
            <w:hideMark/>
          </w:tcPr>
          <w:p w14:paraId="03FE8AB7" w14:textId="77777777" w:rsidR="0067117F" w:rsidRPr="0067117F" w:rsidRDefault="0067117F" w:rsidP="0067117F">
            <w:pPr>
              <w:spacing w:after="0" w:line="240" w:lineRule="auto"/>
              <w:jc w:val="center"/>
              <w:rPr>
                <w:rFonts w:cs="Arial"/>
                <w:sz w:val="16"/>
                <w:szCs w:val="16"/>
              </w:rPr>
            </w:pPr>
            <w:r w:rsidRPr="0067117F">
              <w:rPr>
                <w:rFonts w:cs="Arial"/>
                <w:sz w:val="16"/>
                <w:szCs w:val="16"/>
              </w:rPr>
              <w:t>Členské státy EU</w:t>
            </w:r>
          </w:p>
        </w:tc>
        <w:tc>
          <w:tcPr>
            <w:tcW w:w="6701" w:type="dxa"/>
            <w:gridSpan w:val="5"/>
            <w:tcBorders>
              <w:top w:val="nil"/>
              <w:left w:val="nil"/>
              <w:bottom w:val="single" w:sz="4" w:space="0" w:color="auto"/>
              <w:right w:val="nil"/>
            </w:tcBorders>
            <w:shd w:val="clear" w:color="000000" w:fill="F5DADD"/>
            <w:vAlign w:val="center"/>
            <w:hideMark/>
          </w:tcPr>
          <w:p w14:paraId="571C44E1" w14:textId="77777777" w:rsidR="0067117F" w:rsidRPr="0067117F" w:rsidRDefault="0067117F" w:rsidP="0067117F">
            <w:pPr>
              <w:spacing w:after="0" w:line="240" w:lineRule="auto"/>
              <w:jc w:val="center"/>
              <w:rPr>
                <w:rFonts w:cs="Arial"/>
                <w:sz w:val="16"/>
                <w:szCs w:val="16"/>
              </w:rPr>
            </w:pPr>
            <w:r w:rsidRPr="0067117F">
              <w:rPr>
                <w:rFonts w:cs="Arial"/>
                <w:b/>
                <w:sz w:val="16"/>
                <w:szCs w:val="16"/>
              </w:rPr>
              <w:t>Pracovní úrazy</w:t>
            </w:r>
            <w:r w:rsidRPr="0067117F">
              <w:rPr>
                <w:rFonts w:cs="Arial"/>
                <w:sz w:val="16"/>
                <w:szCs w:val="16"/>
              </w:rPr>
              <w:t xml:space="preserve"> s pracovní neschopností delší než 3 pracovní dny</w:t>
            </w:r>
            <w:r w:rsidRPr="0067117F">
              <w:rPr>
                <w:rFonts w:cs="Arial"/>
                <w:sz w:val="16"/>
                <w:szCs w:val="16"/>
              </w:rPr>
              <w:br/>
              <w:t>(standardizovaná míra výskytu na 100 000 zaměstnaných osob)</w:t>
            </w:r>
          </w:p>
        </w:tc>
      </w:tr>
      <w:tr w:rsidR="0067117F" w:rsidRPr="0067117F" w14:paraId="64639A06" w14:textId="77777777" w:rsidTr="0067117F">
        <w:trPr>
          <w:trHeight w:val="315"/>
        </w:trPr>
        <w:tc>
          <w:tcPr>
            <w:tcW w:w="1699" w:type="dxa"/>
            <w:vMerge/>
            <w:tcBorders>
              <w:top w:val="nil"/>
              <w:left w:val="nil"/>
              <w:bottom w:val="single" w:sz="8" w:space="0" w:color="000000"/>
              <w:right w:val="single" w:sz="4" w:space="0" w:color="auto"/>
            </w:tcBorders>
            <w:vAlign w:val="center"/>
            <w:hideMark/>
          </w:tcPr>
          <w:p w14:paraId="633B58F9" w14:textId="77777777" w:rsidR="0067117F" w:rsidRPr="0067117F" w:rsidRDefault="0067117F" w:rsidP="0067117F">
            <w:pPr>
              <w:spacing w:after="0" w:line="240" w:lineRule="auto"/>
              <w:rPr>
                <w:rFonts w:cs="Arial"/>
                <w:sz w:val="16"/>
                <w:szCs w:val="16"/>
              </w:rPr>
            </w:pPr>
          </w:p>
        </w:tc>
        <w:tc>
          <w:tcPr>
            <w:tcW w:w="1349" w:type="dxa"/>
            <w:tcBorders>
              <w:top w:val="nil"/>
              <w:left w:val="nil"/>
              <w:bottom w:val="single" w:sz="8" w:space="0" w:color="auto"/>
              <w:right w:val="nil"/>
            </w:tcBorders>
            <w:shd w:val="clear" w:color="000000" w:fill="F5DADD"/>
            <w:noWrap/>
            <w:vAlign w:val="center"/>
            <w:hideMark/>
          </w:tcPr>
          <w:p w14:paraId="76D1254A" w14:textId="77777777" w:rsidR="0067117F" w:rsidRPr="0067117F" w:rsidRDefault="0067117F" w:rsidP="0067117F">
            <w:pPr>
              <w:spacing w:after="0" w:line="240" w:lineRule="auto"/>
              <w:jc w:val="center"/>
              <w:rPr>
                <w:rFonts w:cs="Arial"/>
                <w:sz w:val="16"/>
                <w:szCs w:val="16"/>
              </w:rPr>
            </w:pPr>
            <w:r w:rsidRPr="0067117F">
              <w:rPr>
                <w:rFonts w:cs="Arial"/>
                <w:sz w:val="16"/>
                <w:szCs w:val="16"/>
              </w:rPr>
              <w:t>2012</w:t>
            </w:r>
          </w:p>
        </w:tc>
        <w:tc>
          <w:tcPr>
            <w:tcW w:w="1338" w:type="dxa"/>
            <w:tcBorders>
              <w:top w:val="nil"/>
              <w:left w:val="nil"/>
              <w:bottom w:val="single" w:sz="8" w:space="0" w:color="auto"/>
              <w:right w:val="nil"/>
            </w:tcBorders>
            <w:shd w:val="clear" w:color="000000" w:fill="F5DADD"/>
            <w:noWrap/>
            <w:vAlign w:val="center"/>
            <w:hideMark/>
          </w:tcPr>
          <w:p w14:paraId="50908A1C" w14:textId="77777777" w:rsidR="0067117F" w:rsidRPr="0067117F" w:rsidRDefault="0067117F" w:rsidP="0067117F">
            <w:pPr>
              <w:spacing w:after="0" w:line="240" w:lineRule="auto"/>
              <w:jc w:val="center"/>
              <w:rPr>
                <w:rFonts w:cs="Arial"/>
                <w:sz w:val="16"/>
                <w:szCs w:val="16"/>
              </w:rPr>
            </w:pPr>
            <w:r w:rsidRPr="0067117F">
              <w:rPr>
                <w:rFonts w:cs="Arial"/>
                <w:sz w:val="16"/>
                <w:szCs w:val="16"/>
              </w:rPr>
              <w:t>2013</w:t>
            </w:r>
          </w:p>
        </w:tc>
        <w:tc>
          <w:tcPr>
            <w:tcW w:w="1338" w:type="dxa"/>
            <w:tcBorders>
              <w:top w:val="nil"/>
              <w:left w:val="nil"/>
              <w:bottom w:val="single" w:sz="8" w:space="0" w:color="auto"/>
              <w:right w:val="nil"/>
            </w:tcBorders>
            <w:shd w:val="clear" w:color="000000" w:fill="F5DADD"/>
            <w:noWrap/>
            <w:vAlign w:val="center"/>
            <w:hideMark/>
          </w:tcPr>
          <w:p w14:paraId="540F2252" w14:textId="77777777" w:rsidR="0067117F" w:rsidRPr="0067117F" w:rsidRDefault="0067117F" w:rsidP="0067117F">
            <w:pPr>
              <w:spacing w:after="0" w:line="240" w:lineRule="auto"/>
              <w:jc w:val="center"/>
              <w:rPr>
                <w:rFonts w:cs="Arial"/>
                <w:sz w:val="16"/>
                <w:szCs w:val="16"/>
              </w:rPr>
            </w:pPr>
            <w:r w:rsidRPr="0067117F">
              <w:rPr>
                <w:rFonts w:cs="Arial"/>
                <w:sz w:val="16"/>
                <w:szCs w:val="16"/>
              </w:rPr>
              <w:t>2014</w:t>
            </w:r>
          </w:p>
        </w:tc>
        <w:tc>
          <w:tcPr>
            <w:tcW w:w="1338" w:type="dxa"/>
            <w:tcBorders>
              <w:top w:val="nil"/>
              <w:left w:val="nil"/>
              <w:bottom w:val="single" w:sz="8" w:space="0" w:color="auto"/>
              <w:right w:val="nil"/>
            </w:tcBorders>
            <w:shd w:val="clear" w:color="000000" w:fill="F5DADD"/>
            <w:noWrap/>
            <w:vAlign w:val="center"/>
            <w:hideMark/>
          </w:tcPr>
          <w:p w14:paraId="63A48EEF" w14:textId="77777777" w:rsidR="0067117F" w:rsidRPr="0067117F" w:rsidRDefault="0067117F" w:rsidP="0067117F">
            <w:pPr>
              <w:spacing w:after="0" w:line="240" w:lineRule="auto"/>
              <w:jc w:val="center"/>
              <w:rPr>
                <w:rFonts w:cs="Arial"/>
                <w:sz w:val="16"/>
                <w:szCs w:val="16"/>
              </w:rPr>
            </w:pPr>
            <w:r w:rsidRPr="0067117F">
              <w:rPr>
                <w:rFonts w:cs="Arial"/>
                <w:sz w:val="16"/>
                <w:szCs w:val="16"/>
              </w:rPr>
              <w:t>2015</w:t>
            </w:r>
          </w:p>
        </w:tc>
        <w:tc>
          <w:tcPr>
            <w:tcW w:w="1338" w:type="dxa"/>
            <w:tcBorders>
              <w:top w:val="nil"/>
              <w:left w:val="nil"/>
              <w:bottom w:val="single" w:sz="8" w:space="0" w:color="auto"/>
              <w:right w:val="nil"/>
            </w:tcBorders>
            <w:shd w:val="clear" w:color="000000" w:fill="F5DADD"/>
            <w:noWrap/>
            <w:vAlign w:val="center"/>
            <w:hideMark/>
          </w:tcPr>
          <w:p w14:paraId="3B0C5D49" w14:textId="77777777" w:rsidR="0067117F" w:rsidRPr="0067117F" w:rsidRDefault="0067117F" w:rsidP="0067117F">
            <w:pPr>
              <w:spacing w:after="0" w:line="240" w:lineRule="auto"/>
              <w:jc w:val="center"/>
              <w:rPr>
                <w:rFonts w:cs="Arial"/>
                <w:sz w:val="16"/>
                <w:szCs w:val="16"/>
              </w:rPr>
            </w:pPr>
            <w:r w:rsidRPr="0067117F">
              <w:rPr>
                <w:rFonts w:cs="Arial"/>
                <w:sz w:val="16"/>
                <w:szCs w:val="16"/>
              </w:rPr>
              <w:t>2016</w:t>
            </w:r>
          </w:p>
        </w:tc>
      </w:tr>
      <w:tr w:rsidR="00C156AC" w:rsidRPr="0067117F" w14:paraId="54C10242" w14:textId="77777777" w:rsidTr="00C156AC">
        <w:trPr>
          <w:trHeight w:val="300"/>
        </w:trPr>
        <w:tc>
          <w:tcPr>
            <w:tcW w:w="1699" w:type="dxa"/>
            <w:tcBorders>
              <w:top w:val="nil"/>
              <w:left w:val="nil"/>
              <w:bottom w:val="nil"/>
              <w:right w:val="single" w:sz="4" w:space="0" w:color="auto"/>
            </w:tcBorders>
            <w:shd w:val="clear" w:color="auto" w:fill="auto"/>
            <w:noWrap/>
            <w:vAlign w:val="bottom"/>
            <w:hideMark/>
          </w:tcPr>
          <w:p w14:paraId="5C18D695" w14:textId="77777777" w:rsidR="00C156AC" w:rsidRPr="0067117F" w:rsidRDefault="00C156AC" w:rsidP="00C156AC">
            <w:pPr>
              <w:spacing w:after="0" w:line="240" w:lineRule="auto"/>
              <w:rPr>
                <w:rFonts w:ascii="Arial CE" w:hAnsi="Arial CE" w:cs="Arial CE"/>
                <w:b/>
                <w:bCs/>
                <w:sz w:val="16"/>
                <w:szCs w:val="16"/>
              </w:rPr>
            </w:pPr>
            <w:r w:rsidRPr="0067117F">
              <w:rPr>
                <w:rFonts w:ascii="Arial CE" w:hAnsi="Arial CE" w:cs="Arial CE"/>
                <w:b/>
                <w:bCs/>
                <w:sz w:val="16"/>
                <w:szCs w:val="16"/>
              </w:rPr>
              <w:t>EU28</w:t>
            </w:r>
          </w:p>
        </w:tc>
        <w:tc>
          <w:tcPr>
            <w:tcW w:w="1349" w:type="dxa"/>
            <w:tcBorders>
              <w:top w:val="nil"/>
              <w:left w:val="nil"/>
              <w:bottom w:val="nil"/>
              <w:right w:val="nil"/>
            </w:tcBorders>
            <w:shd w:val="clear" w:color="auto" w:fill="auto"/>
            <w:noWrap/>
            <w:vAlign w:val="bottom"/>
            <w:hideMark/>
          </w:tcPr>
          <w:p w14:paraId="3FECFC61" w14:textId="33D0545B" w:rsidR="00C156AC" w:rsidRPr="0067117F" w:rsidRDefault="00C156AC" w:rsidP="00C156AC">
            <w:pPr>
              <w:spacing w:after="0" w:line="240" w:lineRule="auto"/>
              <w:jc w:val="right"/>
              <w:rPr>
                <w:rFonts w:cs="Arial"/>
                <w:b/>
                <w:bCs/>
                <w:sz w:val="16"/>
                <w:szCs w:val="16"/>
              </w:rPr>
            </w:pPr>
            <w:r>
              <w:rPr>
                <w:rFonts w:cs="Arial"/>
                <w:b/>
                <w:bCs/>
                <w:sz w:val="16"/>
                <w:szCs w:val="16"/>
              </w:rPr>
              <w:t>1 717,2</w:t>
            </w:r>
          </w:p>
        </w:tc>
        <w:tc>
          <w:tcPr>
            <w:tcW w:w="1338" w:type="dxa"/>
            <w:tcBorders>
              <w:top w:val="nil"/>
              <w:left w:val="nil"/>
              <w:bottom w:val="nil"/>
              <w:right w:val="nil"/>
            </w:tcBorders>
            <w:shd w:val="clear" w:color="auto" w:fill="D9D9D9" w:themeFill="background1" w:themeFillShade="D9"/>
            <w:noWrap/>
            <w:vAlign w:val="bottom"/>
            <w:hideMark/>
          </w:tcPr>
          <w:p w14:paraId="019ADE73" w14:textId="05EEC363" w:rsidR="00C156AC" w:rsidRPr="0067117F" w:rsidRDefault="00C156AC" w:rsidP="00C156AC">
            <w:pPr>
              <w:spacing w:after="0" w:line="240" w:lineRule="auto"/>
              <w:jc w:val="right"/>
              <w:rPr>
                <w:rFonts w:cs="Arial"/>
                <w:b/>
                <w:bCs/>
                <w:sz w:val="16"/>
                <w:szCs w:val="16"/>
              </w:rPr>
            </w:pPr>
            <w:r>
              <w:rPr>
                <w:rFonts w:cs="Arial"/>
                <w:b/>
                <w:bCs/>
                <w:sz w:val="16"/>
                <w:szCs w:val="16"/>
              </w:rPr>
              <w:t>1</w:t>
            </w:r>
            <w:r w:rsidR="00C062EB">
              <w:rPr>
                <w:rFonts w:cs="Arial"/>
                <w:b/>
                <w:bCs/>
                <w:sz w:val="16"/>
                <w:szCs w:val="16"/>
              </w:rPr>
              <w:t xml:space="preserve"> </w:t>
            </w:r>
            <w:r>
              <w:rPr>
                <w:rFonts w:cs="Arial"/>
                <w:b/>
                <w:bCs/>
                <w:sz w:val="16"/>
                <w:szCs w:val="16"/>
              </w:rPr>
              <w:t>696,0</w:t>
            </w:r>
          </w:p>
        </w:tc>
        <w:tc>
          <w:tcPr>
            <w:tcW w:w="1338" w:type="dxa"/>
            <w:tcBorders>
              <w:top w:val="nil"/>
              <w:left w:val="nil"/>
              <w:bottom w:val="nil"/>
              <w:right w:val="nil"/>
            </w:tcBorders>
            <w:shd w:val="clear" w:color="auto" w:fill="auto"/>
            <w:noWrap/>
            <w:vAlign w:val="bottom"/>
            <w:hideMark/>
          </w:tcPr>
          <w:p w14:paraId="2D5480A6" w14:textId="4BE9C5FE" w:rsidR="00C156AC" w:rsidRPr="0067117F" w:rsidRDefault="00C156AC" w:rsidP="00C156AC">
            <w:pPr>
              <w:spacing w:after="0" w:line="240" w:lineRule="auto"/>
              <w:jc w:val="right"/>
              <w:rPr>
                <w:rFonts w:cs="Arial"/>
                <w:b/>
                <w:bCs/>
                <w:sz w:val="16"/>
                <w:szCs w:val="16"/>
              </w:rPr>
            </w:pPr>
            <w:r>
              <w:rPr>
                <w:rFonts w:cs="Arial"/>
                <w:b/>
                <w:bCs/>
                <w:sz w:val="16"/>
                <w:szCs w:val="16"/>
              </w:rPr>
              <w:t>1 666,8</w:t>
            </w:r>
          </w:p>
        </w:tc>
        <w:tc>
          <w:tcPr>
            <w:tcW w:w="1338" w:type="dxa"/>
            <w:tcBorders>
              <w:top w:val="nil"/>
              <w:left w:val="nil"/>
              <w:bottom w:val="nil"/>
              <w:right w:val="nil"/>
            </w:tcBorders>
            <w:shd w:val="clear" w:color="auto" w:fill="auto"/>
            <w:noWrap/>
            <w:vAlign w:val="bottom"/>
            <w:hideMark/>
          </w:tcPr>
          <w:p w14:paraId="1DD833DA" w14:textId="35AAEBD5" w:rsidR="00C156AC" w:rsidRPr="0067117F" w:rsidRDefault="00C156AC" w:rsidP="00C156AC">
            <w:pPr>
              <w:spacing w:after="0" w:line="240" w:lineRule="auto"/>
              <w:jc w:val="right"/>
              <w:rPr>
                <w:rFonts w:cs="Arial"/>
                <w:b/>
                <w:bCs/>
                <w:sz w:val="16"/>
                <w:szCs w:val="16"/>
              </w:rPr>
            </w:pPr>
            <w:r>
              <w:rPr>
                <w:rFonts w:cs="Arial"/>
                <w:b/>
                <w:bCs/>
                <w:sz w:val="16"/>
                <w:szCs w:val="16"/>
              </w:rPr>
              <w:t>1 641,7</w:t>
            </w:r>
          </w:p>
        </w:tc>
        <w:tc>
          <w:tcPr>
            <w:tcW w:w="1338" w:type="dxa"/>
            <w:tcBorders>
              <w:top w:val="nil"/>
              <w:left w:val="nil"/>
              <w:bottom w:val="nil"/>
              <w:right w:val="nil"/>
            </w:tcBorders>
            <w:shd w:val="clear" w:color="auto" w:fill="auto"/>
            <w:noWrap/>
            <w:vAlign w:val="bottom"/>
            <w:hideMark/>
          </w:tcPr>
          <w:p w14:paraId="0A4A057B" w14:textId="44292DF8" w:rsidR="00C156AC" w:rsidRPr="0067117F" w:rsidRDefault="00C156AC" w:rsidP="00C156AC">
            <w:pPr>
              <w:spacing w:after="0" w:line="240" w:lineRule="auto"/>
              <w:jc w:val="right"/>
              <w:rPr>
                <w:rFonts w:cs="Arial"/>
                <w:b/>
                <w:bCs/>
                <w:sz w:val="16"/>
                <w:szCs w:val="16"/>
              </w:rPr>
            </w:pPr>
            <w:r>
              <w:rPr>
                <w:rFonts w:cs="Arial"/>
                <w:b/>
                <w:bCs/>
                <w:sz w:val="16"/>
                <w:szCs w:val="16"/>
              </w:rPr>
              <w:t>1 699,0</w:t>
            </w:r>
          </w:p>
        </w:tc>
      </w:tr>
      <w:tr w:rsidR="00C156AC" w:rsidRPr="0067117F" w14:paraId="2EF14179" w14:textId="77777777" w:rsidTr="00683CE8">
        <w:trPr>
          <w:trHeight w:val="300"/>
        </w:trPr>
        <w:tc>
          <w:tcPr>
            <w:tcW w:w="1699" w:type="dxa"/>
            <w:tcBorders>
              <w:top w:val="nil"/>
              <w:left w:val="nil"/>
              <w:bottom w:val="nil"/>
              <w:right w:val="single" w:sz="4" w:space="0" w:color="auto"/>
            </w:tcBorders>
            <w:shd w:val="clear" w:color="auto" w:fill="auto"/>
            <w:noWrap/>
            <w:vAlign w:val="bottom"/>
            <w:hideMark/>
          </w:tcPr>
          <w:p w14:paraId="0B807383"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Belgie</w:t>
            </w:r>
          </w:p>
        </w:tc>
        <w:tc>
          <w:tcPr>
            <w:tcW w:w="1349" w:type="dxa"/>
            <w:tcBorders>
              <w:top w:val="nil"/>
              <w:left w:val="nil"/>
              <w:bottom w:val="nil"/>
              <w:right w:val="nil"/>
            </w:tcBorders>
            <w:shd w:val="clear" w:color="auto" w:fill="auto"/>
            <w:noWrap/>
            <w:vAlign w:val="bottom"/>
            <w:hideMark/>
          </w:tcPr>
          <w:p w14:paraId="59DC15FF" w14:textId="65809853" w:rsidR="00C156AC" w:rsidRPr="0067117F" w:rsidRDefault="00C156AC" w:rsidP="00C156AC">
            <w:pPr>
              <w:spacing w:after="0" w:line="240" w:lineRule="auto"/>
              <w:jc w:val="right"/>
              <w:rPr>
                <w:rFonts w:cs="Arial"/>
                <w:sz w:val="16"/>
                <w:szCs w:val="16"/>
              </w:rPr>
            </w:pPr>
            <w:r>
              <w:rPr>
                <w:rFonts w:cs="Arial"/>
                <w:sz w:val="16"/>
                <w:szCs w:val="16"/>
              </w:rPr>
              <w:t>2 197,3</w:t>
            </w:r>
          </w:p>
        </w:tc>
        <w:tc>
          <w:tcPr>
            <w:tcW w:w="1338" w:type="dxa"/>
            <w:tcBorders>
              <w:top w:val="nil"/>
              <w:left w:val="nil"/>
              <w:bottom w:val="nil"/>
              <w:right w:val="nil"/>
            </w:tcBorders>
            <w:shd w:val="clear" w:color="auto" w:fill="auto"/>
            <w:noWrap/>
            <w:vAlign w:val="bottom"/>
            <w:hideMark/>
          </w:tcPr>
          <w:p w14:paraId="6B44B452" w14:textId="3F4DB499" w:rsidR="00C156AC" w:rsidRPr="0067117F" w:rsidRDefault="00C156AC" w:rsidP="00C156AC">
            <w:pPr>
              <w:spacing w:after="0" w:line="240" w:lineRule="auto"/>
              <w:jc w:val="right"/>
              <w:rPr>
                <w:rFonts w:cs="Arial"/>
                <w:sz w:val="16"/>
                <w:szCs w:val="16"/>
              </w:rPr>
            </w:pPr>
            <w:r>
              <w:rPr>
                <w:rFonts w:cs="Arial"/>
                <w:sz w:val="16"/>
                <w:szCs w:val="16"/>
              </w:rPr>
              <w:t>2 147,3</w:t>
            </w:r>
          </w:p>
        </w:tc>
        <w:tc>
          <w:tcPr>
            <w:tcW w:w="1338" w:type="dxa"/>
            <w:tcBorders>
              <w:top w:val="nil"/>
              <w:left w:val="nil"/>
              <w:bottom w:val="nil"/>
              <w:right w:val="nil"/>
            </w:tcBorders>
            <w:shd w:val="clear" w:color="auto" w:fill="D9D9D9" w:themeFill="background1" w:themeFillShade="D9"/>
            <w:noWrap/>
            <w:vAlign w:val="bottom"/>
            <w:hideMark/>
          </w:tcPr>
          <w:p w14:paraId="45C6A214" w14:textId="64216105" w:rsidR="00C156AC" w:rsidRPr="0067117F" w:rsidRDefault="00C156AC" w:rsidP="00C156AC">
            <w:pPr>
              <w:spacing w:after="0" w:line="240" w:lineRule="auto"/>
              <w:jc w:val="right"/>
              <w:rPr>
                <w:rFonts w:cs="Arial"/>
                <w:sz w:val="16"/>
                <w:szCs w:val="16"/>
              </w:rPr>
            </w:pPr>
            <w:r>
              <w:rPr>
                <w:rFonts w:cs="Arial"/>
                <w:sz w:val="16"/>
                <w:szCs w:val="16"/>
              </w:rPr>
              <w:t>1</w:t>
            </w:r>
            <w:r w:rsidR="00C062EB">
              <w:rPr>
                <w:rFonts w:cs="Arial"/>
                <w:sz w:val="16"/>
                <w:szCs w:val="16"/>
              </w:rPr>
              <w:t xml:space="preserve"> </w:t>
            </w:r>
            <w:r>
              <w:rPr>
                <w:rFonts w:cs="Arial"/>
                <w:sz w:val="16"/>
                <w:szCs w:val="16"/>
              </w:rPr>
              <w:t>724,4</w:t>
            </w:r>
          </w:p>
        </w:tc>
        <w:tc>
          <w:tcPr>
            <w:tcW w:w="1338" w:type="dxa"/>
            <w:tcBorders>
              <w:top w:val="nil"/>
              <w:left w:val="nil"/>
              <w:bottom w:val="nil"/>
              <w:right w:val="nil"/>
            </w:tcBorders>
            <w:shd w:val="clear" w:color="auto" w:fill="auto"/>
            <w:noWrap/>
            <w:vAlign w:val="bottom"/>
            <w:hideMark/>
          </w:tcPr>
          <w:p w14:paraId="7044AF81" w14:textId="4BC3BDAB" w:rsidR="00C156AC" w:rsidRPr="0067117F" w:rsidRDefault="00C156AC" w:rsidP="00C156AC">
            <w:pPr>
              <w:spacing w:after="0" w:line="240" w:lineRule="auto"/>
              <w:jc w:val="right"/>
              <w:rPr>
                <w:rFonts w:cs="Arial"/>
                <w:sz w:val="16"/>
                <w:szCs w:val="16"/>
              </w:rPr>
            </w:pPr>
            <w:r>
              <w:rPr>
                <w:rFonts w:cs="Arial"/>
                <w:sz w:val="16"/>
                <w:szCs w:val="16"/>
              </w:rPr>
              <w:t>1 518,6</w:t>
            </w:r>
          </w:p>
        </w:tc>
        <w:tc>
          <w:tcPr>
            <w:tcW w:w="1338" w:type="dxa"/>
            <w:tcBorders>
              <w:top w:val="nil"/>
              <w:left w:val="nil"/>
              <w:bottom w:val="nil"/>
              <w:right w:val="nil"/>
            </w:tcBorders>
            <w:shd w:val="clear" w:color="auto" w:fill="auto"/>
            <w:noWrap/>
            <w:vAlign w:val="bottom"/>
            <w:hideMark/>
          </w:tcPr>
          <w:p w14:paraId="160DEAB1" w14:textId="30DE4317" w:rsidR="00C156AC" w:rsidRPr="0067117F" w:rsidRDefault="00C156AC" w:rsidP="00C156AC">
            <w:pPr>
              <w:spacing w:after="0" w:line="240" w:lineRule="auto"/>
              <w:jc w:val="right"/>
              <w:rPr>
                <w:rFonts w:cs="Arial"/>
                <w:sz w:val="16"/>
                <w:szCs w:val="16"/>
              </w:rPr>
            </w:pPr>
            <w:r>
              <w:rPr>
                <w:rFonts w:cs="Arial"/>
                <w:sz w:val="16"/>
                <w:szCs w:val="16"/>
              </w:rPr>
              <w:t>1 972,2</w:t>
            </w:r>
          </w:p>
        </w:tc>
      </w:tr>
      <w:tr w:rsidR="00C156AC" w:rsidRPr="0067117F" w14:paraId="36F78B20"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78698922"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Bulharsko</w:t>
            </w:r>
          </w:p>
        </w:tc>
        <w:tc>
          <w:tcPr>
            <w:tcW w:w="1349" w:type="dxa"/>
            <w:tcBorders>
              <w:top w:val="nil"/>
              <w:left w:val="nil"/>
              <w:bottom w:val="nil"/>
              <w:right w:val="nil"/>
            </w:tcBorders>
            <w:shd w:val="clear" w:color="auto" w:fill="auto"/>
            <w:noWrap/>
            <w:vAlign w:val="bottom"/>
            <w:hideMark/>
          </w:tcPr>
          <w:p w14:paraId="03BED6D0" w14:textId="4E8683BB" w:rsidR="00C156AC" w:rsidRPr="0067117F" w:rsidRDefault="00C156AC" w:rsidP="00C156AC">
            <w:pPr>
              <w:spacing w:after="0" w:line="240" w:lineRule="auto"/>
              <w:jc w:val="right"/>
              <w:rPr>
                <w:rFonts w:cs="Arial"/>
                <w:sz w:val="16"/>
                <w:szCs w:val="16"/>
              </w:rPr>
            </w:pPr>
            <w:r>
              <w:rPr>
                <w:rFonts w:cs="Arial"/>
                <w:sz w:val="16"/>
                <w:szCs w:val="16"/>
              </w:rPr>
              <w:t>84,9</w:t>
            </w:r>
          </w:p>
        </w:tc>
        <w:tc>
          <w:tcPr>
            <w:tcW w:w="1338" w:type="dxa"/>
            <w:tcBorders>
              <w:top w:val="nil"/>
              <w:left w:val="nil"/>
              <w:bottom w:val="nil"/>
              <w:right w:val="nil"/>
            </w:tcBorders>
            <w:shd w:val="clear" w:color="auto" w:fill="auto"/>
            <w:noWrap/>
            <w:vAlign w:val="bottom"/>
            <w:hideMark/>
          </w:tcPr>
          <w:p w14:paraId="4B43ADF9" w14:textId="3FCD0072" w:rsidR="00C156AC" w:rsidRPr="0067117F" w:rsidRDefault="00C156AC" w:rsidP="00C156AC">
            <w:pPr>
              <w:spacing w:after="0" w:line="240" w:lineRule="auto"/>
              <w:jc w:val="right"/>
              <w:rPr>
                <w:rFonts w:cs="Arial"/>
                <w:sz w:val="16"/>
                <w:szCs w:val="16"/>
              </w:rPr>
            </w:pPr>
            <w:r>
              <w:rPr>
                <w:rFonts w:cs="Arial"/>
                <w:sz w:val="16"/>
                <w:szCs w:val="16"/>
              </w:rPr>
              <w:t>79,7</w:t>
            </w:r>
          </w:p>
        </w:tc>
        <w:tc>
          <w:tcPr>
            <w:tcW w:w="1338" w:type="dxa"/>
            <w:tcBorders>
              <w:top w:val="nil"/>
              <w:left w:val="nil"/>
              <w:bottom w:val="nil"/>
              <w:right w:val="nil"/>
            </w:tcBorders>
            <w:shd w:val="clear" w:color="auto" w:fill="auto"/>
            <w:noWrap/>
            <w:vAlign w:val="bottom"/>
            <w:hideMark/>
          </w:tcPr>
          <w:p w14:paraId="7E75FD13" w14:textId="541E080C" w:rsidR="00C156AC" w:rsidRPr="0067117F" w:rsidRDefault="00C156AC" w:rsidP="00C156AC">
            <w:pPr>
              <w:spacing w:after="0" w:line="240" w:lineRule="auto"/>
              <w:jc w:val="right"/>
              <w:rPr>
                <w:rFonts w:cs="Arial"/>
                <w:sz w:val="16"/>
                <w:szCs w:val="16"/>
              </w:rPr>
            </w:pPr>
            <w:r>
              <w:rPr>
                <w:rFonts w:cs="Arial"/>
                <w:sz w:val="16"/>
                <w:szCs w:val="16"/>
              </w:rPr>
              <w:t>82,5</w:t>
            </w:r>
          </w:p>
        </w:tc>
        <w:tc>
          <w:tcPr>
            <w:tcW w:w="1338" w:type="dxa"/>
            <w:tcBorders>
              <w:top w:val="nil"/>
              <w:left w:val="nil"/>
              <w:bottom w:val="nil"/>
              <w:right w:val="nil"/>
            </w:tcBorders>
            <w:shd w:val="clear" w:color="auto" w:fill="auto"/>
            <w:noWrap/>
            <w:vAlign w:val="bottom"/>
            <w:hideMark/>
          </w:tcPr>
          <w:p w14:paraId="0F7AB705" w14:textId="4D9234A9" w:rsidR="00C156AC" w:rsidRPr="0067117F" w:rsidRDefault="00C156AC" w:rsidP="00C156AC">
            <w:pPr>
              <w:spacing w:after="0" w:line="240" w:lineRule="auto"/>
              <w:jc w:val="right"/>
              <w:rPr>
                <w:rFonts w:cs="Arial"/>
                <w:sz w:val="16"/>
                <w:szCs w:val="16"/>
              </w:rPr>
            </w:pPr>
            <w:r>
              <w:rPr>
                <w:rFonts w:cs="Arial"/>
                <w:sz w:val="16"/>
                <w:szCs w:val="16"/>
              </w:rPr>
              <w:t>82,8</w:t>
            </w:r>
          </w:p>
        </w:tc>
        <w:tc>
          <w:tcPr>
            <w:tcW w:w="1338" w:type="dxa"/>
            <w:tcBorders>
              <w:top w:val="nil"/>
              <w:left w:val="nil"/>
              <w:bottom w:val="nil"/>
              <w:right w:val="nil"/>
            </w:tcBorders>
            <w:shd w:val="clear" w:color="auto" w:fill="auto"/>
            <w:noWrap/>
            <w:vAlign w:val="bottom"/>
            <w:hideMark/>
          </w:tcPr>
          <w:p w14:paraId="71CBEAB1" w14:textId="4954DF80" w:rsidR="00C156AC" w:rsidRPr="0067117F" w:rsidRDefault="00C156AC" w:rsidP="00C156AC">
            <w:pPr>
              <w:spacing w:after="0" w:line="240" w:lineRule="auto"/>
              <w:jc w:val="right"/>
              <w:rPr>
                <w:rFonts w:cs="Arial"/>
                <w:sz w:val="16"/>
                <w:szCs w:val="16"/>
              </w:rPr>
            </w:pPr>
            <w:r>
              <w:rPr>
                <w:rFonts w:cs="Arial"/>
                <w:sz w:val="16"/>
                <w:szCs w:val="16"/>
              </w:rPr>
              <w:t>76,0</w:t>
            </w:r>
          </w:p>
        </w:tc>
      </w:tr>
      <w:tr w:rsidR="00C156AC" w:rsidRPr="0067117F" w14:paraId="622F3379"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51A12A28" w14:textId="77777777" w:rsidR="00C156AC" w:rsidRPr="0067117F" w:rsidRDefault="00C156AC" w:rsidP="00C156AC">
            <w:pPr>
              <w:spacing w:after="0" w:line="240" w:lineRule="auto"/>
              <w:ind w:firstLineChars="100" w:firstLine="160"/>
              <w:rPr>
                <w:rFonts w:ascii="Arial CE" w:hAnsi="Arial CE" w:cs="Arial CE"/>
                <w:b/>
                <w:bCs/>
                <w:sz w:val="16"/>
                <w:szCs w:val="16"/>
              </w:rPr>
            </w:pPr>
            <w:r w:rsidRPr="0067117F">
              <w:rPr>
                <w:rFonts w:ascii="Arial CE" w:hAnsi="Arial CE" w:cs="Arial CE"/>
                <w:b/>
                <w:bCs/>
                <w:sz w:val="16"/>
                <w:szCs w:val="16"/>
              </w:rPr>
              <w:t>Česká republika</w:t>
            </w:r>
          </w:p>
        </w:tc>
        <w:tc>
          <w:tcPr>
            <w:tcW w:w="1349" w:type="dxa"/>
            <w:tcBorders>
              <w:top w:val="nil"/>
              <w:left w:val="nil"/>
              <w:bottom w:val="nil"/>
              <w:right w:val="nil"/>
            </w:tcBorders>
            <w:shd w:val="clear" w:color="auto" w:fill="auto"/>
            <w:noWrap/>
            <w:vAlign w:val="bottom"/>
            <w:hideMark/>
          </w:tcPr>
          <w:p w14:paraId="2EDB3113" w14:textId="53CB5EEF" w:rsidR="00C156AC" w:rsidRPr="0067117F" w:rsidRDefault="00C156AC" w:rsidP="00C156AC">
            <w:pPr>
              <w:spacing w:after="0" w:line="240" w:lineRule="auto"/>
              <w:jc w:val="right"/>
              <w:rPr>
                <w:rFonts w:cs="Arial"/>
                <w:b/>
                <w:bCs/>
                <w:sz w:val="16"/>
                <w:szCs w:val="16"/>
              </w:rPr>
            </w:pPr>
            <w:r>
              <w:rPr>
                <w:rFonts w:cs="Arial"/>
                <w:b/>
                <w:bCs/>
                <w:sz w:val="16"/>
                <w:szCs w:val="16"/>
              </w:rPr>
              <w:t>941,4</w:t>
            </w:r>
          </w:p>
        </w:tc>
        <w:tc>
          <w:tcPr>
            <w:tcW w:w="1338" w:type="dxa"/>
            <w:tcBorders>
              <w:top w:val="nil"/>
              <w:left w:val="nil"/>
              <w:bottom w:val="nil"/>
              <w:right w:val="nil"/>
            </w:tcBorders>
            <w:shd w:val="clear" w:color="auto" w:fill="auto"/>
            <w:noWrap/>
            <w:vAlign w:val="bottom"/>
            <w:hideMark/>
          </w:tcPr>
          <w:p w14:paraId="29F67900" w14:textId="454E2500" w:rsidR="00C156AC" w:rsidRPr="0067117F" w:rsidRDefault="00C156AC" w:rsidP="00C156AC">
            <w:pPr>
              <w:spacing w:after="0" w:line="240" w:lineRule="auto"/>
              <w:jc w:val="right"/>
              <w:rPr>
                <w:rFonts w:cs="Arial"/>
                <w:b/>
                <w:bCs/>
                <w:sz w:val="16"/>
                <w:szCs w:val="16"/>
              </w:rPr>
            </w:pPr>
            <w:r>
              <w:rPr>
                <w:rFonts w:cs="Arial"/>
                <w:b/>
                <w:bCs/>
                <w:sz w:val="16"/>
                <w:szCs w:val="16"/>
              </w:rPr>
              <w:t>971,3</w:t>
            </w:r>
          </w:p>
        </w:tc>
        <w:tc>
          <w:tcPr>
            <w:tcW w:w="1338" w:type="dxa"/>
            <w:tcBorders>
              <w:top w:val="nil"/>
              <w:left w:val="nil"/>
              <w:bottom w:val="nil"/>
              <w:right w:val="nil"/>
            </w:tcBorders>
            <w:shd w:val="clear" w:color="auto" w:fill="auto"/>
            <w:noWrap/>
            <w:vAlign w:val="bottom"/>
            <w:hideMark/>
          </w:tcPr>
          <w:p w14:paraId="6F8CB955" w14:textId="0D5DEFEB" w:rsidR="00C156AC" w:rsidRPr="0067117F" w:rsidRDefault="00C156AC" w:rsidP="00C156AC">
            <w:pPr>
              <w:spacing w:after="0" w:line="240" w:lineRule="auto"/>
              <w:jc w:val="right"/>
              <w:rPr>
                <w:rFonts w:cs="Arial"/>
                <w:b/>
                <w:bCs/>
                <w:sz w:val="16"/>
                <w:szCs w:val="16"/>
              </w:rPr>
            </w:pPr>
            <w:r>
              <w:rPr>
                <w:rFonts w:cs="Arial"/>
                <w:b/>
                <w:bCs/>
                <w:sz w:val="16"/>
                <w:szCs w:val="16"/>
              </w:rPr>
              <w:t>905,6</w:t>
            </w:r>
          </w:p>
        </w:tc>
        <w:tc>
          <w:tcPr>
            <w:tcW w:w="1338" w:type="dxa"/>
            <w:tcBorders>
              <w:top w:val="nil"/>
              <w:left w:val="nil"/>
              <w:bottom w:val="nil"/>
              <w:right w:val="nil"/>
            </w:tcBorders>
            <w:shd w:val="clear" w:color="auto" w:fill="auto"/>
            <w:noWrap/>
            <w:vAlign w:val="bottom"/>
            <w:hideMark/>
          </w:tcPr>
          <w:p w14:paraId="04AEE4E6" w14:textId="43F7A350" w:rsidR="00C156AC" w:rsidRPr="0067117F" w:rsidRDefault="00C156AC" w:rsidP="00C156AC">
            <w:pPr>
              <w:spacing w:after="0" w:line="240" w:lineRule="auto"/>
              <w:jc w:val="right"/>
              <w:rPr>
                <w:rFonts w:cs="Arial"/>
                <w:b/>
                <w:bCs/>
                <w:sz w:val="16"/>
                <w:szCs w:val="16"/>
              </w:rPr>
            </w:pPr>
            <w:r>
              <w:rPr>
                <w:rFonts w:cs="Arial"/>
                <w:b/>
                <w:bCs/>
                <w:sz w:val="16"/>
                <w:szCs w:val="16"/>
              </w:rPr>
              <w:t>952,9</w:t>
            </w:r>
          </w:p>
        </w:tc>
        <w:tc>
          <w:tcPr>
            <w:tcW w:w="1338" w:type="dxa"/>
            <w:tcBorders>
              <w:top w:val="nil"/>
              <w:left w:val="nil"/>
              <w:bottom w:val="nil"/>
              <w:right w:val="nil"/>
            </w:tcBorders>
            <w:shd w:val="clear" w:color="auto" w:fill="auto"/>
            <w:noWrap/>
            <w:vAlign w:val="bottom"/>
            <w:hideMark/>
          </w:tcPr>
          <w:p w14:paraId="448FF823" w14:textId="6E46C50A" w:rsidR="00C156AC" w:rsidRPr="0067117F" w:rsidRDefault="00C156AC" w:rsidP="00C156AC">
            <w:pPr>
              <w:spacing w:after="0" w:line="240" w:lineRule="auto"/>
              <w:jc w:val="right"/>
              <w:rPr>
                <w:rFonts w:cs="Arial"/>
                <w:b/>
                <w:bCs/>
                <w:sz w:val="16"/>
                <w:szCs w:val="16"/>
              </w:rPr>
            </w:pPr>
            <w:r>
              <w:rPr>
                <w:rFonts w:cs="Arial"/>
                <w:b/>
                <w:bCs/>
                <w:sz w:val="16"/>
                <w:szCs w:val="16"/>
              </w:rPr>
              <w:t>921,9</w:t>
            </w:r>
          </w:p>
        </w:tc>
      </w:tr>
      <w:tr w:rsidR="00C156AC" w:rsidRPr="0067117F" w14:paraId="6C3132ED"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47D6A437"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Dánsko</w:t>
            </w:r>
          </w:p>
        </w:tc>
        <w:tc>
          <w:tcPr>
            <w:tcW w:w="1349" w:type="dxa"/>
            <w:tcBorders>
              <w:top w:val="nil"/>
              <w:left w:val="nil"/>
              <w:bottom w:val="nil"/>
              <w:right w:val="nil"/>
            </w:tcBorders>
            <w:shd w:val="clear" w:color="auto" w:fill="auto"/>
            <w:noWrap/>
            <w:vAlign w:val="bottom"/>
            <w:hideMark/>
          </w:tcPr>
          <w:p w14:paraId="1066A41B" w14:textId="641F0C94" w:rsidR="00C156AC" w:rsidRPr="0067117F" w:rsidRDefault="00C156AC" w:rsidP="00C156AC">
            <w:pPr>
              <w:spacing w:after="0" w:line="240" w:lineRule="auto"/>
              <w:jc w:val="right"/>
              <w:rPr>
                <w:rFonts w:cs="Arial"/>
                <w:sz w:val="16"/>
                <w:szCs w:val="16"/>
              </w:rPr>
            </w:pPr>
            <w:r>
              <w:rPr>
                <w:rFonts w:cs="Arial"/>
                <w:sz w:val="16"/>
                <w:szCs w:val="16"/>
              </w:rPr>
              <w:t>2 177,9</w:t>
            </w:r>
          </w:p>
        </w:tc>
        <w:tc>
          <w:tcPr>
            <w:tcW w:w="1338" w:type="dxa"/>
            <w:tcBorders>
              <w:top w:val="nil"/>
              <w:left w:val="nil"/>
              <w:bottom w:val="nil"/>
              <w:right w:val="nil"/>
            </w:tcBorders>
            <w:shd w:val="clear" w:color="auto" w:fill="auto"/>
            <w:noWrap/>
            <w:vAlign w:val="bottom"/>
            <w:hideMark/>
          </w:tcPr>
          <w:p w14:paraId="4CB25648" w14:textId="26326256" w:rsidR="00C156AC" w:rsidRPr="0067117F" w:rsidRDefault="00C156AC" w:rsidP="00C156AC">
            <w:pPr>
              <w:spacing w:after="0" w:line="240" w:lineRule="auto"/>
              <w:jc w:val="right"/>
              <w:rPr>
                <w:rFonts w:cs="Arial"/>
                <w:sz w:val="16"/>
                <w:szCs w:val="16"/>
              </w:rPr>
            </w:pPr>
            <w:r>
              <w:rPr>
                <w:rFonts w:cs="Arial"/>
                <w:sz w:val="16"/>
                <w:szCs w:val="16"/>
              </w:rPr>
              <w:t>2 094,2</w:t>
            </w:r>
          </w:p>
        </w:tc>
        <w:tc>
          <w:tcPr>
            <w:tcW w:w="1338" w:type="dxa"/>
            <w:tcBorders>
              <w:top w:val="nil"/>
              <w:left w:val="nil"/>
              <w:bottom w:val="nil"/>
              <w:right w:val="nil"/>
            </w:tcBorders>
            <w:shd w:val="clear" w:color="auto" w:fill="auto"/>
            <w:noWrap/>
            <w:vAlign w:val="bottom"/>
            <w:hideMark/>
          </w:tcPr>
          <w:p w14:paraId="70A4E404" w14:textId="1038D6A5" w:rsidR="00C156AC" w:rsidRPr="0067117F" w:rsidRDefault="00C156AC" w:rsidP="00C156AC">
            <w:pPr>
              <w:spacing w:after="0" w:line="240" w:lineRule="auto"/>
              <w:jc w:val="right"/>
              <w:rPr>
                <w:rFonts w:cs="Arial"/>
                <w:sz w:val="16"/>
                <w:szCs w:val="16"/>
              </w:rPr>
            </w:pPr>
            <w:r>
              <w:rPr>
                <w:rFonts w:cs="Arial"/>
                <w:sz w:val="16"/>
                <w:szCs w:val="16"/>
              </w:rPr>
              <w:t>1 983,1</w:t>
            </w:r>
          </w:p>
        </w:tc>
        <w:tc>
          <w:tcPr>
            <w:tcW w:w="1338" w:type="dxa"/>
            <w:tcBorders>
              <w:top w:val="nil"/>
              <w:left w:val="nil"/>
              <w:bottom w:val="nil"/>
              <w:right w:val="nil"/>
            </w:tcBorders>
            <w:shd w:val="clear" w:color="auto" w:fill="auto"/>
            <w:noWrap/>
            <w:vAlign w:val="bottom"/>
            <w:hideMark/>
          </w:tcPr>
          <w:p w14:paraId="00CC61D2" w14:textId="63842DE7" w:rsidR="00C156AC" w:rsidRPr="0067117F" w:rsidRDefault="00C156AC" w:rsidP="00C156AC">
            <w:pPr>
              <w:spacing w:after="0" w:line="240" w:lineRule="auto"/>
              <w:jc w:val="right"/>
              <w:rPr>
                <w:rFonts w:cs="Arial"/>
                <w:sz w:val="16"/>
                <w:szCs w:val="16"/>
              </w:rPr>
            </w:pPr>
            <w:r>
              <w:rPr>
                <w:rFonts w:cs="Arial"/>
                <w:sz w:val="16"/>
                <w:szCs w:val="16"/>
              </w:rPr>
              <w:t>1 787,8</w:t>
            </w:r>
          </w:p>
        </w:tc>
        <w:tc>
          <w:tcPr>
            <w:tcW w:w="1338" w:type="dxa"/>
            <w:tcBorders>
              <w:top w:val="nil"/>
              <w:left w:val="nil"/>
              <w:bottom w:val="nil"/>
              <w:right w:val="nil"/>
            </w:tcBorders>
            <w:shd w:val="clear" w:color="auto" w:fill="auto"/>
            <w:noWrap/>
            <w:vAlign w:val="bottom"/>
            <w:hideMark/>
          </w:tcPr>
          <w:p w14:paraId="3BD16C36" w14:textId="53E9DEF0" w:rsidR="00C156AC" w:rsidRPr="0067117F" w:rsidRDefault="00C156AC" w:rsidP="00C156AC">
            <w:pPr>
              <w:spacing w:after="0" w:line="240" w:lineRule="auto"/>
              <w:jc w:val="right"/>
              <w:rPr>
                <w:rFonts w:cs="Arial"/>
                <w:sz w:val="16"/>
                <w:szCs w:val="16"/>
              </w:rPr>
            </w:pPr>
            <w:r>
              <w:rPr>
                <w:rFonts w:cs="Arial"/>
                <w:sz w:val="16"/>
                <w:szCs w:val="16"/>
              </w:rPr>
              <w:t>1 813,0</w:t>
            </w:r>
          </w:p>
        </w:tc>
      </w:tr>
      <w:tr w:rsidR="00C156AC" w:rsidRPr="0067117F" w14:paraId="555F2A05"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367B9533"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Estonsko</w:t>
            </w:r>
          </w:p>
        </w:tc>
        <w:tc>
          <w:tcPr>
            <w:tcW w:w="1349" w:type="dxa"/>
            <w:tcBorders>
              <w:top w:val="nil"/>
              <w:left w:val="nil"/>
              <w:bottom w:val="nil"/>
              <w:right w:val="nil"/>
            </w:tcBorders>
            <w:shd w:val="clear" w:color="auto" w:fill="auto"/>
            <w:noWrap/>
            <w:vAlign w:val="bottom"/>
            <w:hideMark/>
          </w:tcPr>
          <w:p w14:paraId="3E179CF8" w14:textId="6A7740A4" w:rsidR="00C156AC" w:rsidRPr="0067117F" w:rsidRDefault="00C156AC" w:rsidP="00C156AC">
            <w:pPr>
              <w:spacing w:after="0" w:line="240" w:lineRule="auto"/>
              <w:jc w:val="right"/>
              <w:rPr>
                <w:rFonts w:cs="Arial"/>
                <w:sz w:val="16"/>
                <w:szCs w:val="16"/>
              </w:rPr>
            </w:pPr>
            <w:r>
              <w:rPr>
                <w:rFonts w:cs="Arial"/>
                <w:sz w:val="16"/>
                <w:szCs w:val="16"/>
              </w:rPr>
              <w:t>1 005,5</w:t>
            </w:r>
          </w:p>
        </w:tc>
        <w:tc>
          <w:tcPr>
            <w:tcW w:w="1338" w:type="dxa"/>
            <w:tcBorders>
              <w:top w:val="nil"/>
              <w:left w:val="nil"/>
              <w:bottom w:val="nil"/>
              <w:right w:val="nil"/>
            </w:tcBorders>
            <w:shd w:val="clear" w:color="auto" w:fill="auto"/>
            <w:noWrap/>
            <w:vAlign w:val="bottom"/>
            <w:hideMark/>
          </w:tcPr>
          <w:p w14:paraId="2AEDAEF6" w14:textId="6B178D43" w:rsidR="00C156AC" w:rsidRPr="0067117F" w:rsidRDefault="00C156AC" w:rsidP="00C156AC">
            <w:pPr>
              <w:spacing w:after="0" w:line="240" w:lineRule="auto"/>
              <w:jc w:val="right"/>
              <w:rPr>
                <w:rFonts w:cs="Arial"/>
                <w:sz w:val="16"/>
                <w:szCs w:val="16"/>
              </w:rPr>
            </w:pPr>
            <w:r>
              <w:rPr>
                <w:rFonts w:cs="Arial"/>
                <w:sz w:val="16"/>
                <w:szCs w:val="16"/>
              </w:rPr>
              <w:t>1 095,4</w:t>
            </w:r>
          </w:p>
        </w:tc>
        <w:tc>
          <w:tcPr>
            <w:tcW w:w="1338" w:type="dxa"/>
            <w:tcBorders>
              <w:top w:val="nil"/>
              <w:left w:val="nil"/>
              <w:bottom w:val="nil"/>
              <w:right w:val="nil"/>
            </w:tcBorders>
            <w:shd w:val="clear" w:color="auto" w:fill="auto"/>
            <w:noWrap/>
            <w:vAlign w:val="bottom"/>
            <w:hideMark/>
          </w:tcPr>
          <w:p w14:paraId="7B5DD72D" w14:textId="04F2B287" w:rsidR="00C156AC" w:rsidRPr="0067117F" w:rsidRDefault="00C156AC" w:rsidP="00C156AC">
            <w:pPr>
              <w:spacing w:after="0" w:line="240" w:lineRule="auto"/>
              <w:jc w:val="right"/>
              <w:rPr>
                <w:rFonts w:cs="Arial"/>
                <w:sz w:val="16"/>
                <w:szCs w:val="16"/>
              </w:rPr>
            </w:pPr>
            <w:r>
              <w:rPr>
                <w:rFonts w:cs="Arial"/>
                <w:sz w:val="16"/>
                <w:szCs w:val="16"/>
              </w:rPr>
              <w:t>1 137,9</w:t>
            </w:r>
          </w:p>
        </w:tc>
        <w:tc>
          <w:tcPr>
            <w:tcW w:w="1338" w:type="dxa"/>
            <w:tcBorders>
              <w:top w:val="nil"/>
              <w:left w:val="nil"/>
              <w:bottom w:val="nil"/>
              <w:right w:val="nil"/>
            </w:tcBorders>
            <w:shd w:val="clear" w:color="auto" w:fill="auto"/>
            <w:noWrap/>
            <w:vAlign w:val="bottom"/>
            <w:hideMark/>
          </w:tcPr>
          <w:p w14:paraId="5A14C1F2" w14:textId="39D8872A" w:rsidR="00C156AC" w:rsidRPr="0067117F" w:rsidRDefault="00C156AC" w:rsidP="00C156AC">
            <w:pPr>
              <w:spacing w:after="0" w:line="240" w:lineRule="auto"/>
              <w:jc w:val="right"/>
              <w:rPr>
                <w:rFonts w:cs="Arial"/>
                <w:sz w:val="16"/>
                <w:szCs w:val="16"/>
              </w:rPr>
            </w:pPr>
            <w:r>
              <w:rPr>
                <w:rFonts w:cs="Arial"/>
                <w:sz w:val="16"/>
                <w:szCs w:val="16"/>
              </w:rPr>
              <w:t>1 204,4</w:t>
            </w:r>
          </w:p>
        </w:tc>
        <w:tc>
          <w:tcPr>
            <w:tcW w:w="1338" w:type="dxa"/>
            <w:tcBorders>
              <w:top w:val="nil"/>
              <w:left w:val="nil"/>
              <w:bottom w:val="nil"/>
              <w:right w:val="nil"/>
            </w:tcBorders>
            <w:shd w:val="clear" w:color="auto" w:fill="auto"/>
            <w:noWrap/>
            <w:vAlign w:val="bottom"/>
            <w:hideMark/>
          </w:tcPr>
          <w:p w14:paraId="696150A1" w14:textId="462A9808" w:rsidR="00C156AC" w:rsidRPr="0067117F" w:rsidRDefault="00C156AC" w:rsidP="00C156AC">
            <w:pPr>
              <w:spacing w:after="0" w:line="240" w:lineRule="auto"/>
              <w:jc w:val="right"/>
              <w:rPr>
                <w:rFonts w:cs="Arial"/>
                <w:sz w:val="16"/>
                <w:szCs w:val="16"/>
              </w:rPr>
            </w:pPr>
            <w:r>
              <w:rPr>
                <w:rFonts w:cs="Arial"/>
                <w:sz w:val="16"/>
                <w:szCs w:val="16"/>
              </w:rPr>
              <w:t>1 210,4</w:t>
            </w:r>
          </w:p>
        </w:tc>
      </w:tr>
      <w:tr w:rsidR="00C156AC" w:rsidRPr="0067117F" w14:paraId="53D2ACC5"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3EDBF37C"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Finsko</w:t>
            </w:r>
          </w:p>
        </w:tc>
        <w:tc>
          <w:tcPr>
            <w:tcW w:w="1349" w:type="dxa"/>
            <w:tcBorders>
              <w:top w:val="nil"/>
              <w:left w:val="nil"/>
              <w:bottom w:val="nil"/>
              <w:right w:val="nil"/>
            </w:tcBorders>
            <w:shd w:val="clear" w:color="auto" w:fill="auto"/>
            <w:noWrap/>
            <w:vAlign w:val="bottom"/>
            <w:hideMark/>
          </w:tcPr>
          <w:p w14:paraId="1718A495" w14:textId="78924F96" w:rsidR="00C156AC" w:rsidRPr="0067117F" w:rsidRDefault="00C156AC" w:rsidP="00C156AC">
            <w:pPr>
              <w:spacing w:after="0" w:line="240" w:lineRule="auto"/>
              <w:jc w:val="right"/>
              <w:rPr>
                <w:rFonts w:cs="Arial"/>
                <w:sz w:val="16"/>
                <w:szCs w:val="16"/>
              </w:rPr>
            </w:pPr>
            <w:r>
              <w:rPr>
                <w:rFonts w:cs="Arial"/>
                <w:sz w:val="16"/>
                <w:szCs w:val="16"/>
              </w:rPr>
              <w:t>2 166,1</w:t>
            </w:r>
          </w:p>
        </w:tc>
        <w:tc>
          <w:tcPr>
            <w:tcW w:w="1338" w:type="dxa"/>
            <w:tcBorders>
              <w:top w:val="nil"/>
              <w:left w:val="nil"/>
              <w:bottom w:val="nil"/>
              <w:right w:val="nil"/>
            </w:tcBorders>
            <w:shd w:val="clear" w:color="auto" w:fill="auto"/>
            <w:noWrap/>
            <w:vAlign w:val="bottom"/>
            <w:hideMark/>
          </w:tcPr>
          <w:p w14:paraId="276E9503" w14:textId="5C3FCD10" w:rsidR="00C156AC" w:rsidRPr="0067117F" w:rsidRDefault="00C156AC" w:rsidP="00C156AC">
            <w:pPr>
              <w:spacing w:after="0" w:line="240" w:lineRule="auto"/>
              <w:jc w:val="right"/>
              <w:rPr>
                <w:rFonts w:cs="Arial"/>
                <w:sz w:val="16"/>
                <w:szCs w:val="16"/>
              </w:rPr>
            </w:pPr>
            <w:r>
              <w:rPr>
                <w:rFonts w:cs="Arial"/>
                <w:sz w:val="16"/>
                <w:szCs w:val="16"/>
              </w:rPr>
              <w:t>2 229,8</w:t>
            </w:r>
          </w:p>
        </w:tc>
        <w:tc>
          <w:tcPr>
            <w:tcW w:w="1338" w:type="dxa"/>
            <w:tcBorders>
              <w:top w:val="nil"/>
              <w:left w:val="nil"/>
              <w:bottom w:val="nil"/>
              <w:right w:val="nil"/>
            </w:tcBorders>
            <w:shd w:val="clear" w:color="auto" w:fill="auto"/>
            <w:noWrap/>
            <w:vAlign w:val="bottom"/>
            <w:hideMark/>
          </w:tcPr>
          <w:p w14:paraId="5857665C" w14:textId="31CAAA31" w:rsidR="00C156AC" w:rsidRPr="0067117F" w:rsidRDefault="00C156AC" w:rsidP="00C156AC">
            <w:pPr>
              <w:spacing w:after="0" w:line="240" w:lineRule="auto"/>
              <w:jc w:val="right"/>
              <w:rPr>
                <w:rFonts w:cs="Arial"/>
                <w:sz w:val="16"/>
                <w:szCs w:val="16"/>
              </w:rPr>
            </w:pPr>
            <w:r>
              <w:rPr>
                <w:rFonts w:cs="Arial"/>
                <w:sz w:val="16"/>
                <w:szCs w:val="16"/>
              </w:rPr>
              <w:t>2 083,2</w:t>
            </w:r>
          </w:p>
        </w:tc>
        <w:tc>
          <w:tcPr>
            <w:tcW w:w="1338" w:type="dxa"/>
            <w:tcBorders>
              <w:top w:val="nil"/>
              <w:left w:val="nil"/>
              <w:bottom w:val="nil"/>
              <w:right w:val="nil"/>
            </w:tcBorders>
            <w:shd w:val="clear" w:color="auto" w:fill="auto"/>
            <w:noWrap/>
            <w:vAlign w:val="bottom"/>
            <w:hideMark/>
          </w:tcPr>
          <w:p w14:paraId="2BFEC232" w14:textId="7A5ABAAD" w:rsidR="00C156AC" w:rsidRPr="0067117F" w:rsidRDefault="00C156AC" w:rsidP="00C156AC">
            <w:pPr>
              <w:spacing w:after="0" w:line="240" w:lineRule="auto"/>
              <w:jc w:val="right"/>
              <w:rPr>
                <w:rFonts w:cs="Arial"/>
                <w:sz w:val="16"/>
                <w:szCs w:val="16"/>
              </w:rPr>
            </w:pPr>
            <w:r>
              <w:rPr>
                <w:rFonts w:cs="Arial"/>
                <w:sz w:val="16"/>
                <w:szCs w:val="16"/>
              </w:rPr>
              <w:t>1 963,9</w:t>
            </w:r>
          </w:p>
        </w:tc>
        <w:tc>
          <w:tcPr>
            <w:tcW w:w="1338" w:type="dxa"/>
            <w:tcBorders>
              <w:top w:val="nil"/>
              <w:left w:val="nil"/>
              <w:bottom w:val="nil"/>
              <w:right w:val="nil"/>
            </w:tcBorders>
            <w:shd w:val="clear" w:color="auto" w:fill="auto"/>
            <w:noWrap/>
            <w:vAlign w:val="bottom"/>
            <w:hideMark/>
          </w:tcPr>
          <w:p w14:paraId="676CCBC8" w14:textId="0F5CA52A" w:rsidR="00C156AC" w:rsidRPr="0067117F" w:rsidRDefault="00C156AC" w:rsidP="00C156AC">
            <w:pPr>
              <w:spacing w:after="0" w:line="240" w:lineRule="auto"/>
              <w:jc w:val="right"/>
              <w:rPr>
                <w:rFonts w:cs="Arial"/>
                <w:sz w:val="16"/>
                <w:szCs w:val="16"/>
              </w:rPr>
            </w:pPr>
            <w:r>
              <w:rPr>
                <w:rFonts w:cs="Arial"/>
                <w:sz w:val="16"/>
                <w:szCs w:val="16"/>
              </w:rPr>
              <w:t>1 860,2</w:t>
            </w:r>
          </w:p>
        </w:tc>
      </w:tr>
      <w:tr w:rsidR="00C156AC" w:rsidRPr="0067117F" w14:paraId="05E62DD6" w14:textId="77777777" w:rsidTr="00683CE8">
        <w:trPr>
          <w:trHeight w:val="300"/>
        </w:trPr>
        <w:tc>
          <w:tcPr>
            <w:tcW w:w="1699" w:type="dxa"/>
            <w:tcBorders>
              <w:top w:val="nil"/>
              <w:left w:val="nil"/>
              <w:bottom w:val="nil"/>
              <w:right w:val="single" w:sz="4" w:space="0" w:color="auto"/>
            </w:tcBorders>
            <w:shd w:val="clear" w:color="auto" w:fill="auto"/>
            <w:noWrap/>
            <w:vAlign w:val="bottom"/>
            <w:hideMark/>
          </w:tcPr>
          <w:p w14:paraId="543AD7BC"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Francie</w:t>
            </w:r>
          </w:p>
        </w:tc>
        <w:tc>
          <w:tcPr>
            <w:tcW w:w="1349" w:type="dxa"/>
            <w:tcBorders>
              <w:top w:val="nil"/>
              <w:left w:val="nil"/>
              <w:bottom w:val="nil"/>
              <w:right w:val="nil"/>
            </w:tcBorders>
            <w:shd w:val="clear" w:color="auto" w:fill="auto"/>
            <w:noWrap/>
            <w:vAlign w:val="bottom"/>
            <w:hideMark/>
          </w:tcPr>
          <w:p w14:paraId="70731CCA" w14:textId="5309F433" w:rsidR="00C156AC" w:rsidRPr="0067117F" w:rsidRDefault="00C156AC" w:rsidP="00C156AC">
            <w:pPr>
              <w:spacing w:after="0" w:line="240" w:lineRule="auto"/>
              <w:jc w:val="right"/>
              <w:rPr>
                <w:rFonts w:cs="Arial"/>
                <w:sz w:val="16"/>
                <w:szCs w:val="16"/>
              </w:rPr>
            </w:pPr>
            <w:r>
              <w:rPr>
                <w:rFonts w:cs="Arial"/>
                <w:sz w:val="16"/>
                <w:szCs w:val="16"/>
              </w:rPr>
              <w:t>3 047,9</w:t>
            </w:r>
          </w:p>
        </w:tc>
        <w:tc>
          <w:tcPr>
            <w:tcW w:w="1338" w:type="dxa"/>
            <w:tcBorders>
              <w:top w:val="nil"/>
              <w:left w:val="nil"/>
              <w:bottom w:val="nil"/>
              <w:right w:val="nil"/>
            </w:tcBorders>
            <w:shd w:val="clear" w:color="auto" w:fill="auto"/>
            <w:noWrap/>
            <w:vAlign w:val="bottom"/>
            <w:hideMark/>
          </w:tcPr>
          <w:p w14:paraId="0B2454E4" w14:textId="1817D514" w:rsidR="00C156AC" w:rsidRPr="0067117F" w:rsidRDefault="00C156AC" w:rsidP="00C156AC">
            <w:pPr>
              <w:spacing w:after="0" w:line="240" w:lineRule="auto"/>
              <w:jc w:val="right"/>
              <w:rPr>
                <w:rFonts w:cs="Arial"/>
                <w:sz w:val="16"/>
                <w:szCs w:val="16"/>
              </w:rPr>
            </w:pPr>
            <w:r>
              <w:rPr>
                <w:rFonts w:cs="Arial"/>
                <w:sz w:val="16"/>
                <w:szCs w:val="16"/>
              </w:rPr>
              <w:t>3 163,5</w:t>
            </w:r>
          </w:p>
        </w:tc>
        <w:tc>
          <w:tcPr>
            <w:tcW w:w="1338" w:type="dxa"/>
            <w:tcBorders>
              <w:top w:val="nil"/>
              <w:left w:val="nil"/>
              <w:bottom w:val="nil"/>
              <w:right w:val="nil"/>
            </w:tcBorders>
            <w:shd w:val="clear" w:color="auto" w:fill="D9D9D9" w:themeFill="background1" w:themeFillShade="D9"/>
            <w:noWrap/>
            <w:vAlign w:val="bottom"/>
            <w:hideMark/>
          </w:tcPr>
          <w:p w14:paraId="0BD96AB3" w14:textId="54D483DD" w:rsidR="00C156AC" w:rsidRPr="0067117F" w:rsidRDefault="00C156AC" w:rsidP="00C156AC">
            <w:pPr>
              <w:spacing w:after="0" w:line="240" w:lineRule="auto"/>
              <w:jc w:val="right"/>
              <w:rPr>
                <w:rFonts w:cs="Arial"/>
                <w:sz w:val="16"/>
                <w:szCs w:val="16"/>
              </w:rPr>
            </w:pPr>
            <w:r>
              <w:rPr>
                <w:rFonts w:cs="Arial"/>
                <w:sz w:val="16"/>
                <w:szCs w:val="16"/>
              </w:rPr>
              <w:t>3</w:t>
            </w:r>
            <w:r w:rsidR="00C062EB">
              <w:rPr>
                <w:rFonts w:cs="Arial"/>
                <w:sz w:val="16"/>
                <w:szCs w:val="16"/>
              </w:rPr>
              <w:t xml:space="preserve"> </w:t>
            </w:r>
            <w:r>
              <w:rPr>
                <w:rFonts w:cs="Arial"/>
                <w:sz w:val="16"/>
                <w:szCs w:val="16"/>
              </w:rPr>
              <w:t>385,7</w:t>
            </w:r>
          </w:p>
        </w:tc>
        <w:tc>
          <w:tcPr>
            <w:tcW w:w="1338" w:type="dxa"/>
            <w:tcBorders>
              <w:top w:val="nil"/>
              <w:left w:val="nil"/>
              <w:bottom w:val="nil"/>
              <w:right w:val="nil"/>
            </w:tcBorders>
            <w:shd w:val="clear" w:color="auto" w:fill="auto"/>
            <w:noWrap/>
            <w:vAlign w:val="bottom"/>
            <w:hideMark/>
          </w:tcPr>
          <w:p w14:paraId="2EDF0D86" w14:textId="0E753BA9" w:rsidR="00C156AC" w:rsidRPr="0067117F" w:rsidRDefault="00C156AC" w:rsidP="00C156AC">
            <w:pPr>
              <w:spacing w:after="0" w:line="240" w:lineRule="auto"/>
              <w:jc w:val="right"/>
              <w:rPr>
                <w:rFonts w:cs="Arial"/>
                <w:sz w:val="16"/>
                <w:szCs w:val="16"/>
              </w:rPr>
            </w:pPr>
            <w:r>
              <w:rPr>
                <w:rFonts w:cs="Arial"/>
                <w:sz w:val="16"/>
                <w:szCs w:val="16"/>
              </w:rPr>
              <w:t>3 490,1</w:t>
            </w:r>
          </w:p>
        </w:tc>
        <w:tc>
          <w:tcPr>
            <w:tcW w:w="1338" w:type="dxa"/>
            <w:tcBorders>
              <w:top w:val="nil"/>
              <w:left w:val="nil"/>
              <w:bottom w:val="nil"/>
              <w:right w:val="nil"/>
            </w:tcBorders>
            <w:shd w:val="clear" w:color="auto" w:fill="auto"/>
            <w:noWrap/>
            <w:vAlign w:val="bottom"/>
            <w:hideMark/>
          </w:tcPr>
          <w:p w14:paraId="3E16A5DF" w14:textId="08EFB884" w:rsidR="00C156AC" w:rsidRPr="0067117F" w:rsidRDefault="00C156AC" w:rsidP="00C156AC">
            <w:pPr>
              <w:spacing w:after="0" w:line="240" w:lineRule="auto"/>
              <w:jc w:val="right"/>
              <w:rPr>
                <w:rFonts w:cs="Arial"/>
                <w:sz w:val="16"/>
                <w:szCs w:val="16"/>
              </w:rPr>
            </w:pPr>
            <w:r>
              <w:rPr>
                <w:rFonts w:cs="Arial"/>
                <w:sz w:val="16"/>
                <w:szCs w:val="16"/>
              </w:rPr>
              <w:t>3 409,2</w:t>
            </w:r>
          </w:p>
        </w:tc>
      </w:tr>
      <w:tr w:rsidR="00C156AC" w:rsidRPr="0067117F" w14:paraId="57E39784"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6A792BB4"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Chorvatsko</w:t>
            </w:r>
          </w:p>
        </w:tc>
        <w:tc>
          <w:tcPr>
            <w:tcW w:w="1349" w:type="dxa"/>
            <w:tcBorders>
              <w:top w:val="nil"/>
              <w:left w:val="nil"/>
              <w:bottom w:val="nil"/>
              <w:right w:val="nil"/>
            </w:tcBorders>
            <w:shd w:val="clear" w:color="auto" w:fill="auto"/>
            <w:noWrap/>
            <w:vAlign w:val="bottom"/>
            <w:hideMark/>
          </w:tcPr>
          <w:p w14:paraId="458E84BD" w14:textId="0D754912" w:rsidR="00C156AC" w:rsidRPr="0067117F" w:rsidRDefault="00C156AC" w:rsidP="00C156AC">
            <w:pPr>
              <w:spacing w:after="0" w:line="240" w:lineRule="auto"/>
              <w:jc w:val="right"/>
              <w:rPr>
                <w:rFonts w:cs="Arial"/>
                <w:sz w:val="16"/>
                <w:szCs w:val="16"/>
              </w:rPr>
            </w:pPr>
            <w:r>
              <w:rPr>
                <w:rFonts w:cs="Arial"/>
                <w:sz w:val="16"/>
                <w:szCs w:val="16"/>
              </w:rPr>
              <w:t>835,9</w:t>
            </w:r>
          </w:p>
        </w:tc>
        <w:tc>
          <w:tcPr>
            <w:tcW w:w="1338" w:type="dxa"/>
            <w:tcBorders>
              <w:top w:val="nil"/>
              <w:left w:val="nil"/>
              <w:bottom w:val="nil"/>
              <w:right w:val="nil"/>
            </w:tcBorders>
            <w:shd w:val="clear" w:color="auto" w:fill="auto"/>
            <w:noWrap/>
            <w:vAlign w:val="bottom"/>
            <w:hideMark/>
          </w:tcPr>
          <w:p w14:paraId="0787132A" w14:textId="578B4CB6" w:rsidR="00C156AC" w:rsidRPr="0067117F" w:rsidRDefault="00C156AC" w:rsidP="00C156AC">
            <w:pPr>
              <w:spacing w:after="0" w:line="240" w:lineRule="auto"/>
              <w:jc w:val="right"/>
              <w:rPr>
                <w:rFonts w:cs="Arial"/>
                <w:sz w:val="16"/>
                <w:szCs w:val="16"/>
              </w:rPr>
            </w:pPr>
            <w:r>
              <w:rPr>
                <w:rFonts w:cs="Arial"/>
                <w:sz w:val="16"/>
                <w:szCs w:val="16"/>
              </w:rPr>
              <w:t>867,9</w:t>
            </w:r>
          </w:p>
        </w:tc>
        <w:tc>
          <w:tcPr>
            <w:tcW w:w="1338" w:type="dxa"/>
            <w:tcBorders>
              <w:top w:val="nil"/>
              <w:left w:val="nil"/>
              <w:bottom w:val="nil"/>
              <w:right w:val="nil"/>
            </w:tcBorders>
            <w:shd w:val="clear" w:color="auto" w:fill="auto"/>
            <w:noWrap/>
            <w:vAlign w:val="bottom"/>
            <w:hideMark/>
          </w:tcPr>
          <w:p w14:paraId="63F6F731" w14:textId="35A2AEA0" w:rsidR="00C156AC" w:rsidRPr="0067117F" w:rsidRDefault="00C156AC" w:rsidP="00C156AC">
            <w:pPr>
              <w:spacing w:after="0" w:line="240" w:lineRule="auto"/>
              <w:jc w:val="right"/>
              <w:rPr>
                <w:rFonts w:cs="Arial"/>
                <w:sz w:val="16"/>
                <w:szCs w:val="16"/>
              </w:rPr>
            </w:pPr>
            <w:r>
              <w:rPr>
                <w:rFonts w:cs="Arial"/>
                <w:sz w:val="16"/>
                <w:szCs w:val="16"/>
              </w:rPr>
              <w:t>906,5</w:t>
            </w:r>
          </w:p>
        </w:tc>
        <w:tc>
          <w:tcPr>
            <w:tcW w:w="1338" w:type="dxa"/>
            <w:tcBorders>
              <w:top w:val="nil"/>
              <w:left w:val="nil"/>
              <w:bottom w:val="nil"/>
              <w:right w:val="nil"/>
            </w:tcBorders>
            <w:shd w:val="clear" w:color="auto" w:fill="auto"/>
            <w:noWrap/>
            <w:vAlign w:val="bottom"/>
            <w:hideMark/>
          </w:tcPr>
          <w:p w14:paraId="1475F0D7" w14:textId="75073D93" w:rsidR="00C156AC" w:rsidRPr="0067117F" w:rsidRDefault="00C156AC" w:rsidP="00C156AC">
            <w:pPr>
              <w:spacing w:after="0" w:line="240" w:lineRule="auto"/>
              <w:jc w:val="right"/>
              <w:rPr>
                <w:rFonts w:cs="Arial"/>
                <w:sz w:val="16"/>
                <w:szCs w:val="16"/>
              </w:rPr>
            </w:pPr>
            <w:r>
              <w:rPr>
                <w:rFonts w:cs="Arial"/>
                <w:sz w:val="16"/>
                <w:szCs w:val="16"/>
              </w:rPr>
              <w:t>989,0</w:t>
            </w:r>
          </w:p>
        </w:tc>
        <w:tc>
          <w:tcPr>
            <w:tcW w:w="1338" w:type="dxa"/>
            <w:tcBorders>
              <w:top w:val="nil"/>
              <w:left w:val="nil"/>
              <w:bottom w:val="nil"/>
              <w:right w:val="nil"/>
            </w:tcBorders>
            <w:shd w:val="clear" w:color="auto" w:fill="auto"/>
            <w:noWrap/>
            <w:vAlign w:val="bottom"/>
            <w:hideMark/>
          </w:tcPr>
          <w:p w14:paraId="0BA51A03" w14:textId="68D02E58" w:rsidR="00C156AC" w:rsidRPr="0067117F" w:rsidRDefault="00C156AC" w:rsidP="00C156AC">
            <w:pPr>
              <w:spacing w:after="0" w:line="240" w:lineRule="auto"/>
              <w:jc w:val="right"/>
              <w:rPr>
                <w:rFonts w:cs="Arial"/>
                <w:sz w:val="16"/>
                <w:szCs w:val="16"/>
              </w:rPr>
            </w:pPr>
            <w:r>
              <w:rPr>
                <w:rFonts w:cs="Arial"/>
                <w:sz w:val="16"/>
                <w:szCs w:val="16"/>
              </w:rPr>
              <w:t>984,3</w:t>
            </w:r>
          </w:p>
        </w:tc>
      </w:tr>
      <w:tr w:rsidR="00C156AC" w:rsidRPr="0067117F" w14:paraId="1A6A44A7"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51388628"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Irsko</w:t>
            </w:r>
          </w:p>
        </w:tc>
        <w:tc>
          <w:tcPr>
            <w:tcW w:w="1349" w:type="dxa"/>
            <w:tcBorders>
              <w:top w:val="nil"/>
              <w:left w:val="nil"/>
              <w:bottom w:val="nil"/>
              <w:right w:val="nil"/>
            </w:tcBorders>
            <w:shd w:val="clear" w:color="auto" w:fill="auto"/>
            <w:noWrap/>
            <w:vAlign w:val="bottom"/>
            <w:hideMark/>
          </w:tcPr>
          <w:p w14:paraId="007F9942" w14:textId="24E1E603" w:rsidR="00C156AC" w:rsidRPr="0067117F" w:rsidRDefault="00C156AC" w:rsidP="00C156AC">
            <w:pPr>
              <w:spacing w:after="0" w:line="240" w:lineRule="auto"/>
              <w:jc w:val="right"/>
              <w:rPr>
                <w:rFonts w:cs="Arial"/>
                <w:sz w:val="16"/>
                <w:szCs w:val="16"/>
              </w:rPr>
            </w:pPr>
            <w:r>
              <w:rPr>
                <w:rFonts w:cs="Arial"/>
                <w:sz w:val="16"/>
                <w:szCs w:val="16"/>
              </w:rPr>
              <w:t>809,6</w:t>
            </w:r>
          </w:p>
        </w:tc>
        <w:tc>
          <w:tcPr>
            <w:tcW w:w="1338" w:type="dxa"/>
            <w:tcBorders>
              <w:top w:val="nil"/>
              <w:left w:val="nil"/>
              <w:bottom w:val="nil"/>
              <w:right w:val="nil"/>
            </w:tcBorders>
            <w:shd w:val="clear" w:color="auto" w:fill="auto"/>
            <w:noWrap/>
            <w:vAlign w:val="bottom"/>
            <w:hideMark/>
          </w:tcPr>
          <w:p w14:paraId="3A271B98" w14:textId="3DF753F4" w:rsidR="00C156AC" w:rsidRPr="0067117F" w:rsidRDefault="00C156AC" w:rsidP="00C156AC">
            <w:pPr>
              <w:spacing w:after="0" w:line="240" w:lineRule="auto"/>
              <w:jc w:val="right"/>
              <w:rPr>
                <w:rFonts w:cs="Arial"/>
                <w:sz w:val="16"/>
                <w:szCs w:val="16"/>
              </w:rPr>
            </w:pPr>
            <w:r>
              <w:rPr>
                <w:rFonts w:cs="Arial"/>
                <w:sz w:val="16"/>
                <w:szCs w:val="16"/>
              </w:rPr>
              <w:t>1 036,1</w:t>
            </w:r>
          </w:p>
        </w:tc>
        <w:tc>
          <w:tcPr>
            <w:tcW w:w="1338" w:type="dxa"/>
            <w:tcBorders>
              <w:top w:val="nil"/>
              <w:left w:val="nil"/>
              <w:bottom w:val="nil"/>
              <w:right w:val="nil"/>
            </w:tcBorders>
            <w:shd w:val="clear" w:color="auto" w:fill="auto"/>
            <w:noWrap/>
            <w:vAlign w:val="bottom"/>
            <w:hideMark/>
          </w:tcPr>
          <w:p w14:paraId="095A6CEA" w14:textId="7D40591F" w:rsidR="00C156AC" w:rsidRPr="0067117F" w:rsidRDefault="00C156AC" w:rsidP="00C156AC">
            <w:pPr>
              <w:spacing w:after="0" w:line="240" w:lineRule="auto"/>
              <w:jc w:val="right"/>
              <w:rPr>
                <w:rFonts w:cs="Arial"/>
                <w:sz w:val="16"/>
                <w:szCs w:val="16"/>
              </w:rPr>
            </w:pPr>
            <w:r>
              <w:rPr>
                <w:rFonts w:cs="Arial"/>
                <w:sz w:val="16"/>
                <w:szCs w:val="16"/>
              </w:rPr>
              <w:t>1 072,0</w:t>
            </w:r>
          </w:p>
        </w:tc>
        <w:tc>
          <w:tcPr>
            <w:tcW w:w="1338" w:type="dxa"/>
            <w:tcBorders>
              <w:top w:val="nil"/>
              <w:left w:val="nil"/>
              <w:bottom w:val="nil"/>
              <w:right w:val="nil"/>
            </w:tcBorders>
            <w:shd w:val="clear" w:color="auto" w:fill="auto"/>
            <w:noWrap/>
            <w:vAlign w:val="bottom"/>
            <w:hideMark/>
          </w:tcPr>
          <w:p w14:paraId="6D111204" w14:textId="4DE4A8B3" w:rsidR="00C156AC" w:rsidRPr="0067117F" w:rsidRDefault="00C156AC" w:rsidP="00C156AC">
            <w:pPr>
              <w:spacing w:after="0" w:line="240" w:lineRule="auto"/>
              <w:jc w:val="right"/>
              <w:rPr>
                <w:rFonts w:cs="Arial"/>
                <w:sz w:val="16"/>
                <w:szCs w:val="16"/>
              </w:rPr>
            </w:pPr>
            <w:r>
              <w:rPr>
                <w:rFonts w:cs="Arial"/>
                <w:sz w:val="16"/>
                <w:szCs w:val="16"/>
              </w:rPr>
              <w:t>924,0</w:t>
            </w:r>
          </w:p>
        </w:tc>
        <w:tc>
          <w:tcPr>
            <w:tcW w:w="1338" w:type="dxa"/>
            <w:tcBorders>
              <w:top w:val="nil"/>
              <w:left w:val="nil"/>
              <w:bottom w:val="nil"/>
              <w:right w:val="nil"/>
            </w:tcBorders>
            <w:shd w:val="clear" w:color="auto" w:fill="auto"/>
            <w:noWrap/>
            <w:vAlign w:val="bottom"/>
            <w:hideMark/>
          </w:tcPr>
          <w:p w14:paraId="42ED0875" w14:textId="2EB2032C" w:rsidR="00C156AC" w:rsidRPr="0067117F" w:rsidRDefault="00C156AC" w:rsidP="00C156AC">
            <w:pPr>
              <w:spacing w:after="0" w:line="240" w:lineRule="auto"/>
              <w:jc w:val="right"/>
              <w:rPr>
                <w:rFonts w:cs="Arial"/>
                <w:sz w:val="16"/>
                <w:szCs w:val="16"/>
              </w:rPr>
            </w:pPr>
            <w:r>
              <w:rPr>
                <w:rFonts w:cs="Arial"/>
                <w:sz w:val="16"/>
                <w:szCs w:val="16"/>
              </w:rPr>
              <w:t>768,9</w:t>
            </w:r>
          </w:p>
        </w:tc>
      </w:tr>
      <w:tr w:rsidR="00C156AC" w:rsidRPr="0067117F" w14:paraId="56DF400A"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79D86D77"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Itálie</w:t>
            </w:r>
          </w:p>
        </w:tc>
        <w:tc>
          <w:tcPr>
            <w:tcW w:w="1349" w:type="dxa"/>
            <w:tcBorders>
              <w:top w:val="nil"/>
              <w:left w:val="nil"/>
              <w:bottom w:val="nil"/>
              <w:right w:val="nil"/>
            </w:tcBorders>
            <w:shd w:val="clear" w:color="auto" w:fill="auto"/>
            <w:noWrap/>
            <w:vAlign w:val="bottom"/>
            <w:hideMark/>
          </w:tcPr>
          <w:p w14:paraId="7EEC7446" w14:textId="259C483C" w:rsidR="00C156AC" w:rsidRPr="0067117F" w:rsidRDefault="00C156AC" w:rsidP="00C156AC">
            <w:pPr>
              <w:spacing w:after="0" w:line="240" w:lineRule="auto"/>
              <w:jc w:val="right"/>
              <w:rPr>
                <w:rFonts w:cs="Arial"/>
                <w:sz w:val="16"/>
                <w:szCs w:val="16"/>
              </w:rPr>
            </w:pPr>
            <w:r>
              <w:rPr>
                <w:rFonts w:cs="Arial"/>
                <w:sz w:val="16"/>
                <w:szCs w:val="16"/>
              </w:rPr>
              <w:t>1 682,6</w:t>
            </w:r>
          </w:p>
        </w:tc>
        <w:tc>
          <w:tcPr>
            <w:tcW w:w="1338" w:type="dxa"/>
            <w:tcBorders>
              <w:top w:val="nil"/>
              <w:left w:val="nil"/>
              <w:bottom w:val="nil"/>
              <w:right w:val="nil"/>
            </w:tcBorders>
            <w:shd w:val="clear" w:color="auto" w:fill="auto"/>
            <w:noWrap/>
            <w:vAlign w:val="bottom"/>
            <w:hideMark/>
          </w:tcPr>
          <w:p w14:paraId="50359FFC" w14:textId="4C4616A7" w:rsidR="00C156AC" w:rsidRPr="0067117F" w:rsidRDefault="00C156AC" w:rsidP="00C156AC">
            <w:pPr>
              <w:spacing w:after="0" w:line="240" w:lineRule="auto"/>
              <w:jc w:val="right"/>
              <w:rPr>
                <w:rFonts w:cs="Arial"/>
                <w:sz w:val="16"/>
                <w:szCs w:val="16"/>
              </w:rPr>
            </w:pPr>
            <w:r>
              <w:rPr>
                <w:rFonts w:cs="Arial"/>
                <w:sz w:val="16"/>
                <w:szCs w:val="16"/>
              </w:rPr>
              <w:t>1 711,8</w:t>
            </w:r>
          </w:p>
        </w:tc>
        <w:tc>
          <w:tcPr>
            <w:tcW w:w="1338" w:type="dxa"/>
            <w:tcBorders>
              <w:top w:val="nil"/>
              <w:left w:val="nil"/>
              <w:bottom w:val="nil"/>
              <w:right w:val="nil"/>
            </w:tcBorders>
            <w:shd w:val="clear" w:color="auto" w:fill="auto"/>
            <w:noWrap/>
            <w:vAlign w:val="bottom"/>
            <w:hideMark/>
          </w:tcPr>
          <w:p w14:paraId="34475872" w14:textId="215F7ECC" w:rsidR="00C156AC" w:rsidRPr="0067117F" w:rsidRDefault="00C156AC" w:rsidP="00C156AC">
            <w:pPr>
              <w:spacing w:after="0" w:line="240" w:lineRule="auto"/>
              <w:jc w:val="right"/>
              <w:rPr>
                <w:rFonts w:cs="Arial"/>
                <w:sz w:val="16"/>
                <w:szCs w:val="16"/>
              </w:rPr>
            </w:pPr>
            <w:r>
              <w:rPr>
                <w:rFonts w:cs="Arial"/>
                <w:sz w:val="16"/>
                <w:szCs w:val="16"/>
              </w:rPr>
              <w:t>1 619,2</w:t>
            </w:r>
          </w:p>
        </w:tc>
        <w:tc>
          <w:tcPr>
            <w:tcW w:w="1338" w:type="dxa"/>
            <w:tcBorders>
              <w:top w:val="nil"/>
              <w:left w:val="nil"/>
              <w:bottom w:val="nil"/>
              <w:right w:val="nil"/>
            </w:tcBorders>
            <w:shd w:val="clear" w:color="auto" w:fill="auto"/>
            <w:noWrap/>
            <w:vAlign w:val="bottom"/>
            <w:hideMark/>
          </w:tcPr>
          <w:p w14:paraId="3018D559" w14:textId="211B517D" w:rsidR="00C156AC" w:rsidRPr="0067117F" w:rsidRDefault="00C156AC" w:rsidP="00C156AC">
            <w:pPr>
              <w:spacing w:after="0" w:line="240" w:lineRule="auto"/>
              <w:jc w:val="right"/>
              <w:rPr>
                <w:rFonts w:cs="Arial"/>
                <w:sz w:val="16"/>
                <w:szCs w:val="16"/>
              </w:rPr>
            </w:pPr>
            <w:r>
              <w:rPr>
                <w:rFonts w:cs="Arial"/>
                <w:sz w:val="16"/>
                <w:szCs w:val="16"/>
              </w:rPr>
              <w:t>1 515,7</w:t>
            </w:r>
          </w:p>
        </w:tc>
        <w:tc>
          <w:tcPr>
            <w:tcW w:w="1338" w:type="dxa"/>
            <w:tcBorders>
              <w:top w:val="nil"/>
              <w:left w:val="nil"/>
              <w:bottom w:val="nil"/>
              <w:right w:val="nil"/>
            </w:tcBorders>
            <w:shd w:val="clear" w:color="auto" w:fill="auto"/>
            <w:noWrap/>
            <w:vAlign w:val="bottom"/>
            <w:hideMark/>
          </w:tcPr>
          <w:p w14:paraId="43BD7932" w14:textId="38A05FF7" w:rsidR="00C156AC" w:rsidRPr="0067117F" w:rsidRDefault="00C156AC" w:rsidP="00C156AC">
            <w:pPr>
              <w:spacing w:after="0" w:line="240" w:lineRule="auto"/>
              <w:jc w:val="right"/>
              <w:rPr>
                <w:rFonts w:cs="Arial"/>
                <w:sz w:val="16"/>
                <w:szCs w:val="16"/>
              </w:rPr>
            </w:pPr>
            <w:r>
              <w:rPr>
                <w:rFonts w:cs="Arial"/>
                <w:sz w:val="16"/>
                <w:szCs w:val="16"/>
              </w:rPr>
              <w:t>1 477,1</w:t>
            </w:r>
          </w:p>
        </w:tc>
      </w:tr>
      <w:tr w:rsidR="00C156AC" w:rsidRPr="0067117F" w14:paraId="52ECF1CA"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4DA8A768"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Kypr</w:t>
            </w:r>
          </w:p>
        </w:tc>
        <w:tc>
          <w:tcPr>
            <w:tcW w:w="1349" w:type="dxa"/>
            <w:tcBorders>
              <w:top w:val="nil"/>
              <w:left w:val="nil"/>
              <w:bottom w:val="nil"/>
              <w:right w:val="nil"/>
            </w:tcBorders>
            <w:shd w:val="clear" w:color="auto" w:fill="auto"/>
            <w:noWrap/>
            <w:vAlign w:val="bottom"/>
            <w:hideMark/>
          </w:tcPr>
          <w:p w14:paraId="5A2B3093" w14:textId="1E556726" w:rsidR="00C156AC" w:rsidRPr="0067117F" w:rsidRDefault="00C156AC" w:rsidP="00C156AC">
            <w:pPr>
              <w:spacing w:after="0" w:line="240" w:lineRule="auto"/>
              <w:jc w:val="right"/>
              <w:rPr>
                <w:rFonts w:cs="Arial"/>
                <w:sz w:val="16"/>
                <w:szCs w:val="16"/>
              </w:rPr>
            </w:pPr>
            <w:r>
              <w:rPr>
                <w:rFonts w:cs="Arial"/>
                <w:sz w:val="16"/>
                <w:szCs w:val="16"/>
              </w:rPr>
              <w:t>754,8</w:t>
            </w:r>
          </w:p>
        </w:tc>
        <w:tc>
          <w:tcPr>
            <w:tcW w:w="1338" w:type="dxa"/>
            <w:tcBorders>
              <w:top w:val="nil"/>
              <w:left w:val="nil"/>
              <w:bottom w:val="nil"/>
              <w:right w:val="nil"/>
            </w:tcBorders>
            <w:shd w:val="clear" w:color="auto" w:fill="auto"/>
            <w:noWrap/>
            <w:vAlign w:val="bottom"/>
            <w:hideMark/>
          </w:tcPr>
          <w:p w14:paraId="45F3518B" w14:textId="62A3AE6A" w:rsidR="00C156AC" w:rsidRPr="0067117F" w:rsidRDefault="00C156AC" w:rsidP="00C156AC">
            <w:pPr>
              <w:spacing w:after="0" w:line="240" w:lineRule="auto"/>
              <w:jc w:val="right"/>
              <w:rPr>
                <w:rFonts w:cs="Arial"/>
                <w:sz w:val="16"/>
                <w:szCs w:val="16"/>
              </w:rPr>
            </w:pPr>
            <w:r>
              <w:rPr>
                <w:rFonts w:cs="Arial"/>
                <w:sz w:val="16"/>
                <w:szCs w:val="16"/>
              </w:rPr>
              <w:t>571,5</w:t>
            </w:r>
          </w:p>
        </w:tc>
        <w:tc>
          <w:tcPr>
            <w:tcW w:w="1338" w:type="dxa"/>
            <w:tcBorders>
              <w:top w:val="nil"/>
              <w:left w:val="nil"/>
              <w:bottom w:val="nil"/>
              <w:right w:val="nil"/>
            </w:tcBorders>
            <w:shd w:val="clear" w:color="auto" w:fill="auto"/>
            <w:noWrap/>
            <w:vAlign w:val="bottom"/>
            <w:hideMark/>
          </w:tcPr>
          <w:p w14:paraId="228C08AE" w14:textId="553548F3" w:rsidR="00C156AC" w:rsidRPr="0067117F" w:rsidRDefault="00C156AC" w:rsidP="00C156AC">
            <w:pPr>
              <w:spacing w:after="0" w:line="240" w:lineRule="auto"/>
              <w:jc w:val="right"/>
              <w:rPr>
                <w:rFonts w:cs="Arial"/>
                <w:sz w:val="16"/>
                <w:szCs w:val="16"/>
              </w:rPr>
            </w:pPr>
            <w:r>
              <w:rPr>
                <w:rFonts w:cs="Arial"/>
                <w:sz w:val="16"/>
                <w:szCs w:val="16"/>
              </w:rPr>
              <w:t>870,7</w:t>
            </w:r>
          </w:p>
        </w:tc>
        <w:tc>
          <w:tcPr>
            <w:tcW w:w="1338" w:type="dxa"/>
            <w:tcBorders>
              <w:top w:val="nil"/>
              <w:left w:val="nil"/>
              <w:bottom w:val="nil"/>
              <w:right w:val="nil"/>
            </w:tcBorders>
            <w:shd w:val="clear" w:color="auto" w:fill="auto"/>
            <w:noWrap/>
            <w:vAlign w:val="bottom"/>
            <w:hideMark/>
          </w:tcPr>
          <w:p w14:paraId="7135C41D" w14:textId="43BE6D88" w:rsidR="00C156AC" w:rsidRPr="0067117F" w:rsidRDefault="00C156AC" w:rsidP="00C156AC">
            <w:pPr>
              <w:spacing w:after="0" w:line="240" w:lineRule="auto"/>
              <w:jc w:val="right"/>
              <w:rPr>
                <w:rFonts w:cs="Arial"/>
                <w:sz w:val="16"/>
                <w:szCs w:val="16"/>
              </w:rPr>
            </w:pPr>
            <w:r>
              <w:rPr>
                <w:rFonts w:cs="Arial"/>
                <w:sz w:val="16"/>
                <w:szCs w:val="16"/>
              </w:rPr>
              <w:t>697,3</w:t>
            </w:r>
          </w:p>
        </w:tc>
        <w:tc>
          <w:tcPr>
            <w:tcW w:w="1338" w:type="dxa"/>
            <w:tcBorders>
              <w:top w:val="nil"/>
              <w:left w:val="nil"/>
              <w:bottom w:val="nil"/>
              <w:right w:val="nil"/>
            </w:tcBorders>
            <w:shd w:val="clear" w:color="auto" w:fill="auto"/>
            <w:noWrap/>
            <w:vAlign w:val="bottom"/>
            <w:hideMark/>
          </w:tcPr>
          <w:p w14:paraId="36B1829F" w14:textId="001DB898" w:rsidR="00C156AC" w:rsidRPr="0067117F" w:rsidRDefault="00C156AC" w:rsidP="00C156AC">
            <w:pPr>
              <w:spacing w:after="0" w:line="240" w:lineRule="auto"/>
              <w:jc w:val="right"/>
              <w:rPr>
                <w:rFonts w:cs="Arial"/>
                <w:sz w:val="16"/>
                <w:szCs w:val="16"/>
              </w:rPr>
            </w:pPr>
            <w:r>
              <w:rPr>
                <w:rFonts w:cs="Arial"/>
                <w:sz w:val="16"/>
                <w:szCs w:val="16"/>
              </w:rPr>
              <w:t>716,7</w:t>
            </w:r>
          </w:p>
        </w:tc>
      </w:tr>
      <w:tr w:rsidR="00C156AC" w:rsidRPr="0067117F" w14:paraId="1A2B9095"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6704BF07"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Litva</w:t>
            </w:r>
          </w:p>
        </w:tc>
        <w:tc>
          <w:tcPr>
            <w:tcW w:w="1349" w:type="dxa"/>
            <w:tcBorders>
              <w:top w:val="nil"/>
              <w:left w:val="nil"/>
              <w:bottom w:val="nil"/>
              <w:right w:val="nil"/>
            </w:tcBorders>
            <w:shd w:val="clear" w:color="auto" w:fill="auto"/>
            <w:noWrap/>
            <w:vAlign w:val="bottom"/>
            <w:hideMark/>
          </w:tcPr>
          <w:p w14:paraId="3C2157EB" w14:textId="0D932E7A" w:rsidR="00C156AC" w:rsidRPr="0067117F" w:rsidRDefault="00C156AC" w:rsidP="00C156AC">
            <w:pPr>
              <w:spacing w:after="0" w:line="240" w:lineRule="auto"/>
              <w:jc w:val="right"/>
              <w:rPr>
                <w:rFonts w:cs="Arial"/>
                <w:sz w:val="16"/>
                <w:szCs w:val="16"/>
              </w:rPr>
            </w:pPr>
            <w:r>
              <w:rPr>
                <w:rFonts w:cs="Arial"/>
                <w:sz w:val="16"/>
                <w:szCs w:val="16"/>
              </w:rPr>
              <w:t>280,2</w:t>
            </w:r>
          </w:p>
        </w:tc>
        <w:tc>
          <w:tcPr>
            <w:tcW w:w="1338" w:type="dxa"/>
            <w:tcBorders>
              <w:top w:val="nil"/>
              <w:left w:val="nil"/>
              <w:bottom w:val="nil"/>
              <w:right w:val="nil"/>
            </w:tcBorders>
            <w:shd w:val="clear" w:color="auto" w:fill="auto"/>
            <w:noWrap/>
            <w:vAlign w:val="bottom"/>
            <w:hideMark/>
          </w:tcPr>
          <w:p w14:paraId="6636AD2F" w14:textId="3180C0D5" w:rsidR="00C156AC" w:rsidRPr="0067117F" w:rsidRDefault="00C156AC" w:rsidP="00C156AC">
            <w:pPr>
              <w:spacing w:after="0" w:line="240" w:lineRule="auto"/>
              <w:jc w:val="right"/>
              <w:rPr>
                <w:rFonts w:cs="Arial"/>
                <w:sz w:val="16"/>
                <w:szCs w:val="16"/>
              </w:rPr>
            </w:pPr>
            <w:r>
              <w:rPr>
                <w:rFonts w:cs="Arial"/>
                <w:sz w:val="16"/>
                <w:szCs w:val="16"/>
              </w:rPr>
              <w:t>259,7</w:t>
            </w:r>
          </w:p>
        </w:tc>
        <w:tc>
          <w:tcPr>
            <w:tcW w:w="1338" w:type="dxa"/>
            <w:tcBorders>
              <w:top w:val="nil"/>
              <w:left w:val="nil"/>
              <w:bottom w:val="nil"/>
              <w:right w:val="nil"/>
            </w:tcBorders>
            <w:shd w:val="clear" w:color="auto" w:fill="auto"/>
            <w:noWrap/>
            <w:vAlign w:val="bottom"/>
            <w:hideMark/>
          </w:tcPr>
          <w:p w14:paraId="5A9EC39B" w14:textId="4B004BEE" w:rsidR="00C156AC" w:rsidRPr="0067117F" w:rsidRDefault="00C156AC" w:rsidP="00C156AC">
            <w:pPr>
              <w:spacing w:after="0" w:line="240" w:lineRule="auto"/>
              <w:jc w:val="right"/>
              <w:rPr>
                <w:rFonts w:cs="Arial"/>
                <w:sz w:val="16"/>
                <w:szCs w:val="16"/>
              </w:rPr>
            </w:pPr>
            <w:r>
              <w:rPr>
                <w:rFonts w:cs="Arial"/>
                <w:sz w:val="16"/>
                <w:szCs w:val="16"/>
              </w:rPr>
              <w:t>296,7</w:t>
            </w:r>
          </w:p>
        </w:tc>
        <w:tc>
          <w:tcPr>
            <w:tcW w:w="1338" w:type="dxa"/>
            <w:tcBorders>
              <w:top w:val="nil"/>
              <w:left w:val="nil"/>
              <w:bottom w:val="nil"/>
              <w:right w:val="nil"/>
            </w:tcBorders>
            <w:shd w:val="clear" w:color="auto" w:fill="auto"/>
            <w:noWrap/>
            <w:vAlign w:val="bottom"/>
            <w:hideMark/>
          </w:tcPr>
          <w:p w14:paraId="17C301DB" w14:textId="3F51ADFD" w:rsidR="00C156AC" w:rsidRPr="0067117F" w:rsidRDefault="00C156AC" w:rsidP="00C156AC">
            <w:pPr>
              <w:spacing w:after="0" w:line="240" w:lineRule="auto"/>
              <w:jc w:val="right"/>
              <w:rPr>
                <w:rFonts w:cs="Arial"/>
                <w:sz w:val="16"/>
                <w:szCs w:val="16"/>
              </w:rPr>
            </w:pPr>
            <w:r>
              <w:rPr>
                <w:rFonts w:cs="Arial"/>
                <w:sz w:val="16"/>
                <w:szCs w:val="16"/>
              </w:rPr>
              <w:t>313,9</w:t>
            </w:r>
          </w:p>
        </w:tc>
        <w:tc>
          <w:tcPr>
            <w:tcW w:w="1338" w:type="dxa"/>
            <w:tcBorders>
              <w:top w:val="nil"/>
              <w:left w:val="nil"/>
              <w:bottom w:val="nil"/>
              <w:right w:val="nil"/>
            </w:tcBorders>
            <w:shd w:val="clear" w:color="auto" w:fill="auto"/>
            <w:noWrap/>
            <w:vAlign w:val="bottom"/>
            <w:hideMark/>
          </w:tcPr>
          <w:p w14:paraId="2F2ADB4B" w14:textId="1D187B68" w:rsidR="00C156AC" w:rsidRPr="0067117F" w:rsidRDefault="00C156AC" w:rsidP="00C156AC">
            <w:pPr>
              <w:spacing w:after="0" w:line="240" w:lineRule="auto"/>
              <w:jc w:val="right"/>
              <w:rPr>
                <w:rFonts w:cs="Arial"/>
                <w:sz w:val="16"/>
                <w:szCs w:val="16"/>
              </w:rPr>
            </w:pPr>
            <w:r>
              <w:rPr>
                <w:rFonts w:cs="Arial"/>
                <w:sz w:val="16"/>
                <w:szCs w:val="16"/>
              </w:rPr>
              <w:t>332,7</w:t>
            </w:r>
          </w:p>
        </w:tc>
      </w:tr>
      <w:tr w:rsidR="00C156AC" w:rsidRPr="0067117F" w14:paraId="62359A39"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145670C9"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Lotyšsko</w:t>
            </w:r>
          </w:p>
        </w:tc>
        <w:tc>
          <w:tcPr>
            <w:tcW w:w="1349" w:type="dxa"/>
            <w:tcBorders>
              <w:top w:val="nil"/>
              <w:left w:val="nil"/>
              <w:bottom w:val="nil"/>
              <w:right w:val="nil"/>
            </w:tcBorders>
            <w:shd w:val="clear" w:color="auto" w:fill="auto"/>
            <w:noWrap/>
            <w:vAlign w:val="bottom"/>
            <w:hideMark/>
          </w:tcPr>
          <w:p w14:paraId="53317B87" w14:textId="591DB7EC" w:rsidR="00C156AC" w:rsidRPr="0067117F" w:rsidRDefault="00C156AC" w:rsidP="00C156AC">
            <w:pPr>
              <w:spacing w:after="0" w:line="240" w:lineRule="auto"/>
              <w:jc w:val="right"/>
              <w:rPr>
                <w:rFonts w:cs="Arial"/>
                <w:sz w:val="16"/>
                <w:szCs w:val="16"/>
              </w:rPr>
            </w:pPr>
            <w:r>
              <w:rPr>
                <w:rFonts w:cs="Arial"/>
                <w:sz w:val="16"/>
                <w:szCs w:val="16"/>
              </w:rPr>
              <w:t>194,5</w:t>
            </w:r>
          </w:p>
        </w:tc>
        <w:tc>
          <w:tcPr>
            <w:tcW w:w="1338" w:type="dxa"/>
            <w:tcBorders>
              <w:top w:val="nil"/>
              <w:left w:val="nil"/>
              <w:bottom w:val="nil"/>
              <w:right w:val="nil"/>
            </w:tcBorders>
            <w:shd w:val="clear" w:color="auto" w:fill="auto"/>
            <w:noWrap/>
            <w:vAlign w:val="bottom"/>
            <w:hideMark/>
          </w:tcPr>
          <w:p w14:paraId="2C5CBFD6" w14:textId="14EA46F5" w:rsidR="00C156AC" w:rsidRPr="0067117F" w:rsidRDefault="00C156AC" w:rsidP="00C156AC">
            <w:pPr>
              <w:spacing w:after="0" w:line="240" w:lineRule="auto"/>
              <w:jc w:val="right"/>
              <w:rPr>
                <w:rFonts w:cs="Arial"/>
                <w:sz w:val="16"/>
                <w:szCs w:val="16"/>
              </w:rPr>
            </w:pPr>
            <w:r>
              <w:rPr>
                <w:rFonts w:cs="Arial"/>
                <w:sz w:val="16"/>
                <w:szCs w:val="16"/>
              </w:rPr>
              <w:t>224,5</w:t>
            </w:r>
          </w:p>
        </w:tc>
        <w:tc>
          <w:tcPr>
            <w:tcW w:w="1338" w:type="dxa"/>
            <w:tcBorders>
              <w:top w:val="nil"/>
              <w:left w:val="nil"/>
              <w:bottom w:val="nil"/>
              <w:right w:val="nil"/>
            </w:tcBorders>
            <w:shd w:val="clear" w:color="auto" w:fill="auto"/>
            <w:noWrap/>
            <w:vAlign w:val="bottom"/>
            <w:hideMark/>
          </w:tcPr>
          <w:p w14:paraId="7D384DC1" w14:textId="6EA42A63" w:rsidR="00C156AC" w:rsidRPr="0067117F" w:rsidRDefault="00C156AC" w:rsidP="00C156AC">
            <w:pPr>
              <w:spacing w:after="0" w:line="240" w:lineRule="auto"/>
              <w:jc w:val="right"/>
              <w:rPr>
                <w:rFonts w:cs="Arial"/>
                <w:sz w:val="16"/>
                <w:szCs w:val="16"/>
              </w:rPr>
            </w:pPr>
            <w:r>
              <w:rPr>
                <w:rFonts w:cs="Arial"/>
                <w:sz w:val="16"/>
                <w:szCs w:val="16"/>
              </w:rPr>
              <w:t>222,8</w:t>
            </w:r>
          </w:p>
        </w:tc>
        <w:tc>
          <w:tcPr>
            <w:tcW w:w="1338" w:type="dxa"/>
            <w:tcBorders>
              <w:top w:val="nil"/>
              <w:left w:val="nil"/>
              <w:bottom w:val="nil"/>
              <w:right w:val="nil"/>
            </w:tcBorders>
            <w:shd w:val="clear" w:color="auto" w:fill="auto"/>
            <w:noWrap/>
            <w:vAlign w:val="bottom"/>
            <w:hideMark/>
          </w:tcPr>
          <w:p w14:paraId="740BDD38" w14:textId="7A5A23B7" w:rsidR="00C156AC" w:rsidRPr="0067117F" w:rsidRDefault="00C156AC" w:rsidP="00C156AC">
            <w:pPr>
              <w:spacing w:after="0" w:line="240" w:lineRule="auto"/>
              <w:jc w:val="right"/>
              <w:rPr>
                <w:rFonts w:cs="Arial"/>
                <w:sz w:val="16"/>
                <w:szCs w:val="16"/>
              </w:rPr>
            </w:pPr>
            <w:r>
              <w:rPr>
                <w:rFonts w:cs="Arial"/>
                <w:sz w:val="16"/>
                <w:szCs w:val="16"/>
              </w:rPr>
              <w:t>248,0</w:t>
            </w:r>
          </w:p>
        </w:tc>
        <w:tc>
          <w:tcPr>
            <w:tcW w:w="1338" w:type="dxa"/>
            <w:tcBorders>
              <w:top w:val="nil"/>
              <w:left w:val="nil"/>
              <w:bottom w:val="nil"/>
              <w:right w:val="nil"/>
            </w:tcBorders>
            <w:shd w:val="clear" w:color="auto" w:fill="auto"/>
            <w:noWrap/>
            <w:vAlign w:val="bottom"/>
            <w:hideMark/>
          </w:tcPr>
          <w:p w14:paraId="0632B425" w14:textId="30ABF738" w:rsidR="00C156AC" w:rsidRPr="0067117F" w:rsidRDefault="00C156AC" w:rsidP="00C156AC">
            <w:pPr>
              <w:spacing w:after="0" w:line="240" w:lineRule="auto"/>
              <w:jc w:val="right"/>
              <w:rPr>
                <w:rFonts w:cs="Arial"/>
                <w:sz w:val="16"/>
                <w:szCs w:val="16"/>
              </w:rPr>
            </w:pPr>
            <w:r>
              <w:rPr>
                <w:rFonts w:cs="Arial"/>
                <w:sz w:val="16"/>
                <w:szCs w:val="16"/>
              </w:rPr>
              <w:t>235,9</w:t>
            </w:r>
          </w:p>
        </w:tc>
      </w:tr>
      <w:tr w:rsidR="00C156AC" w:rsidRPr="0067117F" w14:paraId="79491E7E"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3D6A720C"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Lucembursko</w:t>
            </w:r>
          </w:p>
        </w:tc>
        <w:tc>
          <w:tcPr>
            <w:tcW w:w="1349" w:type="dxa"/>
            <w:tcBorders>
              <w:top w:val="nil"/>
              <w:left w:val="nil"/>
              <w:bottom w:val="nil"/>
              <w:right w:val="nil"/>
            </w:tcBorders>
            <w:shd w:val="clear" w:color="auto" w:fill="auto"/>
            <w:noWrap/>
            <w:vAlign w:val="bottom"/>
            <w:hideMark/>
          </w:tcPr>
          <w:p w14:paraId="37A5FB12" w14:textId="0C59E907" w:rsidR="00C156AC" w:rsidRPr="0067117F" w:rsidRDefault="00C156AC" w:rsidP="00C156AC">
            <w:pPr>
              <w:spacing w:after="0" w:line="240" w:lineRule="auto"/>
              <w:jc w:val="right"/>
              <w:rPr>
                <w:rFonts w:cs="Arial"/>
                <w:sz w:val="16"/>
                <w:szCs w:val="16"/>
              </w:rPr>
            </w:pPr>
            <w:r>
              <w:rPr>
                <w:rFonts w:cs="Arial"/>
                <w:sz w:val="16"/>
                <w:szCs w:val="16"/>
              </w:rPr>
              <w:t>2 324,1</w:t>
            </w:r>
          </w:p>
        </w:tc>
        <w:tc>
          <w:tcPr>
            <w:tcW w:w="1338" w:type="dxa"/>
            <w:tcBorders>
              <w:top w:val="nil"/>
              <w:left w:val="nil"/>
              <w:bottom w:val="nil"/>
              <w:right w:val="nil"/>
            </w:tcBorders>
            <w:shd w:val="clear" w:color="auto" w:fill="auto"/>
            <w:noWrap/>
            <w:vAlign w:val="bottom"/>
            <w:hideMark/>
          </w:tcPr>
          <w:p w14:paraId="759DAAAB" w14:textId="66066D05" w:rsidR="00C156AC" w:rsidRPr="0067117F" w:rsidRDefault="00C156AC" w:rsidP="00C156AC">
            <w:pPr>
              <w:spacing w:after="0" w:line="240" w:lineRule="auto"/>
              <w:jc w:val="right"/>
              <w:rPr>
                <w:rFonts w:cs="Arial"/>
                <w:sz w:val="16"/>
                <w:szCs w:val="16"/>
              </w:rPr>
            </w:pPr>
            <w:r>
              <w:rPr>
                <w:rFonts w:cs="Arial"/>
                <w:sz w:val="16"/>
                <w:szCs w:val="16"/>
              </w:rPr>
              <w:t>2 465,9</w:t>
            </w:r>
          </w:p>
        </w:tc>
        <w:tc>
          <w:tcPr>
            <w:tcW w:w="1338" w:type="dxa"/>
            <w:tcBorders>
              <w:top w:val="nil"/>
              <w:left w:val="nil"/>
              <w:bottom w:val="nil"/>
              <w:right w:val="nil"/>
            </w:tcBorders>
            <w:shd w:val="clear" w:color="auto" w:fill="auto"/>
            <w:noWrap/>
            <w:vAlign w:val="bottom"/>
            <w:hideMark/>
          </w:tcPr>
          <w:p w14:paraId="3CA946C0" w14:textId="21371E5C" w:rsidR="00C156AC" w:rsidRPr="0067117F" w:rsidRDefault="00C156AC" w:rsidP="00C156AC">
            <w:pPr>
              <w:spacing w:after="0" w:line="240" w:lineRule="auto"/>
              <w:jc w:val="right"/>
              <w:rPr>
                <w:rFonts w:cs="Arial"/>
                <w:sz w:val="16"/>
                <w:szCs w:val="16"/>
              </w:rPr>
            </w:pPr>
            <w:r>
              <w:rPr>
                <w:rFonts w:cs="Arial"/>
                <w:sz w:val="16"/>
                <w:szCs w:val="16"/>
              </w:rPr>
              <w:t>2 286,8</w:t>
            </w:r>
          </w:p>
        </w:tc>
        <w:tc>
          <w:tcPr>
            <w:tcW w:w="1338" w:type="dxa"/>
            <w:tcBorders>
              <w:top w:val="nil"/>
              <w:left w:val="nil"/>
              <w:bottom w:val="nil"/>
              <w:right w:val="nil"/>
            </w:tcBorders>
            <w:shd w:val="clear" w:color="auto" w:fill="auto"/>
            <w:noWrap/>
            <w:vAlign w:val="bottom"/>
            <w:hideMark/>
          </w:tcPr>
          <w:p w14:paraId="450C0B7E" w14:textId="0BE7891B" w:rsidR="00C156AC" w:rsidRPr="0067117F" w:rsidRDefault="00C156AC" w:rsidP="00C156AC">
            <w:pPr>
              <w:spacing w:after="0" w:line="240" w:lineRule="auto"/>
              <w:jc w:val="right"/>
              <w:rPr>
                <w:rFonts w:cs="Arial"/>
                <w:sz w:val="16"/>
                <w:szCs w:val="16"/>
              </w:rPr>
            </w:pPr>
            <w:r>
              <w:rPr>
                <w:rFonts w:cs="Arial"/>
                <w:sz w:val="16"/>
                <w:szCs w:val="16"/>
              </w:rPr>
              <w:t>2 255,8</w:t>
            </w:r>
          </w:p>
        </w:tc>
        <w:tc>
          <w:tcPr>
            <w:tcW w:w="1338" w:type="dxa"/>
            <w:tcBorders>
              <w:top w:val="nil"/>
              <w:left w:val="nil"/>
              <w:bottom w:val="nil"/>
              <w:right w:val="nil"/>
            </w:tcBorders>
            <w:shd w:val="clear" w:color="auto" w:fill="auto"/>
            <w:noWrap/>
            <w:vAlign w:val="bottom"/>
            <w:hideMark/>
          </w:tcPr>
          <w:p w14:paraId="7A21AF25" w14:textId="6E20230C" w:rsidR="00C156AC" w:rsidRPr="0067117F" w:rsidRDefault="00C156AC" w:rsidP="00C156AC">
            <w:pPr>
              <w:spacing w:after="0" w:line="240" w:lineRule="auto"/>
              <w:jc w:val="right"/>
              <w:rPr>
                <w:rFonts w:cs="Arial"/>
                <w:sz w:val="16"/>
                <w:szCs w:val="16"/>
              </w:rPr>
            </w:pPr>
            <w:r>
              <w:rPr>
                <w:rFonts w:cs="Arial"/>
                <w:sz w:val="16"/>
                <w:szCs w:val="16"/>
              </w:rPr>
              <w:t>2 510,8</w:t>
            </w:r>
          </w:p>
        </w:tc>
      </w:tr>
      <w:tr w:rsidR="00C156AC" w:rsidRPr="0067117F" w14:paraId="4A404528"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0523B1F3"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Maďarsko</w:t>
            </w:r>
          </w:p>
        </w:tc>
        <w:tc>
          <w:tcPr>
            <w:tcW w:w="1349" w:type="dxa"/>
            <w:tcBorders>
              <w:top w:val="nil"/>
              <w:left w:val="single" w:sz="4" w:space="0" w:color="auto"/>
              <w:bottom w:val="nil"/>
              <w:right w:val="nil"/>
            </w:tcBorders>
            <w:shd w:val="clear" w:color="auto" w:fill="auto"/>
            <w:noWrap/>
            <w:vAlign w:val="bottom"/>
            <w:hideMark/>
          </w:tcPr>
          <w:p w14:paraId="456E7997" w14:textId="7061371C" w:rsidR="00C156AC" w:rsidRPr="0067117F" w:rsidRDefault="00C156AC" w:rsidP="00C156AC">
            <w:pPr>
              <w:spacing w:after="0" w:line="240" w:lineRule="auto"/>
              <w:jc w:val="right"/>
              <w:rPr>
                <w:rFonts w:cs="Arial"/>
                <w:sz w:val="16"/>
                <w:szCs w:val="16"/>
              </w:rPr>
            </w:pPr>
            <w:r>
              <w:rPr>
                <w:rFonts w:cs="Arial"/>
                <w:sz w:val="16"/>
                <w:szCs w:val="16"/>
              </w:rPr>
              <w:t>534,4</w:t>
            </w:r>
          </w:p>
        </w:tc>
        <w:tc>
          <w:tcPr>
            <w:tcW w:w="1338" w:type="dxa"/>
            <w:tcBorders>
              <w:top w:val="nil"/>
              <w:left w:val="nil"/>
              <w:bottom w:val="nil"/>
              <w:right w:val="nil"/>
            </w:tcBorders>
            <w:shd w:val="clear" w:color="auto" w:fill="auto"/>
            <w:noWrap/>
            <w:vAlign w:val="bottom"/>
            <w:hideMark/>
          </w:tcPr>
          <w:p w14:paraId="3A3B662E" w14:textId="044620A2" w:rsidR="00C156AC" w:rsidRPr="0067117F" w:rsidRDefault="00C156AC" w:rsidP="00C156AC">
            <w:pPr>
              <w:spacing w:after="0" w:line="240" w:lineRule="auto"/>
              <w:jc w:val="right"/>
              <w:rPr>
                <w:rFonts w:cs="Arial"/>
                <w:sz w:val="16"/>
                <w:szCs w:val="16"/>
              </w:rPr>
            </w:pPr>
            <w:r>
              <w:rPr>
                <w:rFonts w:cs="Arial"/>
                <w:sz w:val="16"/>
                <w:szCs w:val="16"/>
              </w:rPr>
              <w:t>487,2</w:t>
            </w:r>
          </w:p>
        </w:tc>
        <w:tc>
          <w:tcPr>
            <w:tcW w:w="1338" w:type="dxa"/>
            <w:tcBorders>
              <w:top w:val="nil"/>
              <w:left w:val="nil"/>
              <w:bottom w:val="nil"/>
              <w:right w:val="nil"/>
            </w:tcBorders>
            <w:shd w:val="clear" w:color="auto" w:fill="auto"/>
            <w:noWrap/>
            <w:vAlign w:val="bottom"/>
            <w:hideMark/>
          </w:tcPr>
          <w:p w14:paraId="13CBC1C3" w14:textId="77BD5E61" w:rsidR="00C156AC" w:rsidRPr="0067117F" w:rsidRDefault="00C156AC" w:rsidP="00C156AC">
            <w:pPr>
              <w:spacing w:after="0" w:line="240" w:lineRule="auto"/>
              <w:jc w:val="right"/>
              <w:rPr>
                <w:rFonts w:cs="Arial"/>
                <w:sz w:val="16"/>
                <w:szCs w:val="16"/>
              </w:rPr>
            </w:pPr>
            <w:r>
              <w:rPr>
                <w:rFonts w:cs="Arial"/>
                <w:sz w:val="16"/>
                <w:szCs w:val="16"/>
              </w:rPr>
              <w:t>549,0</w:t>
            </w:r>
          </w:p>
        </w:tc>
        <w:tc>
          <w:tcPr>
            <w:tcW w:w="1338" w:type="dxa"/>
            <w:tcBorders>
              <w:top w:val="nil"/>
              <w:left w:val="nil"/>
              <w:bottom w:val="nil"/>
              <w:right w:val="nil"/>
            </w:tcBorders>
            <w:shd w:val="clear" w:color="auto" w:fill="auto"/>
            <w:noWrap/>
            <w:vAlign w:val="bottom"/>
            <w:hideMark/>
          </w:tcPr>
          <w:p w14:paraId="0AD52185" w14:textId="7DEB3AD5" w:rsidR="00C156AC" w:rsidRPr="0067117F" w:rsidRDefault="00C156AC" w:rsidP="00C156AC">
            <w:pPr>
              <w:spacing w:after="0" w:line="240" w:lineRule="auto"/>
              <w:jc w:val="right"/>
              <w:rPr>
                <w:rFonts w:cs="Arial"/>
                <w:sz w:val="16"/>
                <w:szCs w:val="16"/>
              </w:rPr>
            </w:pPr>
            <w:r>
              <w:rPr>
                <w:rFonts w:cs="Arial"/>
                <w:sz w:val="16"/>
                <w:szCs w:val="16"/>
              </w:rPr>
              <w:t>569,2</w:t>
            </w:r>
          </w:p>
        </w:tc>
        <w:tc>
          <w:tcPr>
            <w:tcW w:w="1338" w:type="dxa"/>
            <w:tcBorders>
              <w:top w:val="nil"/>
              <w:left w:val="nil"/>
              <w:bottom w:val="nil"/>
              <w:right w:val="nil"/>
            </w:tcBorders>
            <w:shd w:val="clear" w:color="auto" w:fill="auto"/>
            <w:noWrap/>
            <w:vAlign w:val="bottom"/>
            <w:hideMark/>
          </w:tcPr>
          <w:p w14:paraId="2D73B054" w14:textId="7240B5CD" w:rsidR="00C156AC" w:rsidRPr="0067117F" w:rsidRDefault="00C156AC" w:rsidP="00C156AC">
            <w:pPr>
              <w:spacing w:after="0" w:line="240" w:lineRule="auto"/>
              <w:jc w:val="right"/>
              <w:rPr>
                <w:rFonts w:cs="Arial"/>
                <w:sz w:val="16"/>
                <w:szCs w:val="16"/>
              </w:rPr>
            </w:pPr>
            <w:r>
              <w:rPr>
                <w:rFonts w:cs="Arial"/>
                <w:sz w:val="16"/>
                <w:szCs w:val="16"/>
              </w:rPr>
              <w:t>722,2</w:t>
            </w:r>
          </w:p>
        </w:tc>
      </w:tr>
      <w:tr w:rsidR="00C156AC" w:rsidRPr="0067117F" w14:paraId="23865274"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1EA9E3AE"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Malta</w:t>
            </w:r>
          </w:p>
        </w:tc>
        <w:tc>
          <w:tcPr>
            <w:tcW w:w="1349" w:type="dxa"/>
            <w:tcBorders>
              <w:top w:val="nil"/>
              <w:left w:val="single" w:sz="4" w:space="0" w:color="auto"/>
              <w:bottom w:val="nil"/>
              <w:right w:val="nil"/>
            </w:tcBorders>
            <w:shd w:val="clear" w:color="auto" w:fill="auto"/>
            <w:noWrap/>
            <w:vAlign w:val="bottom"/>
            <w:hideMark/>
          </w:tcPr>
          <w:p w14:paraId="76903D02" w14:textId="7D09D0B1" w:rsidR="00C156AC" w:rsidRPr="0067117F" w:rsidRDefault="00C156AC" w:rsidP="00C156AC">
            <w:pPr>
              <w:spacing w:after="0" w:line="240" w:lineRule="auto"/>
              <w:jc w:val="right"/>
              <w:rPr>
                <w:rFonts w:cs="Arial"/>
                <w:sz w:val="16"/>
                <w:szCs w:val="16"/>
              </w:rPr>
            </w:pPr>
            <w:r>
              <w:rPr>
                <w:rFonts w:cs="Arial"/>
                <w:sz w:val="16"/>
                <w:szCs w:val="16"/>
              </w:rPr>
              <w:t>2 008,7</w:t>
            </w:r>
          </w:p>
        </w:tc>
        <w:tc>
          <w:tcPr>
            <w:tcW w:w="1338" w:type="dxa"/>
            <w:tcBorders>
              <w:top w:val="nil"/>
              <w:left w:val="nil"/>
              <w:bottom w:val="nil"/>
              <w:right w:val="nil"/>
            </w:tcBorders>
            <w:shd w:val="clear" w:color="auto" w:fill="auto"/>
            <w:noWrap/>
            <w:vAlign w:val="bottom"/>
            <w:hideMark/>
          </w:tcPr>
          <w:p w14:paraId="16817BC7" w14:textId="70F4CC92" w:rsidR="00C156AC" w:rsidRPr="0067117F" w:rsidRDefault="00C156AC" w:rsidP="00C156AC">
            <w:pPr>
              <w:spacing w:after="0" w:line="240" w:lineRule="auto"/>
              <w:jc w:val="right"/>
              <w:rPr>
                <w:rFonts w:cs="Arial"/>
                <w:sz w:val="16"/>
                <w:szCs w:val="16"/>
              </w:rPr>
            </w:pPr>
            <w:r>
              <w:rPr>
                <w:rFonts w:cs="Arial"/>
                <w:sz w:val="16"/>
                <w:szCs w:val="16"/>
              </w:rPr>
              <w:t>1 888,1</w:t>
            </w:r>
          </w:p>
        </w:tc>
        <w:tc>
          <w:tcPr>
            <w:tcW w:w="1338" w:type="dxa"/>
            <w:tcBorders>
              <w:top w:val="nil"/>
              <w:left w:val="nil"/>
              <w:bottom w:val="nil"/>
              <w:right w:val="nil"/>
            </w:tcBorders>
            <w:shd w:val="clear" w:color="auto" w:fill="auto"/>
            <w:noWrap/>
            <w:vAlign w:val="bottom"/>
            <w:hideMark/>
          </w:tcPr>
          <w:p w14:paraId="00763320" w14:textId="426E0B7A" w:rsidR="00C156AC" w:rsidRPr="0067117F" w:rsidRDefault="00C156AC" w:rsidP="00C156AC">
            <w:pPr>
              <w:spacing w:after="0" w:line="240" w:lineRule="auto"/>
              <w:jc w:val="right"/>
              <w:rPr>
                <w:rFonts w:cs="Arial"/>
                <w:sz w:val="16"/>
                <w:szCs w:val="16"/>
              </w:rPr>
            </w:pPr>
            <w:r>
              <w:rPr>
                <w:rFonts w:cs="Arial"/>
                <w:sz w:val="16"/>
                <w:szCs w:val="16"/>
              </w:rPr>
              <w:t>1 863,7</w:t>
            </w:r>
          </w:p>
        </w:tc>
        <w:tc>
          <w:tcPr>
            <w:tcW w:w="1338" w:type="dxa"/>
            <w:tcBorders>
              <w:top w:val="nil"/>
              <w:left w:val="nil"/>
              <w:bottom w:val="nil"/>
              <w:right w:val="nil"/>
            </w:tcBorders>
            <w:shd w:val="clear" w:color="auto" w:fill="auto"/>
            <w:noWrap/>
            <w:vAlign w:val="bottom"/>
            <w:hideMark/>
          </w:tcPr>
          <w:p w14:paraId="5193FE15" w14:textId="31D6DDD7" w:rsidR="00C156AC" w:rsidRPr="0067117F" w:rsidRDefault="00C156AC" w:rsidP="00C156AC">
            <w:pPr>
              <w:spacing w:after="0" w:line="240" w:lineRule="auto"/>
              <w:jc w:val="right"/>
              <w:rPr>
                <w:rFonts w:cs="Arial"/>
                <w:sz w:val="16"/>
                <w:szCs w:val="16"/>
              </w:rPr>
            </w:pPr>
            <w:r>
              <w:rPr>
                <w:rFonts w:cs="Arial"/>
                <w:sz w:val="16"/>
                <w:szCs w:val="16"/>
              </w:rPr>
              <w:t>1 675,0</w:t>
            </w:r>
          </w:p>
        </w:tc>
        <w:tc>
          <w:tcPr>
            <w:tcW w:w="1338" w:type="dxa"/>
            <w:tcBorders>
              <w:top w:val="nil"/>
              <w:left w:val="nil"/>
              <w:bottom w:val="nil"/>
              <w:right w:val="nil"/>
            </w:tcBorders>
            <w:shd w:val="clear" w:color="auto" w:fill="auto"/>
            <w:noWrap/>
            <w:vAlign w:val="bottom"/>
            <w:hideMark/>
          </w:tcPr>
          <w:p w14:paraId="358752F5" w14:textId="509C8B77" w:rsidR="00C156AC" w:rsidRPr="0067117F" w:rsidRDefault="00C156AC" w:rsidP="00C156AC">
            <w:pPr>
              <w:spacing w:after="0" w:line="240" w:lineRule="auto"/>
              <w:jc w:val="right"/>
              <w:rPr>
                <w:rFonts w:cs="Arial"/>
                <w:sz w:val="16"/>
                <w:szCs w:val="16"/>
              </w:rPr>
            </w:pPr>
            <w:r>
              <w:rPr>
                <w:rFonts w:cs="Arial"/>
                <w:sz w:val="16"/>
                <w:szCs w:val="16"/>
              </w:rPr>
              <w:t>1 507,4</w:t>
            </w:r>
          </w:p>
        </w:tc>
      </w:tr>
      <w:tr w:rsidR="00C156AC" w:rsidRPr="0067117F" w14:paraId="6DC3791B"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7315F09F"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Německo</w:t>
            </w:r>
          </w:p>
        </w:tc>
        <w:tc>
          <w:tcPr>
            <w:tcW w:w="1349" w:type="dxa"/>
            <w:tcBorders>
              <w:top w:val="nil"/>
              <w:left w:val="nil"/>
              <w:bottom w:val="nil"/>
              <w:right w:val="nil"/>
            </w:tcBorders>
            <w:shd w:val="clear" w:color="auto" w:fill="auto"/>
            <w:noWrap/>
            <w:vAlign w:val="bottom"/>
            <w:hideMark/>
          </w:tcPr>
          <w:p w14:paraId="2BBD04B7" w14:textId="16EDAC3F" w:rsidR="00C156AC" w:rsidRPr="0067117F" w:rsidRDefault="00C156AC" w:rsidP="00C156AC">
            <w:pPr>
              <w:spacing w:after="0" w:line="240" w:lineRule="auto"/>
              <w:jc w:val="right"/>
              <w:rPr>
                <w:rFonts w:cs="Arial"/>
                <w:sz w:val="16"/>
                <w:szCs w:val="16"/>
              </w:rPr>
            </w:pPr>
            <w:r>
              <w:rPr>
                <w:rFonts w:cs="Arial"/>
                <w:sz w:val="16"/>
                <w:szCs w:val="16"/>
              </w:rPr>
              <w:t>2 202,5</w:t>
            </w:r>
          </w:p>
        </w:tc>
        <w:tc>
          <w:tcPr>
            <w:tcW w:w="1338" w:type="dxa"/>
            <w:tcBorders>
              <w:top w:val="nil"/>
              <w:left w:val="nil"/>
              <w:bottom w:val="nil"/>
              <w:right w:val="nil"/>
            </w:tcBorders>
            <w:shd w:val="clear" w:color="auto" w:fill="auto"/>
            <w:noWrap/>
            <w:vAlign w:val="bottom"/>
            <w:hideMark/>
          </w:tcPr>
          <w:p w14:paraId="0D6AAB30" w14:textId="0A4F07DB" w:rsidR="00C156AC" w:rsidRPr="0067117F" w:rsidRDefault="00C156AC" w:rsidP="00C156AC">
            <w:pPr>
              <w:spacing w:after="0" w:line="240" w:lineRule="auto"/>
              <w:jc w:val="right"/>
              <w:rPr>
                <w:rFonts w:cs="Arial"/>
                <w:sz w:val="16"/>
                <w:szCs w:val="16"/>
              </w:rPr>
            </w:pPr>
            <w:r>
              <w:rPr>
                <w:rFonts w:cs="Arial"/>
                <w:sz w:val="16"/>
                <w:szCs w:val="16"/>
              </w:rPr>
              <w:t>2 178,4</w:t>
            </w:r>
          </w:p>
        </w:tc>
        <w:tc>
          <w:tcPr>
            <w:tcW w:w="1338" w:type="dxa"/>
            <w:tcBorders>
              <w:top w:val="nil"/>
              <w:left w:val="nil"/>
              <w:bottom w:val="nil"/>
              <w:right w:val="nil"/>
            </w:tcBorders>
            <w:shd w:val="clear" w:color="auto" w:fill="auto"/>
            <w:noWrap/>
            <w:vAlign w:val="bottom"/>
            <w:hideMark/>
          </w:tcPr>
          <w:p w14:paraId="50360796" w14:textId="63EF0D90" w:rsidR="00C156AC" w:rsidRPr="0067117F" w:rsidRDefault="00C156AC" w:rsidP="00C156AC">
            <w:pPr>
              <w:spacing w:after="0" w:line="240" w:lineRule="auto"/>
              <w:jc w:val="right"/>
              <w:rPr>
                <w:rFonts w:cs="Arial"/>
                <w:sz w:val="16"/>
                <w:szCs w:val="16"/>
              </w:rPr>
            </w:pPr>
            <w:r>
              <w:rPr>
                <w:rFonts w:cs="Arial"/>
                <w:sz w:val="16"/>
                <w:szCs w:val="16"/>
              </w:rPr>
              <w:t>2 118,7</w:t>
            </w:r>
          </w:p>
        </w:tc>
        <w:tc>
          <w:tcPr>
            <w:tcW w:w="1338" w:type="dxa"/>
            <w:tcBorders>
              <w:top w:val="nil"/>
              <w:left w:val="nil"/>
              <w:bottom w:val="nil"/>
              <w:right w:val="nil"/>
            </w:tcBorders>
            <w:shd w:val="clear" w:color="auto" w:fill="auto"/>
            <w:noWrap/>
            <w:vAlign w:val="bottom"/>
            <w:hideMark/>
          </w:tcPr>
          <w:p w14:paraId="43CDD358" w14:textId="3BD37694" w:rsidR="00C156AC" w:rsidRPr="0067117F" w:rsidRDefault="00C156AC" w:rsidP="00C156AC">
            <w:pPr>
              <w:spacing w:after="0" w:line="240" w:lineRule="auto"/>
              <w:jc w:val="right"/>
              <w:rPr>
                <w:rFonts w:cs="Arial"/>
                <w:sz w:val="16"/>
                <w:szCs w:val="16"/>
              </w:rPr>
            </w:pPr>
            <w:r>
              <w:rPr>
                <w:rFonts w:cs="Arial"/>
                <w:sz w:val="16"/>
                <w:szCs w:val="16"/>
              </w:rPr>
              <w:t>2 091,3</w:t>
            </w:r>
          </w:p>
        </w:tc>
        <w:tc>
          <w:tcPr>
            <w:tcW w:w="1338" w:type="dxa"/>
            <w:tcBorders>
              <w:top w:val="nil"/>
              <w:left w:val="nil"/>
              <w:bottom w:val="nil"/>
              <w:right w:val="nil"/>
            </w:tcBorders>
            <w:shd w:val="clear" w:color="auto" w:fill="auto"/>
            <w:noWrap/>
            <w:vAlign w:val="bottom"/>
            <w:hideMark/>
          </w:tcPr>
          <w:p w14:paraId="4A31A63E" w14:textId="4A32C6CF" w:rsidR="00C156AC" w:rsidRPr="0067117F" w:rsidRDefault="00C156AC" w:rsidP="00C156AC">
            <w:pPr>
              <w:spacing w:after="0" w:line="240" w:lineRule="auto"/>
              <w:jc w:val="right"/>
              <w:rPr>
                <w:rFonts w:cs="Arial"/>
                <w:sz w:val="16"/>
                <w:szCs w:val="16"/>
              </w:rPr>
            </w:pPr>
            <w:r>
              <w:rPr>
                <w:rFonts w:cs="Arial"/>
                <w:sz w:val="16"/>
                <w:szCs w:val="16"/>
              </w:rPr>
              <w:t>2 079,0</w:t>
            </w:r>
          </w:p>
        </w:tc>
      </w:tr>
      <w:tr w:rsidR="00C156AC" w:rsidRPr="0067117F" w14:paraId="0573B845" w14:textId="77777777" w:rsidTr="00683CE8">
        <w:trPr>
          <w:trHeight w:val="300"/>
        </w:trPr>
        <w:tc>
          <w:tcPr>
            <w:tcW w:w="1699" w:type="dxa"/>
            <w:tcBorders>
              <w:top w:val="nil"/>
              <w:left w:val="nil"/>
              <w:bottom w:val="nil"/>
              <w:right w:val="single" w:sz="4" w:space="0" w:color="auto"/>
            </w:tcBorders>
            <w:shd w:val="clear" w:color="auto" w:fill="auto"/>
            <w:noWrap/>
            <w:vAlign w:val="bottom"/>
            <w:hideMark/>
          </w:tcPr>
          <w:p w14:paraId="7F09DFD0"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Nizozemsko</w:t>
            </w:r>
          </w:p>
        </w:tc>
        <w:tc>
          <w:tcPr>
            <w:tcW w:w="1349" w:type="dxa"/>
            <w:tcBorders>
              <w:top w:val="nil"/>
              <w:left w:val="nil"/>
              <w:bottom w:val="nil"/>
              <w:right w:val="nil"/>
            </w:tcBorders>
            <w:shd w:val="clear" w:color="auto" w:fill="auto"/>
            <w:noWrap/>
            <w:vAlign w:val="bottom"/>
            <w:hideMark/>
          </w:tcPr>
          <w:p w14:paraId="38DC3B0E" w14:textId="76040037" w:rsidR="00C156AC" w:rsidRPr="0067117F" w:rsidRDefault="00C156AC" w:rsidP="00C156AC">
            <w:pPr>
              <w:spacing w:after="0" w:line="240" w:lineRule="auto"/>
              <w:jc w:val="right"/>
              <w:rPr>
                <w:rFonts w:cs="Arial"/>
                <w:sz w:val="16"/>
                <w:szCs w:val="16"/>
              </w:rPr>
            </w:pPr>
            <w:r>
              <w:rPr>
                <w:rFonts w:cs="Arial"/>
                <w:sz w:val="16"/>
                <w:szCs w:val="16"/>
              </w:rPr>
              <w:t>2 663,4</w:t>
            </w:r>
          </w:p>
        </w:tc>
        <w:tc>
          <w:tcPr>
            <w:tcW w:w="1338" w:type="dxa"/>
            <w:tcBorders>
              <w:top w:val="nil"/>
              <w:left w:val="nil"/>
              <w:bottom w:val="nil"/>
              <w:right w:val="nil"/>
            </w:tcBorders>
            <w:shd w:val="clear" w:color="auto" w:fill="auto"/>
            <w:noWrap/>
            <w:vAlign w:val="bottom"/>
            <w:hideMark/>
          </w:tcPr>
          <w:p w14:paraId="73D251BD" w14:textId="33E47CB0" w:rsidR="00C156AC" w:rsidRPr="0067117F" w:rsidRDefault="00C156AC" w:rsidP="00C156AC">
            <w:pPr>
              <w:spacing w:after="0" w:line="240" w:lineRule="auto"/>
              <w:jc w:val="right"/>
              <w:rPr>
                <w:rFonts w:cs="Arial"/>
                <w:sz w:val="16"/>
                <w:szCs w:val="16"/>
              </w:rPr>
            </w:pPr>
            <w:r>
              <w:rPr>
                <w:rFonts w:cs="Arial"/>
                <w:sz w:val="16"/>
                <w:szCs w:val="16"/>
              </w:rPr>
              <w:t>2 278,2</w:t>
            </w:r>
          </w:p>
        </w:tc>
        <w:tc>
          <w:tcPr>
            <w:tcW w:w="1338" w:type="dxa"/>
            <w:tcBorders>
              <w:top w:val="nil"/>
              <w:left w:val="nil"/>
              <w:bottom w:val="nil"/>
              <w:right w:val="nil"/>
            </w:tcBorders>
            <w:shd w:val="clear" w:color="auto" w:fill="D9D9D9" w:themeFill="background1" w:themeFillShade="D9"/>
            <w:noWrap/>
            <w:vAlign w:val="bottom"/>
            <w:hideMark/>
          </w:tcPr>
          <w:p w14:paraId="6696AEB4" w14:textId="576D87C2" w:rsidR="00C156AC" w:rsidRPr="0067117F" w:rsidRDefault="00C156AC" w:rsidP="00C156AC">
            <w:pPr>
              <w:spacing w:after="0" w:line="240" w:lineRule="auto"/>
              <w:jc w:val="right"/>
              <w:rPr>
                <w:rFonts w:cs="Arial"/>
                <w:sz w:val="16"/>
                <w:szCs w:val="16"/>
              </w:rPr>
            </w:pPr>
            <w:r>
              <w:rPr>
                <w:rFonts w:cs="Arial"/>
                <w:sz w:val="16"/>
                <w:szCs w:val="16"/>
              </w:rPr>
              <w:t>1</w:t>
            </w:r>
            <w:r w:rsidR="00C062EB">
              <w:rPr>
                <w:rFonts w:cs="Arial"/>
                <w:sz w:val="16"/>
                <w:szCs w:val="16"/>
              </w:rPr>
              <w:t xml:space="preserve"> </w:t>
            </w:r>
            <w:r>
              <w:rPr>
                <w:rFonts w:cs="Arial"/>
                <w:sz w:val="16"/>
                <w:szCs w:val="16"/>
              </w:rPr>
              <w:t>393,6</w:t>
            </w:r>
          </w:p>
        </w:tc>
        <w:tc>
          <w:tcPr>
            <w:tcW w:w="1338" w:type="dxa"/>
            <w:tcBorders>
              <w:top w:val="nil"/>
              <w:left w:val="nil"/>
              <w:bottom w:val="nil"/>
              <w:right w:val="nil"/>
            </w:tcBorders>
            <w:shd w:val="clear" w:color="auto" w:fill="auto"/>
            <w:noWrap/>
            <w:vAlign w:val="bottom"/>
            <w:hideMark/>
          </w:tcPr>
          <w:p w14:paraId="3DB910B9" w14:textId="79C39C98" w:rsidR="00C156AC" w:rsidRPr="0067117F" w:rsidRDefault="00C156AC" w:rsidP="00C156AC">
            <w:pPr>
              <w:spacing w:after="0" w:line="240" w:lineRule="auto"/>
              <w:jc w:val="right"/>
              <w:rPr>
                <w:rFonts w:cs="Arial"/>
                <w:sz w:val="16"/>
                <w:szCs w:val="16"/>
              </w:rPr>
            </w:pPr>
            <w:r>
              <w:rPr>
                <w:rFonts w:cs="Arial"/>
                <w:sz w:val="16"/>
                <w:szCs w:val="16"/>
              </w:rPr>
              <w:t>1 241,1</w:t>
            </w:r>
          </w:p>
        </w:tc>
        <w:tc>
          <w:tcPr>
            <w:tcW w:w="1338" w:type="dxa"/>
            <w:tcBorders>
              <w:top w:val="nil"/>
              <w:left w:val="nil"/>
              <w:bottom w:val="nil"/>
              <w:right w:val="nil"/>
            </w:tcBorders>
            <w:shd w:val="clear" w:color="auto" w:fill="auto"/>
            <w:noWrap/>
            <w:vAlign w:val="bottom"/>
            <w:hideMark/>
          </w:tcPr>
          <w:p w14:paraId="7FC3612B" w14:textId="2EB86FF2" w:rsidR="00C156AC" w:rsidRPr="0067117F" w:rsidRDefault="00C156AC" w:rsidP="00C156AC">
            <w:pPr>
              <w:spacing w:after="0" w:line="240" w:lineRule="auto"/>
              <w:jc w:val="right"/>
              <w:rPr>
                <w:rFonts w:cs="Arial"/>
                <w:sz w:val="16"/>
                <w:szCs w:val="16"/>
              </w:rPr>
            </w:pPr>
            <w:r>
              <w:rPr>
                <w:rFonts w:cs="Arial"/>
                <w:sz w:val="16"/>
                <w:szCs w:val="16"/>
              </w:rPr>
              <w:t>1 304,1</w:t>
            </w:r>
          </w:p>
        </w:tc>
      </w:tr>
      <w:tr w:rsidR="00C156AC" w:rsidRPr="0067117F" w14:paraId="20AF5E21"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4370D61B"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Polsko</w:t>
            </w:r>
          </w:p>
        </w:tc>
        <w:tc>
          <w:tcPr>
            <w:tcW w:w="1349" w:type="dxa"/>
            <w:tcBorders>
              <w:top w:val="nil"/>
              <w:left w:val="nil"/>
              <w:bottom w:val="nil"/>
              <w:right w:val="nil"/>
            </w:tcBorders>
            <w:shd w:val="clear" w:color="auto" w:fill="auto"/>
            <w:noWrap/>
            <w:vAlign w:val="bottom"/>
            <w:hideMark/>
          </w:tcPr>
          <w:p w14:paraId="5AD295A2" w14:textId="6F84941F" w:rsidR="00C156AC" w:rsidRPr="0067117F" w:rsidRDefault="00C156AC" w:rsidP="00C156AC">
            <w:pPr>
              <w:spacing w:after="0" w:line="240" w:lineRule="auto"/>
              <w:jc w:val="right"/>
              <w:rPr>
                <w:rFonts w:cs="Arial"/>
                <w:sz w:val="16"/>
                <w:szCs w:val="16"/>
              </w:rPr>
            </w:pPr>
            <w:r>
              <w:rPr>
                <w:rFonts w:cs="Arial"/>
                <w:sz w:val="16"/>
                <w:szCs w:val="16"/>
              </w:rPr>
              <w:t>607,2</w:t>
            </w:r>
          </w:p>
        </w:tc>
        <w:tc>
          <w:tcPr>
            <w:tcW w:w="1338" w:type="dxa"/>
            <w:tcBorders>
              <w:top w:val="nil"/>
              <w:left w:val="nil"/>
              <w:bottom w:val="nil"/>
              <w:right w:val="nil"/>
            </w:tcBorders>
            <w:shd w:val="clear" w:color="auto" w:fill="auto"/>
            <w:noWrap/>
            <w:vAlign w:val="bottom"/>
            <w:hideMark/>
          </w:tcPr>
          <w:p w14:paraId="5BC36129" w14:textId="6717BD61" w:rsidR="00C156AC" w:rsidRPr="0067117F" w:rsidRDefault="00C156AC" w:rsidP="00C156AC">
            <w:pPr>
              <w:spacing w:after="0" w:line="240" w:lineRule="auto"/>
              <w:jc w:val="right"/>
              <w:rPr>
                <w:rFonts w:cs="Arial"/>
                <w:sz w:val="16"/>
                <w:szCs w:val="16"/>
              </w:rPr>
            </w:pPr>
            <w:r>
              <w:rPr>
                <w:rFonts w:cs="Arial"/>
                <w:sz w:val="16"/>
                <w:szCs w:val="16"/>
              </w:rPr>
              <w:t>540,8</w:t>
            </w:r>
          </w:p>
        </w:tc>
        <w:tc>
          <w:tcPr>
            <w:tcW w:w="1338" w:type="dxa"/>
            <w:tcBorders>
              <w:top w:val="nil"/>
              <w:left w:val="nil"/>
              <w:bottom w:val="nil"/>
              <w:right w:val="nil"/>
            </w:tcBorders>
            <w:shd w:val="clear" w:color="auto" w:fill="auto"/>
            <w:noWrap/>
            <w:vAlign w:val="bottom"/>
            <w:hideMark/>
          </w:tcPr>
          <w:p w14:paraId="71733EA7" w14:textId="010EFF5D" w:rsidR="00C156AC" w:rsidRPr="0067117F" w:rsidRDefault="00C156AC" w:rsidP="00C156AC">
            <w:pPr>
              <w:spacing w:after="0" w:line="240" w:lineRule="auto"/>
              <w:jc w:val="right"/>
              <w:rPr>
                <w:rFonts w:cs="Arial"/>
                <w:sz w:val="16"/>
                <w:szCs w:val="16"/>
              </w:rPr>
            </w:pPr>
            <w:r>
              <w:rPr>
                <w:rFonts w:cs="Arial"/>
                <w:sz w:val="16"/>
                <w:szCs w:val="16"/>
              </w:rPr>
              <w:t>525,2</w:t>
            </w:r>
          </w:p>
        </w:tc>
        <w:tc>
          <w:tcPr>
            <w:tcW w:w="1338" w:type="dxa"/>
            <w:tcBorders>
              <w:top w:val="nil"/>
              <w:left w:val="nil"/>
              <w:bottom w:val="nil"/>
              <w:right w:val="nil"/>
            </w:tcBorders>
            <w:shd w:val="clear" w:color="auto" w:fill="auto"/>
            <w:noWrap/>
            <w:vAlign w:val="bottom"/>
            <w:hideMark/>
          </w:tcPr>
          <w:p w14:paraId="6D3787EC" w14:textId="0E52FD49" w:rsidR="00C156AC" w:rsidRPr="0067117F" w:rsidRDefault="00C156AC" w:rsidP="00C156AC">
            <w:pPr>
              <w:spacing w:after="0" w:line="240" w:lineRule="auto"/>
              <w:jc w:val="right"/>
              <w:rPr>
                <w:rFonts w:cs="Arial"/>
                <w:sz w:val="16"/>
                <w:szCs w:val="16"/>
              </w:rPr>
            </w:pPr>
            <w:r>
              <w:rPr>
                <w:rFonts w:cs="Arial"/>
                <w:sz w:val="16"/>
                <w:szCs w:val="16"/>
              </w:rPr>
              <w:t>535,1</w:t>
            </w:r>
          </w:p>
        </w:tc>
        <w:tc>
          <w:tcPr>
            <w:tcW w:w="1338" w:type="dxa"/>
            <w:tcBorders>
              <w:top w:val="nil"/>
              <w:left w:val="nil"/>
              <w:bottom w:val="nil"/>
              <w:right w:val="nil"/>
            </w:tcBorders>
            <w:shd w:val="clear" w:color="auto" w:fill="auto"/>
            <w:noWrap/>
            <w:vAlign w:val="bottom"/>
            <w:hideMark/>
          </w:tcPr>
          <w:p w14:paraId="0666614C" w14:textId="3D9C10E9" w:rsidR="00C156AC" w:rsidRPr="0067117F" w:rsidRDefault="00C156AC" w:rsidP="00C156AC">
            <w:pPr>
              <w:spacing w:after="0" w:line="240" w:lineRule="auto"/>
              <w:jc w:val="right"/>
              <w:rPr>
                <w:rFonts w:cs="Arial"/>
                <w:sz w:val="16"/>
                <w:szCs w:val="16"/>
              </w:rPr>
            </w:pPr>
            <w:r>
              <w:rPr>
                <w:rFonts w:cs="Arial"/>
                <w:sz w:val="16"/>
                <w:szCs w:val="16"/>
              </w:rPr>
              <w:t>537,7</w:t>
            </w:r>
          </w:p>
        </w:tc>
      </w:tr>
      <w:tr w:rsidR="00C156AC" w:rsidRPr="0067117F" w14:paraId="73006F06"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02BAD057"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Portugalsko</w:t>
            </w:r>
          </w:p>
        </w:tc>
        <w:tc>
          <w:tcPr>
            <w:tcW w:w="1349" w:type="dxa"/>
            <w:tcBorders>
              <w:top w:val="nil"/>
              <w:left w:val="nil"/>
              <w:bottom w:val="nil"/>
              <w:right w:val="nil"/>
            </w:tcBorders>
            <w:shd w:val="clear" w:color="auto" w:fill="auto"/>
            <w:noWrap/>
            <w:vAlign w:val="bottom"/>
            <w:hideMark/>
          </w:tcPr>
          <w:p w14:paraId="53D73D7F" w14:textId="19323300" w:rsidR="00C156AC" w:rsidRPr="0067117F" w:rsidRDefault="00C156AC" w:rsidP="00C156AC">
            <w:pPr>
              <w:spacing w:after="0" w:line="240" w:lineRule="auto"/>
              <w:jc w:val="right"/>
              <w:rPr>
                <w:rFonts w:cs="Arial"/>
                <w:sz w:val="16"/>
                <w:szCs w:val="16"/>
              </w:rPr>
            </w:pPr>
            <w:r>
              <w:rPr>
                <w:rFonts w:cs="Arial"/>
                <w:sz w:val="16"/>
                <w:szCs w:val="16"/>
              </w:rPr>
              <w:t>3 563,5</w:t>
            </w:r>
          </w:p>
        </w:tc>
        <w:tc>
          <w:tcPr>
            <w:tcW w:w="1338" w:type="dxa"/>
            <w:tcBorders>
              <w:top w:val="nil"/>
              <w:left w:val="nil"/>
              <w:bottom w:val="nil"/>
              <w:right w:val="nil"/>
            </w:tcBorders>
            <w:shd w:val="clear" w:color="auto" w:fill="auto"/>
            <w:noWrap/>
            <w:vAlign w:val="bottom"/>
            <w:hideMark/>
          </w:tcPr>
          <w:p w14:paraId="035F0B35" w14:textId="3595F50C" w:rsidR="00C156AC" w:rsidRPr="0067117F" w:rsidRDefault="00C156AC" w:rsidP="00C156AC">
            <w:pPr>
              <w:spacing w:after="0" w:line="240" w:lineRule="auto"/>
              <w:jc w:val="right"/>
              <w:rPr>
                <w:rFonts w:cs="Arial"/>
                <w:sz w:val="16"/>
                <w:szCs w:val="16"/>
              </w:rPr>
            </w:pPr>
            <w:r>
              <w:rPr>
                <w:rFonts w:cs="Arial"/>
                <w:sz w:val="16"/>
                <w:szCs w:val="16"/>
              </w:rPr>
              <w:t>3 618,8</w:t>
            </w:r>
          </w:p>
        </w:tc>
        <w:tc>
          <w:tcPr>
            <w:tcW w:w="1338" w:type="dxa"/>
            <w:tcBorders>
              <w:top w:val="nil"/>
              <w:left w:val="nil"/>
              <w:bottom w:val="nil"/>
              <w:right w:val="nil"/>
            </w:tcBorders>
            <w:shd w:val="clear" w:color="auto" w:fill="auto"/>
            <w:noWrap/>
            <w:vAlign w:val="bottom"/>
            <w:hideMark/>
          </w:tcPr>
          <w:p w14:paraId="703DA11B" w14:textId="2CD4C1CA" w:rsidR="00C156AC" w:rsidRPr="0067117F" w:rsidRDefault="00C156AC" w:rsidP="00C156AC">
            <w:pPr>
              <w:spacing w:after="0" w:line="240" w:lineRule="auto"/>
              <w:jc w:val="right"/>
              <w:rPr>
                <w:rFonts w:cs="Arial"/>
                <w:sz w:val="16"/>
                <w:szCs w:val="16"/>
              </w:rPr>
            </w:pPr>
            <w:r>
              <w:rPr>
                <w:rFonts w:cs="Arial"/>
                <w:sz w:val="16"/>
                <w:szCs w:val="16"/>
              </w:rPr>
              <w:t>3 582,2</w:t>
            </w:r>
          </w:p>
        </w:tc>
        <w:tc>
          <w:tcPr>
            <w:tcW w:w="1338" w:type="dxa"/>
            <w:tcBorders>
              <w:top w:val="nil"/>
              <w:left w:val="nil"/>
              <w:bottom w:val="nil"/>
              <w:right w:val="nil"/>
            </w:tcBorders>
            <w:shd w:val="clear" w:color="auto" w:fill="auto"/>
            <w:noWrap/>
            <w:vAlign w:val="bottom"/>
            <w:hideMark/>
          </w:tcPr>
          <w:p w14:paraId="075A7323" w14:textId="25386480" w:rsidR="00C156AC" w:rsidRPr="0067117F" w:rsidRDefault="00C156AC" w:rsidP="00C156AC">
            <w:pPr>
              <w:spacing w:after="0" w:line="240" w:lineRule="auto"/>
              <w:jc w:val="right"/>
              <w:rPr>
                <w:rFonts w:cs="Arial"/>
                <w:sz w:val="16"/>
                <w:szCs w:val="16"/>
              </w:rPr>
            </w:pPr>
            <w:r>
              <w:rPr>
                <w:rFonts w:cs="Arial"/>
                <w:sz w:val="16"/>
                <w:szCs w:val="16"/>
              </w:rPr>
              <w:t>3 677,2</w:t>
            </w:r>
          </w:p>
        </w:tc>
        <w:tc>
          <w:tcPr>
            <w:tcW w:w="1338" w:type="dxa"/>
            <w:tcBorders>
              <w:top w:val="nil"/>
              <w:left w:val="nil"/>
              <w:bottom w:val="nil"/>
              <w:right w:val="nil"/>
            </w:tcBorders>
            <w:shd w:val="clear" w:color="auto" w:fill="auto"/>
            <w:noWrap/>
            <w:vAlign w:val="bottom"/>
            <w:hideMark/>
          </w:tcPr>
          <w:p w14:paraId="33FFAF9A" w14:textId="2CAE56CC" w:rsidR="00C156AC" w:rsidRPr="0067117F" w:rsidRDefault="00C156AC" w:rsidP="00C156AC">
            <w:pPr>
              <w:spacing w:after="0" w:line="240" w:lineRule="auto"/>
              <w:jc w:val="right"/>
              <w:rPr>
                <w:rFonts w:cs="Arial"/>
                <w:sz w:val="16"/>
                <w:szCs w:val="16"/>
              </w:rPr>
            </w:pPr>
            <w:r>
              <w:rPr>
                <w:rFonts w:cs="Arial"/>
                <w:sz w:val="16"/>
                <w:szCs w:val="16"/>
              </w:rPr>
              <w:t>3 589,5</w:t>
            </w:r>
          </w:p>
        </w:tc>
      </w:tr>
      <w:tr w:rsidR="00C156AC" w:rsidRPr="0067117F" w14:paraId="494F827D"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72B02F57"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Rakousko</w:t>
            </w:r>
          </w:p>
        </w:tc>
        <w:tc>
          <w:tcPr>
            <w:tcW w:w="1349" w:type="dxa"/>
            <w:tcBorders>
              <w:top w:val="nil"/>
              <w:left w:val="nil"/>
              <w:bottom w:val="nil"/>
              <w:right w:val="nil"/>
            </w:tcBorders>
            <w:shd w:val="clear" w:color="auto" w:fill="auto"/>
            <w:noWrap/>
            <w:vAlign w:val="bottom"/>
            <w:hideMark/>
          </w:tcPr>
          <w:p w14:paraId="6C1507AD" w14:textId="5F8C28B5" w:rsidR="00C156AC" w:rsidRPr="0067117F" w:rsidRDefault="00C156AC" w:rsidP="00C156AC">
            <w:pPr>
              <w:spacing w:after="0" w:line="240" w:lineRule="auto"/>
              <w:jc w:val="right"/>
              <w:rPr>
                <w:rFonts w:cs="Arial"/>
                <w:sz w:val="16"/>
                <w:szCs w:val="16"/>
              </w:rPr>
            </w:pPr>
            <w:r>
              <w:rPr>
                <w:rFonts w:cs="Arial"/>
                <w:sz w:val="16"/>
                <w:szCs w:val="16"/>
              </w:rPr>
              <w:t>1 902,5</w:t>
            </w:r>
          </w:p>
        </w:tc>
        <w:tc>
          <w:tcPr>
            <w:tcW w:w="1338" w:type="dxa"/>
            <w:tcBorders>
              <w:top w:val="nil"/>
              <w:left w:val="nil"/>
              <w:bottom w:val="nil"/>
              <w:right w:val="nil"/>
            </w:tcBorders>
            <w:shd w:val="clear" w:color="auto" w:fill="auto"/>
            <w:noWrap/>
            <w:vAlign w:val="bottom"/>
            <w:hideMark/>
          </w:tcPr>
          <w:p w14:paraId="7DD4676A" w14:textId="40B0992E" w:rsidR="00C156AC" w:rsidRPr="0067117F" w:rsidRDefault="00C156AC" w:rsidP="00C156AC">
            <w:pPr>
              <w:spacing w:after="0" w:line="240" w:lineRule="auto"/>
              <w:jc w:val="right"/>
              <w:rPr>
                <w:rFonts w:cs="Arial"/>
                <w:sz w:val="16"/>
                <w:szCs w:val="16"/>
              </w:rPr>
            </w:pPr>
            <w:r>
              <w:rPr>
                <w:rFonts w:cs="Arial"/>
                <w:sz w:val="16"/>
                <w:szCs w:val="16"/>
              </w:rPr>
              <w:t>1 840,2</w:t>
            </w:r>
          </w:p>
        </w:tc>
        <w:tc>
          <w:tcPr>
            <w:tcW w:w="1338" w:type="dxa"/>
            <w:tcBorders>
              <w:top w:val="nil"/>
              <w:left w:val="nil"/>
              <w:bottom w:val="nil"/>
              <w:right w:val="nil"/>
            </w:tcBorders>
            <w:shd w:val="clear" w:color="auto" w:fill="auto"/>
            <w:noWrap/>
            <w:vAlign w:val="bottom"/>
            <w:hideMark/>
          </w:tcPr>
          <w:p w14:paraId="5890392E" w14:textId="32EE1096" w:rsidR="00C156AC" w:rsidRPr="0067117F" w:rsidRDefault="00C156AC" w:rsidP="00C156AC">
            <w:pPr>
              <w:spacing w:after="0" w:line="240" w:lineRule="auto"/>
              <w:jc w:val="right"/>
              <w:rPr>
                <w:rFonts w:cs="Arial"/>
                <w:sz w:val="16"/>
                <w:szCs w:val="16"/>
              </w:rPr>
            </w:pPr>
            <w:r>
              <w:rPr>
                <w:rFonts w:cs="Arial"/>
                <w:sz w:val="16"/>
                <w:szCs w:val="16"/>
              </w:rPr>
              <w:t>1 806,0</w:t>
            </w:r>
          </w:p>
        </w:tc>
        <w:tc>
          <w:tcPr>
            <w:tcW w:w="1338" w:type="dxa"/>
            <w:tcBorders>
              <w:top w:val="nil"/>
              <w:left w:val="nil"/>
              <w:bottom w:val="nil"/>
              <w:right w:val="nil"/>
            </w:tcBorders>
            <w:shd w:val="clear" w:color="auto" w:fill="auto"/>
            <w:noWrap/>
            <w:vAlign w:val="bottom"/>
            <w:hideMark/>
          </w:tcPr>
          <w:p w14:paraId="2FEE744D" w14:textId="5FD793F4" w:rsidR="00C156AC" w:rsidRPr="0067117F" w:rsidRDefault="00C156AC" w:rsidP="00C156AC">
            <w:pPr>
              <w:spacing w:after="0" w:line="240" w:lineRule="auto"/>
              <w:jc w:val="right"/>
              <w:rPr>
                <w:rFonts w:cs="Arial"/>
                <w:sz w:val="16"/>
                <w:szCs w:val="16"/>
              </w:rPr>
            </w:pPr>
            <w:r>
              <w:rPr>
                <w:rFonts w:cs="Arial"/>
                <w:sz w:val="16"/>
                <w:szCs w:val="16"/>
              </w:rPr>
              <w:t>1 749,8</w:t>
            </w:r>
          </w:p>
        </w:tc>
        <w:tc>
          <w:tcPr>
            <w:tcW w:w="1338" w:type="dxa"/>
            <w:tcBorders>
              <w:top w:val="nil"/>
              <w:left w:val="nil"/>
              <w:bottom w:val="nil"/>
              <w:right w:val="nil"/>
            </w:tcBorders>
            <w:shd w:val="clear" w:color="auto" w:fill="auto"/>
            <w:noWrap/>
            <w:vAlign w:val="bottom"/>
            <w:hideMark/>
          </w:tcPr>
          <w:p w14:paraId="69F07899" w14:textId="66BAABCD" w:rsidR="00C156AC" w:rsidRPr="0067117F" w:rsidRDefault="00C156AC" w:rsidP="00C156AC">
            <w:pPr>
              <w:spacing w:after="0" w:line="240" w:lineRule="auto"/>
              <w:jc w:val="right"/>
              <w:rPr>
                <w:rFonts w:cs="Arial"/>
                <w:sz w:val="16"/>
                <w:szCs w:val="16"/>
              </w:rPr>
            </w:pPr>
            <w:r>
              <w:rPr>
                <w:rFonts w:cs="Arial"/>
                <w:sz w:val="16"/>
                <w:szCs w:val="16"/>
              </w:rPr>
              <w:t>2 102,3</w:t>
            </w:r>
          </w:p>
        </w:tc>
      </w:tr>
      <w:tr w:rsidR="00C156AC" w:rsidRPr="0067117F" w14:paraId="168D7548"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0A4DC763"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Rumunsko</w:t>
            </w:r>
          </w:p>
        </w:tc>
        <w:tc>
          <w:tcPr>
            <w:tcW w:w="1349" w:type="dxa"/>
            <w:tcBorders>
              <w:top w:val="nil"/>
              <w:left w:val="nil"/>
              <w:bottom w:val="nil"/>
              <w:right w:val="nil"/>
            </w:tcBorders>
            <w:shd w:val="clear" w:color="auto" w:fill="auto"/>
            <w:noWrap/>
            <w:vAlign w:val="bottom"/>
            <w:hideMark/>
          </w:tcPr>
          <w:p w14:paraId="64E6C980" w14:textId="0372ED2E" w:rsidR="00C156AC" w:rsidRPr="0067117F" w:rsidRDefault="00C156AC" w:rsidP="00C156AC">
            <w:pPr>
              <w:spacing w:after="0" w:line="240" w:lineRule="auto"/>
              <w:jc w:val="right"/>
              <w:rPr>
                <w:rFonts w:cs="Arial"/>
                <w:sz w:val="16"/>
                <w:szCs w:val="16"/>
              </w:rPr>
            </w:pPr>
            <w:r>
              <w:rPr>
                <w:rFonts w:cs="Arial"/>
                <w:sz w:val="16"/>
                <w:szCs w:val="16"/>
              </w:rPr>
              <w:t>72,5</w:t>
            </w:r>
          </w:p>
        </w:tc>
        <w:tc>
          <w:tcPr>
            <w:tcW w:w="1338" w:type="dxa"/>
            <w:tcBorders>
              <w:top w:val="nil"/>
              <w:left w:val="nil"/>
              <w:bottom w:val="nil"/>
              <w:right w:val="nil"/>
            </w:tcBorders>
            <w:shd w:val="clear" w:color="auto" w:fill="auto"/>
            <w:noWrap/>
            <w:vAlign w:val="bottom"/>
            <w:hideMark/>
          </w:tcPr>
          <w:p w14:paraId="04CD179C" w14:textId="3CC8FB29" w:rsidR="00C156AC" w:rsidRPr="0067117F" w:rsidRDefault="00C156AC" w:rsidP="00C156AC">
            <w:pPr>
              <w:spacing w:after="0" w:line="240" w:lineRule="auto"/>
              <w:jc w:val="right"/>
              <w:rPr>
                <w:rFonts w:cs="Arial"/>
                <w:sz w:val="16"/>
                <w:szCs w:val="16"/>
              </w:rPr>
            </w:pPr>
            <w:r>
              <w:rPr>
                <w:rFonts w:cs="Arial"/>
                <w:sz w:val="16"/>
                <w:szCs w:val="16"/>
              </w:rPr>
              <w:t>76,7</w:t>
            </w:r>
          </w:p>
        </w:tc>
        <w:tc>
          <w:tcPr>
            <w:tcW w:w="1338" w:type="dxa"/>
            <w:tcBorders>
              <w:top w:val="nil"/>
              <w:left w:val="nil"/>
              <w:bottom w:val="nil"/>
              <w:right w:val="nil"/>
            </w:tcBorders>
            <w:shd w:val="clear" w:color="auto" w:fill="auto"/>
            <w:noWrap/>
            <w:vAlign w:val="bottom"/>
            <w:hideMark/>
          </w:tcPr>
          <w:p w14:paraId="4B0F628F" w14:textId="207DF263" w:rsidR="00C156AC" w:rsidRPr="0067117F" w:rsidRDefault="00C156AC" w:rsidP="00C156AC">
            <w:pPr>
              <w:spacing w:after="0" w:line="240" w:lineRule="auto"/>
              <w:jc w:val="right"/>
              <w:rPr>
                <w:rFonts w:cs="Arial"/>
                <w:sz w:val="16"/>
                <w:szCs w:val="16"/>
              </w:rPr>
            </w:pPr>
            <w:r>
              <w:rPr>
                <w:rFonts w:cs="Arial"/>
                <w:sz w:val="16"/>
                <w:szCs w:val="16"/>
              </w:rPr>
              <w:t>74,8</w:t>
            </w:r>
          </w:p>
        </w:tc>
        <w:tc>
          <w:tcPr>
            <w:tcW w:w="1338" w:type="dxa"/>
            <w:tcBorders>
              <w:top w:val="nil"/>
              <w:left w:val="nil"/>
              <w:bottom w:val="nil"/>
              <w:right w:val="nil"/>
            </w:tcBorders>
            <w:shd w:val="clear" w:color="auto" w:fill="auto"/>
            <w:noWrap/>
            <w:vAlign w:val="bottom"/>
            <w:hideMark/>
          </w:tcPr>
          <w:p w14:paraId="2844EC34" w14:textId="1B62954A" w:rsidR="00C156AC" w:rsidRPr="0067117F" w:rsidRDefault="00C156AC" w:rsidP="00C156AC">
            <w:pPr>
              <w:spacing w:after="0" w:line="240" w:lineRule="auto"/>
              <w:jc w:val="right"/>
              <w:rPr>
                <w:rFonts w:cs="Arial"/>
                <w:sz w:val="16"/>
                <w:szCs w:val="16"/>
              </w:rPr>
            </w:pPr>
            <w:r>
              <w:rPr>
                <w:rFonts w:cs="Arial"/>
                <w:sz w:val="16"/>
                <w:szCs w:val="16"/>
              </w:rPr>
              <w:t>85,8</w:t>
            </w:r>
          </w:p>
        </w:tc>
        <w:tc>
          <w:tcPr>
            <w:tcW w:w="1338" w:type="dxa"/>
            <w:tcBorders>
              <w:top w:val="nil"/>
              <w:left w:val="nil"/>
              <w:bottom w:val="nil"/>
              <w:right w:val="nil"/>
            </w:tcBorders>
            <w:shd w:val="clear" w:color="auto" w:fill="auto"/>
            <w:noWrap/>
            <w:vAlign w:val="bottom"/>
            <w:hideMark/>
          </w:tcPr>
          <w:p w14:paraId="77266213" w14:textId="6EACF3E2" w:rsidR="00C156AC" w:rsidRPr="0067117F" w:rsidRDefault="00C156AC" w:rsidP="00C156AC">
            <w:pPr>
              <w:spacing w:after="0" w:line="240" w:lineRule="auto"/>
              <w:jc w:val="right"/>
              <w:rPr>
                <w:rFonts w:cs="Arial"/>
                <w:sz w:val="16"/>
                <w:szCs w:val="16"/>
              </w:rPr>
            </w:pPr>
            <w:r>
              <w:rPr>
                <w:rFonts w:cs="Arial"/>
                <w:sz w:val="16"/>
                <w:szCs w:val="16"/>
              </w:rPr>
              <w:t>87,4</w:t>
            </w:r>
          </w:p>
        </w:tc>
      </w:tr>
      <w:tr w:rsidR="00C156AC" w:rsidRPr="0067117F" w14:paraId="3B568A64" w14:textId="77777777" w:rsidTr="00683CE8">
        <w:trPr>
          <w:trHeight w:val="300"/>
        </w:trPr>
        <w:tc>
          <w:tcPr>
            <w:tcW w:w="1699" w:type="dxa"/>
            <w:tcBorders>
              <w:top w:val="nil"/>
              <w:left w:val="nil"/>
              <w:bottom w:val="nil"/>
              <w:right w:val="single" w:sz="4" w:space="0" w:color="auto"/>
            </w:tcBorders>
            <w:shd w:val="clear" w:color="auto" w:fill="auto"/>
            <w:noWrap/>
            <w:vAlign w:val="bottom"/>
            <w:hideMark/>
          </w:tcPr>
          <w:p w14:paraId="4BD900BB"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Řecko</w:t>
            </w:r>
          </w:p>
        </w:tc>
        <w:tc>
          <w:tcPr>
            <w:tcW w:w="1349" w:type="dxa"/>
            <w:tcBorders>
              <w:top w:val="nil"/>
              <w:left w:val="nil"/>
              <w:bottom w:val="nil"/>
              <w:right w:val="nil"/>
            </w:tcBorders>
            <w:shd w:val="clear" w:color="auto" w:fill="auto"/>
            <w:noWrap/>
            <w:vAlign w:val="bottom"/>
            <w:hideMark/>
          </w:tcPr>
          <w:p w14:paraId="5EFDDAE7" w14:textId="514DBE34" w:rsidR="00C156AC" w:rsidRPr="0067117F" w:rsidRDefault="00C156AC" w:rsidP="00C156AC">
            <w:pPr>
              <w:spacing w:after="0" w:line="240" w:lineRule="auto"/>
              <w:jc w:val="right"/>
              <w:rPr>
                <w:rFonts w:cs="Arial"/>
                <w:sz w:val="16"/>
                <w:szCs w:val="16"/>
              </w:rPr>
            </w:pPr>
            <w:r>
              <w:rPr>
                <w:rFonts w:cs="Arial"/>
                <w:sz w:val="16"/>
                <w:szCs w:val="16"/>
              </w:rPr>
              <w:t>459,5</w:t>
            </w:r>
          </w:p>
        </w:tc>
        <w:tc>
          <w:tcPr>
            <w:tcW w:w="1338" w:type="dxa"/>
            <w:tcBorders>
              <w:top w:val="nil"/>
              <w:left w:val="nil"/>
              <w:bottom w:val="nil"/>
              <w:right w:val="nil"/>
            </w:tcBorders>
            <w:shd w:val="clear" w:color="auto" w:fill="auto"/>
            <w:noWrap/>
            <w:vAlign w:val="bottom"/>
            <w:hideMark/>
          </w:tcPr>
          <w:p w14:paraId="4BC3A902" w14:textId="01AC3E73" w:rsidR="00C156AC" w:rsidRPr="0067117F" w:rsidRDefault="00C156AC" w:rsidP="00C156AC">
            <w:pPr>
              <w:spacing w:after="0" w:line="240" w:lineRule="auto"/>
              <w:jc w:val="right"/>
              <w:rPr>
                <w:rFonts w:cs="Arial"/>
                <w:sz w:val="16"/>
                <w:szCs w:val="16"/>
              </w:rPr>
            </w:pPr>
            <w:r>
              <w:rPr>
                <w:rFonts w:cs="Arial"/>
                <w:sz w:val="16"/>
                <w:szCs w:val="16"/>
              </w:rPr>
              <w:t>447,0</w:t>
            </w:r>
          </w:p>
        </w:tc>
        <w:tc>
          <w:tcPr>
            <w:tcW w:w="1338" w:type="dxa"/>
            <w:tcBorders>
              <w:top w:val="nil"/>
              <w:left w:val="nil"/>
              <w:bottom w:val="nil"/>
              <w:right w:val="nil"/>
            </w:tcBorders>
            <w:shd w:val="clear" w:color="auto" w:fill="D9D9D9" w:themeFill="background1" w:themeFillShade="D9"/>
            <w:noWrap/>
            <w:vAlign w:val="bottom"/>
            <w:hideMark/>
          </w:tcPr>
          <w:p w14:paraId="2C378A71" w14:textId="4A21ABB0" w:rsidR="00C156AC" w:rsidRPr="0067117F" w:rsidRDefault="00C156AC" w:rsidP="00C156AC">
            <w:pPr>
              <w:spacing w:after="0" w:line="240" w:lineRule="auto"/>
              <w:jc w:val="right"/>
              <w:rPr>
                <w:rFonts w:cs="Arial"/>
                <w:sz w:val="16"/>
                <w:szCs w:val="16"/>
              </w:rPr>
            </w:pPr>
            <w:r>
              <w:rPr>
                <w:rFonts w:cs="Arial"/>
                <w:sz w:val="16"/>
                <w:szCs w:val="16"/>
              </w:rPr>
              <w:t>152,1</w:t>
            </w:r>
          </w:p>
        </w:tc>
        <w:tc>
          <w:tcPr>
            <w:tcW w:w="1338" w:type="dxa"/>
            <w:tcBorders>
              <w:top w:val="nil"/>
              <w:left w:val="nil"/>
              <w:bottom w:val="nil"/>
              <w:right w:val="nil"/>
            </w:tcBorders>
            <w:shd w:val="clear" w:color="auto" w:fill="auto"/>
            <w:noWrap/>
            <w:vAlign w:val="bottom"/>
            <w:hideMark/>
          </w:tcPr>
          <w:p w14:paraId="69C6ED49" w14:textId="42D8B2C7" w:rsidR="00C156AC" w:rsidRPr="0067117F" w:rsidRDefault="00C156AC" w:rsidP="00C156AC">
            <w:pPr>
              <w:spacing w:after="0" w:line="240" w:lineRule="auto"/>
              <w:jc w:val="right"/>
              <w:rPr>
                <w:rFonts w:cs="Arial"/>
                <w:sz w:val="16"/>
                <w:szCs w:val="16"/>
              </w:rPr>
            </w:pPr>
            <w:r>
              <w:rPr>
                <w:rFonts w:cs="Arial"/>
                <w:sz w:val="16"/>
                <w:szCs w:val="16"/>
              </w:rPr>
              <w:t>241,4</w:t>
            </w:r>
          </w:p>
        </w:tc>
        <w:tc>
          <w:tcPr>
            <w:tcW w:w="1338" w:type="dxa"/>
            <w:tcBorders>
              <w:top w:val="nil"/>
              <w:left w:val="nil"/>
              <w:bottom w:val="nil"/>
              <w:right w:val="nil"/>
            </w:tcBorders>
            <w:shd w:val="clear" w:color="auto" w:fill="auto"/>
            <w:noWrap/>
            <w:vAlign w:val="bottom"/>
            <w:hideMark/>
          </w:tcPr>
          <w:p w14:paraId="0F89FA5D" w14:textId="118ECBB8" w:rsidR="00C156AC" w:rsidRPr="0067117F" w:rsidRDefault="00C156AC" w:rsidP="00C156AC">
            <w:pPr>
              <w:spacing w:after="0" w:line="240" w:lineRule="auto"/>
              <w:jc w:val="right"/>
              <w:rPr>
                <w:rFonts w:cs="Arial"/>
                <w:sz w:val="16"/>
                <w:szCs w:val="16"/>
              </w:rPr>
            </w:pPr>
            <w:r>
              <w:rPr>
                <w:rFonts w:cs="Arial"/>
                <w:sz w:val="16"/>
                <w:szCs w:val="16"/>
              </w:rPr>
              <w:t>229,1</w:t>
            </w:r>
          </w:p>
        </w:tc>
      </w:tr>
      <w:tr w:rsidR="00C062EB" w:rsidRPr="0067117F" w14:paraId="2CE6C79D" w14:textId="77777777" w:rsidTr="00E33415">
        <w:trPr>
          <w:trHeight w:val="300"/>
        </w:trPr>
        <w:tc>
          <w:tcPr>
            <w:tcW w:w="1699" w:type="dxa"/>
            <w:tcBorders>
              <w:top w:val="nil"/>
              <w:left w:val="nil"/>
              <w:bottom w:val="nil"/>
              <w:right w:val="single" w:sz="4" w:space="0" w:color="auto"/>
            </w:tcBorders>
            <w:shd w:val="clear" w:color="auto" w:fill="auto"/>
            <w:noWrap/>
            <w:vAlign w:val="bottom"/>
            <w:hideMark/>
          </w:tcPr>
          <w:p w14:paraId="0289A146" w14:textId="77777777" w:rsidR="00C062EB" w:rsidRPr="0067117F" w:rsidRDefault="00C062EB" w:rsidP="00E33415">
            <w:pPr>
              <w:spacing w:after="0" w:line="240" w:lineRule="auto"/>
              <w:ind w:firstLineChars="100" w:firstLine="160"/>
              <w:rPr>
                <w:rFonts w:ascii="Arial CE" w:hAnsi="Arial CE" w:cs="Arial CE"/>
                <w:sz w:val="16"/>
                <w:szCs w:val="16"/>
              </w:rPr>
            </w:pPr>
            <w:r>
              <w:rPr>
                <w:rFonts w:ascii="Arial CE" w:hAnsi="Arial CE" w:cs="Arial CE"/>
                <w:sz w:val="16"/>
                <w:szCs w:val="16"/>
              </w:rPr>
              <w:t>Slove</w:t>
            </w:r>
            <w:r w:rsidRPr="0067117F">
              <w:rPr>
                <w:rFonts w:ascii="Arial CE" w:hAnsi="Arial CE" w:cs="Arial CE"/>
                <w:sz w:val="16"/>
                <w:szCs w:val="16"/>
              </w:rPr>
              <w:t>nsko</w:t>
            </w:r>
          </w:p>
        </w:tc>
        <w:tc>
          <w:tcPr>
            <w:tcW w:w="1349" w:type="dxa"/>
            <w:tcBorders>
              <w:top w:val="nil"/>
              <w:left w:val="nil"/>
              <w:bottom w:val="nil"/>
              <w:right w:val="nil"/>
            </w:tcBorders>
            <w:shd w:val="clear" w:color="auto" w:fill="auto"/>
            <w:noWrap/>
            <w:vAlign w:val="bottom"/>
            <w:hideMark/>
          </w:tcPr>
          <w:p w14:paraId="74FCAD9A" w14:textId="77777777" w:rsidR="00C062EB" w:rsidRPr="0067117F" w:rsidRDefault="00C062EB" w:rsidP="00E33415">
            <w:pPr>
              <w:spacing w:after="0" w:line="240" w:lineRule="auto"/>
              <w:jc w:val="right"/>
              <w:rPr>
                <w:rFonts w:cs="Arial"/>
                <w:sz w:val="16"/>
                <w:szCs w:val="16"/>
              </w:rPr>
            </w:pPr>
            <w:r>
              <w:rPr>
                <w:rFonts w:cs="Arial"/>
                <w:sz w:val="16"/>
                <w:szCs w:val="16"/>
              </w:rPr>
              <w:t>421,2</w:t>
            </w:r>
          </w:p>
        </w:tc>
        <w:tc>
          <w:tcPr>
            <w:tcW w:w="1338" w:type="dxa"/>
            <w:tcBorders>
              <w:top w:val="nil"/>
              <w:left w:val="nil"/>
              <w:bottom w:val="nil"/>
              <w:right w:val="nil"/>
            </w:tcBorders>
            <w:shd w:val="clear" w:color="auto" w:fill="auto"/>
            <w:noWrap/>
            <w:vAlign w:val="bottom"/>
            <w:hideMark/>
          </w:tcPr>
          <w:p w14:paraId="1C9CEF7A" w14:textId="77777777" w:rsidR="00C062EB" w:rsidRPr="0067117F" w:rsidRDefault="00C062EB" w:rsidP="00E33415">
            <w:pPr>
              <w:spacing w:after="0" w:line="240" w:lineRule="auto"/>
              <w:jc w:val="right"/>
              <w:rPr>
                <w:rFonts w:cs="Arial"/>
                <w:sz w:val="16"/>
                <w:szCs w:val="16"/>
              </w:rPr>
            </w:pPr>
            <w:r>
              <w:rPr>
                <w:rFonts w:cs="Arial"/>
                <w:sz w:val="16"/>
                <w:szCs w:val="16"/>
              </w:rPr>
              <w:t>426,9</w:t>
            </w:r>
          </w:p>
        </w:tc>
        <w:tc>
          <w:tcPr>
            <w:tcW w:w="1338" w:type="dxa"/>
            <w:tcBorders>
              <w:top w:val="nil"/>
              <w:left w:val="nil"/>
              <w:bottom w:val="nil"/>
              <w:right w:val="nil"/>
            </w:tcBorders>
            <w:shd w:val="clear" w:color="auto" w:fill="auto"/>
            <w:noWrap/>
            <w:vAlign w:val="bottom"/>
            <w:hideMark/>
          </w:tcPr>
          <w:p w14:paraId="4B9BCF8C" w14:textId="77777777" w:rsidR="00C062EB" w:rsidRPr="0067117F" w:rsidRDefault="00C062EB" w:rsidP="00E33415">
            <w:pPr>
              <w:spacing w:after="0" w:line="240" w:lineRule="auto"/>
              <w:jc w:val="right"/>
              <w:rPr>
                <w:rFonts w:cs="Arial"/>
                <w:sz w:val="16"/>
                <w:szCs w:val="16"/>
              </w:rPr>
            </w:pPr>
            <w:r>
              <w:rPr>
                <w:rFonts w:cs="Arial"/>
                <w:sz w:val="16"/>
                <w:szCs w:val="16"/>
              </w:rPr>
              <w:t>414,9</w:t>
            </w:r>
          </w:p>
        </w:tc>
        <w:tc>
          <w:tcPr>
            <w:tcW w:w="1338" w:type="dxa"/>
            <w:tcBorders>
              <w:top w:val="nil"/>
              <w:left w:val="nil"/>
              <w:bottom w:val="nil"/>
              <w:right w:val="nil"/>
            </w:tcBorders>
            <w:shd w:val="clear" w:color="auto" w:fill="auto"/>
            <w:noWrap/>
            <w:vAlign w:val="bottom"/>
            <w:hideMark/>
          </w:tcPr>
          <w:p w14:paraId="3375F87D" w14:textId="77777777" w:rsidR="00C062EB" w:rsidRPr="0067117F" w:rsidRDefault="00C062EB" w:rsidP="00E33415">
            <w:pPr>
              <w:spacing w:after="0" w:line="240" w:lineRule="auto"/>
              <w:jc w:val="right"/>
              <w:rPr>
                <w:rFonts w:cs="Arial"/>
                <w:sz w:val="16"/>
                <w:szCs w:val="16"/>
              </w:rPr>
            </w:pPr>
            <w:r>
              <w:rPr>
                <w:rFonts w:cs="Arial"/>
                <w:sz w:val="16"/>
                <w:szCs w:val="16"/>
              </w:rPr>
              <w:t>525,9</w:t>
            </w:r>
          </w:p>
        </w:tc>
        <w:tc>
          <w:tcPr>
            <w:tcW w:w="1338" w:type="dxa"/>
            <w:tcBorders>
              <w:top w:val="nil"/>
              <w:left w:val="nil"/>
              <w:bottom w:val="nil"/>
              <w:right w:val="nil"/>
            </w:tcBorders>
            <w:shd w:val="clear" w:color="auto" w:fill="auto"/>
            <w:noWrap/>
            <w:vAlign w:val="bottom"/>
            <w:hideMark/>
          </w:tcPr>
          <w:p w14:paraId="4FCAA9F4" w14:textId="77777777" w:rsidR="00C062EB" w:rsidRPr="0067117F" w:rsidRDefault="00C062EB" w:rsidP="00E33415">
            <w:pPr>
              <w:spacing w:after="0" w:line="240" w:lineRule="auto"/>
              <w:jc w:val="right"/>
              <w:rPr>
                <w:rFonts w:cs="Arial"/>
                <w:sz w:val="16"/>
                <w:szCs w:val="16"/>
              </w:rPr>
            </w:pPr>
            <w:r>
              <w:rPr>
                <w:rFonts w:cs="Arial"/>
                <w:sz w:val="16"/>
                <w:szCs w:val="16"/>
              </w:rPr>
              <w:t>533,5</w:t>
            </w:r>
          </w:p>
        </w:tc>
      </w:tr>
      <w:tr w:rsidR="00C156AC" w:rsidRPr="0067117F" w14:paraId="49490583"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0207F88C" w14:textId="432637D0" w:rsidR="00C156AC" w:rsidRPr="0067117F" w:rsidRDefault="00C156AC" w:rsidP="00C062EB">
            <w:pPr>
              <w:spacing w:after="0" w:line="240" w:lineRule="auto"/>
              <w:ind w:firstLineChars="100" w:firstLine="160"/>
              <w:rPr>
                <w:rFonts w:ascii="Arial CE" w:hAnsi="Arial CE" w:cs="Arial CE"/>
                <w:sz w:val="16"/>
                <w:szCs w:val="16"/>
              </w:rPr>
            </w:pPr>
            <w:r w:rsidRPr="0067117F">
              <w:rPr>
                <w:rFonts w:ascii="Arial CE" w:hAnsi="Arial CE" w:cs="Arial CE"/>
                <w:sz w:val="16"/>
                <w:szCs w:val="16"/>
              </w:rPr>
              <w:t>Slov</w:t>
            </w:r>
            <w:r w:rsidR="00C062EB">
              <w:rPr>
                <w:rFonts w:ascii="Arial CE" w:hAnsi="Arial CE" w:cs="Arial CE"/>
                <w:sz w:val="16"/>
                <w:szCs w:val="16"/>
              </w:rPr>
              <w:t>i</w:t>
            </w:r>
            <w:r w:rsidRPr="0067117F">
              <w:rPr>
                <w:rFonts w:ascii="Arial CE" w:hAnsi="Arial CE" w:cs="Arial CE"/>
                <w:sz w:val="16"/>
                <w:szCs w:val="16"/>
              </w:rPr>
              <w:t>nsko</w:t>
            </w:r>
          </w:p>
        </w:tc>
        <w:tc>
          <w:tcPr>
            <w:tcW w:w="1349" w:type="dxa"/>
            <w:tcBorders>
              <w:top w:val="nil"/>
              <w:left w:val="nil"/>
              <w:bottom w:val="nil"/>
              <w:right w:val="nil"/>
            </w:tcBorders>
            <w:shd w:val="clear" w:color="auto" w:fill="auto"/>
            <w:noWrap/>
            <w:vAlign w:val="bottom"/>
            <w:hideMark/>
          </w:tcPr>
          <w:p w14:paraId="06D6BAA6" w14:textId="20C4024E" w:rsidR="00C156AC" w:rsidRPr="0067117F" w:rsidRDefault="00C156AC" w:rsidP="00C156AC">
            <w:pPr>
              <w:spacing w:after="0" w:line="240" w:lineRule="auto"/>
              <w:jc w:val="right"/>
              <w:rPr>
                <w:rFonts w:cs="Arial"/>
                <w:sz w:val="16"/>
                <w:szCs w:val="16"/>
              </w:rPr>
            </w:pPr>
            <w:r>
              <w:rPr>
                <w:rFonts w:cs="Arial"/>
                <w:sz w:val="16"/>
                <w:szCs w:val="16"/>
              </w:rPr>
              <w:t>1 787,7</w:t>
            </w:r>
          </w:p>
        </w:tc>
        <w:tc>
          <w:tcPr>
            <w:tcW w:w="1338" w:type="dxa"/>
            <w:tcBorders>
              <w:top w:val="nil"/>
              <w:left w:val="nil"/>
              <w:bottom w:val="nil"/>
              <w:right w:val="nil"/>
            </w:tcBorders>
            <w:shd w:val="clear" w:color="auto" w:fill="auto"/>
            <w:noWrap/>
            <w:vAlign w:val="bottom"/>
            <w:hideMark/>
          </w:tcPr>
          <w:p w14:paraId="76C33717" w14:textId="7EEB884D" w:rsidR="00C156AC" w:rsidRPr="0067117F" w:rsidRDefault="00C156AC" w:rsidP="00C156AC">
            <w:pPr>
              <w:spacing w:after="0" w:line="240" w:lineRule="auto"/>
              <w:jc w:val="right"/>
              <w:rPr>
                <w:rFonts w:cs="Arial"/>
                <w:sz w:val="16"/>
                <w:szCs w:val="16"/>
              </w:rPr>
            </w:pPr>
            <w:r>
              <w:rPr>
                <w:rFonts w:cs="Arial"/>
                <w:sz w:val="16"/>
                <w:szCs w:val="16"/>
              </w:rPr>
              <w:t>1 594,7</w:t>
            </w:r>
          </w:p>
        </w:tc>
        <w:tc>
          <w:tcPr>
            <w:tcW w:w="1338" w:type="dxa"/>
            <w:tcBorders>
              <w:top w:val="nil"/>
              <w:left w:val="nil"/>
              <w:bottom w:val="nil"/>
              <w:right w:val="nil"/>
            </w:tcBorders>
            <w:shd w:val="clear" w:color="auto" w:fill="auto"/>
            <w:noWrap/>
            <w:vAlign w:val="bottom"/>
            <w:hideMark/>
          </w:tcPr>
          <w:p w14:paraId="3A255473" w14:textId="18204D7F" w:rsidR="00C156AC" w:rsidRPr="0067117F" w:rsidRDefault="00C156AC" w:rsidP="00C156AC">
            <w:pPr>
              <w:spacing w:after="0" w:line="240" w:lineRule="auto"/>
              <w:jc w:val="right"/>
              <w:rPr>
                <w:rFonts w:cs="Arial"/>
                <w:sz w:val="16"/>
                <w:szCs w:val="16"/>
              </w:rPr>
            </w:pPr>
            <w:r>
              <w:rPr>
                <w:rFonts w:cs="Arial"/>
                <w:sz w:val="16"/>
                <w:szCs w:val="16"/>
              </w:rPr>
              <w:t>1 627,1</w:t>
            </w:r>
          </w:p>
        </w:tc>
        <w:tc>
          <w:tcPr>
            <w:tcW w:w="1338" w:type="dxa"/>
            <w:tcBorders>
              <w:top w:val="nil"/>
              <w:left w:val="nil"/>
              <w:bottom w:val="nil"/>
              <w:right w:val="nil"/>
            </w:tcBorders>
            <w:shd w:val="clear" w:color="auto" w:fill="auto"/>
            <w:noWrap/>
            <w:vAlign w:val="bottom"/>
            <w:hideMark/>
          </w:tcPr>
          <w:p w14:paraId="45258815" w14:textId="6A4389F4" w:rsidR="00C156AC" w:rsidRPr="0067117F" w:rsidRDefault="00C156AC" w:rsidP="00C156AC">
            <w:pPr>
              <w:spacing w:after="0" w:line="240" w:lineRule="auto"/>
              <w:jc w:val="right"/>
              <w:rPr>
                <w:rFonts w:cs="Arial"/>
                <w:sz w:val="16"/>
                <w:szCs w:val="16"/>
              </w:rPr>
            </w:pPr>
            <w:r>
              <w:rPr>
                <w:rFonts w:cs="Arial"/>
                <w:sz w:val="16"/>
                <w:szCs w:val="16"/>
              </w:rPr>
              <w:t>1 658,8</w:t>
            </w:r>
          </w:p>
        </w:tc>
        <w:tc>
          <w:tcPr>
            <w:tcW w:w="1338" w:type="dxa"/>
            <w:tcBorders>
              <w:top w:val="nil"/>
              <w:left w:val="nil"/>
              <w:bottom w:val="nil"/>
              <w:right w:val="nil"/>
            </w:tcBorders>
            <w:shd w:val="clear" w:color="auto" w:fill="auto"/>
            <w:noWrap/>
            <w:vAlign w:val="bottom"/>
            <w:hideMark/>
          </w:tcPr>
          <w:p w14:paraId="4BE27255" w14:textId="5658D811" w:rsidR="00C156AC" w:rsidRPr="0067117F" w:rsidRDefault="00C156AC" w:rsidP="00C156AC">
            <w:pPr>
              <w:spacing w:after="0" w:line="240" w:lineRule="auto"/>
              <w:jc w:val="right"/>
              <w:rPr>
                <w:rFonts w:cs="Arial"/>
                <w:sz w:val="16"/>
                <w:szCs w:val="16"/>
              </w:rPr>
            </w:pPr>
            <w:r>
              <w:rPr>
                <w:rFonts w:cs="Arial"/>
                <w:sz w:val="16"/>
                <w:szCs w:val="16"/>
              </w:rPr>
              <w:t>1 556,7</w:t>
            </w:r>
          </w:p>
        </w:tc>
      </w:tr>
      <w:tr w:rsidR="00C156AC" w:rsidRPr="0067117F" w14:paraId="4F218F6A"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3CC0EB34"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Španělsko</w:t>
            </w:r>
          </w:p>
        </w:tc>
        <w:tc>
          <w:tcPr>
            <w:tcW w:w="1349" w:type="dxa"/>
            <w:tcBorders>
              <w:top w:val="nil"/>
              <w:left w:val="nil"/>
              <w:bottom w:val="nil"/>
              <w:right w:val="nil"/>
            </w:tcBorders>
            <w:shd w:val="clear" w:color="auto" w:fill="auto"/>
            <w:noWrap/>
            <w:vAlign w:val="bottom"/>
            <w:hideMark/>
          </w:tcPr>
          <w:p w14:paraId="500C0D05" w14:textId="7E649F6D" w:rsidR="00C156AC" w:rsidRPr="0067117F" w:rsidRDefault="00C156AC" w:rsidP="00C156AC">
            <w:pPr>
              <w:spacing w:after="0" w:line="240" w:lineRule="auto"/>
              <w:jc w:val="right"/>
              <w:rPr>
                <w:rFonts w:cs="Arial"/>
                <w:sz w:val="16"/>
                <w:szCs w:val="16"/>
              </w:rPr>
            </w:pPr>
            <w:r>
              <w:rPr>
                <w:rFonts w:cs="Arial"/>
                <w:sz w:val="16"/>
                <w:szCs w:val="16"/>
              </w:rPr>
              <w:t>2 889,6</w:t>
            </w:r>
          </w:p>
        </w:tc>
        <w:tc>
          <w:tcPr>
            <w:tcW w:w="1338" w:type="dxa"/>
            <w:tcBorders>
              <w:top w:val="nil"/>
              <w:left w:val="nil"/>
              <w:bottom w:val="nil"/>
              <w:right w:val="nil"/>
            </w:tcBorders>
            <w:shd w:val="clear" w:color="auto" w:fill="auto"/>
            <w:noWrap/>
            <w:vAlign w:val="bottom"/>
            <w:hideMark/>
          </w:tcPr>
          <w:p w14:paraId="795C5E91" w14:textId="7445DFB4" w:rsidR="00C156AC" w:rsidRPr="0067117F" w:rsidRDefault="00C156AC" w:rsidP="00C156AC">
            <w:pPr>
              <w:spacing w:after="0" w:line="240" w:lineRule="auto"/>
              <w:jc w:val="right"/>
              <w:rPr>
                <w:rFonts w:cs="Arial"/>
                <w:sz w:val="16"/>
                <w:szCs w:val="16"/>
              </w:rPr>
            </w:pPr>
            <w:r>
              <w:rPr>
                <w:rFonts w:cs="Arial"/>
                <w:sz w:val="16"/>
                <w:szCs w:val="16"/>
              </w:rPr>
              <w:t>2 909,0</w:t>
            </w:r>
          </w:p>
        </w:tc>
        <w:tc>
          <w:tcPr>
            <w:tcW w:w="1338" w:type="dxa"/>
            <w:tcBorders>
              <w:top w:val="nil"/>
              <w:left w:val="nil"/>
              <w:bottom w:val="nil"/>
              <w:right w:val="nil"/>
            </w:tcBorders>
            <w:shd w:val="clear" w:color="auto" w:fill="auto"/>
            <w:noWrap/>
            <w:vAlign w:val="bottom"/>
            <w:hideMark/>
          </w:tcPr>
          <w:p w14:paraId="67A4D423" w14:textId="272FBB36" w:rsidR="00C156AC" w:rsidRPr="0067117F" w:rsidRDefault="00C156AC" w:rsidP="00C156AC">
            <w:pPr>
              <w:spacing w:after="0" w:line="240" w:lineRule="auto"/>
              <w:jc w:val="right"/>
              <w:rPr>
                <w:rFonts w:cs="Arial"/>
                <w:sz w:val="16"/>
                <w:szCs w:val="16"/>
              </w:rPr>
            </w:pPr>
            <w:r>
              <w:rPr>
                <w:rFonts w:cs="Arial"/>
                <w:sz w:val="16"/>
                <w:szCs w:val="16"/>
              </w:rPr>
              <w:t>3 220,4</w:t>
            </w:r>
          </w:p>
        </w:tc>
        <w:tc>
          <w:tcPr>
            <w:tcW w:w="1338" w:type="dxa"/>
            <w:tcBorders>
              <w:top w:val="nil"/>
              <w:left w:val="nil"/>
              <w:bottom w:val="nil"/>
              <w:right w:val="nil"/>
            </w:tcBorders>
            <w:shd w:val="clear" w:color="auto" w:fill="auto"/>
            <w:noWrap/>
            <w:vAlign w:val="bottom"/>
            <w:hideMark/>
          </w:tcPr>
          <w:p w14:paraId="396B3F79" w14:textId="12007196" w:rsidR="00C156AC" w:rsidRPr="0067117F" w:rsidRDefault="00C156AC" w:rsidP="00C156AC">
            <w:pPr>
              <w:spacing w:after="0" w:line="240" w:lineRule="auto"/>
              <w:jc w:val="right"/>
              <w:rPr>
                <w:rFonts w:cs="Arial"/>
                <w:sz w:val="16"/>
                <w:szCs w:val="16"/>
              </w:rPr>
            </w:pPr>
            <w:r>
              <w:rPr>
                <w:rFonts w:cs="Arial"/>
                <w:sz w:val="16"/>
                <w:szCs w:val="16"/>
              </w:rPr>
              <w:t>3 150,9</w:t>
            </w:r>
          </w:p>
        </w:tc>
        <w:tc>
          <w:tcPr>
            <w:tcW w:w="1338" w:type="dxa"/>
            <w:tcBorders>
              <w:top w:val="nil"/>
              <w:left w:val="nil"/>
              <w:bottom w:val="nil"/>
              <w:right w:val="nil"/>
            </w:tcBorders>
            <w:shd w:val="clear" w:color="auto" w:fill="auto"/>
            <w:noWrap/>
            <w:vAlign w:val="bottom"/>
            <w:hideMark/>
          </w:tcPr>
          <w:p w14:paraId="626EC8FD" w14:textId="76EB310D" w:rsidR="00C156AC" w:rsidRPr="0067117F" w:rsidRDefault="00C156AC" w:rsidP="00C156AC">
            <w:pPr>
              <w:spacing w:after="0" w:line="240" w:lineRule="auto"/>
              <w:jc w:val="right"/>
              <w:rPr>
                <w:rFonts w:cs="Arial"/>
                <w:sz w:val="16"/>
                <w:szCs w:val="16"/>
              </w:rPr>
            </w:pPr>
            <w:r>
              <w:rPr>
                <w:rFonts w:cs="Arial"/>
                <w:sz w:val="16"/>
                <w:szCs w:val="16"/>
              </w:rPr>
              <w:t>3 209,8</w:t>
            </w:r>
          </w:p>
        </w:tc>
      </w:tr>
      <w:tr w:rsidR="00C156AC" w:rsidRPr="0067117F" w14:paraId="475A3572"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5587B8DD"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Švédsko</w:t>
            </w:r>
          </w:p>
        </w:tc>
        <w:tc>
          <w:tcPr>
            <w:tcW w:w="1349" w:type="dxa"/>
            <w:tcBorders>
              <w:top w:val="nil"/>
              <w:left w:val="nil"/>
              <w:bottom w:val="nil"/>
              <w:right w:val="nil"/>
            </w:tcBorders>
            <w:shd w:val="clear" w:color="auto" w:fill="auto"/>
            <w:noWrap/>
            <w:vAlign w:val="bottom"/>
            <w:hideMark/>
          </w:tcPr>
          <w:p w14:paraId="52CBCA94" w14:textId="392FAF89" w:rsidR="00C156AC" w:rsidRPr="0067117F" w:rsidRDefault="00C156AC" w:rsidP="00C156AC">
            <w:pPr>
              <w:spacing w:after="0" w:line="240" w:lineRule="auto"/>
              <w:jc w:val="right"/>
              <w:rPr>
                <w:rFonts w:cs="Arial"/>
                <w:sz w:val="16"/>
                <w:szCs w:val="16"/>
              </w:rPr>
            </w:pPr>
            <w:r>
              <w:rPr>
                <w:rFonts w:cs="Arial"/>
                <w:sz w:val="16"/>
                <w:szCs w:val="16"/>
              </w:rPr>
              <w:t>901,4</w:t>
            </w:r>
          </w:p>
        </w:tc>
        <w:tc>
          <w:tcPr>
            <w:tcW w:w="1338" w:type="dxa"/>
            <w:tcBorders>
              <w:top w:val="nil"/>
              <w:left w:val="nil"/>
              <w:bottom w:val="nil"/>
              <w:right w:val="nil"/>
            </w:tcBorders>
            <w:shd w:val="clear" w:color="auto" w:fill="auto"/>
            <w:noWrap/>
            <w:vAlign w:val="bottom"/>
            <w:hideMark/>
          </w:tcPr>
          <w:p w14:paraId="6F2776DD" w14:textId="130F1BB9" w:rsidR="00C156AC" w:rsidRPr="0067117F" w:rsidRDefault="00C156AC" w:rsidP="00C156AC">
            <w:pPr>
              <w:spacing w:after="0" w:line="240" w:lineRule="auto"/>
              <w:jc w:val="right"/>
              <w:rPr>
                <w:rFonts w:cs="Arial"/>
                <w:sz w:val="16"/>
                <w:szCs w:val="16"/>
              </w:rPr>
            </w:pPr>
            <w:r>
              <w:rPr>
                <w:rFonts w:cs="Arial"/>
                <w:sz w:val="16"/>
                <w:szCs w:val="16"/>
              </w:rPr>
              <w:t>875,0</w:t>
            </w:r>
          </w:p>
        </w:tc>
        <w:tc>
          <w:tcPr>
            <w:tcW w:w="1338" w:type="dxa"/>
            <w:tcBorders>
              <w:top w:val="nil"/>
              <w:left w:val="nil"/>
              <w:bottom w:val="nil"/>
              <w:right w:val="nil"/>
            </w:tcBorders>
            <w:shd w:val="clear" w:color="auto" w:fill="auto"/>
            <w:noWrap/>
            <w:vAlign w:val="bottom"/>
            <w:hideMark/>
          </w:tcPr>
          <w:p w14:paraId="5807FA17" w14:textId="3BDD37EB" w:rsidR="00C156AC" w:rsidRPr="0067117F" w:rsidRDefault="00C156AC" w:rsidP="00C156AC">
            <w:pPr>
              <w:spacing w:after="0" w:line="240" w:lineRule="auto"/>
              <w:jc w:val="right"/>
              <w:rPr>
                <w:rFonts w:cs="Arial"/>
                <w:sz w:val="16"/>
                <w:szCs w:val="16"/>
              </w:rPr>
            </w:pPr>
            <w:r>
              <w:rPr>
                <w:rFonts w:cs="Arial"/>
                <w:sz w:val="16"/>
                <w:szCs w:val="16"/>
              </w:rPr>
              <w:t>759,8</w:t>
            </w:r>
          </w:p>
        </w:tc>
        <w:tc>
          <w:tcPr>
            <w:tcW w:w="1338" w:type="dxa"/>
            <w:tcBorders>
              <w:top w:val="nil"/>
              <w:left w:val="nil"/>
              <w:bottom w:val="nil"/>
              <w:right w:val="nil"/>
            </w:tcBorders>
            <w:shd w:val="clear" w:color="auto" w:fill="auto"/>
            <w:noWrap/>
            <w:vAlign w:val="bottom"/>
            <w:hideMark/>
          </w:tcPr>
          <w:p w14:paraId="45121D4C" w14:textId="79ACC1AA" w:rsidR="00C156AC" w:rsidRPr="0067117F" w:rsidRDefault="00C156AC" w:rsidP="00C156AC">
            <w:pPr>
              <w:spacing w:after="0" w:line="240" w:lineRule="auto"/>
              <w:jc w:val="right"/>
              <w:rPr>
                <w:rFonts w:cs="Arial"/>
                <w:sz w:val="16"/>
                <w:szCs w:val="16"/>
              </w:rPr>
            </w:pPr>
            <w:r>
              <w:rPr>
                <w:rFonts w:cs="Arial"/>
                <w:sz w:val="16"/>
                <w:szCs w:val="16"/>
              </w:rPr>
              <w:t>768,7</w:t>
            </w:r>
          </w:p>
        </w:tc>
        <w:tc>
          <w:tcPr>
            <w:tcW w:w="1338" w:type="dxa"/>
            <w:tcBorders>
              <w:top w:val="nil"/>
              <w:left w:val="nil"/>
              <w:bottom w:val="nil"/>
              <w:right w:val="nil"/>
            </w:tcBorders>
            <w:shd w:val="clear" w:color="auto" w:fill="auto"/>
            <w:noWrap/>
            <w:vAlign w:val="bottom"/>
            <w:hideMark/>
          </w:tcPr>
          <w:p w14:paraId="62FAB763" w14:textId="40256E68" w:rsidR="00C156AC" w:rsidRPr="0067117F" w:rsidRDefault="00C156AC" w:rsidP="00C156AC">
            <w:pPr>
              <w:spacing w:after="0" w:line="240" w:lineRule="auto"/>
              <w:jc w:val="right"/>
              <w:rPr>
                <w:rFonts w:cs="Arial"/>
                <w:sz w:val="16"/>
                <w:szCs w:val="16"/>
              </w:rPr>
            </w:pPr>
            <w:r>
              <w:rPr>
                <w:rFonts w:cs="Arial"/>
                <w:sz w:val="16"/>
                <w:szCs w:val="16"/>
              </w:rPr>
              <w:t>796,2</w:t>
            </w:r>
          </w:p>
        </w:tc>
      </w:tr>
      <w:tr w:rsidR="00C156AC" w:rsidRPr="0067117F" w14:paraId="7D839746" w14:textId="77777777" w:rsidTr="0067117F">
        <w:trPr>
          <w:trHeight w:val="300"/>
        </w:trPr>
        <w:tc>
          <w:tcPr>
            <w:tcW w:w="1699" w:type="dxa"/>
            <w:tcBorders>
              <w:top w:val="nil"/>
              <w:left w:val="nil"/>
              <w:bottom w:val="nil"/>
              <w:right w:val="single" w:sz="4" w:space="0" w:color="auto"/>
            </w:tcBorders>
            <w:shd w:val="clear" w:color="auto" w:fill="auto"/>
            <w:noWrap/>
            <w:vAlign w:val="bottom"/>
            <w:hideMark/>
          </w:tcPr>
          <w:p w14:paraId="6AC12024" w14:textId="77777777" w:rsidR="00C156AC" w:rsidRPr="0067117F" w:rsidRDefault="00C156AC" w:rsidP="00C156AC">
            <w:pPr>
              <w:spacing w:after="0" w:line="240" w:lineRule="auto"/>
              <w:ind w:firstLineChars="100" w:firstLine="160"/>
              <w:rPr>
                <w:rFonts w:ascii="Arial CE" w:hAnsi="Arial CE" w:cs="Arial CE"/>
                <w:sz w:val="16"/>
                <w:szCs w:val="16"/>
              </w:rPr>
            </w:pPr>
            <w:r w:rsidRPr="0067117F">
              <w:rPr>
                <w:rFonts w:ascii="Arial CE" w:hAnsi="Arial CE" w:cs="Arial CE"/>
                <w:sz w:val="16"/>
                <w:szCs w:val="16"/>
              </w:rPr>
              <w:t>Velká Británie</w:t>
            </w:r>
          </w:p>
        </w:tc>
        <w:tc>
          <w:tcPr>
            <w:tcW w:w="1349" w:type="dxa"/>
            <w:tcBorders>
              <w:top w:val="nil"/>
              <w:left w:val="nil"/>
              <w:bottom w:val="nil"/>
              <w:right w:val="nil"/>
            </w:tcBorders>
            <w:shd w:val="clear" w:color="auto" w:fill="auto"/>
            <w:noWrap/>
            <w:vAlign w:val="bottom"/>
            <w:hideMark/>
          </w:tcPr>
          <w:p w14:paraId="0DFAFB18" w14:textId="3FF68624" w:rsidR="00C156AC" w:rsidRPr="0067117F" w:rsidRDefault="00C156AC" w:rsidP="00C156AC">
            <w:pPr>
              <w:spacing w:after="0" w:line="240" w:lineRule="auto"/>
              <w:jc w:val="right"/>
              <w:rPr>
                <w:rFonts w:cs="Arial"/>
                <w:sz w:val="16"/>
                <w:szCs w:val="16"/>
              </w:rPr>
            </w:pPr>
            <w:r>
              <w:rPr>
                <w:rFonts w:cs="Arial"/>
                <w:sz w:val="16"/>
                <w:szCs w:val="16"/>
              </w:rPr>
              <w:t>894,3</w:t>
            </w:r>
          </w:p>
        </w:tc>
        <w:tc>
          <w:tcPr>
            <w:tcW w:w="1338" w:type="dxa"/>
            <w:tcBorders>
              <w:top w:val="nil"/>
              <w:left w:val="nil"/>
              <w:bottom w:val="nil"/>
              <w:right w:val="nil"/>
            </w:tcBorders>
            <w:shd w:val="clear" w:color="auto" w:fill="auto"/>
            <w:noWrap/>
            <w:vAlign w:val="bottom"/>
            <w:hideMark/>
          </w:tcPr>
          <w:p w14:paraId="707F7E6A" w14:textId="565CE941" w:rsidR="00C156AC" w:rsidRPr="0067117F" w:rsidRDefault="00C156AC" w:rsidP="00C156AC">
            <w:pPr>
              <w:spacing w:after="0" w:line="240" w:lineRule="auto"/>
              <w:jc w:val="right"/>
              <w:rPr>
                <w:rFonts w:cs="Arial"/>
                <w:sz w:val="16"/>
                <w:szCs w:val="16"/>
              </w:rPr>
            </w:pPr>
            <w:r>
              <w:rPr>
                <w:rFonts w:cs="Arial"/>
                <w:sz w:val="16"/>
                <w:szCs w:val="16"/>
              </w:rPr>
              <w:t>989,6</w:t>
            </w:r>
          </w:p>
        </w:tc>
        <w:tc>
          <w:tcPr>
            <w:tcW w:w="1338" w:type="dxa"/>
            <w:tcBorders>
              <w:top w:val="nil"/>
              <w:left w:val="nil"/>
              <w:bottom w:val="nil"/>
              <w:right w:val="nil"/>
            </w:tcBorders>
            <w:shd w:val="clear" w:color="auto" w:fill="auto"/>
            <w:noWrap/>
            <w:vAlign w:val="bottom"/>
            <w:hideMark/>
          </w:tcPr>
          <w:p w14:paraId="66219946" w14:textId="0B1C7B29" w:rsidR="00C156AC" w:rsidRPr="0067117F" w:rsidRDefault="00C156AC" w:rsidP="00C156AC">
            <w:pPr>
              <w:spacing w:after="0" w:line="240" w:lineRule="auto"/>
              <w:jc w:val="right"/>
              <w:rPr>
                <w:rFonts w:cs="Arial"/>
                <w:sz w:val="16"/>
                <w:szCs w:val="16"/>
              </w:rPr>
            </w:pPr>
            <w:r>
              <w:rPr>
                <w:rFonts w:cs="Arial"/>
                <w:sz w:val="16"/>
                <w:szCs w:val="16"/>
              </w:rPr>
              <w:t>1 015,3</w:t>
            </w:r>
          </w:p>
        </w:tc>
        <w:tc>
          <w:tcPr>
            <w:tcW w:w="1338" w:type="dxa"/>
            <w:tcBorders>
              <w:top w:val="nil"/>
              <w:left w:val="nil"/>
              <w:bottom w:val="nil"/>
              <w:right w:val="nil"/>
            </w:tcBorders>
            <w:shd w:val="clear" w:color="auto" w:fill="auto"/>
            <w:noWrap/>
            <w:vAlign w:val="bottom"/>
            <w:hideMark/>
          </w:tcPr>
          <w:p w14:paraId="3201FA82" w14:textId="42E1512A" w:rsidR="00C156AC" w:rsidRPr="0067117F" w:rsidRDefault="00C156AC" w:rsidP="00C156AC">
            <w:pPr>
              <w:spacing w:after="0" w:line="240" w:lineRule="auto"/>
              <w:jc w:val="right"/>
              <w:rPr>
                <w:rFonts w:cs="Arial"/>
                <w:sz w:val="16"/>
                <w:szCs w:val="16"/>
              </w:rPr>
            </w:pPr>
            <w:r>
              <w:rPr>
                <w:rFonts w:cs="Arial"/>
                <w:sz w:val="16"/>
                <w:szCs w:val="16"/>
              </w:rPr>
              <w:t>918,3</w:t>
            </w:r>
          </w:p>
        </w:tc>
        <w:tc>
          <w:tcPr>
            <w:tcW w:w="1338" w:type="dxa"/>
            <w:tcBorders>
              <w:top w:val="nil"/>
              <w:left w:val="nil"/>
              <w:bottom w:val="nil"/>
              <w:right w:val="nil"/>
            </w:tcBorders>
            <w:shd w:val="clear" w:color="auto" w:fill="auto"/>
            <w:noWrap/>
            <w:vAlign w:val="bottom"/>
            <w:hideMark/>
          </w:tcPr>
          <w:p w14:paraId="10F40C2B" w14:textId="151B8508" w:rsidR="00C156AC" w:rsidRPr="0067117F" w:rsidRDefault="00C156AC" w:rsidP="00C156AC">
            <w:pPr>
              <w:spacing w:after="0" w:line="240" w:lineRule="auto"/>
              <w:jc w:val="right"/>
              <w:rPr>
                <w:rFonts w:cs="Arial"/>
                <w:sz w:val="16"/>
                <w:szCs w:val="16"/>
              </w:rPr>
            </w:pPr>
            <w:r>
              <w:rPr>
                <w:rFonts w:cs="Arial"/>
                <w:sz w:val="16"/>
                <w:szCs w:val="16"/>
              </w:rPr>
              <w:t>864,6</w:t>
            </w:r>
          </w:p>
        </w:tc>
      </w:tr>
    </w:tbl>
    <w:p w14:paraId="742C3887" w14:textId="7E7585D6" w:rsidR="00CA58EE" w:rsidRDefault="00CA58EE" w:rsidP="00CA58EE">
      <w:pPr>
        <w:jc w:val="both"/>
      </w:pPr>
    </w:p>
    <w:p w14:paraId="30BC92E8" w14:textId="265AF6DF" w:rsidR="0067117F" w:rsidRDefault="0067117F" w:rsidP="0067117F">
      <w:pPr>
        <w:rPr>
          <w:sz w:val="16"/>
        </w:rPr>
      </w:pPr>
      <w:r w:rsidRPr="00CA58EE">
        <w:rPr>
          <w:sz w:val="16"/>
        </w:rPr>
        <w:t>Zdroj: Eurostat (ESAW)</w:t>
      </w:r>
    </w:p>
    <w:p w14:paraId="0ABD8D5A" w14:textId="3DE5F5C3" w:rsidR="00683CE8" w:rsidRPr="00CA58EE" w:rsidRDefault="00932A71" w:rsidP="0067117F">
      <w:pPr>
        <w:rPr>
          <w:sz w:val="16"/>
        </w:rPr>
      </w:pPr>
      <w:r w:rsidRPr="00932A71">
        <w:rPr>
          <w:sz w:val="16"/>
          <w:highlight w:val="lightGray"/>
        </w:rPr>
        <w:t>Přerušení</w:t>
      </w:r>
      <w:r w:rsidR="00683CE8" w:rsidRPr="00932A71">
        <w:rPr>
          <w:sz w:val="16"/>
          <w:highlight w:val="lightGray"/>
        </w:rPr>
        <w:t xml:space="preserve"> v časové řadě</w:t>
      </w:r>
    </w:p>
    <w:p w14:paraId="77B6A271" w14:textId="7A74E8E3" w:rsidR="00674574" w:rsidRDefault="00674574" w:rsidP="00674574">
      <w:pPr>
        <w:jc w:val="both"/>
      </w:pPr>
      <w:r w:rsidRPr="00282F1A">
        <w:t xml:space="preserve">V oblasti smrtelných pracovních úrazů se Česká republika s hodnotou </w:t>
      </w:r>
      <w:r w:rsidR="001A09FF" w:rsidRPr="00282F1A">
        <w:t>2,19</w:t>
      </w:r>
      <w:r w:rsidRPr="00282F1A">
        <w:t xml:space="preserve"> smrtelných pracovních úrazů na</w:t>
      </w:r>
      <w:r w:rsidR="008A15C0">
        <w:t> </w:t>
      </w:r>
      <w:r w:rsidRPr="00282F1A">
        <w:t>100 tis. zaměstnaný</w:t>
      </w:r>
      <w:r w:rsidR="001A09FF" w:rsidRPr="00282F1A">
        <w:t>ch osob v roce 2016 řadila na 19</w:t>
      </w:r>
      <w:r w:rsidRPr="00282F1A">
        <w:t>. místo v rámci EU28</w:t>
      </w:r>
      <w:r w:rsidR="001A09FF" w:rsidRPr="00282F1A">
        <w:t xml:space="preserve"> a dosahovala obdobné </w:t>
      </w:r>
      <w:r w:rsidR="00F03E5C">
        <w:t>úrovně</w:t>
      </w:r>
      <w:r w:rsidR="001A09FF" w:rsidRPr="00282F1A">
        <w:t>, jako byl celoevropský průměr</w:t>
      </w:r>
      <w:r w:rsidRPr="00282F1A">
        <w:t xml:space="preserve">. Přibližně stejné </w:t>
      </w:r>
      <w:r w:rsidR="00F03E5C">
        <w:t xml:space="preserve">hodnoty </w:t>
      </w:r>
      <w:r w:rsidR="001A09FF" w:rsidRPr="00282F1A">
        <w:t>vykazovaly</w:t>
      </w:r>
      <w:r w:rsidRPr="00282F1A">
        <w:t xml:space="preserve"> </w:t>
      </w:r>
      <w:r w:rsidR="00C062EB">
        <w:t>Belgie a Slovi</w:t>
      </w:r>
      <w:r w:rsidR="001A09FF" w:rsidRPr="00282F1A">
        <w:t xml:space="preserve">nsko. </w:t>
      </w:r>
      <w:r w:rsidRPr="00282F1A">
        <w:t>Nejvyšší míra smrtelné pracovní úrazovosti byla podle Eurostatu v </w:t>
      </w:r>
      <w:r w:rsidR="001A09FF" w:rsidRPr="00282F1A">
        <w:t>L</w:t>
      </w:r>
      <w:r w:rsidRPr="00282F1A">
        <w:t>u</w:t>
      </w:r>
      <w:r w:rsidR="001A09FF" w:rsidRPr="00282F1A">
        <w:t>cembursku</w:t>
      </w:r>
      <w:r w:rsidRPr="00282F1A">
        <w:t xml:space="preserve"> (</w:t>
      </w:r>
      <w:r w:rsidR="00282F1A" w:rsidRPr="00282F1A">
        <w:t>10,8</w:t>
      </w:r>
      <w:r w:rsidRPr="00282F1A">
        <w:t xml:space="preserve"> smrtelných úrazů na 100</w:t>
      </w:r>
      <w:r w:rsidR="008A15C0">
        <w:t> </w:t>
      </w:r>
      <w:r w:rsidRPr="00282F1A">
        <w:t>tis.</w:t>
      </w:r>
      <w:r w:rsidR="008A15C0">
        <w:t> </w:t>
      </w:r>
      <w:r w:rsidRPr="00282F1A">
        <w:t>zaměstnaných osob),</w:t>
      </w:r>
      <w:r w:rsidR="00F54666">
        <w:t xml:space="preserve"> tj. téměř pětinásobek české hodnoty. V</w:t>
      </w:r>
      <w:r w:rsidRPr="00282F1A">
        <w:t xml:space="preserve">yšší míru smrtelné pracovní úrazovosti (nad hranicí </w:t>
      </w:r>
      <w:r w:rsidR="00282F1A" w:rsidRPr="00282F1A">
        <w:t>6</w:t>
      </w:r>
      <w:r w:rsidRPr="00282F1A">
        <w:t xml:space="preserve"> smrtelných </w:t>
      </w:r>
      <w:r w:rsidRPr="00282F1A">
        <w:lastRenderedPageBreak/>
        <w:t xml:space="preserve">úrazů) </w:t>
      </w:r>
      <w:r w:rsidR="00C156AC">
        <w:t>zaznamenali</w:t>
      </w:r>
      <w:r w:rsidRPr="00282F1A">
        <w:t xml:space="preserve"> v</w:t>
      </w:r>
      <w:r w:rsidR="00282F1A" w:rsidRPr="00282F1A">
        <w:t> Rumunsku.</w:t>
      </w:r>
      <w:r w:rsidRPr="00282F1A">
        <w:t xml:space="preserve"> Nejnižší míra smrtelné pracovní úrazovosti byla v roce 201</w:t>
      </w:r>
      <w:r w:rsidR="00282F1A" w:rsidRPr="00282F1A">
        <w:t>6</w:t>
      </w:r>
      <w:r w:rsidRPr="00282F1A">
        <w:t xml:space="preserve"> v Nizozemsku (0,7</w:t>
      </w:r>
      <w:r w:rsidR="00282F1A" w:rsidRPr="00282F1A">
        <w:t>1</w:t>
      </w:r>
      <w:r w:rsidRPr="00282F1A">
        <w:t xml:space="preserve">), v rozmezí 1 – </w:t>
      </w:r>
      <w:r w:rsidR="00282F1A" w:rsidRPr="00282F1A">
        <w:t>1,5</w:t>
      </w:r>
      <w:r w:rsidRPr="00282F1A">
        <w:t xml:space="preserve"> s</w:t>
      </w:r>
      <w:r w:rsidR="00282F1A" w:rsidRPr="00282F1A">
        <w:t>mrtelných</w:t>
      </w:r>
      <w:r w:rsidRPr="00282F1A">
        <w:t xml:space="preserve"> úraz</w:t>
      </w:r>
      <w:r w:rsidR="00282F1A" w:rsidRPr="00282F1A">
        <w:t>ů</w:t>
      </w:r>
      <w:r w:rsidRPr="00282F1A">
        <w:t xml:space="preserve"> na 100 tis. zaměstnaných osob se </w:t>
      </w:r>
      <w:r w:rsidR="00282F1A" w:rsidRPr="00282F1A">
        <w:t>nacházelo</w:t>
      </w:r>
      <w:r w:rsidRPr="00282F1A">
        <w:t xml:space="preserve"> </w:t>
      </w:r>
      <w:r w:rsidR="00282F1A" w:rsidRPr="00282F1A">
        <w:t>Německo, Švédsko a Velká Británie.</w:t>
      </w:r>
    </w:p>
    <w:p w14:paraId="6BF57FD1" w14:textId="328B8948" w:rsidR="00784CF6" w:rsidRPr="00784CF6" w:rsidRDefault="00784CF6" w:rsidP="00784CF6">
      <w:pPr>
        <w:pStyle w:val="Titulek"/>
        <w:keepNext/>
        <w:jc w:val="both"/>
        <w:rPr>
          <w:b/>
          <w:i w:val="0"/>
          <w:color w:val="auto"/>
          <w:sz w:val="20"/>
        </w:rPr>
      </w:pPr>
      <w:r w:rsidRPr="00784CF6">
        <w:rPr>
          <w:b/>
          <w:i w:val="0"/>
          <w:color w:val="auto"/>
          <w:sz w:val="20"/>
        </w:rPr>
        <w:t>Graf 6.2: Smrtelné pracovní úrazy v</w:t>
      </w:r>
      <w:r>
        <w:rPr>
          <w:b/>
          <w:i w:val="0"/>
          <w:color w:val="auto"/>
          <w:sz w:val="20"/>
        </w:rPr>
        <w:t xml:space="preserve"> zemích </w:t>
      </w:r>
      <w:r w:rsidRPr="00784CF6">
        <w:rPr>
          <w:b/>
          <w:i w:val="0"/>
          <w:color w:val="auto"/>
          <w:sz w:val="20"/>
        </w:rPr>
        <w:t>EU v roce 201</w:t>
      </w:r>
      <w:r>
        <w:rPr>
          <w:b/>
          <w:i w:val="0"/>
          <w:color w:val="auto"/>
          <w:sz w:val="20"/>
        </w:rPr>
        <w:t>6</w:t>
      </w:r>
      <w:r w:rsidRPr="00784CF6">
        <w:rPr>
          <w:b/>
          <w:i w:val="0"/>
          <w:color w:val="auto"/>
          <w:sz w:val="20"/>
        </w:rPr>
        <w:t xml:space="preserve"> (standardizovaná míra výskytu)</w:t>
      </w:r>
    </w:p>
    <w:p w14:paraId="02F618B7" w14:textId="1E1E2D58" w:rsidR="00784CF6" w:rsidRDefault="00C062EB" w:rsidP="00674574">
      <w:pPr>
        <w:jc w:val="both"/>
      </w:pPr>
      <w:r>
        <w:rPr>
          <w:noProof/>
        </w:rPr>
        <w:drawing>
          <wp:inline distT="0" distB="0" distL="0" distR="0" wp14:anchorId="06BE5ADF" wp14:editId="73996E83">
            <wp:extent cx="6057900" cy="49911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F791A6" w14:textId="77777777" w:rsidR="00784CF6" w:rsidRPr="00CA58EE" w:rsidRDefault="00784CF6" w:rsidP="00784CF6">
      <w:pPr>
        <w:rPr>
          <w:sz w:val="16"/>
        </w:rPr>
      </w:pPr>
      <w:r w:rsidRPr="00CA58EE">
        <w:rPr>
          <w:sz w:val="16"/>
        </w:rPr>
        <w:t>Zdroj: Eurostat (ESAW)</w:t>
      </w:r>
    </w:p>
    <w:p w14:paraId="2DC0CB1F" w14:textId="43591514" w:rsidR="00784CF6" w:rsidRDefault="00784CF6" w:rsidP="00784CF6">
      <w:pPr>
        <w:jc w:val="both"/>
      </w:pPr>
      <w:r w:rsidRPr="00282F1A">
        <w:t xml:space="preserve">Vývoj smrtelné pracovní úrazovosti v posledních pěti letech v jednotlivých </w:t>
      </w:r>
      <w:r w:rsidR="00282F1A">
        <w:t xml:space="preserve">zemích EU je patrný z tab. 6.2. </w:t>
      </w:r>
      <w:r w:rsidR="00B47FF7">
        <w:t>Nejvyšší nárůst během let 2012–2016 byl zaznamenán v Estonsku, a sice o 148 %. Oproti roku 2012 se zdvojnásobil počet smrtelných pracovních úrazů na 100 000 zaměstnaných osob i v již zmíněném Lucembursku. Naopak nejvě</w:t>
      </w:r>
      <w:r w:rsidR="00C156AC">
        <w:t xml:space="preserve">tší pokles byl patrný na ostrovech Kypr – </w:t>
      </w:r>
      <w:r w:rsidR="00B47FF7">
        <w:t xml:space="preserve">o 51 % a na Maltě </w:t>
      </w:r>
      <w:r w:rsidR="00C156AC">
        <w:t xml:space="preserve">– </w:t>
      </w:r>
      <w:r w:rsidR="00B47FF7">
        <w:t>o 48 %.</w:t>
      </w:r>
    </w:p>
    <w:p w14:paraId="7FE6AD08" w14:textId="77777777" w:rsidR="004744DF" w:rsidRDefault="004744DF">
      <w:pPr>
        <w:spacing w:after="0" w:line="240" w:lineRule="auto"/>
        <w:rPr>
          <w:b/>
          <w:iCs/>
          <w:szCs w:val="18"/>
        </w:rPr>
      </w:pPr>
      <w:r>
        <w:rPr>
          <w:b/>
          <w:i/>
        </w:rPr>
        <w:br w:type="page"/>
      </w:r>
    </w:p>
    <w:p w14:paraId="0FBDF392" w14:textId="29857503" w:rsidR="00784CF6" w:rsidRPr="00784CF6" w:rsidRDefault="00784CF6" w:rsidP="00784CF6">
      <w:pPr>
        <w:pStyle w:val="Titulek"/>
        <w:keepNext/>
        <w:rPr>
          <w:b/>
          <w:i w:val="0"/>
          <w:color w:val="auto"/>
          <w:sz w:val="20"/>
        </w:rPr>
      </w:pPr>
      <w:r w:rsidRPr="00784CF6">
        <w:rPr>
          <w:b/>
          <w:i w:val="0"/>
          <w:color w:val="auto"/>
          <w:sz w:val="20"/>
        </w:rPr>
        <w:lastRenderedPageBreak/>
        <w:t>Tab</w:t>
      </w:r>
      <w:r w:rsidR="00C156AC">
        <w:rPr>
          <w:b/>
          <w:i w:val="0"/>
          <w:color w:val="auto"/>
          <w:sz w:val="20"/>
        </w:rPr>
        <w:t>.</w:t>
      </w:r>
      <w:r w:rsidRPr="00784CF6">
        <w:rPr>
          <w:b/>
          <w:i w:val="0"/>
          <w:color w:val="auto"/>
          <w:sz w:val="20"/>
        </w:rPr>
        <w:t xml:space="preserve"> 6.2: Smrtelné pracovní úrazy v zemích EU v letech 2012–2016</w:t>
      </w:r>
    </w:p>
    <w:tbl>
      <w:tblPr>
        <w:tblW w:w="8400" w:type="dxa"/>
        <w:tblInd w:w="70" w:type="dxa"/>
        <w:tblCellMar>
          <w:left w:w="70" w:type="dxa"/>
          <w:right w:w="70" w:type="dxa"/>
        </w:tblCellMar>
        <w:tblLook w:val="04A0" w:firstRow="1" w:lastRow="0" w:firstColumn="1" w:lastColumn="0" w:noHBand="0" w:noVBand="1"/>
      </w:tblPr>
      <w:tblGrid>
        <w:gridCol w:w="1700"/>
        <w:gridCol w:w="1323"/>
        <w:gridCol w:w="1303"/>
        <w:gridCol w:w="1303"/>
        <w:gridCol w:w="1303"/>
        <w:gridCol w:w="1468"/>
      </w:tblGrid>
      <w:tr w:rsidR="00784CF6" w:rsidRPr="00784CF6" w14:paraId="0387E66B" w14:textId="77777777" w:rsidTr="00784CF6">
        <w:trPr>
          <w:trHeight w:val="630"/>
        </w:trPr>
        <w:tc>
          <w:tcPr>
            <w:tcW w:w="1700" w:type="dxa"/>
            <w:vMerge w:val="restart"/>
            <w:tcBorders>
              <w:top w:val="nil"/>
              <w:left w:val="nil"/>
              <w:bottom w:val="single" w:sz="8" w:space="0" w:color="000000"/>
              <w:right w:val="single" w:sz="4" w:space="0" w:color="auto"/>
            </w:tcBorders>
            <w:shd w:val="clear" w:color="000000" w:fill="F5DADD"/>
            <w:vAlign w:val="center"/>
            <w:hideMark/>
          </w:tcPr>
          <w:p w14:paraId="07FE27BA" w14:textId="77777777" w:rsidR="00784CF6" w:rsidRPr="00784CF6" w:rsidRDefault="00784CF6" w:rsidP="00784CF6">
            <w:pPr>
              <w:spacing w:after="0" w:line="240" w:lineRule="auto"/>
              <w:jc w:val="center"/>
              <w:rPr>
                <w:rFonts w:cs="Arial"/>
                <w:sz w:val="16"/>
                <w:szCs w:val="16"/>
              </w:rPr>
            </w:pPr>
            <w:r w:rsidRPr="00784CF6">
              <w:rPr>
                <w:rFonts w:cs="Arial"/>
                <w:sz w:val="16"/>
                <w:szCs w:val="16"/>
              </w:rPr>
              <w:t>Členské státy EU</w:t>
            </w:r>
          </w:p>
        </w:tc>
        <w:tc>
          <w:tcPr>
            <w:tcW w:w="6700" w:type="dxa"/>
            <w:gridSpan w:val="5"/>
            <w:tcBorders>
              <w:top w:val="nil"/>
              <w:left w:val="nil"/>
              <w:bottom w:val="single" w:sz="4" w:space="0" w:color="auto"/>
              <w:right w:val="nil"/>
            </w:tcBorders>
            <w:shd w:val="clear" w:color="000000" w:fill="F5DADD"/>
            <w:vAlign w:val="center"/>
            <w:hideMark/>
          </w:tcPr>
          <w:p w14:paraId="3C46CF35" w14:textId="77777777" w:rsidR="00784CF6" w:rsidRPr="00784CF6" w:rsidRDefault="00784CF6" w:rsidP="00784CF6">
            <w:pPr>
              <w:spacing w:after="0" w:line="240" w:lineRule="auto"/>
              <w:jc w:val="center"/>
              <w:rPr>
                <w:rFonts w:cs="Arial"/>
                <w:sz w:val="16"/>
                <w:szCs w:val="16"/>
              </w:rPr>
            </w:pPr>
            <w:r w:rsidRPr="00784CF6">
              <w:rPr>
                <w:rFonts w:cs="Arial"/>
                <w:b/>
                <w:sz w:val="16"/>
                <w:szCs w:val="16"/>
              </w:rPr>
              <w:t>Smrtelné pracovní úrazy</w:t>
            </w:r>
            <w:r w:rsidRPr="00784CF6">
              <w:rPr>
                <w:rFonts w:cs="Arial"/>
                <w:sz w:val="16"/>
                <w:szCs w:val="16"/>
              </w:rPr>
              <w:t xml:space="preserve"> (standardizovaná míra výskytu na 100 000 zaměstnaných osob)</w:t>
            </w:r>
          </w:p>
        </w:tc>
      </w:tr>
      <w:tr w:rsidR="00784CF6" w:rsidRPr="00784CF6" w14:paraId="5827F9BF" w14:textId="77777777" w:rsidTr="00784CF6">
        <w:trPr>
          <w:trHeight w:val="315"/>
        </w:trPr>
        <w:tc>
          <w:tcPr>
            <w:tcW w:w="1700" w:type="dxa"/>
            <w:vMerge/>
            <w:tcBorders>
              <w:top w:val="nil"/>
              <w:left w:val="nil"/>
              <w:bottom w:val="single" w:sz="8" w:space="0" w:color="000000"/>
              <w:right w:val="single" w:sz="4" w:space="0" w:color="auto"/>
            </w:tcBorders>
            <w:vAlign w:val="center"/>
            <w:hideMark/>
          </w:tcPr>
          <w:p w14:paraId="0F9F5943" w14:textId="77777777" w:rsidR="00784CF6" w:rsidRPr="00784CF6" w:rsidRDefault="00784CF6" w:rsidP="00784CF6">
            <w:pPr>
              <w:spacing w:after="0" w:line="240" w:lineRule="auto"/>
              <w:rPr>
                <w:rFonts w:cs="Arial"/>
                <w:sz w:val="16"/>
                <w:szCs w:val="16"/>
              </w:rPr>
            </w:pPr>
          </w:p>
        </w:tc>
        <w:tc>
          <w:tcPr>
            <w:tcW w:w="1323" w:type="dxa"/>
            <w:tcBorders>
              <w:top w:val="nil"/>
              <w:left w:val="nil"/>
              <w:bottom w:val="single" w:sz="8" w:space="0" w:color="auto"/>
              <w:right w:val="nil"/>
            </w:tcBorders>
            <w:shd w:val="clear" w:color="000000" w:fill="F5DADD"/>
            <w:noWrap/>
            <w:vAlign w:val="center"/>
            <w:hideMark/>
          </w:tcPr>
          <w:p w14:paraId="6F301044" w14:textId="77777777" w:rsidR="00784CF6" w:rsidRPr="00784CF6" w:rsidRDefault="00784CF6" w:rsidP="00784CF6">
            <w:pPr>
              <w:spacing w:after="0" w:line="240" w:lineRule="auto"/>
              <w:jc w:val="center"/>
              <w:rPr>
                <w:rFonts w:cs="Arial"/>
                <w:sz w:val="16"/>
                <w:szCs w:val="16"/>
              </w:rPr>
            </w:pPr>
            <w:r w:rsidRPr="00784CF6">
              <w:rPr>
                <w:rFonts w:cs="Arial"/>
                <w:sz w:val="16"/>
                <w:szCs w:val="16"/>
              </w:rPr>
              <w:t>2012</w:t>
            </w:r>
          </w:p>
        </w:tc>
        <w:tc>
          <w:tcPr>
            <w:tcW w:w="1303" w:type="dxa"/>
            <w:tcBorders>
              <w:top w:val="nil"/>
              <w:left w:val="nil"/>
              <w:bottom w:val="single" w:sz="8" w:space="0" w:color="auto"/>
              <w:right w:val="nil"/>
            </w:tcBorders>
            <w:shd w:val="clear" w:color="000000" w:fill="F5DADD"/>
            <w:noWrap/>
            <w:vAlign w:val="center"/>
            <w:hideMark/>
          </w:tcPr>
          <w:p w14:paraId="21ECF1FF" w14:textId="77777777" w:rsidR="00784CF6" w:rsidRPr="00784CF6" w:rsidRDefault="00784CF6" w:rsidP="00784CF6">
            <w:pPr>
              <w:spacing w:after="0" w:line="240" w:lineRule="auto"/>
              <w:jc w:val="center"/>
              <w:rPr>
                <w:rFonts w:cs="Arial"/>
                <w:sz w:val="16"/>
                <w:szCs w:val="16"/>
              </w:rPr>
            </w:pPr>
            <w:r w:rsidRPr="00784CF6">
              <w:rPr>
                <w:rFonts w:cs="Arial"/>
                <w:sz w:val="16"/>
                <w:szCs w:val="16"/>
              </w:rPr>
              <w:t>2013</w:t>
            </w:r>
          </w:p>
        </w:tc>
        <w:tc>
          <w:tcPr>
            <w:tcW w:w="1303" w:type="dxa"/>
            <w:tcBorders>
              <w:top w:val="nil"/>
              <w:left w:val="nil"/>
              <w:bottom w:val="single" w:sz="8" w:space="0" w:color="auto"/>
              <w:right w:val="nil"/>
            </w:tcBorders>
            <w:shd w:val="clear" w:color="000000" w:fill="F5DADD"/>
            <w:noWrap/>
            <w:vAlign w:val="center"/>
            <w:hideMark/>
          </w:tcPr>
          <w:p w14:paraId="1A0C8FB1" w14:textId="77777777" w:rsidR="00784CF6" w:rsidRPr="00784CF6" w:rsidRDefault="00784CF6" w:rsidP="00784CF6">
            <w:pPr>
              <w:spacing w:after="0" w:line="240" w:lineRule="auto"/>
              <w:jc w:val="center"/>
              <w:rPr>
                <w:rFonts w:cs="Arial"/>
                <w:sz w:val="16"/>
                <w:szCs w:val="16"/>
              </w:rPr>
            </w:pPr>
            <w:r w:rsidRPr="00784CF6">
              <w:rPr>
                <w:rFonts w:cs="Arial"/>
                <w:sz w:val="16"/>
                <w:szCs w:val="16"/>
              </w:rPr>
              <w:t>2014</w:t>
            </w:r>
          </w:p>
        </w:tc>
        <w:tc>
          <w:tcPr>
            <w:tcW w:w="1303" w:type="dxa"/>
            <w:tcBorders>
              <w:top w:val="nil"/>
              <w:left w:val="nil"/>
              <w:bottom w:val="single" w:sz="8" w:space="0" w:color="auto"/>
              <w:right w:val="nil"/>
            </w:tcBorders>
            <w:shd w:val="clear" w:color="000000" w:fill="F5DADD"/>
            <w:noWrap/>
            <w:vAlign w:val="center"/>
            <w:hideMark/>
          </w:tcPr>
          <w:p w14:paraId="6EF13AC9" w14:textId="77777777" w:rsidR="00784CF6" w:rsidRPr="00784CF6" w:rsidRDefault="00784CF6" w:rsidP="00784CF6">
            <w:pPr>
              <w:spacing w:after="0" w:line="240" w:lineRule="auto"/>
              <w:jc w:val="center"/>
              <w:rPr>
                <w:rFonts w:cs="Arial"/>
                <w:sz w:val="16"/>
                <w:szCs w:val="16"/>
              </w:rPr>
            </w:pPr>
            <w:r w:rsidRPr="00784CF6">
              <w:rPr>
                <w:rFonts w:cs="Arial"/>
                <w:sz w:val="16"/>
                <w:szCs w:val="16"/>
              </w:rPr>
              <w:t>2015</w:t>
            </w:r>
          </w:p>
        </w:tc>
        <w:tc>
          <w:tcPr>
            <w:tcW w:w="1468" w:type="dxa"/>
            <w:tcBorders>
              <w:top w:val="nil"/>
              <w:left w:val="nil"/>
              <w:bottom w:val="single" w:sz="8" w:space="0" w:color="auto"/>
              <w:right w:val="nil"/>
            </w:tcBorders>
            <w:shd w:val="clear" w:color="000000" w:fill="F5DADD"/>
            <w:noWrap/>
            <w:vAlign w:val="center"/>
            <w:hideMark/>
          </w:tcPr>
          <w:p w14:paraId="376927C8" w14:textId="77777777" w:rsidR="00784CF6" w:rsidRPr="00784CF6" w:rsidRDefault="00784CF6" w:rsidP="00784CF6">
            <w:pPr>
              <w:spacing w:after="0" w:line="240" w:lineRule="auto"/>
              <w:jc w:val="center"/>
              <w:rPr>
                <w:rFonts w:cs="Arial"/>
                <w:sz w:val="16"/>
                <w:szCs w:val="16"/>
              </w:rPr>
            </w:pPr>
            <w:r w:rsidRPr="00784CF6">
              <w:rPr>
                <w:rFonts w:cs="Arial"/>
                <w:sz w:val="16"/>
                <w:szCs w:val="16"/>
              </w:rPr>
              <w:t>2016</w:t>
            </w:r>
          </w:p>
        </w:tc>
      </w:tr>
      <w:tr w:rsidR="00C156AC" w:rsidRPr="00784CF6" w14:paraId="59E263AB" w14:textId="77777777" w:rsidTr="00C156AC">
        <w:trPr>
          <w:trHeight w:val="300"/>
        </w:trPr>
        <w:tc>
          <w:tcPr>
            <w:tcW w:w="1700" w:type="dxa"/>
            <w:tcBorders>
              <w:top w:val="nil"/>
              <w:left w:val="nil"/>
              <w:bottom w:val="nil"/>
              <w:right w:val="single" w:sz="4" w:space="0" w:color="auto"/>
            </w:tcBorders>
            <w:shd w:val="clear" w:color="auto" w:fill="auto"/>
            <w:noWrap/>
            <w:vAlign w:val="bottom"/>
            <w:hideMark/>
          </w:tcPr>
          <w:p w14:paraId="10A50947" w14:textId="77777777" w:rsidR="00C156AC" w:rsidRPr="00784CF6" w:rsidRDefault="00C156AC" w:rsidP="00C156AC">
            <w:pPr>
              <w:spacing w:after="0" w:line="240" w:lineRule="auto"/>
              <w:rPr>
                <w:rFonts w:ascii="Arial CE" w:hAnsi="Arial CE" w:cs="Arial CE"/>
                <w:b/>
                <w:bCs/>
                <w:sz w:val="16"/>
                <w:szCs w:val="16"/>
              </w:rPr>
            </w:pPr>
            <w:r w:rsidRPr="00784CF6">
              <w:rPr>
                <w:rFonts w:ascii="Arial CE" w:hAnsi="Arial CE" w:cs="Arial CE"/>
                <w:b/>
                <w:bCs/>
                <w:sz w:val="16"/>
                <w:szCs w:val="16"/>
              </w:rPr>
              <w:t>EU28</w:t>
            </w:r>
          </w:p>
        </w:tc>
        <w:tc>
          <w:tcPr>
            <w:tcW w:w="1323" w:type="dxa"/>
            <w:tcBorders>
              <w:top w:val="nil"/>
              <w:left w:val="nil"/>
              <w:bottom w:val="nil"/>
              <w:right w:val="nil"/>
            </w:tcBorders>
            <w:shd w:val="clear" w:color="auto" w:fill="auto"/>
            <w:noWrap/>
            <w:vAlign w:val="bottom"/>
            <w:hideMark/>
          </w:tcPr>
          <w:p w14:paraId="2661AA0F" w14:textId="417761E5" w:rsidR="00C156AC" w:rsidRPr="00784CF6" w:rsidRDefault="00C156AC" w:rsidP="00C156AC">
            <w:pPr>
              <w:spacing w:after="0" w:line="240" w:lineRule="auto"/>
              <w:jc w:val="right"/>
              <w:rPr>
                <w:rFonts w:cs="Arial"/>
                <w:b/>
                <w:bCs/>
                <w:sz w:val="16"/>
                <w:szCs w:val="16"/>
              </w:rPr>
            </w:pPr>
            <w:r>
              <w:rPr>
                <w:rFonts w:cs="Arial"/>
                <w:b/>
                <w:bCs/>
                <w:sz w:val="16"/>
                <w:szCs w:val="16"/>
              </w:rPr>
              <w:t>2,4</w:t>
            </w:r>
          </w:p>
        </w:tc>
        <w:tc>
          <w:tcPr>
            <w:tcW w:w="1303" w:type="dxa"/>
            <w:tcBorders>
              <w:top w:val="nil"/>
              <w:left w:val="nil"/>
              <w:bottom w:val="nil"/>
              <w:right w:val="nil"/>
            </w:tcBorders>
            <w:shd w:val="clear" w:color="auto" w:fill="D9D9D9" w:themeFill="background1" w:themeFillShade="D9"/>
            <w:noWrap/>
            <w:vAlign w:val="bottom"/>
            <w:hideMark/>
          </w:tcPr>
          <w:p w14:paraId="0BC5BCF2" w14:textId="5F25CE5B" w:rsidR="00C156AC" w:rsidRPr="00784CF6" w:rsidRDefault="00C156AC" w:rsidP="00C156AC">
            <w:pPr>
              <w:spacing w:after="0" w:line="240" w:lineRule="auto"/>
              <w:jc w:val="right"/>
              <w:rPr>
                <w:rFonts w:cs="Arial"/>
                <w:b/>
                <w:bCs/>
                <w:sz w:val="16"/>
                <w:szCs w:val="16"/>
              </w:rPr>
            </w:pPr>
            <w:r>
              <w:rPr>
                <w:rFonts w:cs="Arial"/>
                <w:b/>
                <w:bCs/>
                <w:sz w:val="16"/>
                <w:szCs w:val="16"/>
              </w:rPr>
              <w:t>2,3</w:t>
            </w:r>
          </w:p>
        </w:tc>
        <w:tc>
          <w:tcPr>
            <w:tcW w:w="1303" w:type="dxa"/>
            <w:tcBorders>
              <w:top w:val="nil"/>
              <w:left w:val="nil"/>
              <w:bottom w:val="nil"/>
              <w:right w:val="nil"/>
            </w:tcBorders>
            <w:shd w:val="clear" w:color="auto" w:fill="auto"/>
            <w:noWrap/>
            <w:vAlign w:val="bottom"/>
            <w:hideMark/>
          </w:tcPr>
          <w:p w14:paraId="3BEE4BEF" w14:textId="4182ED15" w:rsidR="00C156AC" w:rsidRPr="00784CF6" w:rsidRDefault="00C156AC" w:rsidP="00C156AC">
            <w:pPr>
              <w:spacing w:after="0" w:line="240" w:lineRule="auto"/>
              <w:jc w:val="right"/>
              <w:rPr>
                <w:rFonts w:cs="Arial"/>
                <w:b/>
                <w:bCs/>
                <w:sz w:val="16"/>
                <w:szCs w:val="16"/>
              </w:rPr>
            </w:pPr>
            <w:r>
              <w:rPr>
                <w:rFonts w:cs="Arial"/>
                <w:b/>
                <w:bCs/>
                <w:sz w:val="16"/>
                <w:szCs w:val="16"/>
              </w:rPr>
              <w:t>2,3</w:t>
            </w:r>
          </w:p>
        </w:tc>
        <w:tc>
          <w:tcPr>
            <w:tcW w:w="1303" w:type="dxa"/>
            <w:tcBorders>
              <w:top w:val="nil"/>
              <w:left w:val="nil"/>
              <w:bottom w:val="nil"/>
              <w:right w:val="nil"/>
            </w:tcBorders>
            <w:shd w:val="clear" w:color="auto" w:fill="auto"/>
            <w:noWrap/>
            <w:vAlign w:val="bottom"/>
            <w:hideMark/>
          </w:tcPr>
          <w:p w14:paraId="3FE3D642" w14:textId="3DE92A1C" w:rsidR="00C156AC" w:rsidRPr="00784CF6" w:rsidRDefault="00C156AC" w:rsidP="00C156AC">
            <w:pPr>
              <w:spacing w:after="0" w:line="240" w:lineRule="auto"/>
              <w:jc w:val="right"/>
              <w:rPr>
                <w:rFonts w:cs="Arial"/>
                <w:b/>
                <w:bCs/>
                <w:sz w:val="16"/>
                <w:szCs w:val="16"/>
              </w:rPr>
            </w:pPr>
            <w:r>
              <w:rPr>
                <w:rFonts w:cs="Arial"/>
                <w:b/>
                <w:bCs/>
                <w:sz w:val="16"/>
                <w:szCs w:val="16"/>
              </w:rPr>
              <w:t>2,4</w:t>
            </w:r>
          </w:p>
        </w:tc>
        <w:tc>
          <w:tcPr>
            <w:tcW w:w="1468" w:type="dxa"/>
            <w:tcBorders>
              <w:top w:val="nil"/>
              <w:left w:val="nil"/>
              <w:bottom w:val="nil"/>
              <w:right w:val="nil"/>
            </w:tcBorders>
            <w:shd w:val="clear" w:color="auto" w:fill="auto"/>
            <w:noWrap/>
            <w:vAlign w:val="bottom"/>
            <w:hideMark/>
          </w:tcPr>
          <w:p w14:paraId="229F71ED" w14:textId="0AD34087" w:rsidR="00C156AC" w:rsidRPr="00784CF6" w:rsidRDefault="00C156AC" w:rsidP="00C156AC">
            <w:pPr>
              <w:spacing w:after="0" w:line="240" w:lineRule="auto"/>
              <w:jc w:val="right"/>
              <w:rPr>
                <w:rFonts w:cs="Arial"/>
                <w:b/>
                <w:bCs/>
                <w:sz w:val="16"/>
                <w:szCs w:val="16"/>
              </w:rPr>
            </w:pPr>
            <w:r>
              <w:rPr>
                <w:rFonts w:cs="Arial"/>
                <w:b/>
                <w:bCs/>
                <w:sz w:val="16"/>
                <w:szCs w:val="16"/>
              </w:rPr>
              <w:t>2,2</w:t>
            </w:r>
          </w:p>
        </w:tc>
      </w:tr>
      <w:tr w:rsidR="00C156AC" w:rsidRPr="00784CF6" w14:paraId="0F955D6D" w14:textId="77777777" w:rsidTr="00932A71">
        <w:trPr>
          <w:trHeight w:val="300"/>
        </w:trPr>
        <w:tc>
          <w:tcPr>
            <w:tcW w:w="1700" w:type="dxa"/>
            <w:tcBorders>
              <w:top w:val="nil"/>
              <w:left w:val="nil"/>
              <w:bottom w:val="nil"/>
              <w:right w:val="single" w:sz="4" w:space="0" w:color="auto"/>
            </w:tcBorders>
            <w:shd w:val="clear" w:color="auto" w:fill="auto"/>
            <w:noWrap/>
            <w:vAlign w:val="bottom"/>
            <w:hideMark/>
          </w:tcPr>
          <w:p w14:paraId="5D167767"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Belgie</w:t>
            </w:r>
          </w:p>
        </w:tc>
        <w:tc>
          <w:tcPr>
            <w:tcW w:w="1323" w:type="dxa"/>
            <w:tcBorders>
              <w:top w:val="nil"/>
              <w:left w:val="nil"/>
              <w:bottom w:val="nil"/>
              <w:right w:val="nil"/>
            </w:tcBorders>
            <w:shd w:val="clear" w:color="auto" w:fill="auto"/>
            <w:noWrap/>
            <w:vAlign w:val="bottom"/>
            <w:hideMark/>
          </w:tcPr>
          <w:p w14:paraId="41EF93EB" w14:textId="11939E74" w:rsidR="00C156AC" w:rsidRPr="00784CF6" w:rsidRDefault="00C156AC" w:rsidP="00C156AC">
            <w:pPr>
              <w:spacing w:after="0" w:line="240" w:lineRule="auto"/>
              <w:jc w:val="right"/>
              <w:rPr>
                <w:rFonts w:cs="Arial"/>
                <w:sz w:val="16"/>
                <w:szCs w:val="16"/>
              </w:rPr>
            </w:pPr>
            <w:r>
              <w:rPr>
                <w:rFonts w:cs="Arial"/>
                <w:sz w:val="16"/>
                <w:szCs w:val="16"/>
              </w:rPr>
              <w:t>2,1</w:t>
            </w:r>
          </w:p>
        </w:tc>
        <w:tc>
          <w:tcPr>
            <w:tcW w:w="1303" w:type="dxa"/>
            <w:tcBorders>
              <w:top w:val="nil"/>
              <w:left w:val="nil"/>
              <w:bottom w:val="nil"/>
              <w:right w:val="nil"/>
            </w:tcBorders>
            <w:shd w:val="clear" w:color="auto" w:fill="auto"/>
            <w:noWrap/>
            <w:vAlign w:val="bottom"/>
            <w:hideMark/>
          </w:tcPr>
          <w:p w14:paraId="1F0A6E9F" w14:textId="1941111B" w:rsidR="00C156AC" w:rsidRPr="00784CF6" w:rsidRDefault="00C156AC" w:rsidP="00C156AC">
            <w:pPr>
              <w:spacing w:after="0" w:line="240" w:lineRule="auto"/>
              <w:jc w:val="right"/>
              <w:rPr>
                <w:rFonts w:cs="Arial"/>
                <w:sz w:val="16"/>
                <w:szCs w:val="16"/>
              </w:rPr>
            </w:pPr>
            <w:r>
              <w:rPr>
                <w:rFonts w:cs="Arial"/>
                <w:sz w:val="16"/>
                <w:szCs w:val="16"/>
              </w:rPr>
              <w:t>3,1</w:t>
            </w:r>
          </w:p>
        </w:tc>
        <w:tc>
          <w:tcPr>
            <w:tcW w:w="1303" w:type="dxa"/>
            <w:tcBorders>
              <w:top w:val="nil"/>
              <w:left w:val="nil"/>
              <w:bottom w:val="nil"/>
              <w:right w:val="nil"/>
            </w:tcBorders>
            <w:shd w:val="clear" w:color="auto" w:fill="D9D9D9" w:themeFill="background1" w:themeFillShade="D9"/>
            <w:noWrap/>
            <w:vAlign w:val="bottom"/>
            <w:hideMark/>
          </w:tcPr>
          <w:p w14:paraId="6E4291D7" w14:textId="755C4740" w:rsidR="00C156AC" w:rsidRPr="00784CF6" w:rsidRDefault="00C156AC" w:rsidP="00C156AC">
            <w:pPr>
              <w:spacing w:after="0" w:line="240" w:lineRule="auto"/>
              <w:jc w:val="right"/>
              <w:rPr>
                <w:rFonts w:cs="Arial"/>
                <w:sz w:val="16"/>
                <w:szCs w:val="16"/>
              </w:rPr>
            </w:pPr>
            <w:r>
              <w:rPr>
                <w:rFonts w:cs="Arial"/>
                <w:sz w:val="16"/>
                <w:szCs w:val="16"/>
              </w:rPr>
              <w:t>1,7</w:t>
            </w:r>
          </w:p>
        </w:tc>
        <w:tc>
          <w:tcPr>
            <w:tcW w:w="1303" w:type="dxa"/>
            <w:tcBorders>
              <w:top w:val="nil"/>
              <w:left w:val="nil"/>
              <w:bottom w:val="nil"/>
              <w:right w:val="nil"/>
            </w:tcBorders>
            <w:shd w:val="clear" w:color="auto" w:fill="auto"/>
            <w:noWrap/>
            <w:vAlign w:val="bottom"/>
            <w:hideMark/>
          </w:tcPr>
          <w:p w14:paraId="0AE1DB45" w14:textId="76BEF965" w:rsidR="00C156AC" w:rsidRPr="00784CF6" w:rsidRDefault="00C156AC" w:rsidP="00C156AC">
            <w:pPr>
              <w:spacing w:after="0" w:line="240" w:lineRule="auto"/>
              <w:jc w:val="right"/>
              <w:rPr>
                <w:rFonts w:cs="Arial"/>
                <w:sz w:val="16"/>
                <w:szCs w:val="16"/>
              </w:rPr>
            </w:pPr>
            <w:r>
              <w:rPr>
                <w:rFonts w:cs="Arial"/>
                <w:sz w:val="16"/>
                <w:szCs w:val="16"/>
              </w:rPr>
              <w:t>2,4</w:t>
            </w:r>
          </w:p>
        </w:tc>
        <w:tc>
          <w:tcPr>
            <w:tcW w:w="1468" w:type="dxa"/>
            <w:tcBorders>
              <w:top w:val="nil"/>
              <w:left w:val="nil"/>
              <w:bottom w:val="nil"/>
              <w:right w:val="nil"/>
            </w:tcBorders>
            <w:shd w:val="clear" w:color="auto" w:fill="auto"/>
            <w:noWrap/>
            <w:vAlign w:val="bottom"/>
            <w:hideMark/>
          </w:tcPr>
          <w:p w14:paraId="15A5AAC7" w14:textId="1E37CC2F" w:rsidR="00C156AC" w:rsidRPr="00784CF6" w:rsidRDefault="00C156AC" w:rsidP="00C156AC">
            <w:pPr>
              <w:spacing w:after="0" w:line="240" w:lineRule="auto"/>
              <w:jc w:val="right"/>
              <w:rPr>
                <w:rFonts w:cs="Arial"/>
                <w:sz w:val="16"/>
                <w:szCs w:val="16"/>
              </w:rPr>
            </w:pPr>
            <w:r>
              <w:rPr>
                <w:rFonts w:cs="Arial"/>
                <w:sz w:val="16"/>
                <w:szCs w:val="16"/>
              </w:rPr>
              <w:t>2,3</w:t>
            </w:r>
          </w:p>
        </w:tc>
      </w:tr>
      <w:tr w:rsidR="00C156AC" w:rsidRPr="00784CF6" w14:paraId="6BC8C114"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702DDCDC"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Bulharsko</w:t>
            </w:r>
          </w:p>
        </w:tc>
        <w:tc>
          <w:tcPr>
            <w:tcW w:w="1323" w:type="dxa"/>
            <w:tcBorders>
              <w:top w:val="nil"/>
              <w:left w:val="nil"/>
              <w:bottom w:val="nil"/>
              <w:right w:val="nil"/>
            </w:tcBorders>
            <w:shd w:val="clear" w:color="auto" w:fill="auto"/>
            <w:noWrap/>
            <w:vAlign w:val="bottom"/>
            <w:hideMark/>
          </w:tcPr>
          <w:p w14:paraId="2A7EE1F4" w14:textId="02F51678" w:rsidR="00C156AC" w:rsidRPr="00784CF6" w:rsidRDefault="00C156AC" w:rsidP="00C156AC">
            <w:pPr>
              <w:spacing w:after="0" w:line="240" w:lineRule="auto"/>
              <w:jc w:val="right"/>
              <w:rPr>
                <w:rFonts w:cs="Arial"/>
                <w:sz w:val="16"/>
                <w:szCs w:val="16"/>
              </w:rPr>
            </w:pPr>
            <w:r>
              <w:rPr>
                <w:rFonts w:cs="Arial"/>
                <w:sz w:val="16"/>
                <w:szCs w:val="16"/>
              </w:rPr>
              <w:t>4,7</w:t>
            </w:r>
          </w:p>
        </w:tc>
        <w:tc>
          <w:tcPr>
            <w:tcW w:w="1303" w:type="dxa"/>
            <w:tcBorders>
              <w:top w:val="nil"/>
              <w:left w:val="nil"/>
              <w:bottom w:val="nil"/>
              <w:right w:val="nil"/>
            </w:tcBorders>
            <w:shd w:val="clear" w:color="auto" w:fill="auto"/>
            <w:noWrap/>
            <w:vAlign w:val="bottom"/>
            <w:hideMark/>
          </w:tcPr>
          <w:p w14:paraId="60AF1532" w14:textId="334B2127" w:rsidR="00C156AC" w:rsidRPr="00784CF6" w:rsidRDefault="00C156AC" w:rsidP="00C156AC">
            <w:pPr>
              <w:spacing w:after="0" w:line="240" w:lineRule="auto"/>
              <w:jc w:val="right"/>
              <w:rPr>
                <w:rFonts w:cs="Arial"/>
                <w:sz w:val="16"/>
                <w:szCs w:val="16"/>
              </w:rPr>
            </w:pPr>
            <w:r>
              <w:rPr>
                <w:rFonts w:cs="Arial"/>
                <w:sz w:val="16"/>
                <w:szCs w:val="16"/>
              </w:rPr>
              <w:t>3,7</w:t>
            </w:r>
          </w:p>
        </w:tc>
        <w:tc>
          <w:tcPr>
            <w:tcW w:w="1303" w:type="dxa"/>
            <w:tcBorders>
              <w:top w:val="nil"/>
              <w:left w:val="nil"/>
              <w:bottom w:val="nil"/>
              <w:right w:val="nil"/>
            </w:tcBorders>
            <w:shd w:val="clear" w:color="auto" w:fill="auto"/>
            <w:noWrap/>
            <w:vAlign w:val="bottom"/>
            <w:hideMark/>
          </w:tcPr>
          <w:p w14:paraId="37CD0AE9" w14:textId="0F762141" w:rsidR="00C156AC" w:rsidRPr="00784CF6" w:rsidRDefault="00C156AC" w:rsidP="00C156AC">
            <w:pPr>
              <w:spacing w:after="0" w:line="240" w:lineRule="auto"/>
              <w:jc w:val="right"/>
              <w:rPr>
                <w:rFonts w:cs="Arial"/>
                <w:sz w:val="16"/>
                <w:szCs w:val="16"/>
              </w:rPr>
            </w:pPr>
            <w:r>
              <w:rPr>
                <w:rFonts w:cs="Arial"/>
                <w:sz w:val="16"/>
                <w:szCs w:val="16"/>
              </w:rPr>
              <w:t>5,4</w:t>
            </w:r>
          </w:p>
        </w:tc>
        <w:tc>
          <w:tcPr>
            <w:tcW w:w="1303" w:type="dxa"/>
            <w:tcBorders>
              <w:top w:val="nil"/>
              <w:left w:val="nil"/>
              <w:bottom w:val="nil"/>
              <w:right w:val="nil"/>
            </w:tcBorders>
            <w:shd w:val="clear" w:color="auto" w:fill="auto"/>
            <w:noWrap/>
            <w:vAlign w:val="bottom"/>
            <w:hideMark/>
          </w:tcPr>
          <w:p w14:paraId="50286E20" w14:textId="3E934B9E" w:rsidR="00C156AC" w:rsidRPr="00784CF6" w:rsidRDefault="00C156AC" w:rsidP="00C156AC">
            <w:pPr>
              <w:spacing w:after="0" w:line="240" w:lineRule="auto"/>
              <w:jc w:val="right"/>
              <w:rPr>
                <w:rFonts w:cs="Arial"/>
                <w:sz w:val="16"/>
                <w:szCs w:val="16"/>
              </w:rPr>
            </w:pPr>
            <w:r>
              <w:rPr>
                <w:rFonts w:cs="Arial"/>
                <w:sz w:val="16"/>
                <w:szCs w:val="16"/>
              </w:rPr>
              <w:t>4,3</w:t>
            </w:r>
          </w:p>
        </w:tc>
        <w:tc>
          <w:tcPr>
            <w:tcW w:w="1468" w:type="dxa"/>
            <w:tcBorders>
              <w:top w:val="nil"/>
              <w:left w:val="nil"/>
              <w:bottom w:val="nil"/>
              <w:right w:val="nil"/>
            </w:tcBorders>
            <w:shd w:val="clear" w:color="auto" w:fill="auto"/>
            <w:noWrap/>
            <w:vAlign w:val="bottom"/>
            <w:hideMark/>
          </w:tcPr>
          <w:p w14:paraId="3A15A787" w14:textId="3619BE79" w:rsidR="00C156AC" w:rsidRPr="00784CF6" w:rsidRDefault="00C156AC" w:rsidP="00C156AC">
            <w:pPr>
              <w:spacing w:after="0" w:line="240" w:lineRule="auto"/>
              <w:jc w:val="right"/>
              <w:rPr>
                <w:rFonts w:cs="Arial"/>
                <w:sz w:val="16"/>
                <w:szCs w:val="16"/>
              </w:rPr>
            </w:pPr>
            <w:r>
              <w:rPr>
                <w:rFonts w:cs="Arial"/>
                <w:sz w:val="16"/>
                <w:szCs w:val="16"/>
              </w:rPr>
              <w:t>3,7</w:t>
            </w:r>
          </w:p>
        </w:tc>
      </w:tr>
      <w:tr w:rsidR="00C156AC" w:rsidRPr="00784CF6" w14:paraId="0965FD9B"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0FA410B5" w14:textId="77777777" w:rsidR="00C156AC" w:rsidRPr="00784CF6" w:rsidRDefault="00C156AC" w:rsidP="00C156AC">
            <w:pPr>
              <w:spacing w:after="0" w:line="240" w:lineRule="auto"/>
              <w:ind w:firstLineChars="100" w:firstLine="160"/>
              <w:rPr>
                <w:rFonts w:ascii="Arial CE" w:hAnsi="Arial CE" w:cs="Arial CE"/>
                <w:b/>
                <w:bCs/>
                <w:sz w:val="16"/>
                <w:szCs w:val="16"/>
              </w:rPr>
            </w:pPr>
            <w:r w:rsidRPr="00784CF6">
              <w:rPr>
                <w:rFonts w:ascii="Arial CE" w:hAnsi="Arial CE" w:cs="Arial CE"/>
                <w:b/>
                <w:bCs/>
                <w:sz w:val="16"/>
                <w:szCs w:val="16"/>
              </w:rPr>
              <w:t>Česká republika</w:t>
            </w:r>
          </w:p>
        </w:tc>
        <w:tc>
          <w:tcPr>
            <w:tcW w:w="1323" w:type="dxa"/>
            <w:tcBorders>
              <w:top w:val="nil"/>
              <w:left w:val="nil"/>
              <w:bottom w:val="nil"/>
              <w:right w:val="nil"/>
            </w:tcBorders>
            <w:shd w:val="clear" w:color="auto" w:fill="auto"/>
            <w:noWrap/>
            <w:vAlign w:val="bottom"/>
            <w:hideMark/>
          </w:tcPr>
          <w:p w14:paraId="2421ADB9" w14:textId="4CD73905" w:rsidR="00C156AC" w:rsidRPr="00784CF6" w:rsidRDefault="00C156AC" w:rsidP="00C156AC">
            <w:pPr>
              <w:spacing w:after="0" w:line="240" w:lineRule="auto"/>
              <w:jc w:val="right"/>
              <w:rPr>
                <w:rFonts w:cs="Arial"/>
                <w:b/>
                <w:bCs/>
                <w:sz w:val="16"/>
                <w:szCs w:val="16"/>
              </w:rPr>
            </w:pPr>
            <w:r>
              <w:rPr>
                <w:rFonts w:cs="Arial"/>
                <w:b/>
                <w:bCs/>
                <w:sz w:val="16"/>
                <w:szCs w:val="16"/>
              </w:rPr>
              <w:t>3,0</w:t>
            </w:r>
          </w:p>
        </w:tc>
        <w:tc>
          <w:tcPr>
            <w:tcW w:w="1303" w:type="dxa"/>
            <w:tcBorders>
              <w:top w:val="nil"/>
              <w:left w:val="nil"/>
              <w:bottom w:val="nil"/>
              <w:right w:val="nil"/>
            </w:tcBorders>
            <w:shd w:val="clear" w:color="auto" w:fill="auto"/>
            <w:noWrap/>
            <w:vAlign w:val="bottom"/>
            <w:hideMark/>
          </w:tcPr>
          <w:p w14:paraId="3B124E00" w14:textId="37FC70C0" w:rsidR="00C156AC" w:rsidRPr="00784CF6" w:rsidRDefault="00C156AC" w:rsidP="00C156AC">
            <w:pPr>
              <w:spacing w:after="0" w:line="240" w:lineRule="auto"/>
              <w:jc w:val="right"/>
              <w:rPr>
                <w:rFonts w:cs="Arial"/>
                <w:b/>
                <w:bCs/>
                <w:sz w:val="16"/>
                <w:szCs w:val="16"/>
              </w:rPr>
            </w:pPr>
            <w:r>
              <w:rPr>
                <w:rFonts w:cs="Arial"/>
                <w:b/>
                <w:bCs/>
                <w:sz w:val="16"/>
                <w:szCs w:val="16"/>
              </w:rPr>
              <w:t>3,2</w:t>
            </w:r>
          </w:p>
        </w:tc>
        <w:tc>
          <w:tcPr>
            <w:tcW w:w="1303" w:type="dxa"/>
            <w:tcBorders>
              <w:top w:val="nil"/>
              <w:left w:val="nil"/>
              <w:bottom w:val="nil"/>
              <w:right w:val="nil"/>
            </w:tcBorders>
            <w:shd w:val="clear" w:color="auto" w:fill="auto"/>
            <w:noWrap/>
            <w:vAlign w:val="bottom"/>
            <w:hideMark/>
          </w:tcPr>
          <w:p w14:paraId="48472DE4" w14:textId="0B781D41" w:rsidR="00C156AC" w:rsidRPr="00784CF6" w:rsidRDefault="00C156AC" w:rsidP="00C156AC">
            <w:pPr>
              <w:spacing w:after="0" w:line="240" w:lineRule="auto"/>
              <w:jc w:val="right"/>
              <w:rPr>
                <w:rFonts w:cs="Arial"/>
                <w:b/>
                <w:bCs/>
                <w:sz w:val="16"/>
                <w:szCs w:val="16"/>
              </w:rPr>
            </w:pPr>
            <w:r>
              <w:rPr>
                <w:rFonts w:cs="Arial"/>
                <w:b/>
                <w:bCs/>
                <w:sz w:val="16"/>
                <w:szCs w:val="16"/>
              </w:rPr>
              <w:t>2,6</w:t>
            </w:r>
          </w:p>
        </w:tc>
        <w:tc>
          <w:tcPr>
            <w:tcW w:w="1303" w:type="dxa"/>
            <w:tcBorders>
              <w:top w:val="nil"/>
              <w:left w:val="nil"/>
              <w:bottom w:val="nil"/>
              <w:right w:val="nil"/>
            </w:tcBorders>
            <w:shd w:val="clear" w:color="auto" w:fill="auto"/>
            <w:noWrap/>
            <w:vAlign w:val="bottom"/>
            <w:hideMark/>
          </w:tcPr>
          <w:p w14:paraId="6DB86023" w14:textId="195BCE87" w:rsidR="00C156AC" w:rsidRPr="00784CF6" w:rsidRDefault="00C156AC" w:rsidP="00C156AC">
            <w:pPr>
              <w:spacing w:after="0" w:line="240" w:lineRule="auto"/>
              <w:jc w:val="right"/>
              <w:rPr>
                <w:rFonts w:cs="Arial"/>
                <w:b/>
                <w:bCs/>
                <w:sz w:val="16"/>
                <w:szCs w:val="16"/>
              </w:rPr>
            </w:pPr>
            <w:r>
              <w:rPr>
                <w:rFonts w:cs="Arial"/>
                <w:b/>
                <w:bCs/>
                <w:sz w:val="16"/>
                <w:szCs w:val="16"/>
              </w:rPr>
              <w:t>3,4</w:t>
            </w:r>
          </w:p>
        </w:tc>
        <w:tc>
          <w:tcPr>
            <w:tcW w:w="1468" w:type="dxa"/>
            <w:tcBorders>
              <w:top w:val="nil"/>
              <w:left w:val="nil"/>
              <w:bottom w:val="nil"/>
              <w:right w:val="nil"/>
            </w:tcBorders>
            <w:shd w:val="clear" w:color="auto" w:fill="auto"/>
            <w:noWrap/>
            <w:vAlign w:val="bottom"/>
            <w:hideMark/>
          </w:tcPr>
          <w:p w14:paraId="554D1686" w14:textId="3FF141CF" w:rsidR="00C156AC" w:rsidRPr="00784CF6" w:rsidRDefault="00C156AC" w:rsidP="00C156AC">
            <w:pPr>
              <w:spacing w:after="0" w:line="240" w:lineRule="auto"/>
              <w:jc w:val="right"/>
              <w:rPr>
                <w:rFonts w:cs="Arial"/>
                <w:b/>
                <w:bCs/>
                <w:sz w:val="16"/>
                <w:szCs w:val="16"/>
              </w:rPr>
            </w:pPr>
            <w:r>
              <w:rPr>
                <w:rFonts w:cs="Arial"/>
                <w:b/>
                <w:bCs/>
                <w:sz w:val="16"/>
                <w:szCs w:val="16"/>
              </w:rPr>
              <w:t>2,2</w:t>
            </w:r>
          </w:p>
        </w:tc>
      </w:tr>
      <w:tr w:rsidR="00C156AC" w:rsidRPr="00784CF6" w14:paraId="7CBFAD65"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28BEDE81"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Dánsko</w:t>
            </w:r>
          </w:p>
        </w:tc>
        <w:tc>
          <w:tcPr>
            <w:tcW w:w="1323" w:type="dxa"/>
            <w:tcBorders>
              <w:top w:val="nil"/>
              <w:left w:val="nil"/>
              <w:bottom w:val="nil"/>
              <w:right w:val="nil"/>
            </w:tcBorders>
            <w:shd w:val="clear" w:color="auto" w:fill="auto"/>
            <w:noWrap/>
            <w:vAlign w:val="bottom"/>
            <w:hideMark/>
          </w:tcPr>
          <w:p w14:paraId="3D6AC15F" w14:textId="4F4D489D" w:rsidR="00C156AC" w:rsidRPr="00784CF6" w:rsidRDefault="00C156AC" w:rsidP="00C156AC">
            <w:pPr>
              <w:spacing w:after="0" w:line="240" w:lineRule="auto"/>
              <w:jc w:val="right"/>
              <w:rPr>
                <w:rFonts w:cs="Arial"/>
                <w:sz w:val="16"/>
                <w:szCs w:val="16"/>
              </w:rPr>
            </w:pPr>
            <w:r>
              <w:rPr>
                <w:rFonts w:cs="Arial"/>
                <w:sz w:val="16"/>
                <w:szCs w:val="16"/>
              </w:rPr>
              <w:t>3,0</w:t>
            </w:r>
          </w:p>
        </w:tc>
        <w:tc>
          <w:tcPr>
            <w:tcW w:w="1303" w:type="dxa"/>
            <w:tcBorders>
              <w:top w:val="nil"/>
              <w:left w:val="nil"/>
              <w:bottom w:val="nil"/>
              <w:right w:val="nil"/>
            </w:tcBorders>
            <w:shd w:val="clear" w:color="auto" w:fill="auto"/>
            <w:noWrap/>
            <w:vAlign w:val="bottom"/>
            <w:hideMark/>
          </w:tcPr>
          <w:p w14:paraId="4389306E" w14:textId="6655983C" w:rsidR="00C156AC" w:rsidRPr="00784CF6" w:rsidRDefault="00C156AC" w:rsidP="00C156AC">
            <w:pPr>
              <w:spacing w:after="0" w:line="240" w:lineRule="auto"/>
              <w:jc w:val="right"/>
              <w:rPr>
                <w:rFonts w:cs="Arial"/>
                <w:sz w:val="16"/>
                <w:szCs w:val="16"/>
              </w:rPr>
            </w:pPr>
            <w:r>
              <w:rPr>
                <w:rFonts w:cs="Arial"/>
                <w:sz w:val="16"/>
                <w:szCs w:val="16"/>
              </w:rPr>
              <w:t>2,3</w:t>
            </w:r>
          </w:p>
        </w:tc>
        <w:tc>
          <w:tcPr>
            <w:tcW w:w="1303" w:type="dxa"/>
            <w:tcBorders>
              <w:top w:val="nil"/>
              <w:left w:val="nil"/>
              <w:bottom w:val="nil"/>
              <w:right w:val="nil"/>
            </w:tcBorders>
            <w:shd w:val="clear" w:color="auto" w:fill="auto"/>
            <w:noWrap/>
            <w:vAlign w:val="bottom"/>
            <w:hideMark/>
          </w:tcPr>
          <w:p w14:paraId="0113BA6A" w14:textId="27D9F34B" w:rsidR="00C156AC" w:rsidRPr="00784CF6" w:rsidRDefault="00C156AC" w:rsidP="00C156AC">
            <w:pPr>
              <w:spacing w:after="0" w:line="240" w:lineRule="auto"/>
              <w:jc w:val="right"/>
              <w:rPr>
                <w:rFonts w:cs="Arial"/>
                <w:sz w:val="16"/>
                <w:szCs w:val="16"/>
              </w:rPr>
            </w:pPr>
            <w:r>
              <w:rPr>
                <w:rFonts w:cs="Arial"/>
                <w:sz w:val="16"/>
                <w:szCs w:val="16"/>
              </w:rPr>
              <w:t>1,9</w:t>
            </w:r>
          </w:p>
        </w:tc>
        <w:tc>
          <w:tcPr>
            <w:tcW w:w="1303" w:type="dxa"/>
            <w:tcBorders>
              <w:top w:val="nil"/>
              <w:left w:val="nil"/>
              <w:bottom w:val="nil"/>
              <w:right w:val="nil"/>
            </w:tcBorders>
            <w:shd w:val="clear" w:color="auto" w:fill="auto"/>
            <w:noWrap/>
            <w:vAlign w:val="bottom"/>
            <w:hideMark/>
          </w:tcPr>
          <w:p w14:paraId="6CE32ECD" w14:textId="05C143AB" w:rsidR="00C156AC" w:rsidRPr="00784CF6" w:rsidRDefault="00C156AC" w:rsidP="00C156AC">
            <w:pPr>
              <w:spacing w:after="0" w:line="240" w:lineRule="auto"/>
              <w:jc w:val="right"/>
              <w:rPr>
                <w:rFonts w:cs="Arial"/>
                <w:sz w:val="16"/>
                <w:szCs w:val="16"/>
              </w:rPr>
            </w:pPr>
            <w:r>
              <w:rPr>
                <w:rFonts w:cs="Arial"/>
                <w:sz w:val="16"/>
                <w:szCs w:val="16"/>
              </w:rPr>
              <w:t>1,4</w:t>
            </w:r>
          </w:p>
        </w:tc>
        <w:tc>
          <w:tcPr>
            <w:tcW w:w="1468" w:type="dxa"/>
            <w:tcBorders>
              <w:top w:val="nil"/>
              <w:left w:val="nil"/>
              <w:bottom w:val="nil"/>
              <w:right w:val="nil"/>
            </w:tcBorders>
            <w:shd w:val="clear" w:color="auto" w:fill="auto"/>
            <w:noWrap/>
            <w:vAlign w:val="bottom"/>
            <w:hideMark/>
          </w:tcPr>
          <w:p w14:paraId="62875473" w14:textId="588B01C5" w:rsidR="00C156AC" w:rsidRPr="00784CF6" w:rsidRDefault="00C156AC" w:rsidP="00C156AC">
            <w:pPr>
              <w:spacing w:after="0" w:line="240" w:lineRule="auto"/>
              <w:jc w:val="right"/>
              <w:rPr>
                <w:rFonts w:cs="Arial"/>
                <w:sz w:val="16"/>
                <w:szCs w:val="16"/>
              </w:rPr>
            </w:pPr>
            <w:r>
              <w:rPr>
                <w:rFonts w:cs="Arial"/>
                <w:sz w:val="16"/>
                <w:szCs w:val="16"/>
              </w:rPr>
              <w:t>1,9</w:t>
            </w:r>
          </w:p>
        </w:tc>
      </w:tr>
      <w:tr w:rsidR="00C156AC" w:rsidRPr="00784CF6" w14:paraId="4C0662E1"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606BF1ED"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Estonsko</w:t>
            </w:r>
          </w:p>
        </w:tc>
        <w:tc>
          <w:tcPr>
            <w:tcW w:w="1323" w:type="dxa"/>
            <w:tcBorders>
              <w:top w:val="nil"/>
              <w:left w:val="nil"/>
              <w:bottom w:val="nil"/>
              <w:right w:val="nil"/>
            </w:tcBorders>
            <w:shd w:val="clear" w:color="auto" w:fill="auto"/>
            <w:noWrap/>
            <w:vAlign w:val="bottom"/>
            <w:hideMark/>
          </w:tcPr>
          <w:p w14:paraId="282D0337" w14:textId="29E2D7C7" w:rsidR="00C156AC" w:rsidRPr="00784CF6" w:rsidRDefault="00C156AC" w:rsidP="00C156AC">
            <w:pPr>
              <w:spacing w:after="0" w:line="240" w:lineRule="auto"/>
              <w:jc w:val="right"/>
              <w:rPr>
                <w:rFonts w:cs="Arial"/>
                <w:sz w:val="16"/>
                <w:szCs w:val="16"/>
              </w:rPr>
            </w:pPr>
            <w:r>
              <w:rPr>
                <w:rFonts w:cs="Arial"/>
                <w:sz w:val="16"/>
                <w:szCs w:val="16"/>
              </w:rPr>
              <w:t>1,9</w:t>
            </w:r>
          </w:p>
        </w:tc>
        <w:tc>
          <w:tcPr>
            <w:tcW w:w="1303" w:type="dxa"/>
            <w:tcBorders>
              <w:top w:val="nil"/>
              <w:left w:val="nil"/>
              <w:bottom w:val="nil"/>
              <w:right w:val="nil"/>
            </w:tcBorders>
            <w:shd w:val="clear" w:color="auto" w:fill="auto"/>
            <w:noWrap/>
            <w:vAlign w:val="bottom"/>
            <w:hideMark/>
          </w:tcPr>
          <w:p w14:paraId="61E120F5" w14:textId="13F03507" w:rsidR="00C156AC" w:rsidRPr="00784CF6" w:rsidRDefault="00C156AC" w:rsidP="00C156AC">
            <w:pPr>
              <w:spacing w:after="0" w:line="240" w:lineRule="auto"/>
              <w:jc w:val="right"/>
              <w:rPr>
                <w:rFonts w:cs="Arial"/>
                <w:sz w:val="16"/>
                <w:szCs w:val="16"/>
              </w:rPr>
            </w:pPr>
            <w:r>
              <w:rPr>
                <w:rFonts w:cs="Arial"/>
                <w:sz w:val="16"/>
                <w:szCs w:val="16"/>
              </w:rPr>
              <w:t>3,5</w:t>
            </w:r>
          </w:p>
        </w:tc>
        <w:tc>
          <w:tcPr>
            <w:tcW w:w="1303" w:type="dxa"/>
            <w:tcBorders>
              <w:top w:val="nil"/>
              <w:left w:val="nil"/>
              <w:bottom w:val="nil"/>
              <w:right w:val="nil"/>
            </w:tcBorders>
            <w:shd w:val="clear" w:color="auto" w:fill="auto"/>
            <w:noWrap/>
            <w:vAlign w:val="bottom"/>
            <w:hideMark/>
          </w:tcPr>
          <w:p w14:paraId="14BA37E4" w14:textId="033B6F02" w:rsidR="00C156AC" w:rsidRPr="00784CF6" w:rsidRDefault="00C156AC" w:rsidP="00C156AC">
            <w:pPr>
              <w:spacing w:after="0" w:line="240" w:lineRule="auto"/>
              <w:jc w:val="right"/>
              <w:rPr>
                <w:rFonts w:cs="Arial"/>
                <w:sz w:val="16"/>
                <w:szCs w:val="16"/>
              </w:rPr>
            </w:pPr>
            <w:r>
              <w:rPr>
                <w:rFonts w:cs="Arial"/>
                <w:sz w:val="16"/>
                <w:szCs w:val="16"/>
              </w:rPr>
              <w:t>2,2</w:t>
            </w:r>
          </w:p>
        </w:tc>
        <w:tc>
          <w:tcPr>
            <w:tcW w:w="1303" w:type="dxa"/>
            <w:tcBorders>
              <w:top w:val="nil"/>
              <w:left w:val="nil"/>
              <w:bottom w:val="nil"/>
              <w:right w:val="nil"/>
            </w:tcBorders>
            <w:shd w:val="clear" w:color="auto" w:fill="auto"/>
            <w:noWrap/>
            <w:vAlign w:val="bottom"/>
            <w:hideMark/>
          </w:tcPr>
          <w:p w14:paraId="46FED3FC" w14:textId="1AD1F363" w:rsidR="00C156AC" w:rsidRPr="00784CF6" w:rsidRDefault="00C156AC" w:rsidP="00C156AC">
            <w:pPr>
              <w:spacing w:after="0" w:line="240" w:lineRule="auto"/>
              <w:jc w:val="right"/>
              <w:rPr>
                <w:rFonts w:cs="Arial"/>
                <w:sz w:val="16"/>
                <w:szCs w:val="16"/>
              </w:rPr>
            </w:pPr>
            <w:r>
              <w:rPr>
                <w:rFonts w:cs="Arial"/>
                <w:sz w:val="16"/>
                <w:szCs w:val="16"/>
              </w:rPr>
              <w:t>2,5</w:t>
            </w:r>
          </w:p>
        </w:tc>
        <w:tc>
          <w:tcPr>
            <w:tcW w:w="1468" w:type="dxa"/>
            <w:tcBorders>
              <w:top w:val="nil"/>
              <w:left w:val="nil"/>
              <w:bottom w:val="nil"/>
              <w:right w:val="nil"/>
            </w:tcBorders>
            <w:shd w:val="clear" w:color="auto" w:fill="auto"/>
            <w:noWrap/>
            <w:vAlign w:val="bottom"/>
            <w:hideMark/>
          </w:tcPr>
          <w:p w14:paraId="39174031" w14:textId="6B328CED" w:rsidR="00C156AC" w:rsidRPr="00784CF6" w:rsidRDefault="00C156AC" w:rsidP="00C156AC">
            <w:pPr>
              <w:spacing w:after="0" w:line="240" w:lineRule="auto"/>
              <w:jc w:val="right"/>
              <w:rPr>
                <w:rFonts w:cs="Arial"/>
                <w:sz w:val="16"/>
                <w:szCs w:val="16"/>
              </w:rPr>
            </w:pPr>
            <w:r>
              <w:rPr>
                <w:rFonts w:cs="Arial"/>
                <w:sz w:val="16"/>
                <w:szCs w:val="16"/>
              </w:rPr>
              <w:t>4,6</w:t>
            </w:r>
          </w:p>
        </w:tc>
      </w:tr>
      <w:tr w:rsidR="00C156AC" w:rsidRPr="00784CF6" w14:paraId="66790A01" w14:textId="77777777" w:rsidTr="00C156AC">
        <w:trPr>
          <w:trHeight w:val="300"/>
        </w:trPr>
        <w:tc>
          <w:tcPr>
            <w:tcW w:w="1700" w:type="dxa"/>
            <w:tcBorders>
              <w:top w:val="nil"/>
              <w:left w:val="nil"/>
              <w:bottom w:val="nil"/>
              <w:right w:val="single" w:sz="4" w:space="0" w:color="auto"/>
            </w:tcBorders>
            <w:shd w:val="clear" w:color="auto" w:fill="auto"/>
            <w:noWrap/>
            <w:vAlign w:val="bottom"/>
            <w:hideMark/>
          </w:tcPr>
          <w:p w14:paraId="2C0C2BBB"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Finsko</w:t>
            </w:r>
          </w:p>
        </w:tc>
        <w:tc>
          <w:tcPr>
            <w:tcW w:w="1323" w:type="dxa"/>
            <w:tcBorders>
              <w:top w:val="nil"/>
              <w:left w:val="nil"/>
              <w:bottom w:val="nil"/>
              <w:right w:val="nil"/>
            </w:tcBorders>
            <w:shd w:val="clear" w:color="auto" w:fill="auto"/>
            <w:noWrap/>
            <w:vAlign w:val="bottom"/>
            <w:hideMark/>
          </w:tcPr>
          <w:p w14:paraId="69F65E2D" w14:textId="1C4A0F0E" w:rsidR="00C156AC" w:rsidRPr="00784CF6" w:rsidRDefault="00C156AC" w:rsidP="00C156AC">
            <w:pPr>
              <w:spacing w:after="0" w:line="240" w:lineRule="auto"/>
              <w:jc w:val="right"/>
              <w:rPr>
                <w:rFonts w:cs="Arial"/>
                <w:sz w:val="16"/>
                <w:szCs w:val="16"/>
              </w:rPr>
            </w:pPr>
            <w:r>
              <w:rPr>
                <w:rFonts w:cs="Arial"/>
                <w:sz w:val="16"/>
                <w:szCs w:val="16"/>
              </w:rPr>
              <w:t>1,9</w:t>
            </w:r>
          </w:p>
        </w:tc>
        <w:tc>
          <w:tcPr>
            <w:tcW w:w="1303" w:type="dxa"/>
            <w:tcBorders>
              <w:top w:val="nil"/>
              <w:left w:val="nil"/>
              <w:bottom w:val="nil"/>
              <w:right w:val="nil"/>
            </w:tcBorders>
            <w:shd w:val="clear" w:color="auto" w:fill="auto"/>
            <w:noWrap/>
            <w:vAlign w:val="bottom"/>
            <w:hideMark/>
          </w:tcPr>
          <w:p w14:paraId="2B87DBDC" w14:textId="38A6CA98" w:rsidR="00C156AC" w:rsidRPr="00784CF6" w:rsidRDefault="00C156AC" w:rsidP="00C156AC">
            <w:pPr>
              <w:spacing w:after="0" w:line="240" w:lineRule="auto"/>
              <w:jc w:val="right"/>
              <w:rPr>
                <w:rFonts w:cs="Arial"/>
                <w:sz w:val="16"/>
                <w:szCs w:val="16"/>
              </w:rPr>
            </w:pPr>
            <w:r>
              <w:rPr>
                <w:rFonts w:cs="Arial"/>
                <w:sz w:val="16"/>
                <w:szCs w:val="16"/>
              </w:rPr>
              <w:t>1,2</w:t>
            </w:r>
          </w:p>
        </w:tc>
        <w:tc>
          <w:tcPr>
            <w:tcW w:w="1303" w:type="dxa"/>
            <w:tcBorders>
              <w:top w:val="nil"/>
              <w:left w:val="nil"/>
              <w:bottom w:val="nil"/>
              <w:right w:val="nil"/>
            </w:tcBorders>
            <w:shd w:val="clear" w:color="auto" w:fill="auto"/>
            <w:noWrap/>
            <w:vAlign w:val="bottom"/>
            <w:hideMark/>
          </w:tcPr>
          <w:p w14:paraId="160A55E6" w14:textId="13849911" w:rsidR="00C156AC" w:rsidRPr="00784CF6" w:rsidRDefault="00C156AC" w:rsidP="00C156AC">
            <w:pPr>
              <w:spacing w:after="0" w:line="240" w:lineRule="auto"/>
              <w:jc w:val="right"/>
              <w:rPr>
                <w:rFonts w:cs="Arial"/>
                <w:sz w:val="16"/>
                <w:szCs w:val="16"/>
              </w:rPr>
            </w:pPr>
            <w:r>
              <w:rPr>
                <w:rFonts w:cs="Arial"/>
                <w:sz w:val="16"/>
                <w:szCs w:val="16"/>
              </w:rPr>
              <w:t>1,7</w:t>
            </w:r>
          </w:p>
        </w:tc>
        <w:tc>
          <w:tcPr>
            <w:tcW w:w="1303" w:type="dxa"/>
            <w:tcBorders>
              <w:top w:val="nil"/>
              <w:left w:val="nil"/>
              <w:bottom w:val="nil"/>
              <w:right w:val="nil"/>
            </w:tcBorders>
            <w:shd w:val="clear" w:color="auto" w:fill="auto"/>
            <w:noWrap/>
            <w:vAlign w:val="bottom"/>
            <w:hideMark/>
          </w:tcPr>
          <w:p w14:paraId="258E1D44" w14:textId="1276D834" w:rsidR="00C156AC" w:rsidRPr="00784CF6" w:rsidRDefault="00C156AC" w:rsidP="00C156AC">
            <w:pPr>
              <w:spacing w:after="0" w:line="240" w:lineRule="auto"/>
              <w:jc w:val="right"/>
              <w:rPr>
                <w:rFonts w:cs="Arial"/>
                <w:sz w:val="16"/>
                <w:szCs w:val="16"/>
              </w:rPr>
            </w:pPr>
            <w:r>
              <w:rPr>
                <w:rFonts w:cs="Arial"/>
                <w:sz w:val="16"/>
                <w:szCs w:val="16"/>
              </w:rPr>
              <w:t>1,8</w:t>
            </w:r>
          </w:p>
        </w:tc>
        <w:tc>
          <w:tcPr>
            <w:tcW w:w="1468" w:type="dxa"/>
            <w:tcBorders>
              <w:top w:val="nil"/>
              <w:left w:val="nil"/>
              <w:bottom w:val="nil"/>
              <w:right w:val="nil"/>
            </w:tcBorders>
            <w:shd w:val="clear" w:color="auto" w:fill="auto"/>
            <w:noWrap/>
            <w:vAlign w:val="bottom"/>
            <w:hideMark/>
          </w:tcPr>
          <w:p w14:paraId="580582D5" w14:textId="6432E159" w:rsidR="00C156AC" w:rsidRPr="00784CF6" w:rsidRDefault="00C156AC" w:rsidP="00C156AC">
            <w:pPr>
              <w:spacing w:after="0" w:line="240" w:lineRule="auto"/>
              <w:jc w:val="right"/>
              <w:rPr>
                <w:rFonts w:cs="Arial"/>
                <w:sz w:val="16"/>
                <w:szCs w:val="16"/>
              </w:rPr>
            </w:pPr>
            <w:r>
              <w:rPr>
                <w:rFonts w:cs="Arial"/>
                <w:sz w:val="16"/>
                <w:szCs w:val="16"/>
              </w:rPr>
              <w:t>1,6</w:t>
            </w:r>
          </w:p>
        </w:tc>
      </w:tr>
      <w:tr w:rsidR="00C156AC" w:rsidRPr="00784CF6" w14:paraId="657669AB" w14:textId="77777777" w:rsidTr="00C156AC">
        <w:trPr>
          <w:trHeight w:val="300"/>
        </w:trPr>
        <w:tc>
          <w:tcPr>
            <w:tcW w:w="1700" w:type="dxa"/>
            <w:tcBorders>
              <w:top w:val="nil"/>
              <w:left w:val="nil"/>
              <w:bottom w:val="nil"/>
              <w:right w:val="single" w:sz="4" w:space="0" w:color="auto"/>
            </w:tcBorders>
            <w:shd w:val="clear" w:color="auto" w:fill="auto"/>
            <w:noWrap/>
            <w:vAlign w:val="bottom"/>
            <w:hideMark/>
          </w:tcPr>
          <w:p w14:paraId="4C81C664"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Francie</w:t>
            </w:r>
          </w:p>
        </w:tc>
        <w:tc>
          <w:tcPr>
            <w:tcW w:w="1323" w:type="dxa"/>
            <w:tcBorders>
              <w:top w:val="nil"/>
              <w:left w:val="nil"/>
              <w:bottom w:val="nil"/>
              <w:right w:val="nil"/>
            </w:tcBorders>
            <w:shd w:val="clear" w:color="auto" w:fill="auto"/>
            <w:noWrap/>
            <w:vAlign w:val="bottom"/>
            <w:hideMark/>
          </w:tcPr>
          <w:p w14:paraId="29A4D81A" w14:textId="75C5D49D" w:rsidR="00C156AC" w:rsidRPr="00784CF6" w:rsidRDefault="00C156AC" w:rsidP="00C156AC">
            <w:pPr>
              <w:spacing w:after="0" w:line="240" w:lineRule="auto"/>
              <w:jc w:val="right"/>
              <w:rPr>
                <w:rFonts w:cs="Arial"/>
                <w:sz w:val="16"/>
                <w:szCs w:val="16"/>
              </w:rPr>
            </w:pPr>
            <w:r>
              <w:rPr>
                <w:rFonts w:cs="Arial"/>
                <w:sz w:val="16"/>
                <w:szCs w:val="16"/>
              </w:rPr>
              <w:t>3,5</w:t>
            </w:r>
          </w:p>
        </w:tc>
        <w:tc>
          <w:tcPr>
            <w:tcW w:w="1303" w:type="dxa"/>
            <w:tcBorders>
              <w:top w:val="nil"/>
              <w:left w:val="nil"/>
              <w:bottom w:val="nil"/>
              <w:right w:val="nil"/>
            </w:tcBorders>
            <w:shd w:val="clear" w:color="auto" w:fill="auto"/>
            <w:noWrap/>
            <w:vAlign w:val="bottom"/>
            <w:hideMark/>
          </w:tcPr>
          <w:p w14:paraId="340314E5" w14:textId="13C6C5B9" w:rsidR="00C156AC" w:rsidRPr="00784CF6" w:rsidRDefault="00C156AC" w:rsidP="00C156AC">
            <w:pPr>
              <w:spacing w:after="0" w:line="240" w:lineRule="auto"/>
              <w:jc w:val="right"/>
              <w:rPr>
                <w:rFonts w:cs="Arial"/>
                <w:sz w:val="16"/>
                <w:szCs w:val="16"/>
              </w:rPr>
            </w:pPr>
            <w:r>
              <w:rPr>
                <w:rFonts w:cs="Arial"/>
                <w:sz w:val="16"/>
                <w:szCs w:val="16"/>
              </w:rPr>
              <w:t>3,7</w:t>
            </w:r>
          </w:p>
        </w:tc>
        <w:tc>
          <w:tcPr>
            <w:tcW w:w="1303" w:type="dxa"/>
            <w:tcBorders>
              <w:top w:val="nil"/>
              <w:left w:val="nil"/>
              <w:bottom w:val="nil"/>
              <w:right w:val="nil"/>
            </w:tcBorders>
            <w:shd w:val="clear" w:color="auto" w:fill="D9D9D9" w:themeFill="background1" w:themeFillShade="D9"/>
            <w:noWrap/>
            <w:vAlign w:val="bottom"/>
            <w:hideMark/>
          </w:tcPr>
          <w:p w14:paraId="7545588D" w14:textId="0D827C60" w:rsidR="00C156AC" w:rsidRPr="00784CF6" w:rsidRDefault="00C156AC" w:rsidP="00C156AC">
            <w:pPr>
              <w:spacing w:after="0" w:line="240" w:lineRule="auto"/>
              <w:jc w:val="right"/>
              <w:rPr>
                <w:rFonts w:cs="Arial"/>
                <w:sz w:val="16"/>
                <w:szCs w:val="16"/>
              </w:rPr>
            </w:pPr>
            <w:r>
              <w:rPr>
                <w:rFonts w:cs="Arial"/>
                <w:sz w:val="16"/>
                <w:szCs w:val="16"/>
              </w:rPr>
              <w:t>3,7</w:t>
            </w:r>
          </w:p>
        </w:tc>
        <w:tc>
          <w:tcPr>
            <w:tcW w:w="1303" w:type="dxa"/>
            <w:tcBorders>
              <w:top w:val="nil"/>
              <w:left w:val="nil"/>
              <w:bottom w:val="nil"/>
              <w:right w:val="nil"/>
            </w:tcBorders>
            <w:shd w:val="clear" w:color="auto" w:fill="auto"/>
            <w:noWrap/>
            <w:vAlign w:val="bottom"/>
            <w:hideMark/>
          </w:tcPr>
          <w:p w14:paraId="0062FE61" w14:textId="5D388602" w:rsidR="00C156AC" w:rsidRPr="00784CF6" w:rsidRDefault="00C156AC" w:rsidP="00C156AC">
            <w:pPr>
              <w:spacing w:after="0" w:line="240" w:lineRule="auto"/>
              <w:jc w:val="right"/>
              <w:rPr>
                <w:rFonts w:cs="Arial"/>
                <w:sz w:val="16"/>
                <w:szCs w:val="16"/>
              </w:rPr>
            </w:pPr>
            <w:r>
              <w:rPr>
                <w:rFonts w:cs="Arial"/>
                <w:sz w:val="16"/>
                <w:szCs w:val="16"/>
              </w:rPr>
              <w:t>4,0</w:t>
            </w:r>
          </w:p>
        </w:tc>
        <w:tc>
          <w:tcPr>
            <w:tcW w:w="1468" w:type="dxa"/>
            <w:tcBorders>
              <w:top w:val="nil"/>
              <w:left w:val="nil"/>
              <w:bottom w:val="nil"/>
              <w:right w:val="nil"/>
            </w:tcBorders>
            <w:shd w:val="clear" w:color="auto" w:fill="auto"/>
            <w:noWrap/>
            <w:vAlign w:val="bottom"/>
            <w:hideMark/>
          </w:tcPr>
          <w:p w14:paraId="70C58B1A" w14:textId="4A945C8F" w:rsidR="00C156AC" w:rsidRPr="00784CF6" w:rsidRDefault="00C156AC" w:rsidP="00C156AC">
            <w:pPr>
              <w:spacing w:after="0" w:line="240" w:lineRule="auto"/>
              <w:jc w:val="right"/>
              <w:rPr>
                <w:rFonts w:cs="Arial"/>
                <w:sz w:val="16"/>
                <w:szCs w:val="16"/>
              </w:rPr>
            </w:pPr>
            <w:r>
              <w:rPr>
                <w:rFonts w:cs="Arial"/>
                <w:sz w:val="16"/>
                <w:szCs w:val="16"/>
              </w:rPr>
              <w:t>4,1</w:t>
            </w:r>
          </w:p>
        </w:tc>
      </w:tr>
      <w:tr w:rsidR="00C156AC" w:rsidRPr="00784CF6" w14:paraId="13600888"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0AC0ABB4"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Chorvatsko</w:t>
            </w:r>
          </w:p>
        </w:tc>
        <w:tc>
          <w:tcPr>
            <w:tcW w:w="1323" w:type="dxa"/>
            <w:tcBorders>
              <w:top w:val="nil"/>
              <w:left w:val="nil"/>
              <w:bottom w:val="nil"/>
              <w:right w:val="nil"/>
            </w:tcBorders>
            <w:shd w:val="clear" w:color="auto" w:fill="auto"/>
            <w:noWrap/>
            <w:vAlign w:val="bottom"/>
            <w:hideMark/>
          </w:tcPr>
          <w:p w14:paraId="1C87BF0E" w14:textId="4ABE9975" w:rsidR="00C156AC" w:rsidRPr="00784CF6" w:rsidRDefault="00C156AC" w:rsidP="00C156AC">
            <w:pPr>
              <w:spacing w:after="0" w:line="240" w:lineRule="auto"/>
              <w:jc w:val="right"/>
              <w:rPr>
                <w:rFonts w:cs="Arial"/>
                <w:sz w:val="16"/>
                <w:szCs w:val="16"/>
              </w:rPr>
            </w:pPr>
            <w:r>
              <w:rPr>
                <w:rFonts w:cs="Arial"/>
                <w:sz w:val="16"/>
                <w:szCs w:val="16"/>
              </w:rPr>
              <w:t>4,6</w:t>
            </w:r>
          </w:p>
        </w:tc>
        <w:tc>
          <w:tcPr>
            <w:tcW w:w="1303" w:type="dxa"/>
            <w:tcBorders>
              <w:top w:val="nil"/>
              <w:left w:val="nil"/>
              <w:bottom w:val="nil"/>
              <w:right w:val="nil"/>
            </w:tcBorders>
            <w:shd w:val="clear" w:color="auto" w:fill="auto"/>
            <w:noWrap/>
            <w:vAlign w:val="bottom"/>
            <w:hideMark/>
          </w:tcPr>
          <w:p w14:paraId="1EB94B70" w14:textId="02EC37EF" w:rsidR="00C156AC" w:rsidRPr="00784CF6" w:rsidRDefault="00C156AC" w:rsidP="00C156AC">
            <w:pPr>
              <w:spacing w:after="0" w:line="240" w:lineRule="auto"/>
              <w:jc w:val="right"/>
              <w:rPr>
                <w:rFonts w:cs="Arial"/>
                <w:sz w:val="16"/>
                <w:szCs w:val="16"/>
              </w:rPr>
            </w:pPr>
            <w:r>
              <w:rPr>
                <w:rFonts w:cs="Arial"/>
                <w:sz w:val="16"/>
                <w:szCs w:val="16"/>
              </w:rPr>
              <w:t>2,4</w:t>
            </w:r>
          </w:p>
        </w:tc>
        <w:tc>
          <w:tcPr>
            <w:tcW w:w="1303" w:type="dxa"/>
            <w:tcBorders>
              <w:top w:val="nil"/>
              <w:left w:val="nil"/>
              <w:bottom w:val="nil"/>
              <w:right w:val="nil"/>
            </w:tcBorders>
            <w:shd w:val="clear" w:color="auto" w:fill="auto"/>
            <w:noWrap/>
            <w:vAlign w:val="bottom"/>
            <w:hideMark/>
          </w:tcPr>
          <w:p w14:paraId="458FC8E0" w14:textId="6665B589" w:rsidR="00C156AC" w:rsidRPr="00784CF6" w:rsidRDefault="00C156AC" w:rsidP="00C156AC">
            <w:pPr>
              <w:spacing w:after="0" w:line="240" w:lineRule="auto"/>
              <w:jc w:val="right"/>
              <w:rPr>
                <w:rFonts w:cs="Arial"/>
                <w:sz w:val="16"/>
                <w:szCs w:val="16"/>
              </w:rPr>
            </w:pPr>
            <w:r>
              <w:rPr>
                <w:rFonts w:cs="Arial"/>
                <w:sz w:val="16"/>
                <w:szCs w:val="16"/>
              </w:rPr>
              <w:t>2,3</w:t>
            </w:r>
          </w:p>
        </w:tc>
        <w:tc>
          <w:tcPr>
            <w:tcW w:w="1303" w:type="dxa"/>
            <w:tcBorders>
              <w:top w:val="nil"/>
              <w:left w:val="nil"/>
              <w:bottom w:val="nil"/>
              <w:right w:val="nil"/>
            </w:tcBorders>
            <w:shd w:val="clear" w:color="auto" w:fill="auto"/>
            <w:noWrap/>
            <w:vAlign w:val="bottom"/>
            <w:hideMark/>
          </w:tcPr>
          <w:p w14:paraId="381A1444" w14:textId="759BE482" w:rsidR="00C156AC" w:rsidRPr="00784CF6" w:rsidRDefault="00C156AC" w:rsidP="00C156AC">
            <w:pPr>
              <w:spacing w:after="0" w:line="240" w:lineRule="auto"/>
              <w:jc w:val="right"/>
              <w:rPr>
                <w:rFonts w:cs="Arial"/>
                <w:sz w:val="16"/>
                <w:szCs w:val="16"/>
              </w:rPr>
            </w:pPr>
            <w:r>
              <w:rPr>
                <w:rFonts w:cs="Arial"/>
                <w:sz w:val="16"/>
                <w:szCs w:val="16"/>
              </w:rPr>
              <w:t>2,7</w:t>
            </w:r>
          </w:p>
        </w:tc>
        <w:tc>
          <w:tcPr>
            <w:tcW w:w="1468" w:type="dxa"/>
            <w:tcBorders>
              <w:top w:val="nil"/>
              <w:left w:val="nil"/>
              <w:bottom w:val="nil"/>
              <w:right w:val="nil"/>
            </w:tcBorders>
            <w:shd w:val="clear" w:color="auto" w:fill="auto"/>
            <w:noWrap/>
            <w:vAlign w:val="bottom"/>
            <w:hideMark/>
          </w:tcPr>
          <w:p w14:paraId="5B8834D7" w14:textId="5256472C" w:rsidR="00C156AC" w:rsidRPr="00784CF6" w:rsidRDefault="00C156AC" w:rsidP="00C156AC">
            <w:pPr>
              <w:spacing w:after="0" w:line="240" w:lineRule="auto"/>
              <w:jc w:val="right"/>
              <w:rPr>
                <w:rFonts w:cs="Arial"/>
                <w:sz w:val="16"/>
                <w:szCs w:val="16"/>
              </w:rPr>
            </w:pPr>
            <w:r>
              <w:rPr>
                <w:rFonts w:cs="Arial"/>
                <w:sz w:val="16"/>
                <w:szCs w:val="16"/>
              </w:rPr>
              <w:t>3,1</w:t>
            </w:r>
          </w:p>
        </w:tc>
      </w:tr>
      <w:tr w:rsidR="00C156AC" w:rsidRPr="00784CF6" w14:paraId="6E2AF713"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6633F683"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Irsko</w:t>
            </w:r>
          </w:p>
        </w:tc>
        <w:tc>
          <w:tcPr>
            <w:tcW w:w="1323" w:type="dxa"/>
            <w:tcBorders>
              <w:top w:val="nil"/>
              <w:left w:val="nil"/>
              <w:bottom w:val="nil"/>
              <w:right w:val="nil"/>
            </w:tcBorders>
            <w:shd w:val="clear" w:color="auto" w:fill="auto"/>
            <w:noWrap/>
            <w:vAlign w:val="bottom"/>
            <w:hideMark/>
          </w:tcPr>
          <w:p w14:paraId="7284E6C3" w14:textId="284A5860" w:rsidR="00C156AC" w:rsidRPr="00784CF6" w:rsidRDefault="00C156AC" w:rsidP="00C156AC">
            <w:pPr>
              <w:spacing w:after="0" w:line="240" w:lineRule="auto"/>
              <w:jc w:val="right"/>
              <w:rPr>
                <w:rFonts w:cs="Arial"/>
                <w:sz w:val="16"/>
                <w:szCs w:val="16"/>
              </w:rPr>
            </w:pPr>
            <w:r>
              <w:rPr>
                <w:rFonts w:cs="Arial"/>
                <w:sz w:val="16"/>
                <w:szCs w:val="16"/>
              </w:rPr>
              <w:t>3,4</w:t>
            </w:r>
          </w:p>
        </w:tc>
        <w:tc>
          <w:tcPr>
            <w:tcW w:w="1303" w:type="dxa"/>
            <w:tcBorders>
              <w:top w:val="nil"/>
              <w:left w:val="nil"/>
              <w:bottom w:val="nil"/>
              <w:right w:val="nil"/>
            </w:tcBorders>
            <w:shd w:val="clear" w:color="auto" w:fill="auto"/>
            <w:noWrap/>
            <w:vAlign w:val="bottom"/>
            <w:hideMark/>
          </w:tcPr>
          <w:p w14:paraId="6F95CB9C" w14:textId="27445C18" w:rsidR="00C156AC" w:rsidRPr="00784CF6" w:rsidRDefault="00C156AC" w:rsidP="00C156AC">
            <w:pPr>
              <w:spacing w:after="0" w:line="240" w:lineRule="auto"/>
              <w:jc w:val="right"/>
              <w:rPr>
                <w:rFonts w:cs="Arial"/>
                <w:sz w:val="16"/>
                <w:szCs w:val="16"/>
              </w:rPr>
            </w:pPr>
            <w:r>
              <w:rPr>
                <w:rFonts w:cs="Arial"/>
                <w:sz w:val="16"/>
                <w:szCs w:val="16"/>
              </w:rPr>
              <w:t>2,7</w:t>
            </w:r>
          </w:p>
        </w:tc>
        <w:tc>
          <w:tcPr>
            <w:tcW w:w="1303" w:type="dxa"/>
            <w:tcBorders>
              <w:top w:val="nil"/>
              <w:left w:val="nil"/>
              <w:bottom w:val="nil"/>
              <w:right w:val="nil"/>
            </w:tcBorders>
            <w:shd w:val="clear" w:color="auto" w:fill="auto"/>
            <w:noWrap/>
            <w:vAlign w:val="bottom"/>
            <w:hideMark/>
          </w:tcPr>
          <w:p w14:paraId="60B11AC7" w14:textId="4C86E056" w:rsidR="00C156AC" w:rsidRPr="00784CF6" w:rsidRDefault="00C156AC" w:rsidP="00C156AC">
            <w:pPr>
              <w:spacing w:after="0" w:line="240" w:lineRule="auto"/>
              <w:jc w:val="right"/>
              <w:rPr>
                <w:rFonts w:cs="Arial"/>
                <w:sz w:val="16"/>
                <w:szCs w:val="16"/>
              </w:rPr>
            </w:pPr>
            <w:r>
              <w:rPr>
                <w:rFonts w:cs="Arial"/>
                <w:sz w:val="16"/>
                <w:szCs w:val="16"/>
              </w:rPr>
              <w:t>3,1</w:t>
            </w:r>
          </w:p>
        </w:tc>
        <w:tc>
          <w:tcPr>
            <w:tcW w:w="1303" w:type="dxa"/>
            <w:tcBorders>
              <w:top w:val="nil"/>
              <w:left w:val="nil"/>
              <w:bottom w:val="nil"/>
              <w:right w:val="nil"/>
            </w:tcBorders>
            <w:shd w:val="clear" w:color="auto" w:fill="auto"/>
            <w:noWrap/>
            <w:vAlign w:val="bottom"/>
            <w:hideMark/>
          </w:tcPr>
          <w:p w14:paraId="055D2EEB" w14:textId="0D591057" w:rsidR="00C156AC" w:rsidRPr="00784CF6" w:rsidRDefault="00C156AC" w:rsidP="00C156AC">
            <w:pPr>
              <w:spacing w:after="0" w:line="240" w:lineRule="auto"/>
              <w:jc w:val="right"/>
              <w:rPr>
                <w:rFonts w:cs="Arial"/>
                <w:sz w:val="16"/>
                <w:szCs w:val="16"/>
              </w:rPr>
            </w:pPr>
            <w:r>
              <w:rPr>
                <w:rFonts w:cs="Arial"/>
                <w:sz w:val="16"/>
                <w:szCs w:val="16"/>
              </w:rPr>
              <w:t>2,9</w:t>
            </w:r>
          </w:p>
        </w:tc>
        <w:tc>
          <w:tcPr>
            <w:tcW w:w="1468" w:type="dxa"/>
            <w:tcBorders>
              <w:top w:val="nil"/>
              <w:left w:val="nil"/>
              <w:bottom w:val="nil"/>
              <w:right w:val="nil"/>
            </w:tcBorders>
            <w:shd w:val="clear" w:color="auto" w:fill="auto"/>
            <w:noWrap/>
            <w:vAlign w:val="bottom"/>
            <w:hideMark/>
          </w:tcPr>
          <w:p w14:paraId="62DDB30D" w14:textId="73011B9B" w:rsidR="00C156AC" w:rsidRPr="00784CF6" w:rsidRDefault="00C156AC" w:rsidP="00C156AC">
            <w:pPr>
              <w:spacing w:after="0" w:line="240" w:lineRule="auto"/>
              <w:jc w:val="right"/>
              <w:rPr>
                <w:rFonts w:cs="Arial"/>
                <w:sz w:val="16"/>
                <w:szCs w:val="16"/>
              </w:rPr>
            </w:pPr>
            <w:r>
              <w:rPr>
                <w:rFonts w:cs="Arial"/>
                <w:sz w:val="16"/>
                <w:szCs w:val="16"/>
              </w:rPr>
              <w:t>2,7</w:t>
            </w:r>
          </w:p>
        </w:tc>
      </w:tr>
      <w:tr w:rsidR="00C156AC" w:rsidRPr="00784CF6" w14:paraId="665F14CA"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01558FB0"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Itálie</w:t>
            </w:r>
          </w:p>
        </w:tc>
        <w:tc>
          <w:tcPr>
            <w:tcW w:w="1323" w:type="dxa"/>
            <w:tcBorders>
              <w:top w:val="nil"/>
              <w:left w:val="nil"/>
              <w:bottom w:val="nil"/>
              <w:right w:val="nil"/>
            </w:tcBorders>
            <w:shd w:val="clear" w:color="auto" w:fill="auto"/>
            <w:noWrap/>
            <w:vAlign w:val="bottom"/>
            <w:hideMark/>
          </w:tcPr>
          <w:p w14:paraId="4A76091C" w14:textId="188D8588" w:rsidR="00C156AC" w:rsidRPr="00784CF6" w:rsidRDefault="00C156AC" w:rsidP="00C156AC">
            <w:pPr>
              <w:spacing w:after="0" w:line="240" w:lineRule="auto"/>
              <w:jc w:val="right"/>
              <w:rPr>
                <w:rFonts w:cs="Arial"/>
                <w:sz w:val="16"/>
                <w:szCs w:val="16"/>
              </w:rPr>
            </w:pPr>
            <w:r>
              <w:rPr>
                <w:rFonts w:cs="Arial"/>
                <w:sz w:val="16"/>
                <w:szCs w:val="16"/>
              </w:rPr>
              <w:t>2,9</w:t>
            </w:r>
          </w:p>
        </w:tc>
        <w:tc>
          <w:tcPr>
            <w:tcW w:w="1303" w:type="dxa"/>
            <w:tcBorders>
              <w:top w:val="nil"/>
              <w:left w:val="nil"/>
              <w:bottom w:val="nil"/>
              <w:right w:val="nil"/>
            </w:tcBorders>
            <w:shd w:val="clear" w:color="auto" w:fill="auto"/>
            <w:noWrap/>
            <w:vAlign w:val="bottom"/>
            <w:hideMark/>
          </w:tcPr>
          <w:p w14:paraId="2D485D87" w14:textId="5D34385E" w:rsidR="00C156AC" w:rsidRPr="00784CF6" w:rsidRDefault="00C156AC" w:rsidP="00C156AC">
            <w:pPr>
              <w:spacing w:after="0" w:line="240" w:lineRule="auto"/>
              <w:jc w:val="right"/>
              <w:rPr>
                <w:rFonts w:cs="Arial"/>
                <w:sz w:val="16"/>
                <w:szCs w:val="16"/>
              </w:rPr>
            </w:pPr>
            <w:r>
              <w:rPr>
                <w:rFonts w:cs="Arial"/>
                <w:sz w:val="16"/>
                <w:szCs w:val="16"/>
              </w:rPr>
              <w:t>3,0</w:t>
            </w:r>
          </w:p>
        </w:tc>
        <w:tc>
          <w:tcPr>
            <w:tcW w:w="1303" w:type="dxa"/>
            <w:tcBorders>
              <w:top w:val="nil"/>
              <w:left w:val="nil"/>
              <w:bottom w:val="nil"/>
              <w:right w:val="nil"/>
            </w:tcBorders>
            <w:shd w:val="clear" w:color="auto" w:fill="auto"/>
            <w:noWrap/>
            <w:vAlign w:val="bottom"/>
            <w:hideMark/>
          </w:tcPr>
          <w:p w14:paraId="4C38C7A1" w14:textId="76D62631" w:rsidR="00C156AC" w:rsidRPr="00784CF6" w:rsidRDefault="00C156AC" w:rsidP="00C156AC">
            <w:pPr>
              <w:spacing w:after="0" w:line="240" w:lineRule="auto"/>
              <w:jc w:val="right"/>
              <w:rPr>
                <w:rFonts w:cs="Arial"/>
                <w:sz w:val="16"/>
                <w:szCs w:val="16"/>
              </w:rPr>
            </w:pPr>
            <w:r>
              <w:rPr>
                <w:rFonts w:cs="Arial"/>
                <w:sz w:val="16"/>
                <w:szCs w:val="16"/>
              </w:rPr>
              <w:t>3,0</w:t>
            </w:r>
          </w:p>
        </w:tc>
        <w:tc>
          <w:tcPr>
            <w:tcW w:w="1303" w:type="dxa"/>
            <w:tcBorders>
              <w:top w:val="nil"/>
              <w:left w:val="nil"/>
              <w:bottom w:val="nil"/>
              <w:right w:val="nil"/>
            </w:tcBorders>
            <w:shd w:val="clear" w:color="auto" w:fill="auto"/>
            <w:noWrap/>
            <w:vAlign w:val="bottom"/>
            <w:hideMark/>
          </w:tcPr>
          <w:p w14:paraId="394F3F2F" w14:textId="36C73C27" w:rsidR="00C156AC" w:rsidRPr="00784CF6" w:rsidRDefault="00C156AC" w:rsidP="00C156AC">
            <w:pPr>
              <w:spacing w:after="0" w:line="240" w:lineRule="auto"/>
              <w:jc w:val="right"/>
              <w:rPr>
                <w:rFonts w:cs="Arial"/>
                <w:sz w:val="16"/>
                <w:szCs w:val="16"/>
              </w:rPr>
            </w:pPr>
            <w:r>
              <w:rPr>
                <w:rFonts w:cs="Arial"/>
                <w:sz w:val="16"/>
                <w:szCs w:val="16"/>
              </w:rPr>
              <w:t>3,1</w:t>
            </w:r>
          </w:p>
        </w:tc>
        <w:tc>
          <w:tcPr>
            <w:tcW w:w="1468" w:type="dxa"/>
            <w:tcBorders>
              <w:top w:val="nil"/>
              <w:left w:val="nil"/>
              <w:bottom w:val="nil"/>
              <w:right w:val="nil"/>
            </w:tcBorders>
            <w:shd w:val="clear" w:color="auto" w:fill="auto"/>
            <w:noWrap/>
            <w:vAlign w:val="bottom"/>
            <w:hideMark/>
          </w:tcPr>
          <w:p w14:paraId="3037C3CB" w14:textId="114C2EF3" w:rsidR="00C156AC" w:rsidRPr="00784CF6" w:rsidRDefault="00C156AC" w:rsidP="00C156AC">
            <w:pPr>
              <w:spacing w:after="0" w:line="240" w:lineRule="auto"/>
              <w:jc w:val="right"/>
              <w:rPr>
                <w:rFonts w:cs="Arial"/>
                <w:sz w:val="16"/>
                <w:szCs w:val="16"/>
              </w:rPr>
            </w:pPr>
            <w:r>
              <w:rPr>
                <w:rFonts w:cs="Arial"/>
                <w:sz w:val="16"/>
                <w:szCs w:val="16"/>
              </w:rPr>
              <w:t>2,6</w:t>
            </w:r>
          </w:p>
        </w:tc>
      </w:tr>
      <w:tr w:rsidR="00C156AC" w:rsidRPr="00784CF6" w14:paraId="6C318FB5"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68AD859D"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Kypr</w:t>
            </w:r>
          </w:p>
        </w:tc>
        <w:tc>
          <w:tcPr>
            <w:tcW w:w="1323" w:type="dxa"/>
            <w:tcBorders>
              <w:top w:val="nil"/>
              <w:left w:val="nil"/>
              <w:bottom w:val="nil"/>
              <w:right w:val="nil"/>
            </w:tcBorders>
            <w:shd w:val="clear" w:color="auto" w:fill="auto"/>
            <w:noWrap/>
            <w:vAlign w:val="bottom"/>
            <w:hideMark/>
          </w:tcPr>
          <w:p w14:paraId="63EBB804" w14:textId="6CFB2EED" w:rsidR="00C156AC" w:rsidRPr="00784CF6" w:rsidRDefault="00C156AC" w:rsidP="00C156AC">
            <w:pPr>
              <w:spacing w:after="0" w:line="240" w:lineRule="auto"/>
              <w:jc w:val="right"/>
              <w:rPr>
                <w:rFonts w:cs="Arial"/>
                <w:sz w:val="16"/>
                <w:szCs w:val="16"/>
              </w:rPr>
            </w:pPr>
            <w:r>
              <w:rPr>
                <w:rFonts w:cs="Arial"/>
                <w:sz w:val="16"/>
                <w:szCs w:val="16"/>
              </w:rPr>
              <w:t>3,9</w:t>
            </w:r>
          </w:p>
        </w:tc>
        <w:tc>
          <w:tcPr>
            <w:tcW w:w="1303" w:type="dxa"/>
            <w:tcBorders>
              <w:top w:val="nil"/>
              <w:left w:val="nil"/>
              <w:bottom w:val="nil"/>
              <w:right w:val="nil"/>
            </w:tcBorders>
            <w:shd w:val="clear" w:color="auto" w:fill="auto"/>
            <w:noWrap/>
            <w:vAlign w:val="bottom"/>
            <w:hideMark/>
          </w:tcPr>
          <w:p w14:paraId="64FF6571" w14:textId="028918CB" w:rsidR="00C156AC" w:rsidRPr="00784CF6" w:rsidRDefault="00C156AC" w:rsidP="00C156AC">
            <w:pPr>
              <w:spacing w:after="0" w:line="240" w:lineRule="auto"/>
              <w:jc w:val="right"/>
              <w:rPr>
                <w:rFonts w:cs="Arial"/>
                <w:sz w:val="16"/>
                <w:szCs w:val="16"/>
              </w:rPr>
            </w:pPr>
            <w:r>
              <w:rPr>
                <w:rFonts w:cs="Arial"/>
                <w:sz w:val="16"/>
                <w:szCs w:val="16"/>
              </w:rPr>
              <w:t>3,7</w:t>
            </w:r>
          </w:p>
        </w:tc>
        <w:tc>
          <w:tcPr>
            <w:tcW w:w="1303" w:type="dxa"/>
            <w:tcBorders>
              <w:top w:val="nil"/>
              <w:left w:val="nil"/>
              <w:bottom w:val="nil"/>
              <w:right w:val="nil"/>
            </w:tcBorders>
            <w:shd w:val="clear" w:color="auto" w:fill="auto"/>
            <w:noWrap/>
            <w:vAlign w:val="bottom"/>
            <w:hideMark/>
          </w:tcPr>
          <w:p w14:paraId="34E380C9" w14:textId="79BE9985" w:rsidR="00C156AC" w:rsidRPr="00784CF6" w:rsidRDefault="00C156AC" w:rsidP="00C156AC">
            <w:pPr>
              <w:spacing w:after="0" w:line="240" w:lineRule="auto"/>
              <w:jc w:val="right"/>
              <w:rPr>
                <w:rFonts w:cs="Arial"/>
                <w:sz w:val="16"/>
                <w:szCs w:val="16"/>
              </w:rPr>
            </w:pPr>
            <w:r>
              <w:rPr>
                <w:rFonts w:cs="Arial"/>
                <w:sz w:val="16"/>
                <w:szCs w:val="16"/>
              </w:rPr>
              <w:t>2,6</w:t>
            </w:r>
          </w:p>
        </w:tc>
        <w:tc>
          <w:tcPr>
            <w:tcW w:w="1303" w:type="dxa"/>
            <w:tcBorders>
              <w:top w:val="nil"/>
              <w:left w:val="nil"/>
              <w:bottom w:val="nil"/>
              <w:right w:val="nil"/>
            </w:tcBorders>
            <w:shd w:val="clear" w:color="auto" w:fill="auto"/>
            <w:noWrap/>
            <w:vAlign w:val="bottom"/>
            <w:hideMark/>
          </w:tcPr>
          <w:p w14:paraId="16D0659B" w14:textId="4DB8BA7B" w:rsidR="00C156AC" w:rsidRPr="00784CF6" w:rsidRDefault="00C156AC" w:rsidP="00C156AC">
            <w:pPr>
              <w:spacing w:after="0" w:line="240" w:lineRule="auto"/>
              <w:jc w:val="right"/>
              <w:rPr>
                <w:rFonts w:cs="Arial"/>
                <w:sz w:val="16"/>
                <w:szCs w:val="16"/>
              </w:rPr>
            </w:pPr>
            <w:r>
              <w:rPr>
                <w:rFonts w:cs="Arial"/>
                <w:sz w:val="16"/>
                <w:szCs w:val="16"/>
              </w:rPr>
              <w:t>1,5</w:t>
            </w:r>
          </w:p>
        </w:tc>
        <w:tc>
          <w:tcPr>
            <w:tcW w:w="1468" w:type="dxa"/>
            <w:tcBorders>
              <w:top w:val="nil"/>
              <w:left w:val="nil"/>
              <w:bottom w:val="nil"/>
              <w:right w:val="nil"/>
            </w:tcBorders>
            <w:shd w:val="clear" w:color="auto" w:fill="auto"/>
            <w:noWrap/>
            <w:vAlign w:val="bottom"/>
            <w:hideMark/>
          </w:tcPr>
          <w:p w14:paraId="53D6A2D4" w14:textId="46E63FB9" w:rsidR="00C156AC" w:rsidRPr="00784CF6" w:rsidRDefault="00C156AC" w:rsidP="00C156AC">
            <w:pPr>
              <w:spacing w:after="0" w:line="240" w:lineRule="auto"/>
              <w:jc w:val="right"/>
              <w:rPr>
                <w:rFonts w:cs="Arial"/>
                <w:sz w:val="16"/>
                <w:szCs w:val="16"/>
              </w:rPr>
            </w:pPr>
            <w:r>
              <w:rPr>
                <w:rFonts w:cs="Arial"/>
                <w:sz w:val="16"/>
                <w:szCs w:val="16"/>
              </w:rPr>
              <w:t>1,9</w:t>
            </w:r>
          </w:p>
        </w:tc>
      </w:tr>
      <w:tr w:rsidR="00C156AC" w:rsidRPr="00784CF6" w14:paraId="34DDF4D3"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4462F3C9"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Litva</w:t>
            </w:r>
          </w:p>
        </w:tc>
        <w:tc>
          <w:tcPr>
            <w:tcW w:w="1323" w:type="dxa"/>
            <w:tcBorders>
              <w:top w:val="nil"/>
              <w:left w:val="nil"/>
              <w:bottom w:val="nil"/>
              <w:right w:val="nil"/>
            </w:tcBorders>
            <w:shd w:val="clear" w:color="auto" w:fill="auto"/>
            <w:noWrap/>
            <w:vAlign w:val="bottom"/>
            <w:hideMark/>
          </w:tcPr>
          <w:p w14:paraId="232F488D" w14:textId="278C54A9" w:rsidR="00C156AC" w:rsidRPr="00784CF6" w:rsidRDefault="00C156AC" w:rsidP="00C156AC">
            <w:pPr>
              <w:spacing w:after="0" w:line="240" w:lineRule="auto"/>
              <w:jc w:val="right"/>
              <w:rPr>
                <w:rFonts w:cs="Arial"/>
                <w:sz w:val="16"/>
                <w:szCs w:val="16"/>
              </w:rPr>
            </w:pPr>
            <w:r>
              <w:rPr>
                <w:rFonts w:cs="Arial"/>
                <w:sz w:val="16"/>
                <w:szCs w:val="16"/>
              </w:rPr>
              <w:t>6,3</w:t>
            </w:r>
          </w:p>
        </w:tc>
        <w:tc>
          <w:tcPr>
            <w:tcW w:w="1303" w:type="dxa"/>
            <w:tcBorders>
              <w:top w:val="nil"/>
              <w:left w:val="nil"/>
              <w:bottom w:val="nil"/>
              <w:right w:val="nil"/>
            </w:tcBorders>
            <w:shd w:val="clear" w:color="auto" w:fill="auto"/>
            <w:noWrap/>
            <w:vAlign w:val="bottom"/>
            <w:hideMark/>
          </w:tcPr>
          <w:p w14:paraId="67FF1D97" w14:textId="750DC564" w:rsidR="00C156AC" w:rsidRPr="00784CF6" w:rsidRDefault="00C156AC" w:rsidP="00C156AC">
            <w:pPr>
              <w:spacing w:after="0" w:line="240" w:lineRule="auto"/>
              <w:jc w:val="right"/>
              <w:rPr>
                <w:rFonts w:cs="Arial"/>
                <w:sz w:val="16"/>
                <w:szCs w:val="16"/>
              </w:rPr>
            </w:pPr>
            <w:r>
              <w:rPr>
                <w:rFonts w:cs="Arial"/>
                <w:sz w:val="16"/>
                <w:szCs w:val="16"/>
              </w:rPr>
              <w:t>5,0</w:t>
            </w:r>
          </w:p>
        </w:tc>
        <w:tc>
          <w:tcPr>
            <w:tcW w:w="1303" w:type="dxa"/>
            <w:tcBorders>
              <w:top w:val="nil"/>
              <w:left w:val="nil"/>
              <w:bottom w:val="nil"/>
              <w:right w:val="nil"/>
            </w:tcBorders>
            <w:shd w:val="clear" w:color="auto" w:fill="auto"/>
            <w:noWrap/>
            <w:vAlign w:val="bottom"/>
            <w:hideMark/>
          </w:tcPr>
          <w:p w14:paraId="411F17ED" w14:textId="2581F3C8" w:rsidR="00C156AC" w:rsidRPr="00784CF6" w:rsidRDefault="00C156AC" w:rsidP="00C156AC">
            <w:pPr>
              <w:spacing w:after="0" w:line="240" w:lineRule="auto"/>
              <w:jc w:val="right"/>
              <w:rPr>
                <w:rFonts w:cs="Arial"/>
                <w:sz w:val="16"/>
                <w:szCs w:val="16"/>
              </w:rPr>
            </w:pPr>
            <w:r>
              <w:rPr>
                <w:rFonts w:cs="Arial"/>
                <w:sz w:val="16"/>
                <w:szCs w:val="16"/>
              </w:rPr>
              <w:t>5,6</w:t>
            </w:r>
          </w:p>
        </w:tc>
        <w:tc>
          <w:tcPr>
            <w:tcW w:w="1303" w:type="dxa"/>
            <w:tcBorders>
              <w:top w:val="nil"/>
              <w:left w:val="nil"/>
              <w:bottom w:val="nil"/>
              <w:right w:val="nil"/>
            </w:tcBorders>
            <w:shd w:val="clear" w:color="auto" w:fill="auto"/>
            <w:noWrap/>
            <w:vAlign w:val="bottom"/>
            <w:hideMark/>
          </w:tcPr>
          <w:p w14:paraId="60E5B26B" w14:textId="05181103" w:rsidR="00C156AC" w:rsidRPr="00784CF6" w:rsidRDefault="00C156AC" w:rsidP="00C156AC">
            <w:pPr>
              <w:spacing w:after="0" w:line="240" w:lineRule="auto"/>
              <w:jc w:val="right"/>
              <w:rPr>
                <w:rFonts w:cs="Arial"/>
                <w:sz w:val="16"/>
                <w:szCs w:val="16"/>
              </w:rPr>
            </w:pPr>
            <w:r>
              <w:rPr>
                <w:rFonts w:cs="Arial"/>
                <w:sz w:val="16"/>
                <w:szCs w:val="16"/>
              </w:rPr>
              <w:t>4,3</w:t>
            </w:r>
          </w:p>
        </w:tc>
        <w:tc>
          <w:tcPr>
            <w:tcW w:w="1468" w:type="dxa"/>
            <w:tcBorders>
              <w:top w:val="nil"/>
              <w:left w:val="nil"/>
              <w:bottom w:val="nil"/>
              <w:right w:val="nil"/>
            </w:tcBorders>
            <w:shd w:val="clear" w:color="auto" w:fill="auto"/>
            <w:noWrap/>
            <w:vAlign w:val="bottom"/>
            <w:hideMark/>
          </w:tcPr>
          <w:p w14:paraId="66FA8C1C" w14:textId="54EE9FA2" w:rsidR="00C156AC" w:rsidRPr="00784CF6" w:rsidRDefault="00C156AC" w:rsidP="00C156AC">
            <w:pPr>
              <w:spacing w:after="0" w:line="240" w:lineRule="auto"/>
              <w:jc w:val="right"/>
              <w:rPr>
                <w:rFonts w:cs="Arial"/>
                <w:sz w:val="16"/>
                <w:szCs w:val="16"/>
              </w:rPr>
            </w:pPr>
            <w:r>
              <w:rPr>
                <w:rFonts w:cs="Arial"/>
                <w:sz w:val="16"/>
                <w:szCs w:val="16"/>
              </w:rPr>
              <w:t>4,4</w:t>
            </w:r>
          </w:p>
        </w:tc>
      </w:tr>
      <w:tr w:rsidR="00C156AC" w:rsidRPr="00784CF6" w14:paraId="4E01F4B4"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420616A6"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Lotyšsko</w:t>
            </w:r>
          </w:p>
        </w:tc>
        <w:tc>
          <w:tcPr>
            <w:tcW w:w="1323" w:type="dxa"/>
            <w:tcBorders>
              <w:top w:val="nil"/>
              <w:left w:val="nil"/>
              <w:bottom w:val="nil"/>
              <w:right w:val="nil"/>
            </w:tcBorders>
            <w:shd w:val="clear" w:color="auto" w:fill="auto"/>
            <w:noWrap/>
            <w:vAlign w:val="bottom"/>
            <w:hideMark/>
          </w:tcPr>
          <w:p w14:paraId="7E9FA987" w14:textId="773E622B" w:rsidR="00C156AC" w:rsidRPr="00784CF6" w:rsidRDefault="00C156AC" w:rsidP="00C156AC">
            <w:pPr>
              <w:spacing w:after="0" w:line="240" w:lineRule="auto"/>
              <w:jc w:val="right"/>
              <w:rPr>
                <w:rFonts w:cs="Arial"/>
                <w:sz w:val="16"/>
                <w:szCs w:val="16"/>
              </w:rPr>
            </w:pPr>
            <w:r>
              <w:rPr>
                <w:rFonts w:cs="Arial"/>
                <w:sz w:val="16"/>
                <w:szCs w:val="16"/>
              </w:rPr>
              <w:t>5,3</w:t>
            </w:r>
          </w:p>
        </w:tc>
        <w:tc>
          <w:tcPr>
            <w:tcW w:w="1303" w:type="dxa"/>
            <w:tcBorders>
              <w:top w:val="nil"/>
              <w:left w:val="nil"/>
              <w:bottom w:val="nil"/>
              <w:right w:val="nil"/>
            </w:tcBorders>
            <w:shd w:val="clear" w:color="auto" w:fill="auto"/>
            <w:noWrap/>
            <w:vAlign w:val="bottom"/>
            <w:hideMark/>
          </w:tcPr>
          <w:p w14:paraId="4E37AE55" w14:textId="1C9FFA22" w:rsidR="00C156AC" w:rsidRPr="00784CF6" w:rsidRDefault="00C156AC" w:rsidP="00C156AC">
            <w:pPr>
              <w:spacing w:after="0" w:line="240" w:lineRule="auto"/>
              <w:jc w:val="right"/>
              <w:rPr>
                <w:rFonts w:cs="Arial"/>
                <w:sz w:val="16"/>
                <w:szCs w:val="16"/>
              </w:rPr>
            </w:pPr>
            <w:r>
              <w:rPr>
                <w:rFonts w:cs="Arial"/>
                <w:sz w:val="16"/>
                <w:szCs w:val="16"/>
              </w:rPr>
              <w:t>4,5</w:t>
            </w:r>
          </w:p>
        </w:tc>
        <w:tc>
          <w:tcPr>
            <w:tcW w:w="1303" w:type="dxa"/>
            <w:tcBorders>
              <w:top w:val="nil"/>
              <w:left w:val="nil"/>
              <w:bottom w:val="nil"/>
              <w:right w:val="nil"/>
            </w:tcBorders>
            <w:shd w:val="clear" w:color="auto" w:fill="auto"/>
            <w:noWrap/>
            <w:vAlign w:val="bottom"/>
            <w:hideMark/>
          </w:tcPr>
          <w:p w14:paraId="4927CA52" w14:textId="33149B9B" w:rsidR="00C156AC" w:rsidRPr="00784CF6" w:rsidRDefault="00C156AC" w:rsidP="00C156AC">
            <w:pPr>
              <w:spacing w:after="0" w:line="240" w:lineRule="auto"/>
              <w:jc w:val="right"/>
              <w:rPr>
                <w:rFonts w:cs="Arial"/>
                <w:sz w:val="16"/>
                <w:szCs w:val="16"/>
              </w:rPr>
            </w:pPr>
            <w:r>
              <w:rPr>
                <w:rFonts w:cs="Arial"/>
                <w:sz w:val="16"/>
                <w:szCs w:val="16"/>
              </w:rPr>
              <w:t>6,0</w:t>
            </w:r>
          </w:p>
        </w:tc>
        <w:tc>
          <w:tcPr>
            <w:tcW w:w="1303" w:type="dxa"/>
            <w:tcBorders>
              <w:top w:val="nil"/>
              <w:left w:val="nil"/>
              <w:bottom w:val="nil"/>
              <w:right w:val="nil"/>
            </w:tcBorders>
            <w:shd w:val="clear" w:color="auto" w:fill="auto"/>
            <w:noWrap/>
            <w:vAlign w:val="bottom"/>
            <w:hideMark/>
          </w:tcPr>
          <w:p w14:paraId="168984A8" w14:textId="48DC5950" w:rsidR="00C156AC" w:rsidRPr="00784CF6" w:rsidRDefault="00C156AC" w:rsidP="00C156AC">
            <w:pPr>
              <w:spacing w:after="0" w:line="240" w:lineRule="auto"/>
              <w:jc w:val="right"/>
              <w:rPr>
                <w:rFonts w:cs="Arial"/>
                <w:sz w:val="16"/>
                <w:szCs w:val="16"/>
              </w:rPr>
            </w:pPr>
            <w:r>
              <w:rPr>
                <w:rFonts w:cs="Arial"/>
                <w:sz w:val="16"/>
                <w:szCs w:val="16"/>
              </w:rPr>
              <w:t>4,1</w:t>
            </w:r>
          </w:p>
        </w:tc>
        <w:tc>
          <w:tcPr>
            <w:tcW w:w="1468" w:type="dxa"/>
            <w:tcBorders>
              <w:top w:val="nil"/>
              <w:left w:val="nil"/>
              <w:bottom w:val="nil"/>
              <w:right w:val="nil"/>
            </w:tcBorders>
            <w:shd w:val="clear" w:color="auto" w:fill="auto"/>
            <w:noWrap/>
            <w:vAlign w:val="bottom"/>
            <w:hideMark/>
          </w:tcPr>
          <w:p w14:paraId="34B2E4D8" w14:textId="6CCFAD2A" w:rsidR="00C156AC" w:rsidRPr="00784CF6" w:rsidRDefault="00C156AC" w:rsidP="00C156AC">
            <w:pPr>
              <w:spacing w:after="0" w:line="240" w:lineRule="auto"/>
              <w:jc w:val="right"/>
              <w:rPr>
                <w:rFonts w:cs="Arial"/>
                <w:sz w:val="16"/>
                <w:szCs w:val="16"/>
              </w:rPr>
            </w:pPr>
            <w:r>
              <w:rPr>
                <w:rFonts w:cs="Arial"/>
                <w:sz w:val="16"/>
                <w:szCs w:val="16"/>
              </w:rPr>
              <w:t>5,5</w:t>
            </w:r>
          </w:p>
        </w:tc>
      </w:tr>
      <w:tr w:rsidR="00C156AC" w:rsidRPr="00784CF6" w14:paraId="541DCA42"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3C158D1C"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Lucembursko</w:t>
            </w:r>
          </w:p>
        </w:tc>
        <w:tc>
          <w:tcPr>
            <w:tcW w:w="1323" w:type="dxa"/>
            <w:tcBorders>
              <w:top w:val="nil"/>
              <w:left w:val="nil"/>
              <w:bottom w:val="nil"/>
              <w:right w:val="nil"/>
            </w:tcBorders>
            <w:shd w:val="clear" w:color="auto" w:fill="auto"/>
            <w:noWrap/>
            <w:vAlign w:val="bottom"/>
            <w:hideMark/>
          </w:tcPr>
          <w:p w14:paraId="21D33E58" w14:textId="21EE0158" w:rsidR="00C156AC" w:rsidRPr="00784CF6" w:rsidRDefault="00C156AC" w:rsidP="00C156AC">
            <w:pPr>
              <w:spacing w:after="0" w:line="240" w:lineRule="auto"/>
              <w:jc w:val="right"/>
              <w:rPr>
                <w:rFonts w:cs="Arial"/>
                <w:sz w:val="16"/>
                <w:szCs w:val="16"/>
              </w:rPr>
            </w:pPr>
            <w:r>
              <w:rPr>
                <w:rFonts w:cs="Arial"/>
                <w:sz w:val="16"/>
                <w:szCs w:val="16"/>
              </w:rPr>
              <w:t>5,2</w:t>
            </w:r>
          </w:p>
        </w:tc>
        <w:tc>
          <w:tcPr>
            <w:tcW w:w="1303" w:type="dxa"/>
            <w:tcBorders>
              <w:top w:val="nil"/>
              <w:left w:val="nil"/>
              <w:bottom w:val="nil"/>
              <w:right w:val="nil"/>
            </w:tcBorders>
            <w:shd w:val="clear" w:color="auto" w:fill="auto"/>
            <w:noWrap/>
            <w:vAlign w:val="bottom"/>
            <w:hideMark/>
          </w:tcPr>
          <w:p w14:paraId="400B8146" w14:textId="686AFDB3" w:rsidR="00C156AC" w:rsidRPr="00784CF6" w:rsidRDefault="00C156AC" w:rsidP="00C156AC">
            <w:pPr>
              <w:spacing w:after="0" w:line="240" w:lineRule="auto"/>
              <w:jc w:val="right"/>
              <w:rPr>
                <w:rFonts w:cs="Arial"/>
                <w:sz w:val="16"/>
                <w:szCs w:val="16"/>
              </w:rPr>
            </w:pPr>
            <w:r>
              <w:rPr>
                <w:rFonts w:cs="Arial"/>
                <w:sz w:val="16"/>
                <w:szCs w:val="16"/>
              </w:rPr>
              <w:t>1,6</w:t>
            </w:r>
          </w:p>
        </w:tc>
        <w:tc>
          <w:tcPr>
            <w:tcW w:w="1303" w:type="dxa"/>
            <w:tcBorders>
              <w:top w:val="nil"/>
              <w:left w:val="nil"/>
              <w:bottom w:val="nil"/>
              <w:right w:val="nil"/>
            </w:tcBorders>
            <w:shd w:val="clear" w:color="auto" w:fill="auto"/>
            <w:noWrap/>
            <w:vAlign w:val="bottom"/>
            <w:hideMark/>
          </w:tcPr>
          <w:p w14:paraId="146B22F7" w14:textId="1B6FCEB7" w:rsidR="00C156AC" w:rsidRPr="00784CF6" w:rsidRDefault="00C156AC" w:rsidP="00C156AC">
            <w:pPr>
              <w:spacing w:after="0" w:line="240" w:lineRule="auto"/>
              <w:jc w:val="right"/>
              <w:rPr>
                <w:rFonts w:cs="Arial"/>
                <w:sz w:val="16"/>
                <w:szCs w:val="16"/>
              </w:rPr>
            </w:pPr>
            <w:r>
              <w:rPr>
                <w:rFonts w:cs="Arial"/>
                <w:sz w:val="16"/>
                <w:szCs w:val="16"/>
              </w:rPr>
              <w:t>3,7</w:t>
            </w:r>
          </w:p>
        </w:tc>
        <w:tc>
          <w:tcPr>
            <w:tcW w:w="1303" w:type="dxa"/>
            <w:tcBorders>
              <w:top w:val="nil"/>
              <w:left w:val="nil"/>
              <w:bottom w:val="nil"/>
              <w:right w:val="nil"/>
            </w:tcBorders>
            <w:shd w:val="clear" w:color="auto" w:fill="auto"/>
            <w:noWrap/>
            <w:vAlign w:val="bottom"/>
            <w:hideMark/>
          </w:tcPr>
          <w:p w14:paraId="6D290A9C" w14:textId="36B8F89B" w:rsidR="00C156AC" w:rsidRPr="00784CF6" w:rsidRDefault="00C156AC" w:rsidP="00C156AC">
            <w:pPr>
              <w:spacing w:after="0" w:line="240" w:lineRule="auto"/>
              <w:jc w:val="right"/>
              <w:rPr>
                <w:rFonts w:cs="Arial"/>
                <w:sz w:val="16"/>
                <w:szCs w:val="16"/>
              </w:rPr>
            </w:pPr>
            <w:r>
              <w:rPr>
                <w:rFonts w:cs="Arial"/>
                <w:sz w:val="16"/>
                <w:szCs w:val="16"/>
              </w:rPr>
              <w:t>4,4</w:t>
            </w:r>
          </w:p>
        </w:tc>
        <w:tc>
          <w:tcPr>
            <w:tcW w:w="1468" w:type="dxa"/>
            <w:tcBorders>
              <w:top w:val="nil"/>
              <w:left w:val="nil"/>
              <w:bottom w:val="nil"/>
              <w:right w:val="nil"/>
            </w:tcBorders>
            <w:shd w:val="clear" w:color="auto" w:fill="auto"/>
            <w:noWrap/>
            <w:vAlign w:val="bottom"/>
            <w:hideMark/>
          </w:tcPr>
          <w:p w14:paraId="5A88FB4E" w14:textId="5F5ECC26" w:rsidR="00C156AC" w:rsidRPr="00784CF6" w:rsidRDefault="00C156AC" w:rsidP="00C156AC">
            <w:pPr>
              <w:spacing w:after="0" w:line="240" w:lineRule="auto"/>
              <w:jc w:val="right"/>
              <w:rPr>
                <w:rFonts w:cs="Arial"/>
                <w:sz w:val="16"/>
                <w:szCs w:val="16"/>
              </w:rPr>
            </w:pPr>
            <w:r>
              <w:rPr>
                <w:rFonts w:cs="Arial"/>
                <w:sz w:val="16"/>
                <w:szCs w:val="16"/>
              </w:rPr>
              <w:t>10,8</w:t>
            </w:r>
          </w:p>
        </w:tc>
      </w:tr>
      <w:tr w:rsidR="00C156AC" w:rsidRPr="00784CF6" w14:paraId="11FB4391"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15E52789"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Maďarsko</w:t>
            </w:r>
          </w:p>
        </w:tc>
        <w:tc>
          <w:tcPr>
            <w:tcW w:w="1323" w:type="dxa"/>
            <w:tcBorders>
              <w:top w:val="nil"/>
              <w:left w:val="single" w:sz="4" w:space="0" w:color="auto"/>
              <w:bottom w:val="nil"/>
              <w:right w:val="nil"/>
            </w:tcBorders>
            <w:shd w:val="clear" w:color="auto" w:fill="auto"/>
            <w:noWrap/>
            <w:vAlign w:val="bottom"/>
            <w:hideMark/>
          </w:tcPr>
          <w:p w14:paraId="132A7948" w14:textId="46851479" w:rsidR="00C156AC" w:rsidRPr="00784CF6" w:rsidRDefault="00C156AC" w:rsidP="00C156AC">
            <w:pPr>
              <w:spacing w:after="0" w:line="240" w:lineRule="auto"/>
              <w:jc w:val="right"/>
              <w:rPr>
                <w:rFonts w:cs="Arial"/>
                <w:sz w:val="16"/>
                <w:szCs w:val="16"/>
              </w:rPr>
            </w:pPr>
            <w:r>
              <w:rPr>
                <w:rFonts w:cs="Arial"/>
                <w:sz w:val="16"/>
                <w:szCs w:val="16"/>
              </w:rPr>
              <w:t>2,0</w:t>
            </w:r>
          </w:p>
        </w:tc>
        <w:tc>
          <w:tcPr>
            <w:tcW w:w="1303" w:type="dxa"/>
            <w:tcBorders>
              <w:top w:val="nil"/>
              <w:left w:val="nil"/>
              <w:bottom w:val="nil"/>
              <w:right w:val="nil"/>
            </w:tcBorders>
            <w:shd w:val="clear" w:color="auto" w:fill="auto"/>
            <w:noWrap/>
            <w:vAlign w:val="bottom"/>
            <w:hideMark/>
          </w:tcPr>
          <w:p w14:paraId="5F7B6FB5" w14:textId="16CD1F5B" w:rsidR="00C156AC" w:rsidRPr="00784CF6" w:rsidRDefault="00C156AC" w:rsidP="00C156AC">
            <w:pPr>
              <w:spacing w:after="0" w:line="240" w:lineRule="auto"/>
              <w:jc w:val="right"/>
              <w:rPr>
                <w:rFonts w:cs="Arial"/>
                <w:sz w:val="16"/>
                <w:szCs w:val="16"/>
              </w:rPr>
            </w:pPr>
            <w:r>
              <w:rPr>
                <w:rFonts w:cs="Arial"/>
                <w:sz w:val="16"/>
                <w:szCs w:val="16"/>
              </w:rPr>
              <w:t>1,8</w:t>
            </w:r>
          </w:p>
        </w:tc>
        <w:tc>
          <w:tcPr>
            <w:tcW w:w="1303" w:type="dxa"/>
            <w:tcBorders>
              <w:top w:val="nil"/>
              <w:left w:val="nil"/>
              <w:bottom w:val="nil"/>
              <w:right w:val="nil"/>
            </w:tcBorders>
            <w:shd w:val="clear" w:color="auto" w:fill="auto"/>
            <w:noWrap/>
            <w:vAlign w:val="bottom"/>
            <w:hideMark/>
          </w:tcPr>
          <w:p w14:paraId="1D796792" w14:textId="56B1540F" w:rsidR="00C156AC" w:rsidRPr="00784CF6" w:rsidRDefault="00C156AC" w:rsidP="00C156AC">
            <w:pPr>
              <w:spacing w:after="0" w:line="240" w:lineRule="auto"/>
              <w:jc w:val="right"/>
              <w:rPr>
                <w:rFonts w:cs="Arial"/>
                <w:sz w:val="16"/>
                <w:szCs w:val="16"/>
              </w:rPr>
            </w:pPr>
            <w:r>
              <w:rPr>
                <w:rFonts w:cs="Arial"/>
                <w:sz w:val="16"/>
                <w:szCs w:val="16"/>
              </w:rPr>
              <w:t>2,9</w:t>
            </w:r>
          </w:p>
        </w:tc>
        <w:tc>
          <w:tcPr>
            <w:tcW w:w="1303" w:type="dxa"/>
            <w:tcBorders>
              <w:top w:val="nil"/>
              <w:left w:val="nil"/>
              <w:bottom w:val="nil"/>
              <w:right w:val="nil"/>
            </w:tcBorders>
            <w:shd w:val="clear" w:color="auto" w:fill="auto"/>
            <w:noWrap/>
            <w:vAlign w:val="bottom"/>
            <w:hideMark/>
          </w:tcPr>
          <w:p w14:paraId="55870655" w14:textId="55F62CA4" w:rsidR="00C156AC" w:rsidRPr="00784CF6" w:rsidRDefault="00C156AC" w:rsidP="00C156AC">
            <w:pPr>
              <w:spacing w:after="0" w:line="240" w:lineRule="auto"/>
              <w:jc w:val="right"/>
              <w:rPr>
                <w:rFonts w:cs="Arial"/>
                <w:sz w:val="16"/>
                <w:szCs w:val="16"/>
              </w:rPr>
            </w:pPr>
            <w:r>
              <w:rPr>
                <w:rFonts w:cs="Arial"/>
                <w:sz w:val="16"/>
                <w:szCs w:val="16"/>
              </w:rPr>
              <w:t>2,9</w:t>
            </w:r>
          </w:p>
        </w:tc>
        <w:tc>
          <w:tcPr>
            <w:tcW w:w="1468" w:type="dxa"/>
            <w:tcBorders>
              <w:top w:val="nil"/>
              <w:left w:val="nil"/>
              <w:bottom w:val="nil"/>
              <w:right w:val="nil"/>
            </w:tcBorders>
            <w:shd w:val="clear" w:color="auto" w:fill="auto"/>
            <w:noWrap/>
            <w:vAlign w:val="bottom"/>
            <w:hideMark/>
          </w:tcPr>
          <w:p w14:paraId="380AD0DB" w14:textId="161E05C1" w:rsidR="00C156AC" w:rsidRPr="00784CF6" w:rsidRDefault="00C156AC" w:rsidP="00C156AC">
            <w:pPr>
              <w:spacing w:after="0" w:line="240" w:lineRule="auto"/>
              <w:jc w:val="right"/>
              <w:rPr>
                <w:rFonts w:cs="Arial"/>
                <w:sz w:val="16"/>
                <w:szCs w:val="16"/>
              </w:rPr>
            </w:pPr>
            <w:r>
              <w:rPr>
                <w:rFonts w:cs="Arial"/>
                <w:sz w:val="16"/>
                <w:szCs w:val="16"/>
              </w:rPr>
              <w:t>2,8</w:t>
            </w:r>
          </w:p>
        </w:tc>
      </w:tr>
      <w:tr w:rsidR="00C156AC" w:rsidRPr="00784CF6" w14:paraId="66CED621"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6F5BDBA1"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Malta</w:t>
            </w:r>
          </w:p>
        </w:tc>
        <w:tc>
          <w:tcPr>
            <w:tcW w:w="1323" w:type="dxa"/>
            <w:tcBorders>
              <w:top w:val="nil"/>
              <w:left w:val="single" w:sz="4" w:space="0" w:color="auto"/>
              <w:bottom w:val="nil"/>
              <w:right w:val="nil"/>
            </w:tcBorders>
            <w:shd w:val="clear" w:color="auto" w:fill="auto"/>
            <w:noWrap/>
            <w:vAlign w:val="bottom"/>
            <w:hideMark/>
          </w:tcPr>
          <w:p w14:paraId="3205940B" w14:textId="69F3D8F4" w:rsidR="00C156AC" w:rsidRPr="00784CF6" w:rsidRDefault="00C156AC" w:rsidP="00C156AC">
            <w:pPr>
              <w:spacing w:after="0" w:line="240" w:lineRule="auto"/>
              <w:jc w:val="right"/>
              <w:rPr>
                <w:rFonts w:cs="Arial"/>
                <w:sz w:val="16"/>
                <w:szCs w:val="16"/>
              </w:rPr>
            </w:pPr>
            <w:r>
              <w:rPr>
                <w:rFonts w:cs="Arial"/>
                <w:sz w:val="16"/>
                <w:szCs w:val="16"/>
              </w:rPr>
              <w:t>7,6</w:t>
            </w:r>
          </w:p>
        </w:tc>
        <w:tc>
          <w:tcPr>
            <w:tcW w:w="1303" w:type="dxa"/>
            <w:tcBorders>
              <w:top w:val="nil"/>
              <w:left w:val="nil"/>
              <w:bottom w:val="nil"/>
              <w:right w:val="nil"/>
            </w:tcBorders>
            <w:shd w:val="clear" w:color="auto" w:fill="auto"/>
            <w:noWrap/>
            <w:vAlign w:val="bottom"/>
            <w:hideMark/>
          </w:tcPr>
          <w:p w14:paraId="1B0D3AD9" w14:textId="36B4958E" w:rsidR="00C156AC" w:rsidRPr="00784CF6" w:rsidRDefault="00C156AC" w:rsidP="00C156AC">
            <w:pPr>
              <w:spacing w:after="0" w:line="240" w:lineRule="auto"/>
              <w:jc w:val="right"/>
              <w:rPr>
                <w:rFonts w:cs="Arial"/>
                <w:sz w:val="16"/>
                <w:szCs w:val="16"/>
              </w:rPr>
            </w:pPr>
            <w:r>
              <w:rPr>
                <w:rFonts w:cs="Arial"/>
                <w:sz w:val="16"/>
                <w:szCs w:val="16"/>
              </w:rPr>
              <w:t>4,7</w:t>
            </w:r>
          </w:p>
        </w:tc>
        <w:tc>
          <w:tcPr>
            <w:tcW w:w="1303" w:type="dxa"/>
            <w:tcBorders>
              <w:top w:val="nil"/>
              <w:left w:val="nil"/>
              <w:bottom w:val="nil"/>
              <w:right w:val="nil"/>
            </w:tcBorders>
            <w:shd w:val="clear" w:color="auto" w:fill="auto"/>
            <w:noWrap/>
            <w:vAlign w:val="bottom"/>
            <w:hideMark/>
          </w:tcPr>
          <w:p w14:paraId="659749EE" w14:textId="77476BDF" w:rsidR="00C156AC" w:rsidRPr="00784CF6" w:rsidRDefault="00C156AC" w:rsidP="00C156AC">
            <w:pPr>
              <w:spacing w:after="0" w:line="240" w:lineRule="auto"/>
              <w:jc w:val="right"/>
              <w:rPr>
                <w:rFonts w:cs="Arial"/>
                <w:sz w:val="16"/>
                <w:szCs w:val="16"/>
              </w:rPr>
            </w:pPr>
            <w:r>
              <w:rPr>
                <w:rFonts w:cs="Arial"/>
                <w:sz w:val="16"/>
                <w:szCs w:val="16"/>
              </w:rPr>
              <w:t>4,6</w:t>
            </w:r>
          </w:p>
        </w:tc>
        <w:tc>
          <w:tcPr>
            <w:tcW w:w="1303" w:type="dxa"/>
            <w:tcBorders>
              <w:top w:val="nil"/>
              <w:left w:val="nil"/>
              <w:bottom w:val="nil"/>
              <w:right w:val="nil"/>
            </w:tcBorders>
            <w:shd w:val="clear" w:color="auto" w:fill="auto"/>
            <w:noWrap/>
            <w:vAlign w:val="bottom"/>
            <w:hideMark/>
          </w:tcPr>
          <w:p w14:paraId="77FC2B04" w14:textId="13BAFF2E" w:rsidR="00C156AC" w:rsidRPr="00784CF6" w:rsidRDefault="00C156AC" w:rsidP="00C156AC">
            <w:pPr>
              <w:spacing w:after="0" w:line="240" w:lineRule="auto"/>
              <w:jc w:val="right"/>
              <w:rPr>
                <w:rFonts w:cs="Arial"/>
                <w:sz w:val="16"/>
                <w:szCs w:val="16"/>
              </w:rPr>
            </w:pPr>
            <w:r>
              <w:rPr>
                <w:rFonts w:cs="Arial"/>
                <w:sz w:val="16"/>
                <w:szCs w:val="16"/>
              </w:rPr>
              <w:t>3,5</w:t>
            </w:r>
          </w:p>
        </w:tc>
        <w:tc>
          <w:tcPr>
            <w:tcW w:w="1468" w:type="dxa"/>
            <w:tcBorders>
              <w:top w:val="nil"/>
              <w:left w:val="nil"/>
              <w:bottom w:val="nil"/>
              <w:right w:val="nil"/>
            </w:tcBorders>
            <w:shd w:val="clear" w:color="auto" w:fill="auto"/>
            <w:noWrap/>
            <w:vAlign w:val="bottom"/>
            <w:hideMark/>
          </w:tcPr>
          <w:p w14:paraId="200B2673" w14:textId="28CE7B7B" w:rsidR="00C156AC" w:rsidRPr="00784CF6" w:rsidRDefault="00C156AC" w:rsidP="00C156AC">
            <w:pPr>
              <w:spacing w:after="0" w:line="240" w:lineRule="auto"/>
              <w:jc w:val="right"/>
              <w:rPr>
                <w:rFonts w:cs="Arial"/>
                <w:sz w:val="16"/>
                <w:szCs w:val="16"/>
              </w:rPr>
            </w:pPr>
            <w:r>
              <w:rPr>
                <w:rFonts w:cs="Arial"/>
                <w:sz w:val="16"/>
                <w:szCs w:val="16"/>
              </w:rPr>
              <w:t>4,0</w:t>
            </w:r>
          </w:p>
        </w:tc>
      </w:tr>
      <w:tr w:rsidR="00C156AC" w:rsidRPr="00784CF6" w14:paraId="77210535"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27F98D5A"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Německo</w:t>
            </w:r>
          </w:p>
        </w:tc>
        <w:tc>
          <w:tcPr>
            <w:tcW w:w="1323" w:type="dxa"/>
            <w:tcBorders>
              <w:top w:val="nil"/>
              <w:left w:val="nil"/>
              <w:bottom w:val="nil"/>
              <w:right w:val="nil"/>
            </w:tcBorders>
            <w:shd w:val="clear" w:color="auto" w:fill="auto"/>
            <w:noWrap/>
            <w:vAlign w:val="bottom"/>
            <w:hideMark/>
          </w:tcPr>
          <w:p w14:paraId="2BB0759C" w14:textId="5572B705" w:rsidR="00C156AC" w:rsidRPr="00784CF6" w:rsidRDefault="00C156AC" w:rsidP="00C156AC">
            <w:pPr>
              <w:spacing w:after="0" w:line="240" w:lineRule="auto"/>
              <w:jc w:val="right"/>
              <w:rPr>
                <w:rFonts w:cs="Arial"/>
                <w:sz w:val="16"/>
                <w:szCs w:val="16"/>
              </w:rPr>
            </w:pPr>
            <w:r>
              <w:rPr>
                <w:rFonts w:cs="Arial"/>
                <w:sz w:val="16"/>
                <w:szCs w:val="16"/>
              </w:rPr>
              <w:t>1,5</w:t>
            </w:r>
          </w:p>
        </w:tc>
        <w:tc>
          <w:tcPr>
            <w:tcW w:w="1303" w:type="dxa"/>
            <w:tcBorders>
              <w:top w:val="nil"/>
              <w:left w:val="nil"/>
              <w:bottom w:val="nil"/>
              <w:right w:val="nil"/>
            </w:tcBorders>
            <w:shd w:val="clear" w:color="auto" w:fill="auto"/>
            <w:noWrap/>
            <w:vAlign w:val="bottom"/>
            <w:hideMark/>
          </w:tcPr>
          <w:p w14:paraId="2B9CB931" w14:textId="483DBD12" w:rsidR="00C156AC" w:rsidRPr="00784CF6" w:rsidRDefault="00C156AC" w:rsidP="00C156AC">
            <w:pPr>
              <w:spacing w:after="0" w:line="240" w:lineRule="auto"/>
              <w:jc w:val="right"/>
              <w:rPr>
                <w:rFonts w:cs="Arial"/>
                <w:sz w:val="16"/>
                <w:szCs w:val="16"/>
              </w:rPr>
            </w:pPr>
            <w:r>
              <w:rPr>
                <w:rFonts w:cs="Arial"/>
                <w:sz w:val="16"/>
                <w:szCs w:val="16"/>
              </w:rPr>
              <w:t>1,3</w:t>
            </w:r>
          </w:p>
        </w:tc>
        <w:tc>
          <w:tcPr>
            <w:tcW w:w="1303" w:type="dxa"/>
            <w:tcBorders>
              <w:top w:val="nil"/>
              <w:left w:val="nil"/>
              <w:bottom w:val="nil"/>
              <w:right w:val="nil"/>
            </w:tcBorders>
            <w:shd w:val="clear" w:color="auto" w:fill="auto"/>
            <w:noWrap/>
            <w:vAlign w:val="bottom"/>
            <w:hideMark/>
          </w:tcPr>
          <w:p w14:paraId="36794646" w14:textId="0CFC0DE4" w:rsidR="00C156AC" w:rsidRPr="00784CF6" w:rsidRDefault="00C156AC" w:rsidP="00C156AC">
            <w:pPr>
              <w:spacing w:after="0" w:line="240" w:lineRule="auto"/>
              <w:jc w:val="right"/>
              <w:rPr>
                <w:rFonts w:cs="Arial"/>
                <w:sz w:val="16"/>
                <w:szCs w:val="16"/>
              </w:rPr>
            </w:pPr>
            <w:r>
              <w:rPr>
                <w:rFonts w:cs="Arial"/>
                <w:sz w:val="16"/>
                <w:szCs w:val="16"/>
              </w:rPr>
              <w:t>1,4</w:t>
            </w:r>
          </w:p>
        </w:tc>
        <w:tc>
          <w:tcPr>
            <w:tcW w:w="1303" w:type="dxa"/>
            <w:tcBorders>
              <w:top w:val="nil"/>
              <w:left w:val="nil"/>
              <w:bottom w:val="nil"/>
              <w:right w:val="nil"/>
            </w:tcBorders>
            <w:shd w:val="clear" w:color="auto" w:fill="auto"/>
            <w:noWrap/>
            <w:vAlign w:val="bottom"/>
            <w:hideMark/>
          </w:tcPr>
          <w:p w14:paraId="6589AB1E" w14:textId="6A1C824F" w:rsidR="00C156AC" w:rsidRPr="00784CF6" w:rsidRDefault="00C156AC" w:rsidP="00C156AC">
            <w:pPr>
              <w:spacing w:after="0" w:line="240" w:lineRule="auto"/>
              <w:jc w:val="right"/>
              <w:rPr>
                <w:rFonts w:cs="Arial"/>
                <w:sz w:val="16"/>
                <w:szCs w:val="16"/>
              </w:rPr>
            </w:pPr>
            <w:r>
              <w:rPr>
                <w:rFonts w:cs="Arial"/>
                <w:sz w:val="16"/>
                <w:szCs w:val="16"/>
              </w:rPr>
              <w:t>1,3</w:t>
            </w:r>
          </w:p>
        </w:tc>
        <w:tc>
          <w:tcPr>
            <w:tcW w:w="1468" w:type="dxa"/>
            <w:tcBorders>
              <w:top w:val="nil"/>
              <w:left w:val="nil"/>
              <w:bottom w:val="nil"/>
              <w:right w:val="nil"/>
            </w:tcBorders>
            <w:shd w:val="clear" w:color="auto" w:fill="auto"/>
            <w:noWrap/>
            <w:vAlign w:val="bottom"/>
            <w:hideMark/>
          </w:tcPr>
          <w:p w14:paraId="6D7686DF" w14:textId="79D747CF" w:rsidR="00C156AC" w:rsidRPr="00784CF6" w:rsidRDefault="00C156AC" w:rsidP="00C156AC">
            <w:pPr>
              <w:spacing w:after="0" w:line="240" w:lineRule="auto"/>
              <w:jc w:val="right"/>
              <w:rPr>
                <w:rFonts w:cs="Arial"/>
                <w:sz w:val="16"/>
                <w:szCs w:val="16"/>
              </w:rPr>
            </w:pPr>
            <w:r>
              <w:rPr>
                <w:rFonts w:cs="Arial"/>
                <w:sz w:val="16"/>
                <w:szCs w:val="16"/>
              </w:rPr>
              <w:t>1,1</w:t>
            </w:r>
          </w:p>
        </w:tc>
      </w:tr>
      <w:tr w:rsidR="00C156AC" w:rsidRPr="00784CF6" w14:paraId="2E428A3F" w14:textId="77777777" w:rsidTr="00932A71">
        <w:trPr>
          <w:trHeight w:val="300"/>
        </w:trPr>
        <w:tc>
          <w:tcPr>
            <w:tcW w:w="1700" w:type="dxa"/>
            <w:tcBorders>
              <w:top w:val="nil"/>
              <w:left w:val="nil"/>
              <w:bottom w:val="nil"/>
              <w:right w:val="single" w:sz="4" w:space="0" w:color="auto"/>
            </w:tcBorders>
            <w:shd w:val="clear" w:color="auto" w:fill="auto"/>
            <w:noWrap/>
            <w:vAlign w:val="bottom"/>
            <w:hideMark/>
          </w:tcPr>
          <w:p w14:paraId="48D1A72F"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Nizozemsko</w:t>
            </w:r>
          </w:p>
        </w:tc>
        <w:tc>
          <w:tcPr>
            <w:tcW w:w="1323" w:type="dxa"/>
            <w:tcBorders>
              <w:top w:val="nil"/>
              <w:left w:val="nil"/>
              <w:bottom w:val="nil"/>
              <w:right w:val="nil"/>
            </w:tcBorders>
            <w:shd w:val="clear" w:color="auto" w:fill="auto"/>
            <w:noWrap/>
            <w:vAlign w:val="bottom"/>
            <w:hideMark/>
          </w:tcPr>
          <w:p w14:paraId="2E078354" w14:textId="11D19934" w:rsidR="00C156AC" w:rsidRPr="00784CF6" w:rsidRDefault="00C156AC" w:rsidP="00C156AC">
            <w:pPr>
              <w:spacing w:after="0" w:line="240" w:lineRule="auto"/>
              <w:jc w:val="right"/>
              <w:rPr>
                <w:rFonts w:cs="Arial"/>
                <w:sz w:val="16"/>
                <w:szCs w:val="16"/>
              </w:rPr>
            </w:pPr>
            <w:r>
              <w:rPr>
                <w:rFonts w:cs="Arial"/>
                <w:sz w:val="16"/>
                <w:szCs w:val="16"/>
              </w:rPr>
              <w:t>0,7</w:t>
            </w:r>
          </w:p>
        </w:tc>
        <w:tc>
          <w:tcPr>
            <w:tcW w:w="1303" w:type="dxa"/>
            <w:tcBorders>
              <w:top w:val="nil"/>
              <w:left w:val="nil"/>
              <w:bottom w:val="nil"/>
              <w:right w:val="nil"/>
            </w:tcBorders>
            <w:shd w:val="clear" w:color="auto" w:fill="auto"/>
            <w:noWrap/>
            <w:vAlign w:val="bottom"/>
            <w:hideMark/>
          </w:tcPr>
          <w:p w14:paraId="7145EB67" w14:textId="61E8CABD" w:rsidR="00C156AC" w:rsidRPr="00784CF6" w:rsidRDefault="00C156AC" w:rsidP="00C156AC">
            <w:pPr>
              <w:spacing w:after="0" w:line="240" w:lineRule="auto"/>
              <w:jc w:val="right"/>
              <w:rPr>
                <w:rFonts w:cs="Arial"/>
                <w:sz w:val="16"/>
                <w:szCs w:val="16"/>
              </w:rPr>
            </w:pPr>
            <w:r>
              <w:rPr>
                <w:rFonts w:cs="Arial"/>
                <w:sz w:val="16"/>
                <w:szCs w:val="16"/>
              </w:rPr>
              <w:t>0,8</w:t>
            </w:r>
          </w:p>
        </w:tc>
        <w:tc>
          <w:tcPr>
            <w:tcW w:w="1303" w:type="dxa"/>
            <w:tcBorders>
              <w:top w:val="nil"/>
              <w:left w:val="nil"/>
              <w:bottom w:val="nil"/>
              <w:right w:val="nil"/>
            </w:tcBorders>
            <w:shd w:val="clear" w:color="auto" w:fill="D9D9D9" w:themeFill="background1" w:themeFillShade="D9"/>
            <w:noWrap/>
            <w:vAlign w:val="bottom"/>
            <w:hideMark/>
          </w:tcPr>
          <w:p w14:paraId="2264CFF9" w14:textId="44FC46FE" w:rsidR="00C156AC" w:rsidRPr="00784CF6" w:rsidRDefault="00C156AC" w:rsidP="00C156AC">
            <w:pPr>
              <w:spacing w:after="0" w:line="240" w:lineRule="auto"/>
              <w:jc w:val="right"/>
              <w:rPr>
                <w:rFonts w:cs="Arial"/>
                <w:sz w:val="16"/>
                <w:szCs w:val="16"/>
              </w:rPr>
            </w:pPr>
            <w:r>
              <w:rPr>
                <w:rFonts w:cs="Arial"/>
                <w:sz w:val="16"/>
                <w:szCs w:val="16"/>
              </w:rPr>
              <w:t>1,0</w:t>
            </w:r>
          </w:p>
        </w:tc>
        <w:tc>
          <w:tcPr>
            <w:tcW w:w="1303" w:type="dxa"/>
            <w:tcBorders>
              <w:top w:val="nil"/>
              <w:left w:val="nil"/>
              <w:bottom w:val="nil"/>
              <w:right w:val="nil"/>
            </w:tcBorders>
            <w:shd w:val="clear" w:color="auto" w:fill="auto"/>
            <w:noWrap/>
            <w:vAlign w:val="bottom"/>
            <w:hideMark/>
          </w:tcPr>
          <w:p w14:paraId="108B392F" w14:textId="2C40D5ED" w:rsidR="00C156AC" w:rsidRPr="00784CF6" w:rsidRDefault="00C156AC" w:rsidP="00C156AC">
            <w:pPr>
              <w:spacing w:after="0" w:line="240" w:lineRule="auto"/>
              <w:jc w:val="right"/>
              <w:rPr>
                <w:rFonts w:cs="Arial"/>
                <w:sz w:val="16"/>
                <w:szCs w:val="16"/>
              </w:rPr>
            </w:pPr>
            <w:r>
              <w:rPr>
                <w:rFonts w:cs="Arial"/>
                <w:sz w:val="16"/>
                <w:szCs w:val="16"/>
              </w:rPr>
              <w:t>0,8</w:t>
            </w:r>
          </w:p>
        </w:tc>
        <w:tc>
          <w:tcPr>
            <w:tcW w:w="1468" w:type="dxa"/>
            <w:tcBorders>
              <w:top w:val="nil"/>
              <w:left w:val="nil"/>
              <w:bottom w:val="nil"/>
              <w:right w:val="nil"/>
            </w:tcBorders>
            <w:shd w:val="clear" w:color="auto" w:fill="auto"/>
            <w:noWrap/>
            <w:vAlign w:val="bottom"/>
            <w:hideMark/>
          </w:tcPr>
          <w:p w14:paraId="481D7C9E" w14:textId="2F9C3BAA" w:rsidR="00C156AC" w:rsidRPr="00784CF6" w:rsidRDefault="00C156AC" w:rsidP="00C156AC">
            <w:pPr>
              <w:spacing w:after="0" w:line="240" w:lineRule="auto"/>
              <w:jc w:val="right"/>
              <w:rPr>
                <w:rFonts w:cs="Arial"/>
                <w:sz w:val="16"/>
                <w:szCs w:val="16"/>
              </w:rPr>
            </w:pPr>
            <w:r>
              <w:rPr>
                <w:rFonts w:cs="Arial"/>
                <w:sz w:val="16"/>
                <w:szCs w:val="16"/>
              </w:rPr>
              <w:t>0,7</w:t>
            </w:r>
          </w:p>
        </w:tc>
      </w:tr>
      <w:tr w:rsidR="00C156AC" w:rsidRPr="00784CF6" w14:paraId="53436F87"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49BE6C5A"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Polsko</w:t>
            </w:r>
          </w:p>
        </w:tc>
        <w:tc>
          <w:tcPr>
            <w:tcW w:w="1323" w:type="dxa"/>
            <w:tcBorders>
              <w:top w:val="nil"/>
              <w:left w:val="nil"/>
              <w:bottom w:val="nil"/>
              <w:right w:val="nil"/>
            </w:tcBorders>
            <w:shd w:val="clear" w:color="auto" w:fill="auto"/>
            <w:noWrap/>
            <w:vAlign w:val="bottom"/>
            <w:hideMark/>
          </w:tcPr>
          <w:p w14:paraId="294F8DE4" w14:textId="64707236" w:rsidR="00C156AC" w:rsidRPr="00784CF6" w:rsidRDefault="00C156AC" w:rsidP="00C156AC">
            <w:pPr>
              <w:spacing w:after="0" w:line="240" w:lineRule="auto"/>
              <w:jc w:val="right"/>
              <w:rPr>
                <w:rFonts w:cs="Arial"/>
                <w:sz w:val="16"/>
                <w:szCs w:val="16"/>
              </w:rPr>
            </w:pPr>
            <w:r>
              <w:rPr>
                <w:rFonts w:cs="Arial"/>
                <w:sz w:val="16"/>
                <w:szCs w:val="16"/>
              </w:rPr>
              <w:t>2,6</w:t>
            </w:r>
          </w:p>
        </w:tc>
        <w:tc>
          <w:tcPr>
            <w:tcW w:w="1303" w:type="dxa"/>
            <w:tcBorders>
              <w:top w:val="nil"/>
              <w:left w:val="nil"/>
              <w:bottom w:val="nil"/>
              <w:right w:val="nil"/>
            </w:tcBorders>
            <w:shd w:val="clear" w:color="auto" w:fill="auto"/>
            <w:noWrap/>
            <w:vAlign w:val="bottom"/>
            <w:hideMark/>
          </w:tcPr>
          <w:p w14:paraId="6C032B75" w14:textId="00181975" w:rsidR="00C156AC" w:rsidRPr="00784CF6" w:rsidRDefault="00C156AC" w:rsidP="00C156AC">
            <w:pPr>
              <w:spacing w:after="0" w:line="240" w:lineRule="auto"/>
              <w:jc w:val="right"/>
              <w:rPr>
                <w:rFonts w:cs="Arial"/>
                <w:sz w:val="16"/>
                <w:szCs w:val="16"/>
              </w:rPr>
            </w:pPr>
            <w:r>
              <w:rPr>
                <w:rFonts w:cs="Arial"/>
                <w:sz w:val="16"/>
                <w:szCs w:val="16"/>
              </w:rPr>
              <w:t>1,9</w:t>
            </w:r>
          </w:p>
        </w:tc>
        <w:tc>
          <w:tcPr>
            <w:tcW w:w="1303" w:type="dxa"/>
            <w:tcBorders>
              <w:top w:val="nil"/>
              <w:left w:val="nil"/>
              <w:bottom w:val="nil"/>
              <w:right w:val="nil"/>
            </w:tcBorders>
            <w:shd w:val="clear" w:color="auto" w:fill="auto"/>
            <w:noWrap/>
            <w:vAlign w:val="bottom"/>
            <w:hideMark/>
          </w:tcPr>
          <w:p w14:paraId="50A71A38" w14:textId="785307B4" w:rsidR="00C156AC" w:rsidRPr="00784CF6" w:rsidRDefault="00C156AC" w:rsidP="00C156AC">
            <w:pPr>
              <w:spacing w:after="0" w:line="240" w:lineRule="auto"/>
              <w:jc w:val="right"/>
              <w:rPr>
                <w:rFonts w:cs="Arial"/>
                <w:sz w:val="16"/>
                <w:szCs w:val="16"/>
              </w:rPr>
            </w:pPr>
            <w:r>
              <w:rPr>
                <w:rFonts w:cs="Arial"/>
                <w:sz w:val="16"/>
                <w:szCs w:val="16"/>
              </w:rPr>
              <w:t>1,9</w:t>
            </w:r>
          </w:p>
        </w:tc>
        <w:tc>
          <w:tcPr>
            <w:tcW w:w="1303" w:type="dxa"/>
            <w:tcBorders>
              <w:top w:val="nil"/>
              <w:left w:val="nil"/>
              <w:bottom w:val="nil"/>
              <w:right w:val="nil"/>
            </w:tcBorders>
            <w:shd w:val="clear" w:color="auto" w:fill="auto"/>
            <w:noWrap/>
            <w:vAlign w:val="bottom"/>
            <w:hideMark/>
          </w:tcPr>
          <w:p w14:paraId="35A5B3C8" w14:textId="66A42568" w:rsidR="00C156AC" w:rsidRPr="00784CF6" w:rsidRDefault="00C156AC" w:rsidP="00C156AC">
            <w:pPr>
              <w:spacing w:after="0" w:line="240" w:lineRule="auto"/>
              <w:jc w:val="right"/>
              <w:rPr>
                <w:rFonts w:cs="Arial"/>
                <w:sz w:val="16"/>
                <w:szCs w:val="16"/>
              </w:rPr>
            </w:pPr>
            <w:r>
              <w:rPr>
                <w:rFonts w:cs="Arial"/>
                <w:sz w:val="16"/>
                <w:szCs w:val="16"/>
              </w:rPr>
              <w:t>2,0</w:t>
            </w:r>
          </w:p>
        </w:tc>
        <w:tc>
          <w:tcPr>
            <w:tcW w:w="1468" w:type="dxa"/>
            <w:tcBorders>
              <w:top w:val="nil"/>
              <w:left w:val="nil"/>
              <w:bottom w:val="nil"/>
              <w:right w:val="nil"/>
            </w:tcBorders>
            <w:shd w:val="clear" w:color="auto" w:fill="auto"/>
            <w:noWrap/>
            <w:vAlign w:val="bottom"/>
            <w:hideMark/>
          </w:tcPr>
          <w:p w14:paraId="30EEC68A" w14:textId="13F8E251" w:rsidR="00C156AC" w:rsidRPr="00784CF6" w:rsidRDefault="00C156AC" w:rsidP="00C156AC">
            <w:pPr>
              <w:spacing w:after="0" w:line="240" w:lineRule="auto"/>
              <w:jc w:val="right"/>
              <w:rPr>
                <w:rFonts w:cs="Arial"/>
                <w:sz w:val="16"/>
                <w:szCs w:val="16"/>
              </w:rPr>
            </w:pPr>
            <w:r>
              <w:rPr>
                <w:rFonts w:cs="Arial"/>
                <w:sz w:val="16"/>
                <w:szCs w:val="16"/>
              </w:rPr>
              <w:t>1,6</w:t>
            </w:r>
          </w:p>
        </w:tc>
      </w:tr>
      <w:tr w:rsidR="00C156AC" w:rsidRPr="00784CF6" w14:paraId="14630457"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5D1A6E40"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Portugalsko</w:t>
            </w:r>
          </w:p>
        </w:tc>
        <w:tc>
          <w:tcPr>
            <w:tcW w:w="1323" w:type="dxa"/>
            <w:tcBorders>
              <w:top w:val="nil"/>
              <w:left w:val="nil"/>
              <w:bottom w:val="nil"/>
              <w:right w:val="nil"/>
            </w:tcBorders>
            <w:shd w:val="clear" w:color="auto" w:fill="auto"/>
            <w:noWrap/>
            <w:vAlign w:val="bottom"/>
            <w:hideMark/>
          </w:tcPr>
          <w:p w14:paraId="5A046FC8" w14:textId="2F986FF1" w:rsidR="00C156AC" w:rsidRPr="00784CF6" w:rsidRDefault="00C156AC" w:rsidP="00C156AC">
            <w:pPr>
              <w:spacing w:after="0" w:line="240" w:lineRule="auto"/>
              <w:jc w:val="right"/>
              <w:rPr>
                <w:rFonts w:cs="Arial"/>
                <w:sz w:val="16"/>
                <w:szCs w:val="16"/>
              </w:rPr>
            </w:pPr>
            <w:r>
              <w:rPr>
                <w:rFonts w:cs="Arial"/>
                <w:sz w:val="16"/>
                <w:szCs w:val="16"/>
              </w:rPr>
              <w:t>4,8</w:t>
            </w:r>
          </w:p>
        </w:tc>
        <w:tc>
          <w:tcPr>
            <w:tcW w:w="1303" w:type="dxa"/>
            <w:tcBorders>
              <w:top w:val="nil"/>
              <w:left w:val="nil"/>
              <w:bottom w:val="nil"/>
              <w:right w:val="nil"/>
            </w:tcBorders>
            <w:shd w:val="clear" w:color="auto" w:fill="auto"/>
            <w:noWrap/>
            <w:vAlign w:val="bottom"/>
            <w:hideMark/>
          </w:tcPr>
          <w:p w14:paraId="77412006" w14:textId="7A2350A5" w:rsidR="00C156AC" w:rsidRPr="00784CF6" w:rsidRDefault="00C156AC" w:rsidP="00C156AC">
            <w:pPr>
              <w:spacing w:after="0" w:line="240" w:lineRule="auto"/>
              <w:jc w:val="right"/>
              <w:rPr>
                <w:rFonts w:cs="Arial"/>
                <w:sz w:val="16"/>
                <w:szCs w:val="16"/>
              </w:rPr>
            </w:pPr>
            <w:r>
              <w:rPr>
                <w:rFonts w:cs="Arial"/>
                <w:sz w:val="16"/>
                <w:szCs w:val="16"/>
              </w:rPr>
              <w:t>4,5</w:t>
            </w:r>
          </w:p>
        </w:tc>
        <w:tc>
          <w:tcPr>
            <w:tcW w:w="1303" w:type="dxa"/>
            <w:tcBorders>
              <w:top w:val="nil"/>
              <w:left w:val="nil"/>
              <w:bottom w:val="nil"/>
              <w:right w:val="nil"/>
            </w:tcBorders>
            <w:shd w:val="clear" w:color="auto" w:fill="auto"/>
            <w:noWrap/>
            <w:vAlign w:val="bottom"/>
            <w:hideMark/>
          </w:tcPr>
          <w:p w14:paraId="18767441" w14:textId="36723E8A" w:rsidR="00C156AC" w:rsidRPr="00784CF6" w:rsidRDefault="00C156AC" w:rsidP="00C156AC">
            <w:pPr>
              <w:spacing w:after="0" w:line="240" w:lineRule="auto"/>
              <w:jc w:val="right"/>
              <w:rPr>
                <w:rFonts w:cs="Arial"/>
                <w:sz w:val="16"/>
                <w:szCs w:val="16"/>
              </w:rPr>
            </w:pPr>
            <w:r>
              <w:rPr>
                <w:rFonts w:cs="Arial"/>
                <w:sz w:val="16"/>
                <w:szCs w:val="16"/>
              </w:rPr>
              <w:t>4,7</w:t>
            </w:r>
          </w:p>
        </w:tc>
        <w:tc>
          <w:tcPr>
            <w:tcW w:w="1303" w:type="dxa"/>
            <w:tcBorders>
              <w:top w:val="nil"/>
              <w:left w:val="nil"/>
              <w:bottom w:val="nil"/>
              <w:right w:val="nil"/>
            </w:tcBorders>
            <w:shd w:val="clear" w:color="auto" w:fill="auto"/>
            <w:noWrap/>
            <w:vAlign w:val="bottom"/>
            <w:hideMark/>
          </w:tcPr>
          <w:p w14:paraId="13568EA6" w14:textId="4A69F50D" w:rsidR="00C156AC" w:rsidRPr="00784CF6" w:rsidRDefault="00C156AC" w:rsidP="00C156AC">
            <w:pPr>
              <w:spacing w:after="0" w:line="240" w:lineRule="auto"/>
              <w:jc w:val="right"/>
              <w:rPr>
                <w:rFonts w:cs="Arial"/>
                <w:sz w:val="16"/>
                <w:szCs w:val="16"/>
              </w:rPr>
            </w:pPr>
            <w:r>
              <w:rPr>
                <w:rFonts w:cs="Arial"/>
                <w:sz w:val="16"/>
                <w:szCs w:val="16"/>
              </w:rPr>
              <w:t>4,6</w:t>
            </w:r>
          </w:p>
        </w:tc>
        <w:tc>
          <w:tcPr>
            <w:tcW w:w="1468" w:type="dxa"/>
            <w:tcBorders>
              <w:top w:val="nil"/>
              <w:left w:val="nil"/>
              <w:bottom w:val="nil"/>
              <w:right w:val="nil"/>
            </w:tcBorders>
            <w:shd w:val="clear" w:color="auto" w:fill="auto"/>
            <w:noWrap/>
            <w:vAlign w:val="bottom"/>
            <w:hideMark/>
          </w:tcPr>
          <w:p w14:paraId="7AAB3025" w14:textId="1383C2FF" w:rsidR="00C156AC" w:rsidRPr="00784CF6" w:rsidRDefault="00C156AC" w:rsidP="00C156AC">
            <w:pPr>
              <w:spacing w:after="0" w:line="240" w:lineRule="auto"/>
              <w:jc w:val="right"/>
              <w:rPr>
                <w:rFonts w:cs="Arial"/>
                <w:sz w:val="16"/>
                <w:szCs w:val="16"/>
              </w:rPr>
            </w:pPr>
            <w:r>
              <w:rPr>
                <w:rFonts w:cs="Arial"/>
                <w:sz w:val="16"/>
                <w:szCs w:val="16"/>
              </w:rPr>
              <w:t>4,0</w:t>
            </w:r>
          </w:p>
        </w:tc>
      </w:tr>
      <w:tr w:rsidR="00C156AC" w:rsidRPr="00784CF6" w14:paraId="4F65D82D"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35AA2BB0"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Rakousko</w:t>
            </w:r>
          </w:p>
        </w:tc>
        <w:tc>
          <w:tcPr>
            <w:tcW w:w="1323" w:type="dxa"/>
            <w:tcBorders>
              <w:top w:val="nil"/>
              <w:left w:val="nil"/>
              <w:bottom w:val="nil"/>
              <w:right w:val="nil"/>
            </w:tcBorders>
            <w:shd w:val="clear" w:color="auto" w:fill="auto"/>
            <w:noWrap/>
            <w:vAlign w:val="bottom"/>
            <w:hideMark/>
          </w:tcPr>
          <w:p w14:paraId="5C5ACD9C" w14:textId="63CE0920" w:rsidR="00C156AC" w:rsidRPr="00784CF6" w:rsidRDefault="00C156AC" w:rsidP="00C156AC">
            <w:pPr>
              <w:spacing w:after="0" w:line="240" w:lineRule="auto"/>
              <w:jc w:val="right"/>
              <w:rPr>
                <w:rFonts w:cs="Arial"/>
                <w:sz w:val="16"/>
                <w:szCs w:val="16"/>
              </w:rPr>
            </w:pPr>
            <w:r>
              <w:rPr>
                <w:rFonts w:cs="Arial"/>
                <w:sz w:val="16"/>
                <w:szCs w:val="16"/>
              </w:rPr>
              <w:t>4,4</w:t>
            </w:r>
          </w:p>
        </w:tc>
        <w:tc>
          <w:tcPr>
            <w:tcW w:w="1303" w:type="dxa"/>
            <w:tcBorders>
              <w:top w:val="nil"/>
              <w:left w:val="nil"/>
              <w:bottom w:val="nil"/>
              <w:right w:val="nil"/>
            </w:tcBorders>
            <w:shd w:val="clear" w:color="auto" w:fill="auto"/>
            <w:noWrap/>
            <w:vAlign w:val="bottom"/>
            <w:hideMark/>
          </w:tcPr>
          <w:p w14:paraId="228ECF3D" w14:textId="422FE938" w:rsidR="00C156AC" w:rsidRPr="00784CF6" w:rsidRDefault="00C156AC" w:rsidP="00C156AC">
            <w:pPr>
              <w:spacing w:after="0" w:line="240" w:lineRule="auto"/>
              <w:jc w:val="right"/>
              <w:rPr>
                <w:rFonts w:cs="Arial"/>
                <w:sz w:val="16"/>
                <w:szCs w:val="16"/>
              </w:rPr>
            </w:pPr>
            <w:r>
              <w:rPr>
                <w:rFonts w:cs="Arial"/>
                <w:sz w:val="16"/>
                <w:szCs w:val="16"/>
              </w:rPr>
              <w:t>4,2</w:t>
            </w:r>
          </w:p>
        </w:tc>
        <w:tc>
          <w:tcPr>
            <w:tcW w:w="1303" w:type="dxa"/>
            <w:tcBorders>
              <w:top w:val="nil"/>
              <w:left w:val="nil"/>
              <w:bottom w:val="nil"/>
              <w:right w:val="nil"/>
            </w:tcBorders>
            <w:shd w:val="clear" w:color="auto" w:fill="auto"/>
            <w:noWrap/>
            <w:vAlign w:val="bottom"/>
            <w:hideMark/>
          </w:tcPr>
          <w:p w14:paraId="5BB10A69" w14:textId="44BF6979" w:rsidR="00C156AC" w:rsidRPr="00784CF6" w:rsidRDefault="00C156AC" w:rsidP="00C156AC">
            <w:pPr>
              <w:spacing w:after="0" w:line="240" w:lineRule="auto"/>
              <w:jc w:val="right"/>
              <w:rPr>
                <w:rFonts w:cs="Arial"/>
                <w:sz w:val="16"/>
                <w:szCs w:val="16"/>
              </w:rPr>
            </w:pPr>
            <w:r>
              <w:rPr>
                <w:rFonts w:cs="Arial"/>
                <w:sz w:val="16"/>
                <w:szCs w:val="16"/>
              </w:rPr>
              <w:t>4,0</w:t>
            </w:r>
          </w:p>
        </w:tc>
        <w:tc>
          <w:tcPr>
            <w:tcW w:w="1303" w:type="dxa"/>
            <w:tcBorders>
              <w:top w:val="nil"/>
              <w:left w:val="nil"/>
              <w:bottom w:val="nil"/>
              <w:right w:val="nil"/>
            </w:tcBorders>
            <w:shd w:val="clear" w:color="auto" w:fill="auto"/>
            <w:noWrap/>
            <w:vAlign w:val="bottom"/>
            <w:hideMark/>
          </w:tcPr>
          <w:p w14:paraId="31E94147" w14:textId="30B0C174" w:rsidR="00C156AC" w:rsidRPr="00784CF6" w:rsidRDefault="00C156AC" w:rsidP="00C156AC">
            <w:pPr>
              <w:spacing w:after="0" w:line="240" w:lineRule="auto"/>
              <w:jc w:val="right"/>
              <w:rPr>
                <w:rFonts w:cs="Arial"/>
                <w:sz w:val="16"/>
                <w:szCs w:val="16"/>
              </w:rPr>
            </w:pPr>
            <w:r>
              <w:rPr>
                <w:rFonts w:cs="Arial"/>
                <w:sz w:val="16"/>
                <w:szCs w:val="16"/>
              </w:rPr>
              <w:t>4,2</w:t>
            </w:r>
          </w:p>
        </w:tc>
        <w:tc>
          <w:tcPr>
            <w:tcW w:w="1468" w:type="dxa"/>
            <w:tcBorders>
              <w:top w:val="nil"/>
              <w:left w:val="nil"/>
              <w:bottom w:val="nil"/>
              <w:right w:val="nil"/>
            </w:tcBorders>
            <w:shd w:val="clear" w:color="auto" w:fill="auto"/>
            <w:noWrap/>
            <w:vAlign w:val="bottom"/>
            <w:hideMark/>
          </w:tcPr>
          <w:p w14:paraId="5C7A002E" w14:textId="2A84E33C" w:rsidR="00C156AC" w:rsidRPr="00784CF6" w:rsidRDefault="00C156AC" w:rsidP="00C156AC">
            <w:pPr>
              <w:spacing w:after="0" w:line="240" w:lineRule="auto"/>
              <w:jc w:val="right"/>
              <w:rPr>
                <w:rFonts w:cs="Arial"/>
                <w:sz w:val="16"/>
                <w:szCs w:val="16"/>
              </w:rPr>
            </w:pPr>
            <w:r>
              <w:rPr>
                <w:rFonts w:cs="Arial"/>
                <w:sz w:val="16"/>
                <w:szCs w:val="16"/>
              </w:rPr>
              <w:t>5,4</w:t>
            </w:r>
          </w:p>
        </w:tc>
      </w:tr>
      <w:tr w:rsidR="00C156AC" w:rsidRPr="00784CF6" w14:paraId="53CDBF90"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11230CAB"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Rumunsko</w:t>
            </w:r>
          </w:p>
        </w:tc>
        <w:tc>
          <w:tcPr>
            <w:tcW w:w="1323" w:type="dxa"/>
            <w:tcBorders>
              <w:top w:val="nil"/>
              <w:left w:val="nil"/>
              <w:bottom w:val="nil"/>
              <w:right w:val="nil"/>
            </w:tcBorders>
            <w:shd w:val="clear" w:color="auto" w:fill="auto"/>
            <w:noWrap/>
            <w:vAlign w:val="bottom"/>
            <w:hideMark/>
          </w:tcPr>
          <w:p w14:paraId="08A9B931" w14:textId="0ACED62F" w:rsidR="00C156AC" w:rsidRPr="00784CF6" w:rsidRDefault="00C156AC" w:rsidP="00C156AC">
            <w:pPr>
              <w:spacing w:after="0" w:line="240" w:lineRule="auto"/>
              <w:jc w:val="right"/>
              <w:rPr>
                <w:rFonts w:cs="Arial"/>
                <w:sz w:val="16"/>
                <w:szCs w:val="16"/>
              </w:rPr>
            </w:pPr>
            <w:r>
              <w:rPr>
                <w:rFonts w:cs="Arial"/>
                <w:sz w:val="16"/>
                <w:szCs w:val="16"/>
              </w:rPr>
              <w:t>7,6</w:t>
            </w:r>
          </w:p>
        </w:tc>
        <w:tc>
          <w:tcPr>
            <w:tcW w:w="1303" w:type="dxa"/>
            <w:tcBorders>
              <w:top w:val="nil"/>
              <w:left w:val="nil"/>
              <w:bottom w:val="nil"/>
              <w:right w:val="nil"/>
            </w:tcBorders>
            <w:shd w:val="clear" w:color="auto" w:fill="auto"/>
            <w:noWrap/>
            <w:vAlign w:val="bottom"/>
            <w:hideMark/>
          </w:tcPr>
          <w:p w14:paraId="723241B3" w14:textId="3A41FAC2" w:rsidR="00C156AC" w:rsidRPr="00784CF6" w:rsidRDefault="00C156AC" w:rsidP="00C156AC">
            <w:pPr>
              <w:spacing w:after="0" w:line="240" w:lineRule="auto"/>
              <w:jc w:val="right"/>
              <w:rPr>
                <w:rFonts w:cs="Arial"/>
                <w:sz w:val="16"/>
                <w:szCs w:val="16"/>
              </w:rPr>
            </w:pPr>
            <w:r>
              <w:rPr>
                <w:rFonts w:cs="Arial"/>
                <w:sz w:val="16"/>
                <w:szCs w:val="16"/>
              </w:rPr>
              <w:t>6,9</w:t>
            </w:r>
          </w:p>
        </w:tc>
        <w:tc>
          <w:tcPr>
            <w:tcW w:w="1303" w:type="dxa"/>
            <w:tcBorders>
              <w:top w:val="nil"/>
              <w:left w:val="nil"/>
              <w:bottom w:val="nil"/>
              <w:right w:val="nil"/>
            </w:tcBorders>
            <w:shd w:val="clear" w:color="auto" w:fill="auto"/>
            <w:noWrap/>
            <w:vAlign w:val="bottom"/>
            <w:hideMark/>
          </w:tcPr>
          <w:p w14:paraId="0D0F5303" w14:textId="2925D8D8" w:rsidR="00C156AC" w:rsidRPr="00784CF6" w:rsidRDefault="00C156AC" w:rsidP="00C156AC">
            <w:pPr>
              <w:spacing w:after="0" w:line="240" w:lineRule="auto"/>
              <w:jc w:val="right"/>
              <w:rPr>
                <w:rFonts w:cs="Arial"/>
                <w:sz w:val="16"/>
                <w:szCs w:val="16"/>
              </w:rPr>
            </w:pPr>
            <w:r>
              <w:rPr>
                <w:rFonts w:cs="Arial"/>
                <w:sz w:val="16"/>
                <w:szCs w:val="16"/>
              </w:rPr>
              <w:t>7,1</w:t>
            </w:r>
          </w:p>
        </w:tc>
        <w:tc>
          <w:tcPr>
            <w:tcW w:w="1303" w:type="dxa"/>
            <w:tcBorders>
              <w:top w:val="nil"/>
              <w:left w:val="nil"/>
              <w:bottom w:val="nil"/>
              <w:right w:val="nil"/>
            </w:tcBorders>
            <w:shd w:val="clear" w:color="auto" w:fill="auto"/>
            <w:noWrap/>
            <w:vAlign w:val="bottom"/>
            <w:hideMark/>
          </w:tcPr>
          <w:p w14:paraId="1FF04B9F" w14:textId="16442C8C" w:rsidR="00C156AC" w:rsidRPr="00784CF6" w:rsidRDefault="00C156AC" w:rsidP="00C156AC">
            <w:pPr>
              <w:spacing w:after="0" w:line="240" w:lineRule="auto"/>
              <w:jc w:val="right"/>
              <w:rPr>
                <w:rFonts w:cs="Arial"/>
                <w:sz w:val="16"/>
                <w:szCs w:val="16"/>
              </w:rPr>
            </w:pPr>
            <w:r>
              <w:rPr>
                <w:rFonts w:cs="Arial"/>
                <w:sz w:val="16"/>
                <w:szCs w:val="16"/>
              </w:rPr>
              <w:t>7,5</w:t>
            </w:r>
          </w:p>
        </w:tc>
        <w:tc>
          <w:tcPr>
            <w:tcW w:w="1468" w:type="dxa"/>
            <w:tcBorders>
              <w:top w:val="nil"/>
              <w:left w:val="nil"/>
              <w:bottom w:val="nil"/>
              <w:right w:val="nil"/>
            </w:tcBorders>
            <w:shd w:val="clear" w:color="auto" w:fill="auto"/>
            <w:noWrap/>
            <w:vAlign w:val="bottom"/>
            <w:hideMark/>
          </w:tcPr>
          <w:p w14:paraId="6091C8B5" w14:textId="1E768584" w:rsidR="00C156AC" w:rsidRPr="00784CF6" w:rsidRDefault="00C156AC" w:rsidP="00C156AC">
            <w:pPr>
              <w:spacing w:after="0" w:line="240" w:lineRule="auto"/>
              <w:jc w:val="right"/>
              <w:rPr>
                <w:rFonts w:cs="Arial"/>
                <w:sz w:val="16"/>
                <w:szCs w:val="16"/>
              </w:rPr>
            </w:pPr>
            <w:r>
              <w:rPr>
                <w:rFonts w:cs="Arial"/>
                <w:sz w:val="16"/>
                <w:szCs w:val="16"/>
              </w:rPr>
              <w:t>6,1</w:t>
            </w:r>
          </w:p>
        </w:tc>
      </w:tr>
      <w:tr w:rsidR="00C156AC" w:rsidRPr="00784CF6" w14:paraId="1B2A881F" w14:textId="77777777" w:rsidTr="00932A71">
        <w:trPr>
          <w:trHeight w:val="300"/>
        </w:trPr>
        <w:tc>
          <w:tcPr>
            <w:tcW w:w="1700" w:type="dxa"/>
            <w:tcBorders>
              <w:top w:val="nil"/>
              <w:left w:val="nil"/>
              <w:bottom w:val="nil"/>
              <w:right w:val="single" w:sz="4" w:space="0" w:color="auto"/>
            </w:tcBorders>
            <w:shd w:val="clear" w:color="auto" w:fill="auto"/>
            <w:noWrap/>
            <w:vAlign w:val="bottom"/>
            <w:hideMark/>
          </w:tcPr>
          <w:p w14:paraId="173AE22A"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Řecko</w:t>
            </w:r>
          </w:p>
        </w:tc>
        <w:tc>
          <w:tcPr>
            <w:tcW w:w="1323" w:type="dxa"/>
            <w:tcBorders>
              <w:top w:val="nil"/>
              <w:left w:val="nil"/>
              <w:bottom w:val="nil"/>
              <w:right w:val="nil"/>
            </w:tcBorders>
            <w:shd w:val="clear" w:color="auto" w:fill="auto"/>
            <w:noWrap/>
            <w:vAlign w:val="bottom"/>
            <w:hideMark/>
          </w:tcPr>
          <w:p w14:paraId="4903197C" w14:textId="6E266CBC" w:rsidR="00C156AC" w:rsidRPr="00784CF6" w:rsidRDefault="00C156AC" w:rsidP="00C156AC">
            <w:pPr>
              <w:spacing w:after="0" w:line="240" w:lineRule="auto"/>
              <w:jc w:val="right"/>
              <w:rPr>
                <w:rFonts w:cs="Arial"/>
                <w:sz w:val="16"/>
                <w:szCs w:val="16"/>
              </w:rPr>
            </w:pPr>
            <w:r>
              <w:rPr>
                <w:rFonts w:cs="Arial"/>
                <w:sz w:val="16"/>
                <w:szCs w:val="16"/>
              </w:rPr>
              <w:t>1,3</w:t>
            </w:r>
          </w:p>
        </w:tc>
        <w:tc>
          <w:tcPr>
            <w:tcW w:w="1303" w:type="dxa"/>
            <w:tcBorders>
              <w:top w:val="nil"/>
              <w:left w:val="nil"/>
              <w:bottom w:val="nil"/>
              <w:right w:val="nil"/>
            </w:tcBorders>
            <w:shd w:val="clear" w:color="auto" w:fill="auto"/>
            <w:noWrap/>
            <w:vAlign w:val="bottom"/>
            <w:hideMark/>
          </w:tcPr>
          <w:p w14:paraId="16F574AE" w14:textId="0105A4F6" w:rsidR="00C156AC" w:rsidRPr="00784CF6" w:rsidRDefault="00C156AC" w:rsidP="00C156AC">
            <w:pPr>
              <w:spacing w:after="0" w:line="240" w:lineRule="auto"/>
              <w:jc w:val="right"/>
              <w:rPr>
                <w:rFonts w:cs="Arial"/>
                <w:sz w:val="16"/>
                <w:szCs w:val="16"/>
              </w:rPr>
            </w:pPr>
            <w:r>
              <w:rPr>
                <w:rFonts w:cs="Arial"/>
                <w:sz w:val="16"/>
                <w:szCs w:val="16"/>
              </w:rPr>
              <w:t>1,2</w:t>
            </w:r>
          </w:p>
        </w:tc>
        <w:tc>
          <w:tcPr>
            <w:tcW w:w="1303" w:type="dxa"/>
            <w:tcBorders>
              <w:top w:val="nil"/>
              <w:left w:val="nil"/>
              <w:bottom w:val="nil"/>
              <w:right w:val="nil"/>
            </w:tcBorders>
            <w:shd w:val="clear" w:color="auto" w:fill="D9D9D9" w:themeFill="background1" w:themeFillShade="D9"/>
            <w:noWrap/>
            <w:vAlign w:val="bottom"/>
            <w:hideMark/>
          </w:tcPr>
          <w:p w14:paraId="6189E763" w14:textId="4C565393" w:rsidR="00C156AC" w:rsidRPr="00784CF6" w:rsidRDefault="00C156AC" w:rsidP="00C156AC">
            <w:pPr>
              <w:spacing w:after="0" w:line="240" w:lineRule="auto"/>
              <w:jc w:val="right"/>
              <w:rPr>
                <w:rFonts w:cs="Arial"/>
                <w:sz w:val="16"/>
                <w:szCs w:val="16"/>
              </w:rPr>
            </w:pPr>
            <w:r>
              <w:rPr>
                <w:rFonts w:cs="Arial"/>
                <w:sz w:val="16"/>
                <w:szCs w:val="16"/>
              </w:rPr>
              <w:t>1,2</w:t>
            </w:r>
          </w:p>
        </w:tc>
        <w:tc>
          <w:tcPr>
            <w:tcW w:w="1303" w:type="dxa"/>
            <w:tcBorders>
              <w:top w:val="nil"/>
              <w:left w:val="nil"/>
              <w:bottom w:val="nil"/>
              <w:right w:val="nil"/>
            </w:tcBorders>
            <w:shd w:val="clear" w:color="auto" w:fill="auto"/>
            <w:noWrap/>
            <w:vAlign w:val="bottom"/>
            <w:hideMark/>
          </w:tcPr>
          <w:p w14:paraId="027EB94E" w14:textId="535351DB" w:rsidR="00C156AC" w:rsidRPr="00784CF6" w:rsidRDefault="00C156AC" w:rsidP="00C156AC">
            <w:pPr>
              <w:spacing w:after="0" w:line="240" w:lineRule="auto"/>
              <w:jc w:val="right"/>
              <w:rPr>
                <w:rFonts w:cs="Arial"/>
                <w:sz w:val="16"/>
                <w:szCs w:val="16"/>
              </w:rPr>
            </w:pPr>
            <w:r>
              <w:rPr>
                <w:rFonts w:cs="Arial"/>
                <w:sz w:val="16"/>
                <w:szCs w:val="16"/>
              </w:rPr>
              <w:t>2,4</w:t>
            </w:r>
          </w:p>
        </w:tc>
        <w:tc>
          <w:tcPr>
            <w:tcW w:w="1468" w:type="dxa"/>
            <w:tcBorders>
              <w:top w:val="nil"/>
              <w:left w:val="nil"/>
              <w:bottom w:val="nil"/>
              <w:right w:val="nil"/>
            </w:tcBorders>
            <w:shd w:val="clear" w:color="auto" w:fill="auto"/>
            <w:noWrap/>
            <w:vAlign w:val="bottom"/>
            <w:hideMark/>
          </w:tcPr>
          <w:p w14:paraId="52978DDF" w14:textId="226EFA28" w:rsidR="00C156AC" w:rsidRPr="00784CF6" w:rsidRDefault="00C156AC" w:rsidP="00C156AC">
            <w:pPr>
              <w:spacing w:after="0" w:line="240" w:lineRule="auto"/>
              <w:jc w:val="right"/>
              <w:rPr>
                <w:rFonts w:cs="Arial"/>
                <w:sz w:val="16"/>
                <w:szCs w:val="16"/>
              </w:rPr>
            </w:pPr>
            <w:r>
              <w:rPr>
                <w:rFonts w:cs="Arial"/>
                <w:sz w:val="16"/>
                <w:szCs w:val="16"/>
              </w:rPr>
              <w:t>1,9</w:t>
            </w:r>
          </w:p>
        </w:tc>
      </w:tr>
      <w:tr w:rsidR="00C062EB" w:rsidRPr="00784CF6" w14:paraId="67427966" w14:textId="77777777" w:rsidTr="00E33415">
        <w:trPr>
          <w:trHeight w:val="300"/>
        </w:trPr>
        <w:tc>
          <w:tcPr>
            <w:tcW w:w="1700" w:type="dxa"/>
            <w:tcBorders>
              <w:top w:val="nil"/>
              <w:left w:val="nil"/>
              <w:bottom w:val="nil"/>
              <w:right w:val="single" w:sz="4" w:space="0" w:color="auto"/>
            </w:tcBorders>
            <w:shd w:val="clear" w:color="auto" w:fill="auto"/>
            <w:noWrap/>
            <w:vAlign w:val="bottom"/>
            <w:hideMark/>
          </w:tcPr>
          <w:p w14:paraId="439439F0" w14:textId="77777777" w:rsidR="00C062EB" w:rsidRPr="00784CF6" w:rsidRDefault="00C062EB" w:rsidP="00E33415">
            <w:pPr>
              <w:spacing w:after="0" w:line="240" w:lineRule="auto"/>
              <w:ind w:firstLineChars="100" w:firstLine="160"/>
              <w:rPr>
                <w:rFonts w:ascii="Arial CE" w:hAnsi="Arial CE" w:cs="Arial CE"/>
                <w:sz w:val="16"/>
                <w:szCs w:val="16"/>
              </w:rPr>
            </w:pPr>
            <w:r>
              <w:rPr>
                <w:rFonts w:ascii="Arial CE" w:hAnsi="Arial CE" w:cs="Arial CE"/>
                <w:sz w:val="16"/>
                <w:szCs w:val="16"/>
              </w:rPr>
              <w:t>Slove</w:t>
            </w:r>
            <w:r w:rsidRPr="00784CF6">
              <w:rPr>
                <w:rFonts w:ascii="Arial CE" w:hAnsi="Arial CE" w:cs="Arial CE"/>
                <w:sz w:val="16"/>
                <w:szCs w:val="16"/>
              </w:rPr>
              <w:t>nsko</w:t>
            </w:r>
          </w:p>
        </w:tc>
        <w:tc>
          <w:tcPr>
            <w:tcW w:w="1323" w:type="dxa"/>
            <w:tcBorders>
              <w:top w:val="nil"/>
              <w:left w:val="nil"/>
              <w:bottom w:val="nil"/>
              <w:right w:val="nil"/>
            </w:tcBorders>
            <w:shd w:val="clear" w:color="auto" w:fill="auto"/>
            <w:noWrap/>
            <w:vAlign w:val="bottom"/>
            <w:hideMark/>
          </w:tcPr>
          <w:p w14:paraId="287F7E16" w14:textId="77777777" w:rsidR="00C062EB" w:rsidRPr="00784CF6" w:rsidRDefault="00C062EB" w:rsidP="00E33415">
            <w:pPr>
              <w:spacing w:after="0" w:line="240" w:lineRule="auto"/>
              <w:jc w:val="right"/>
              <w:rPr>
                <w:rFonts w:cs="Arial"/>
                <w:sz w:val="16"/>
                <w:szCs w:val="16"/>
              </w:rPr>
            </w:pPr>
            <w:r>
              <w:rPr>
                <w:rFonts w:cs="Arial"/>
                <w:sz w:val="16"/>
                <w:szCs w:val="16"/>
              </w:rPr>
              <w:t>3,1</w:t>
            </w:r>
          </w:p>
        </w:tc>
        <w:tc>
          <w:tcPr>
            <w:tcW w:w="1303" w:type="dxa"/>
            <w:tcBorders>
              <w:top w:val="nil"/>
              <w:left w:val="nil"/>
              <w:bottom w:val="nil"/>
              <w:right w:val="nil"/>
            </w:tcBorders>
            <w:shd w:val="clear" w:color="auto" w:fill="auto"/>
            <w:noWrap/>
            <w:vAlign w:val="bottom"/>
            <w:hideMark/>
          </w:tcPr>
          <w:p w14:paraId="3E14D9EC" w14:textId="77777777" w:rsidR="00C062EB" w:rsidRPr="00784CF6" w:rsidRDefault="00C062EB" w:rsidP="00E33415">
            <w:pPr>
              <w:spacing w:after="0" w:line="240" w:lineRule="auto"/>
              <w:jc w:val="right"/>
              <w:rPr>
                <w:rFonts w:cs="Arial"/>
                <w:sz w:val="16"/>
                <w:szCs w:val="16"/>
              </w:rPr>
            </w:pPr>
            <w:r>
              <w:rPr>
                <w:rFonts w:cs="Arial"/>
                <w:sz w:val="16"/>
                <w:szCs w:val="16"/>
              </w:rPr>
              <w:t>3,3</w:t>
            </w:r>
          </w:p>
        </w:tc>
        <w:tc>
          <w:tcPr>
            <w:tcW w:w="1303" w:type="dxa"/>
            <w:tcBorders>
              <w:top w:val="nil"/>
              <w:left w:val="nil"/>
              <w:bottom w:val="nil"/>
              <w:right w:val="nil"/>
            </w:tcBorders>
            <w:shd w:val="clear" w:color="auto" w:fill="auto"/>
            <w:noWrap/>
            <w:vAlign w:val="bottom"/>
            <w:hideMark/>
          </w:tcPr>
          <w:p w14:paraId="40F91AF6" w14:textId="77777777" w:rsidR="00C062EB" w:rsidRPr="00784CF6" w:rsidRDefault="00C062EB" w:rsidP="00E33415">
            <w:pPr>
              <w:spacing w:after="0" w:line="240" w:lineRule="auto"/>
              <w:jc w:val="right"/>
              <w:rPr>
                <w:rFonts w:cs="Arial"/>
                <w:sz w:val="16"/>
                <w:szCs w:val="16"/>
              </w:rPr>
            </w:pPr>
            <w:r>
              <w:rPr>
                <w:rFonts w:cs="Arial"/>
                <w:sz w:val="16"/>
                <w:szCs w:val="16"/>
              </w:rPr>
              <w:t>2,3</w:t>
            </w:r>
          </w:p>
        </w:tc>
        <w:tc>
          <w:tcPr>
            <w:tcW w:w="1303" w:type="dxa"/>
            <w:tcBorders>
              <w:top w:val="nil"/>
              <w:left w:val="nil"/>
              <w:bottom w:val="nil"/>
              <w:right w:val="nil"/>
            </w:tcBorders>
            <w:shd w:val="clear" w:color="auto" w:fill="auto"/>
            <w:noWrap/>
            <w:vAlign w:val="bottom"/>
            <w:hideMark/>
          </w:tcPr>
          <w:p w14:paraId="2F8C1C3F" w14:textId="77777777" w:rsidR="00C062EB" w:rsidRPr="00784CF6" w:rsidRDefault="00C062EB" w:rsidP="00E33415">
            <w:pPr>
              <w:spacing w:after="0" w:line="240" w:lineRule="auto"/>
              <w:jc w:val="right"/>
              <w:rPr>
                <w:rFonts w:cs="Arial"/>
                <w:sz w:val="16"/>
                <w:szCs w:val="16"/>
              </w:rPr>
            </w:pPr>
            <w:r>
              <w:rPr>
                <w:rFonts w:cs="Arial"/>
                <w:sz w:val="16"/>
                <w:szCs w:val="16"/>
              </w:rPr>
              <w:t>3,6</w:t>
            </w:r>
          </w:p>
        </w:tc>
        <w:tc>
          <w:tcPr>
            <w:tcW w:w="1468" w:type="dxa"/>
            <w:tcBorders>
              <w:top w:val="nil"/>
              <w:left w:val="nil"/>
              <w:bottom w:val="nil"/>
              <w:right w:val="nil"/>
            </w:tcBorders>
            <w:shd w:val="clear" w:color="auto" w:fill="auto"/>
            <w:noWrap/>
            <w:vAlign w:val="bottom"/>
            <w:hideMark/>
          </w:tcPr>
          <w:p w14:paraId="2D245E4D" w14:textId="77777777" w:rsidR="00C062EB" w:rsidRPr="00784CF6" w:rsidRDefault="00C062EB" w:rsidP="00E33415">
            <w:pPr>
              <w:spacing w:after="0" w:line="240" w:lineRule="auto"/>
              <w:jc w:val="right"/>
              <w:rPr>
                <w:rFonts w:cs="Arial"/>
                <w:sz w:val="16"/>
                <w:szCs w:val="16"/>
              </w:rPr>
            </w:pPr>
            <w:r>
              <w:rPr>
                <w:rFonts w:cs="Arial"/>
                <w:sz w:val="16"/>
                <w:szCs w:val="16"/>
              </w:rPr>
              <w:t>2,7</w:t>
            </w:r>
          </w:p>
        </w:tc>
      </w:tr>
      <w:tr w:rsidR="00C156AC" w:rsidRPr="00784CF6" w14:paraId="4D8E7FEA"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49B4CB27" w14:textId="0B151A35" w:rsidR="00C156AC" w:rsidRPr="00784CF6" w:rsidRDefault="00C062EB" w:rsidP="00C156AC">
            <w:pPr>
              <w:spacing w:after="0" w:line="240" w:lineRule="auto"/>
              <w:ind w:firstLineChars="100" w:firstLine="160"/>
              <w:rPr>
                <w:rFonts w:ascii="Arial CE" w:hAnsi="Arial CE" w:cs="Arial CE"/>
                <w:sz w:val="16"/>
                <w:szCs w:val="16"/>
              </w:rPr>
            </w:pPr>
            <w:bookmarkStart w:id="27" w:name="_GoBack"/>
            <w:bookmarkEnd w:id="27"/>
            <w:r>
              <w:rPr>
                <w:rFonts w:ascii="Arial CE" w:hAnsi="Arial CE" w:cs="Arial CE"/>
                <w:sz w:val="16"/>
                <w:szCs w:val="16"/>
              </w:rPr>
              <w:t>Slovi</w:t>
            </w:r>
            <w:r w:rsidR="00C156AC" w:rsidRPr="00784CF6">
              <w:rPr>
                <w:rFonts w:ascii="Arial CE" w:hAnsi="Arial CE" w:cs="Arial CE"/>
                <w:sz w:val="16"/>
                <w:szCs w:val="16"/>
              </w:rPr>
              <w:t>nsko</w:t>
            </w:r>
          </w:p>
        </w:tc>
        <w:tc>
          <w:tcPr>
            <w:tcW w:w="1323" w:type="dxa"/>
            <w:tcBorders>
              <w:top w:val="nil"/>
              <w:left w:val="nil"/>
              <w:bottom w:val="nil"/>
              <w:right w:val="nil"/>
            </w:tcBorders>
            <w:shd w:val="clear" w:color="auto" w:fill="auto"/>
            <w:noWrap/>
            <w:vAlign w:val="bottom"/>
            <w:hideMark/>
          </w:tcPr>
          <w:p w14:paraId="37E2725B" w14:textId="384AEC1E" w:rsidR="00C156AC" w:rsidRPr="00784CF6" w:rsidRDefault="00C156AC" w:rsidP="00C156AC">
            <w:pPr>
              <w:spacing w:after="0" w:line="240" w:lineRule="auto"/>
              <w:jc w:val="right"/>
              <w:rPr>
                <w:rFonts w:cs="Arial"/>
                <w:sz w:val="16"/>
                <w:szCs w:val="16"/>
              </w:rPr>
            </w:pPr>
            <w:r>
              <w:rPr>
                <w:rFonts w:cs="Arial"/>
                <w:sz w:val="16"/>
                <w:szCs w:val="16"/>
              </w:rPr>
              <w:t>3,2</w:t>
            </w:r>
          </w:p>
        </w:tc>
        <w:tc>
          <w:tcPr>
            <w:tcW w:w="1303" w:type="dxa"/>
            <w:tcBorders>
              <w:top w:val="nil"/>
              <w:left w:val="nil"/>
              <w:bottom w:val="nil"/>
              <w:right w:val="nil"/>
            </w:tcBorders>
            <w:shd w:val="clear" w:color="auto" w:fill="auto"/>
            <w:noWrap/>
            <w:vAlign w:val="bottom"/>
            <w:hideMark/>
          </w:tcPr>
          <w:p w14:paraId="0549E913" w14:textId="1BAF1BA9" w:rsidR="00C156AC" w:rsidRPr="00784CF6" w:rsidRDefault="00C156AC" w:rsidP="00C156AC">
            <w:pPr>
              <w:spacing w:after="0" w:line="240" w:lineRule="auto"/>
              <w:jc w:val="right"/>
              <w:rPr>
                <w:rFonts w:cs="Arial"/>
                <w:sz w:val="16"/>
                <w:szCs w:val="16"/>
              </w:rPr>
            </w:pPr>
            <w:r>
              <w:rPr>
                <w:rFonts w:cs="Arial"/>
                <w:sz w:val="16"/>
                <w:szCs w:val="16"/>
              </w:rPr>
              <w:t>3,0</w:t>
            </w:r>
          </w:p>
        </w:tc>
        <w:tc>
          <w:tcPr>
            <w:tcW w:w="1303" w:type="dxa"/>
            <w:tcBorders>
              <w:top w:val="nil"/>
              <w:left w:val="nil"/>
              <w:bottom w:val="nil"/>
              <w:right w:val="nil"/>
            </w:tcBorders>
            <w:shd w:val="clear" w:color="auto" w:fill="auto"/>
            <w:noWrap/>
            <w:vAlign w:val="bottom"/>
            <w:hideMark/>
          </w:tcPr>
          <w:p w14:paraId="7F7F3379" w14:textId="47F3FF2A" w:rsidR="00C156AC" w:rsidRPr="00784CF6" w:rsidRDefault="00C156AC" w:rsidP="00C156AC">
            <w:pPr>
              <w:spacing w:after="0" w:line="240" w:lineRule="auto"/>
              <w:jc w:val="right"/>
              <w:rPr>
                <w:rFonts w:cs="Arial"/>
                <w:sz w:val="16"/>
                <w:szCs w:val="16"/>
              </w:rPr>
            </w:pPr>
            <w:r>
              <w:rPr>
                <w:rFonts w:cs="Arial"/>
                <w:sz w:val="16"/>
                <w:szCs w:val="16"/>
              </w:rPr>
              <w:t>4,0</w:t>
            </w:r>
          </w:p>
        </w:tc>
        <w:tc>
          <w:tcPr>
            <w:tcW w:w="1303" w:type="dxa"/>
            <w:tcBorders>
              <w:top w:val="nil"/>
              <w:left w:val="nil"/>
              <w:bottom w:val="nil"/>
              <w:right w:val="nil"/>
            </w:tcBorders>
            <w:shd w:val="clear" w:color="auto" w:fill="auto"/>
            <w:noWrap/>
            <w:vAlign w:val="bottom"/>
            <w:hideMark/>
          </w:tcPr>
          <w:p w14:paraId="4DE6A44A" w14:textId="294290CF" w:rsidR="00C156AC" w:rsidRPr="00784CF6" w:rsidRDefault="00C156AC" w:rsidP="00C156AC">
            <w:pPr>
              <w:spacing w:after="0" w:line="240" w:lineRule="auto"/>
              <w:jc w:val="right"/>
              <w:rPr>
                <w:rFonts w:cs="Arial"/>
                <w:sz w:val="16"/>
                <w:szCs w:val="16"/>
              </w:rPr>
            </w:pPr>
            <w:r>
              <w:rPr>
                <w:rFonts w:cs="Arial"/>
                <w:sz w:val="16"/>
                <w:szCs w:val="16"/>
              </w:rPr>
              <w:t>3,6</w:t>
            </w:r>
          </w:p>
        </w:tc>
        <w:tc>
          <w:tcPr>
            <w:tcW w:w="1468" w:type="dxa"/>
            <w:tcBorders>
              <w:top w:val="nil"/>
              <w:left w:val="nil"/>
              <w:bottom w:val="nil"/>
              <w:right w:val="nil"/>
            </w:tcBorders>
            <w:shd w:val="clear" w:color="auto" w:fill="auto"/>
            <w:noWrap/>
            <w:vAlign w:val="bottom"/>
            <w:hideMark/>
          </w:tcPr>
          <w:p w14:paraId="24398420" w14:textId="767D665F" w:rsidR="00C156AC" w:rsidRPr="00784CF6" w:rsidRDefault="00C156AC" w:rsidP="00C156AC">
            <w:pPr>
              <w:spacing w:after="0" w:line="240" w:lineRule="auto"/>
              <w:jc w:val="right"/>
              <w:rPr>
                <w:rFonts w:cs="Arial"/>
                <w:sz w:val="16"/>
                <w:szCs w:val="16"/>
              </w:rPr>
            </w:pPr>
            <w:r>
              <w:rPr>
                <w:rFonts w:cs="Arial"/>
                <w:sz w:val="16"/>
                <w:szCs w:val="16"/>
              </w:rPr>
              <w:t>2,2</w:t>
            </w:r>
          </w:p>
        </w:tc>
      </w:tr>
      <w:tr w:rsidR="00C156AC" w:rsidRPr="00784CF6" w14:paraId="46782ADD"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5FC97E84"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Španělsko</w:t>
            </w:r>
          </w:p>
        </w:tc>
        <w:tc>
          <w:tcPr>
            <w:tcW w:w="1323" w:type="dxa"/>
            <w:tcBorders>
              <w:top w:val="nil"/>
              <w:left w:val="nil"/>
              <w:bottom w:val="nil"/>
              <w:right w:val="nil"/>
            </w:tcBorders>
            <w:shd w:val="clear" w:color="auto" w:fill="auto"/>
            <w:noWrap/>
            <w:vAlign w:val="bottom"/>
            <w:hideMark/>
          </w:tcPr>
          <w:p w14:paraId="50077BDF" w14:textId="08601ADB" w:rsidR="00C156AC" w:rsidRPr="00784CF6" w:rsidRDefault="00C156AC" w:rsidP="00C156AC">
            <w:pPr>
              <w:spacing w:after="0" w:line="240" w:lineRule="auto"/>
              <w:jc w:val="right"/>
              <w:rPr>
                <w:rFonts w:cs="Arial"/>
                <w:sz w:val="16"/>
                <w:szCs w:val="16"/>
              </w:rPr>
            </w:pPr>
            <w:r>
              <w:rPr>
                <w:rFonts w:cs="Arial"/>
                <w:sz w:val="16"/>
                <w:szCs w:val="16"/>
              </w:rPr>
              <w:t>3,0</w:t>
            </w:r>
          </w:p>
        </w:tc>
        <w:tc>
          <w:tcPr>
            <w:tcW w:w="1303" w:type="dxa"/>
            <w:tcBorders>
              <w:top w:val="nil"/>
              <w:left w:val="nil"/>
              <w:bottom w:val="nil"/>
              <w:right w:val="nil"/>
            </w:tcBorders>
            <w:shd w:val="clear" w:color="auto" w:fill="auto"/>
            <w:noWrap/>
            <w:vAlign w:val="bottom"/>
            <w:hideMark/>
          </w:tcPr>
          <w:p w14:paraId="4A2805C2" w14:textId="27275B06" w:rsidR="00C156AC" w:rsidRPr="00784CF6" w:rsidRDefault="00C156AC" w:rsidP="00C156AC">
            <w:pPr>
              <w:spacing w:after="0" w:line="240" w:lineRule="auto"/>
              <w:jc w:val="right"/>
              <w:rPr>
                <w:rFonts w:cs="Arial"/>
                <w:sz w:val="16"/>
                <w:szCs w:val="16"/>
              </w:rPr>
            </w:pPr>
            <w:r>
              <w:rPr>
                <w:rFonts w:cs="Arial"/>
                <w:sz w:val="16"/>
                <w:szCs w:val="16"/>
              </w:rPr>
              <w:t>2,7</w:t>
            </w:r>
          </w:p>
        </w:tc>
        <w:tc>
          <w:tcPr>
            <w:tcW w:w="1303" w:type="dxa"/>
            <w:tcBorders>
              <w:top w:val="nil"/>
              <w:left w:val="nil"/>
              <w:bottom w:val="nil"/>
              <w:right w:val="nil"/>
            </w:tcBorders>
            <w:shd w:val="clear" w:color="auto" w:fill="auto"/>
            <w:noWrap/>
            <w:vAlign w:val="bottom"/>
            <w:hideMark/>
          </w:tcPr>
          <w:p w14:paraId="7C71C4F4" w14:textId="27BF05BA" w:rsidR="00C156AC" w:rsidRPr="00784CF6" w:rsidRDefault="00C156AC" w:rsidP="00C156AC">
            <w:pPr>
              <w:spacing w:after="0" w:line="240" w:lineRule="auto"/>
              <w:jc w:val="right"/>
              <w:rPr>
                <w:rFonts w:cs="Arial"/>
                <w:sz w:val="16"/>
                <w:szCs w:val="16"/>
              </w:rPr>
            </w:pPr>
            <w:r>
              <w:rPr>
                <w:rFonts w:cs="Arial"/>
                <w:sz w:val="16"/>
                <w:szCs w:val="16"/>
              </w:rPr>
              <w:t>3,1</w:t>
            </w:r>
          </w:p>
        </w:tc>
        <w:tc>
          <w:tcPr>
            <w:tcW w:w="1303" w:type="dxa"/>
            <w:tcBorders>
              <w:top w:val="nil"/>
              <w:left w:val="nil"/>
              <w:bottom w:val="nil"/>
              <w:right w:val="nil"/>
            </w:tcBorders>
            <w:shd w:val="clear" w:color="auto" w:fill="auto"/>
            <w:noWrap/>
            <w:vAlign w:val="bottom"/>
            <w:hideMark/>
          </w:tcPr>
          <w:p w14:paraId="339DD0E8" w14:textId="78B6AA95" w:rsidR="00C156AC" w:rsidRPr="00784CF6" w:rsidRDefault="00C156AC" w:rsidP="00C156AC">
            <w:pPr>
              <w:spacing w:after="0" w:line="240" w:lineRule="auto"/>
              <w:jc w:val="right"/>
              <w:rPr>
                <w:rFonts w:cs="Arial"/>
                <w:sz w:val="16"/>
                <w:szCs w:val="16"/>
              </w:rPr>
            </w:pPr>
            <w:r>
              <w:rPr>
                <w:rFonts w:cs="Arial"/>
                <w:sz w:val="16"/>
                <w:szCs w:val="16"/>
              </w:rPr>
              <w:t>3,5</w:t>
            </w:r>
          </w:p>
        </w:tc>
        <w:tc>
          <w:tcPr>
            <w:tcW w:w="1468" w:type="dxa"/>
            <w:tcBorders>
              <w:top w:val="nil"/>
              <w:left w:val="nil"/>
              <w:bottom w:val="nil"/>
              <w:right w:val="nil"/>
            </w:tcBorders>
            <w:shd w:val="clear" w:color="auto" w:fill="auto"/>
            <w:noWrap/>
            <w:vAlign w:val="bottom"/>
            <w:hideMark/>
          </w:tcPr>
          <w:p w14:paraId="48642F52" w14:textId="2F9F1DD4" w:rsidR="00C156AC" w:rsidRPr="00784CF6" w:rsidRDefault="00C156AC" w:rsidP="00C156AC">
            <w:pPr>
              <w:spacing w:after="0" w:line="240" w:lineRule="auto"/>
              <w:jc w:val="right"/>
              <w:rPr>
                <w:rFonts w:cs="Arial"/>
                <w:sz w:val="16"/>
                <w:szCs w:val="16"/>
              </w:rPr>
            </w:pPr>
            <w:r>
              <w:rPr>
                <w:rFonts w:cs="Arial"/>
                <w:sz w:val="16"/>
                <w:szCs w:val="16"/>
              </w:rPr>
              <w:t>2,9</w:t>
            </w:r>
          </w:p>
        </w:tc>
      </w:tr>
      <w:tr w:rsidR="00C156AC" w:rsidRPr="00784CF6" w14:paraId="4B8B4AAF"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0B114478"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Švédsko</w:t>
            </w:r>
          </w:p>
        </w:tc>
        <w:tc>
          <w:tcPr>
            <w:tcW w:w="1323" w:type="dxa"/>
            <w:tcBorders>
              <w:top w:val="nil"/>
              <w:left w:val="nil"/>
              <w:bottom w:val="nil"/>
              <w:right w:val="nil"/>
            </w:tcBorders>
            <w:shd w:val="clear" w:color="auto" w:fill="auto"/>
            <w:noWrap/>
            <w:vAlign w:val="bottom"/>
            <w:hideMark/>
          </w:tcPr>
          <w:p w14:paraId="307C5D73" w14:textId="192AEE5D" w:rsidR="00C156AC" w:rsidRPr="00784CF6" w:rsidRDefault="00C156AC" w:rsidP="00C156AC">
            <w:pPr>
              <w:spacing w:after="0" w:line="240" w:lineRule="auto"/>
              <w:jc w:val="right"/>
              <w:rPr>
                <w:rFonts w:cs="Arial"/>
                <w:sz w:val="16"/>
                <w:szCs w:val="16"/>
              </w:rPr>
            </w:pPr>
            <w:r>
              <w:rPr>
                <w:rFonts w:cs="Arial"/>
                <w:sz w:val="16"/>
                <w:szCs w:val="16"/>
              </w:rPr>
              <w:t>1,4</w:t>
            </w:r>
          </w:p>
        </w:tc>
        <w:tc>
          <w:tcPr>
            <w:tcW w:w="1303" w:type="dxa"/>
            <w:tcBorders>
              <w:top w:val="nil"/>
              <w:left w:val="nil"/>
              <w:bottom w:val="nil"/>
              <w:right w:val="nil"/>
            </w:tcBorders>
            <w:shd w:val="clear" w:color="auto" w:fill="auto"/>
            <w:noWrap/>
            <w:vAlign w:val="bottom"/>
            <w:hideMark/>
          </w:tcPr>
          <w:p w14:paraId="2E19E4E9" w14:textId="6EEDCAAC" w:rsidR="00C156AC" w:rsidRPr="00784CF6" w:rsidRDefault="00C156AC" w:rsidP="00C156AC">
            <w:pPr>
              <w:spacing w:after="0" w:line="240" w:lineRule="auto"/>
              <w:jc w:val="right"/>
              <w:rPr>
                <w:rFonts w:cs="Arial"/>
                <w:sz w:val="16"/>
                <w:szCs w:val="16"/>
              </w:rPr>
            </w:pPr>
            <w:r>
              <w:rPr>
                <w:rFonts w:cs="Arial"/>
                <w:sz w:val="16"/>
                <w:szCs w:val="16"/>
              </w:rPr>
              <w:t>1,2</w:t>
            </w:r>
          </w:p>
        </w:tc>
        <w:tc>
          <w:tcPr>
            <w:tcW w:w="1303" w:type="dxa"/>
            <w:tcBorders>
              <w:top w:val="nil"/>
              <w:left w:val="nil"/>
              <w:bottom w:val="nil"/>
              <w:right w:val="nil"/>
            </w:tcBorders>
            <w:shd w:val="clear" w:color="auto" w:fill="auto"/>
            <w:noWrap/>
            <w:vAlign w:val="bottom"/>
            <w:hideMark/>
          </w:tcPr>
          <w:p w14:paraId="326F9A35" w14:textId="14E16BFF" w:rsidR="00C156AC" w:rsidRPr="00784CF6" w:rsidRDefault="00C156AC" w:rsidP="00C156AC">
            <w:pPr>
              <w:spacing w:after="0" w:line="240" w:lineRule="auto"/>
              <w:jc w:val="right"/>
              <w:rPr>
                <w:rFonts w:cs="Arial"/>
                <w:sz w:val="16"/>
                <w:szCs w:val="16"/>
              </w:rPr>
            </w:pPr>
            <w:r>
              <w:rPr>
                <w:rFonts w:cs="Arial"/>
                <w:sz w:val="16"/>
                <w:szCs w:val="16"/>
              </w:rPr>
              <w:t>1,5</w:t>
            </w:r>
          </w:p>
        </w:tc>
        <w:tc>
          <w:tcPr>
            <w:tcW w:w="1303" w:type="dxa"/>
            <w:tcBorders>
              <w:top w:val="nil"/>
              <w:left w:val="nil"/>
              <w:bottom w:val="nil"/>
              <w:right w:val="nil"/>
            </w:tcBorders>
            <w:shd w:val="clear" w:color="auto" w:fill="auto"/>
            <w:noWrap/>
            <w:vAlign w:val="bottom"/>
            <w:hideMark/>
          </w:tcPr>
          <w:p w14:paraId="7E7BBBBE" w14:textId="34252E3B" w:rsidR="00C156AC" w:rsidRPr="00784CF6" w:rsidRDefault="00C156AC" w:rsidP="00C156AC">
            <w:pPr>
              <w:spacing w:after="0" w:line="240" w:lineRule="auto"/>
              <w:jc w:val="right"/>
              <w:rPr>
                <w:rFonts w:cs="Arial"/>
                <w:sz w:val="16"/>
                <w:szCs w:val="16"/>
              </w:rPr>
            </w:pPr>
            <w:r>
              <w:rPr>
                <w:rFonts w:cs="Arial"/>
                <w:sz w:val="16"/>
                <w:szCs w:val="16"/>
              </w:rPr>
              <w:t>1,2</w:t>
            </w:r>
          </w:p>
        </w:tc>
        <w:tc>
          <w:tcPr>
            <w:tcW w:w="1468" w:type="dxa"/>
            <w:tcBorders>
              <w:top w:val="nil"/>
              <w:left w:val="nil"/>
              <w:bottom w:val="nil"/>
              <w:right w:val="nil"/>
            </w:tcBorders>
            <w:shd w:val="clear" w:color="auto" w:fill="auto"/>
            <w:noWrap/>
            <w:vAlign w:val="bottom"/>
            <w:hideMark/>
          </w:tcPr>
          <w:p w14:paraId="6BDE55B7" w14:textId="5E12B4DF" w:rsidR="00C156AC" w:rsidRPr="00784CF6" w:rsidRDefault="00C156AC" w:rsidP="00C156AC">
            <w:pPr>
              <w:spacing w:after="0" w:line="240" w:lineRule="auto"/>
              <w:jc w:val="right"/>
              <w:rPr>
                <w:rFonts w:cs="Arial"/>
                <w:sz w:val="16"/>
                <w:szCs w:val="16"/>
              </w:rPr>
            </w:pPr>
            <w:r>
              <w:rPr>
                <w:rFonts w:cs="Arial"/>
                <w:sz w:val="16"/>
                <w:szCs w:val="16"/>
              </w:rPr>
              <w:t>1,2</w:t>
            </w:r>
          </w:p>
        </w:tc>
      </w:tr>
      <w:tr w:rsidR="00C156AC" w:rsidRPr="00784CF6" w14:paraId="287848FE" w14:textId="77777777" w:rsidTr="00784CF6">
        <w:trPr>
          <w:trHeight w:val="300"/>
        </w:trPr>
        <w:tc>
          <w:tcPr>
            <w:tcW w:w="1700" w:type="dxa"/>
            <w:tcBorders>
              <w:top w:val="nil"/>
              <w:left w:val="nil"/>
              <w:bottom w:val="nil"/>
              <w:right w:val="single" w:sz="4" w:space="0" w:color="auto"/>
            </w:tcBorders>
            <w:shd w:val="clear" w:color="auto" w:fill="auto"/>
            <w:noWrap/>
            <w:vAlign w:val="bottom"/>
            <w:hideMark/>
          </w:tcPr>
          <w:p w14:paraId="39BD097F" w14:textId="77777777" w:rsidR="00C156AC" w:rsidRPr="00784CF6" w:rsidRDefault="00C156AC" w:rsidP="00C156AC">
            <w:pPr>
              <w:spacing w:after="0" w:line="240" w:lineRule="auto"/>
              <w:ind w:firstLineChars="100" w:firstLine="160"/>
              <w:rPr>
                <w:rFonts w:ascii="Arial CE" w:hAnsi="Arial CE" w:cs="Arial CE"/>
                <w:sz w:val="16"/>
                <w:szCs w:val="16"/>
              </w:rPr>
            </w:pPr>
            <w:r w:rsidRPr="00784CF6">
              <w:rPr>
                <w:rFonts w:ascii="Arial CE" w:hAnsi="Arial CE" w:cs="Arial CE"/>
                <w:sz w:val="16"/>
                <w:szCs w:val="16"/>
              </w:rPr>
              <w:t>Velká Británie</w:t>
            </w:r>
          </w:p>
        </w:tc>
        <w:tc>
          <w:tcPr>
            <w:tcW w:w="1323" w:type="dxa"/>
            <w:tcBorders>
              <w:top w:val="nil"/>
              <w:left w:val="nil"/>
              <w:bottom w:val="nil"/>
              <w:right w:val="nil"/>
            </w:tcBorders>
            <w:shd w:val="clear" w:color="auto" w:fill="auto"/>
            <w:noWrap/>
            <w:vAlign w:val="bottom"/>
            <w:hideMark/>
          </w:tcPr>
          <w:p w14:paraId="24221286" w14:textId="51F215FE" w:rsidR="00C156AC" w:rsidRPr="00784CF6" w:rsidRDefault="00C156AC" w:rsidP="00C156AC">
            <w:pPr>
              <w:spacing w:after="0" w:line="240" w:lineRule="auto"/>
              <w:jc w:val="right"/>
              <w:rPr>
                <w:rFonts w:cs="Arial"/>
                <w:sz w:val="16"/>
                <w:szCs w:val="16"/>
              </w:rPr>
            </w:pPr>
            <w:r>
              <w:rPr>
                <w:rFonts w:cs="Arial"/>
                <w:sz w:val="16"/>
                <w:szCs w:val="16"/>
              </w:rPr>
              <w:t>1,4</w:t>
            </w:r>
          </w:p>
        </w:tc>
        <w:tc>
          <w:tcPr>
            <w:tcW w:w="1303" w:type="dxa"/>
            <w:tcBorders>
              <w:top w:val="nil"/>
              <w:left w:val="nil"/>
              <w:bottom w:val="nil"/>
              <w:right w:val="nil"/>
            </w:tcBorders>
            <w:shd w:val="clear" w:color="auto" w:fill="auto"/>
            <w:noWrap/>
            <w:vAlign w:val="bottom"/>
            <w:hideMark/>
          </w:tcPr>
          <w:p w14:paraId="4A2D59CC" w14:textId="4A85DF2D" w:rsidR="00C156AC" w:rsidRPr="00784CF6" w:rsidRDefault="00C156AC" w:rsidP="00C156AC">
            <w:pPr>
              <w:spacing w:after="0" w:line="240" w:lineRule="auto"/>
              <w:jc w:val="right"/>
              <w:rPr>
                <w:rFonts w:cs="Arial"/>
                <w:sz w:val="16"/>
                <w:szCs w:val="16"/>
              </w:rPr>
            </w:pPr>
            <w:r>
              <w:rPr>
                <w:rFonts w:cs="Arial"/>
                <w:sz w:val="16"/>
                <w:szCs w:val="16"/>
              </w:rPr>
              <w:t>1,9</w:t>
            </w:r>
          </w:p>
        </w:tc>
        <w:tc>
          <w:tcPr>
            <w:tcW w:w="1303" w:type="dxa"/>
            <w:tcBorders>
              <w:top w:val="nil"/>
              <w:left w:val="nil"/>
              <w:bottom w:val="nil"/>
              <w:right w:val="nil"/>
            </w:tcBorders>
            <w:shd w:val="clear" w:color="auto" w:fill="auto"/>
            <w:noWrap/>
            <w:vAlign w:val="bottom"/>
            <w:hideMark/>
          </w:tcPr>
          <w:p w14:paraId="48DACD03" w14:textId="13F16D12" w:rsidR="00C156AC" w:rsidRPr="00784CF6" w:rsidRDefault="00C156AC" w:rsidP="00C156AC">
            <w:pPr>
              <w:spacing w:after="0" w:line="240" w:lineRule="auto"/>
              <w:jc w:val="right"/>
              <w:rPr>
                <w:rFonts w:cs="Arial"/>
                <w:sz w:val="16"/>
                <w:szCs w:val="16"/>
              </w:rPr>
            </w:pPr>
            <w:r>
              <w:rPr>
                <w:rFonts w:cs="Arial"/>
                <w:sz w:val="16"/>
                <w:szCs w:val="16"/>
              </w:rPr>
              <w:t>1,6</w:t>
            </w:r>
          </w:p>
        </w:tc>
        <w:tc>
          <w:tcPr>
            <w:tcW w:w="1303" w:type="dxa"/>
            <w:tcBorders>
              <w:top w:val="nil"/>
              <w:left w:val="nil"/>
              <w:bottom w:val="nil"/>
              <w:right w:val="nil"/>
            </w:tcBorders>
            <w:shd w:val="clear" w:color="auto" w:fill="auto"/>
            <w:noWrap/>
            <w:vAlign w:val="bottom"/>
            <w:hideMark/>
          </w:tcPr>
          <w:p w14:paraId="0CF7C722" w14:textId="70A8FB71" w:rsidR="00C156AC" w:rsidRPr="00784CF6" w:rsidRDefault="00C156AC" w:rsidP="00C156AC">
            <w:pPr>
              <w:spacing w:after="0" w:line="240" w:lineRule="auto"/>
              <w:jc w:val="right"/>
              <w:rPr>
                <w:rFonts w:cs="Arial"/>
                <w:sz w:val="16"/>
                <w:szCs w:val="16"/>
              </w:rPr>
            </w:pPr>
            <w:r>
              <w:rPr>
                <w:rFonts w:cs="Arial"/>
                <w:sz w:val="16"/>
                <w:szCs w:val="16"/>
              </w:rPr>
              <w:t>1,6</w:t>
            </w:r>
          </w:p>
        </w:tc>
        <w:tc>
          <w:tcPr>
            <w:tcW w:w="1468" w:type="dxa"/>
            <w:tcBorders>
              <w:top w:val="nil"/>
              <w:left w:val="nil"/>
              <w:bottom w:val="nil"/>
              <w:right w:val="nil"/>
            </w:tcBorders>
            <w:shd w:val="clear" w:color="auto" w:fill="auto"/>
            <w:noWrap/>
            <w:vAlign w:val="bottom"/>
            <w:hideMark/>
          </w:tcPr>
          <w:p w14:paraId="189F0B11" w14:textId="61BA11F1" w:rsidR="00C156AC" w:rsidRPr="00784CF6" w:rsidRDefault="00C156AC" w:rsidP="00C156AC">
            <w:pPr>
              <w:spacing w:after="0" w:line="240" w:lineRule="auto"/>
              <w:jc w:val="right"/>
              <w:rPr>
                <w:rFonts w:cs="Arial"/>
                <w:sz w:val="16"/>
                <w:szCs w:val="16"/>
              </w:rPr>
            </w:pPr>
            <w:r>
              <w:rPr>
                <w:rFonts w:cs="Arial"/>
                <w:sz w:val="16"/>
                <w:szCs w:val="16"/>
              </w:rPr>
              <w:t>1,5</w:t>
            </w:r>
          </w:p>
        </w:tc>
      </w:tr>
    </w:tbl>
    <w:p w14:paraId="7D9C4F3C" w14:textId="2DD33CB1" w:rsidR="0067117F" w:rsidRDefault="0067117F" w:rsidP="00CA58EE">
      <w:pPr>
        <w:jc w:val="both"/>
      </w:pPr>
    </w:p>
    <w:p w14:paraId="015D8E6A" w14:textId="77777777" w:rsidR="00784CF6" w:rsidRPr="00CA58EE" w:rsidRDefault="00784CF6" w:rsidP="00784CF6">
      <w:pPr>
        <w:rPr>
          <w:sz w:val="16"/>
        </w:rPr>
      </w:pPr>
      <w:r w:rsidRPr="00CA58EE">
        <w:rPr>
          <w:sz w:val="16"/>
        </w:rPr>
        <w:t>Zdroj: Eurostat (ESAW)</w:t>
      </w:r>
    </w:p>
    <w:p w14:paraId="00995CA0" w14:textId="77777777" w:rsidR="00932A71" w:rsidRPr="00CA58EE" w:rsidRDefault="00932A71" w:rsidP="00932A71">
      <w:pPr>
        <w:rPr>
          <w:sz w:val="16"/>
        </w:rPr>
      </w:pPr>
      <w:r w:rsidRPr="00932A71">
        <w:rPr>
          <w:sz w:val="16"/>
          <w:highlight w:val="lightGray"/>
        </w:rPr>
        <w:t>Přerušení v časové řadě</w:t>
      </w:r>
    </w:p>
    <w:p w14:paraId="473BC219" w14:textId="77777777" w:rsidR="00496F97" w:rsidRDefault="00496F97">
      <w:pPr>
        <w:spacing w:after="0" w:line="240" w:lineRule="auto"/>
        <w:rPr>
          <w:rFonts w:eastAsia="MS Gothic"/>
          <w:b/>
          <w:bCs/>
          <w:color w:val="BC091B"/>
          <w:sz w:val="28"/>
          <w:szCs w:val="26"/>
        </w:rPr>
      </w:pPr>
      <w:r>
        <w:br w:type="page"/>
      </w:r>
    </w:p>
    <w:p w14:paraId="75C47B18" w14:textId="77777777" w:rsidR="006324E8" w:rsidRDefault="006324E8" w:rsidP="006324E8">
      <w:pPr>
        <w:pStyle w:val="Nadpis2"/>
        <w:spacing w:after="100"/>
      </w:pPr>
      <w:bookmarkStart w:id="28" w:name="_Toc10117320"/>
      <w:r>
        <w:lastRenderedPageBreak/>
        <w:t>4.7. Závěrečné shrnutí</w:t>
      </w:r>
      <w:bookmarkEnd w:id="28"/>
    </w:p>
    <w:p w14:paraId="0DB33A23" w14:textId="77777777" w:rsidR="006324E8" w:rsidRDefault="006324E8" w:rsidP="006324E8">
      <w:pPr>
        <w:pStyle w:val="Odstavecseseznamem"/>
        <w:numPr>
          <w:ilvl w:val="0"/>
          <w:numId w:val="28"/>
        </w:numPr>
        <w:spacing w:after="60" w:line="288" w:lineRule="auto"/>
        <w:ind w:left="714" w:hanging="357"/>
        <w:jc w:val="both"/>
        <w:rPr>
          <w:rFonts w:ascii="Arial" w:hAnsi="Arial"/>
          <w:sz w:val="20"/>
          <w:lang w:eastAsia="cs-CZ"/>
        </w:rPr>
      </w:pPr>
      <w:r>
        <w:rPr>
          <w:rFonts w:ascii="Arial" w:hAnsi="Arial"/>
          <w:sz w:val="20"/>
          <w:lang w:eastAsia="cs-CZ"/>
        </w:rPr>
        <w:t>Průměrný počet nemocensky pojištěných v roce 2018 činil 4 732,7 tis. osob, přičemž 50,5 % tvořili muži a 49,5 % ženy. Oproti roku 2017 došlo k nárůstu o 61 tis. osob, tj. o 1,3 %. Meziroční nárůst nemocensky pojištěných žen byl téměř dvojnásobný v porovnání s muži.</w:t>
      </w:r>
    </w:p>
    <w:p w14:paraId="2FCA1247"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V roce 2018 bylo zaznamenáno nejvíce případů pracovní neschopnosti za posledních deset let (1 849,5 tis.). Jde o polovinu vyšší hodnotu než v roce 2012, kdy byl v Česku zaznamenán vůbec nejnižší počet nových případů pracovní neschopnosti pro nemoc a úraz (1 226,9 tis.). Meziročně se tento počet v roce 2018 zvýšil o 142 tis. případů, v relativním vyjádření o 8 %. Naprostá většina (90 %) všech hlášení se týkala neschopnosti pro nemoc, pracovní úrazy zaujímaly 2 % a jiné než pracovní úrazy 8 % všech případů pracovní neschopnosti.</w:t>
      </w:r>
    </w:p>
    <w:p w14:paraId="762C0528"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Častěji nastupovaly do pracovní neschopnosti již tradičně ženy. Podílely se na pracovní neschopnosti 53 %. Počet případů u žen činil 975,2 tis., zatímco u mužů o 100 tis. méně – 874,3 tis.</w:t>
      </w:r>
    </w:p>
    <w:p w14:paraId="11CEC7CB"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 xml:space="preserve">Z celkového počtu nově hlášených případů pro pracovní úrazy připadá na ženy pouze 32 % pracovních úrazů. Je to dáno především odlišnou strukturou zaměstnanosti žen a mužů. Odvětví, kde převládají muži a vyskytují se zvýšená rizika pracovního úrazu, jsou např. Těžba a dobývání, Zpracovatelský průmysl, Stavebnictví, Doprava a skladování či Zemědělství, lesnictví a rybářství. Naopak odvětví, kde převažují v zaměstnání ženy a rizika pracovních úrazů bývají méně častá, jsou Peněžnictví a pojišťovnictví, Veřejná správa a Vzdělávání. </w:t>
      </w:r>
    </w:p>
    <w:p w14:paraId="44D37EC1"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Ještě výraznější rozdíl mezi pohlavími je patrný u smrtelných pracovních úrazů. Z celkového počtu 123 smrtelných pracovních úrazů v roce 2018 připadalo na muže 117 (tj. 95 %). Oproti předchozímu roku došlo k nárůstu celkového počtu smrtelných pracovních úrazů téměř o 30 % (v roce 2017 bylo evidováno 95 těchto případů).</w:t>
      </w:r>
    </w:p>
    <w:p w14:paraId="00B27AF3"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 xml:space="preserve">Podíl pracovních neschopností celkem a neschopností pro nemoc zůstává pro obě pohlaví dlouhodobě relativně konstantní, pracovních neschopností zapříčiněných úrazem u žen přibývá.  </w:t>
      </w:r>
    </w:p>
    <w:p w14:paraId="5A235EAB"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Meziroční nárůst pracovní neschopnosti žen byl výraznější než u mužů. Absolutní počet nově hlášených případů pracovní neschopnosti žen se meziročně zvýšil z 893 tis. případů (muži 814,5 tis. případů) v roce 2017 na 975,2 tis. případů (muži 874,3 tis. případů) v roce 2018, tj. vzrostl o 9,2 % (o 7,3 % u mužů).</w:t>
      </w:r>
    </w:p>
    <w:p w14:paraId="19F3AE46"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Z hlediska příčin nově hlášených případů dočasné pracovní neschopnosti žen 903,5 tis. případů (93 %) bylo způsobeno nemocí, 14,9 tis. případů (2 %) pracovním úrazem a 56,8 tis. (6 %) mimopracovním úrazem.</w:t>
      </w:r>
    </w:p>
    <w:p w14:paraId="347184CE"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Muži čerpali pracovní neschopnost z důvodu nemoci v 746,8 tis. případech (85 %), z důvodu pracovního úrazu v 31,3 tis. případech (4 %) a z důvodu jiných než pracovních úrazů v 96,1 tis. případech (11 %).</w:t>
      </w:r>
    </w:p>
    <w:p w14:paraId="0200905B"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Absolutní počet nově hlášených případů dočasné pracovní neschopnosti pro pracovní úraz poklesl ze 47,5 tis. případů v roce 2017 na 46,2 tis. případů v roce 2018 (tj. o 2,7 %). Z tohoto celkového počtu bylo 45,7 případů (98,8 %) pracovních úrazů s pracovní neschopností delší než 3 kalendářní dny.</w:t>
      </w:r>
    </w:p>
    <w:p w14:paraId="6AAEAB67"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Na 100 nemocensky pojištěných v roce 2018 připadalo 39 nově hlášených případů pracovní neschopnosti. To je o 2,5 více než v roce předchozím a o 9 více než v roce 2013.</w:t>
      </w:r>
    </w:p>
    <w:p w14:paraId="49F27F0A" w14:textId="77777777" w:rsidR="006324E8" w:rsidRPr="00522087"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Nejvíce případů pracovní neschopnosti na 100 pojištěnců bylo v roce 2018 zaznamenáno v Zpracovatelském průmyslu (51,8), následovala oblast Administrativní a podpůrné činnosti (48,6). Nejméně případů bylo evidováno v odvětví Činnosti v oblasti nemovitostí (17,4).</w:t>
      </w:r>
    </w:p>
    <w:p w14:paraId="77006D55"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Celkový počet kalendářních dnů trvání pracovní neschopnosti vzrostl ze 72 678 tis. v roce 2017 na 77 158 tis. (tj. o 6,2 %)</w:t>
      </w:r>
      <w:r w:rsidRPr="00801735">
        <w:rPr>
          <w:rFonts w:ascii="Arial" w:hAnsi="Arial"/>
          <w:sz w:val="20"/>
          <w:lang w:eastAsia="cs-CZ"/>
        </w:rPr>
        <w:t xml:space="preserve"> </w:t>
      </w:r>
      <w:r>
        <w:rPr>
          <w:rFonts w:ascii="Arial" w:hAnsi="Arial"/>
          <w:sz w:val="20"/>
          <w:lang w:eastAsia="cs-CZ"/>
        </w:rPr>
        <w:t>v roce 2018. V porovnání s rokem 2015 tento počet vzrostl o 15,5 % (10,</w:t>
      </w:r>
      <w:r w:rsidRPr="00F24A1B">
        <w:rPr>
          <w:rFonts w:ascii="Arial" w:hAnsi="Arial"/>
          <w:sz w:val="20"/>
          <w:lang w:eastAsia="cs-CZ"/>
        </w:rPr>
        <w:t>3 milionu</w:t>
      </w:r>
      <w:r>
        <w:rPr>
          <w:rFonts w:ascii="Arial" w:hAnsi="Arial"/>
          <w:sz w:val="20"/>
          <w:lang w:eastAsia="cs-CZ"/>
        </w:rPr>
        <w:t xml:space="preserve"> dne).</w:t>
      </w:r>
    </w:p>
    <w:p w14:paraId="666F59C0"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lastRenderedPageBreak/>
        <w:t>Průměrná délka trvání jednoho případu pracovní neschopnosti meziročně poklesla ze 42,6 dnů v roce 2017 na 41,7 dne v roce 2018. Nemoc způsobila pracovní neschopnost o průměrné délce 40,1 dne, neschopnost pro pracovní úraz trvala 55,6 dne a z důvodu ostatních úrazů 54,7 dne.</w:t>
      </w:r>
    </w:p>
    <w:p w14:paraId="58D30EF6"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Meziročně došlo ke snížení průměrné délky trvání pracovní neschopnosti i u žen, a sice ze 44,3 dne na 43 dní. Pro muže se oproti předchozímu roku snížila jen nepatrně.</w:t>
      </w:r>
    </w:p>
    <w:p w14:paraId="33F1E901"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Nejdelší průměrná doba trvání případu pracovní neschopnosti byla zaznamenána na Moravě a ve Slezsku – ve Zlínském (49,2 dne), v Moravskoslezském (47,3 dne) a Olomouckém kraji (45,7 dne). Na rozdíl od situace v uplynulých 10 letech, není krajem s nejkratší délkou trvání pracovní neschopnosti Praha (38,6 dne), nýbrž vystřídal ji Liberecký kraj (37,7 dne).</w:t>
      </w:r>
    </w:p>
    <w:p w14:paraId="6284ABF2" w14:textId="77777777" w:rsidR="006324E8" w:rsidRPr="008A11DC"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sidRPr="008A11DC">
        <w:rPr>
          <w:rFonts w:ascii="Arial" w:hAnsi="Arial"/>
          <w:sz w:val="20"/>
          <w:lang w:eastAsia="cs-CZ"/>
        </w:rPr>
        <w:t>Odvětvími s průměrnou délkou trvání pracovní neschopnosti nad 50 dnů v roce 2018 bylo Zemědělství (55,9 dne), Ubytování, stravování a pohostinství (53,8 dne), Stavebnictví (52,1 dne) a</w:t>
      </w:r>
      <w:r>
        <w:rPr>
          <w:rFonts w:ascii="Arial" w:hAnsi="Arial"/>
          <w:sz w:val="20"/>
          <w:lang w:eastAsia="cs-CZ"/>
        </w:rPr>
        <w:t> </w:t>
      </w:r>
      <w:r w:rsidRPr="008A11DC">
        <w:rPr>
          <w:rFonts w:ascii="Arial" w:hAnsi="Arial"/>
          <w:sz w:val="20"/>
          <w:lang w:eastAsia="cs-CZ"/>
        </w:rPr>
        <w:t xml:space="preserve">Činnosti v oblasti nemovitostí (51,1 dne). Poloviční doba (26,4 dne) připadala </w:t>
      </w:r>
      <w:r>
        <w:rPr>
          <w:rFonts w:ascii="Arial" w:hAnsi="Arial"/>
          <w:sz w:val="20"/>
          <w:lang w:eastAsia="cs-CZ"/>
        </w:rPr>
        <w:t xml:space="preserve">v průměru </w:t>
      </w:r>
      <w:r w:rsidRPr="008A11DC">
        <w:rPr>
          <w:rFonts w:ascii="Arial" w:hAnsi="Arial"/>
          <w:sz w:val="20"/>
          <w:lang w:eastAsia="cs-CZ"/>
        </w:rPr>
        <w:t>na</w:t>
      </w:r>
      <w:r>
        <w:rPr>
          <w:rFonts w:ascii="Arial" w:hAnsi="Arial"/>
          <w:sz w:val="20"/>
          <w:lang w:eastAsia="cs-CZ"/>
        </w:rPr>
        <w:t> </w:t>
      </w:r>
      <w:r w:rsidRPr="008A11DC">
        <w:rPr>
          <w:rFonts w:ascii="Arial" w:hAnsi="Arial"/>
          <w:sz w:val="20"/>
          <w:lang w:eastAsia="cs-CZ"/>
        </w:rPr>
        <w:t>pracovní neschopnost v odvětví Informační a komunikační činnosti, což představovalo nejnižší hodnotu v rámci národního hospodářství.</w:t>
      </w:r>
    </w:p>
    <w:p w14:paraId="16C541ED"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Počet prostonaných dnů pro nemoc činil 66 223 tis. (85,8 %). Mimopracovní úrazy způsobily 8 363 tis. prostonaných dní (tj. 10,8 %) a pracovní úrazy 2 571 tis. (3,3 %). Ženy v roce 2018 strávily v dočasné pracovní neschopnosti celkem 41 934 tis. dní, což je o 6 711 tis. dnů více než muži.</w:t>
      </w:r>
    </w:p>
    <w:p w14:paraId="287EE0DD"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V roce 2018 v České republice v důsledku pracovní neschopnosti způsobené nemocí či úrazem denně chybělo na pracovištích 211 391 nemocensky pojištěných osob, což bylo ve srovnání s předchozím rokem (199 116) o 12,3 tis. více (o 6 %). Před pěti lety nepracovalo z důvodu nemoci či úrazu denně dokonce v průměru o necelou třetinu (32 %; 50,9 tis.) méně zaměstnanců než v roce 2018.</w:t>
      </w:r>
    </w:p>
    <w:p w14:paraId="268547DE"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Pro nemoc bylo v neschopnosti v průměru 181 433 pojištěnců denně. V důsledku pracovního úrazu 7 043 a následkem ostatních úrazů 22 913 nemocensky pojištěných osob.</w:t>
      </w:r>
    </w:p>
    <w:p w14:paraId="6222D15C"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Největší absence byla ve Zpracovatelském průmyslu (72 778 osob), dále v odvětví Velkoobchod a maloobchod, opravy a údržba motorových vozidel (28 723 osob), což je i dáno silným zastoupením těchto odvětví v národním hospodářství. Naopak nejméně pojištěnců chybělo v odvětví Výroba a rozvod elektřiny, plynu, tepla a klimatizovaného vzduchu (1 103 osob).</w:t>
      </w:r>
    </w:p>
    <w:p w14:paraId="6CC69BB9" w14:textId="77777777" w:rsidR="006324E8" w:rsidRDefault="006324E8" w:rsidP="006324E8">
      <w:pPr>
        <w:pStyle w:val="Odstavecseseznamem"/>
        <w:numPr>
          <w:ilvl w:val="0"/>
          <w:numId w:val="28"/>
        </w:numPr>
        <w:spacing w:before="0" w:after="60" w:line="288" w:lineRule="auto"/>
        <w:ind w:left="714" w:hanging="357"/>
        <w:jc w:val="both"/>
        <w:rPr>
          <w:rFonts w:ascii="Arial" w:hAnsi="Arial"/>
          <w:sz w:val="20"/>
          <w:lang w:eastAsia="cs-CZ"/>
        </w:rPr>
      </w:pPr>
      <w:r>
        <w:rPr>
          <w:rFonts w:ascii="Arial" w:hAnsi="Arial"/>
          <w:sz w:val="20"/>
          <w:lang w:eastAsia="cs-CZ"/>
        </w:rPr>
        <w:t>V roce 2018 bylo pojištěncům vyplaceno nemocenské v celkové hodnotě 22,7 mld. Kč, což představuje téměř 67% podíl celkových výdajů na dávky systému nemocenského pojištění. Meziročně vzrostly výdaje na nemocenské o 4,4 mld. Kč, tj. o 24 %.</w:t>
      </w:r>
    </w:p>
    <w:p w14:paraId="1A50F83A" w14:textId="7E858298" w:rsidR="006324E8" w:rsidRPr="0058606B" w:rsidRDefault="006324E8" w:rsidP="006324E8">
      <w:pPr>
        <w:pStyle w:val="Titulek"/>
        <w:keepNext/>
        <w:jc w:val="both"/>
        <w:rPr>
          <w:b/>
          <w:i w:val="0"/>
          <w:color w:val="auto"/>
          <w:sz w:val="20"/>
        </w:rPr>
      </w:pPr>
      <w:r w:rsidRPr="0058606B">
        <w:rPr>
          <w:b/>
          <w:i w:val="0"/>
          <w:color w:val="auto"/>
          <w:sz w:val="20"/>
        </w:rPr>
        <w:lastRenderedPageBreak/>
        <w:t xml:space="preserve">Graf </w:t>
      </w:r>
      <w:r w:rsidRPr="0058606B">
        <w:rPr>
          <w:b/>
          <w:i w:val="0"/>
          <w:color w:val="auto"/>
          <w:sz w:val="20"/>
        </w:rPr>
        <w:fldChar w:fldCharType="begin"/>
      </w:r>
      <w:r w:rsidRPr="0058606B">
        <w:rPr>
          <w:b/>
          <w:i w:val="0"/>
          <w:color w:val="auto"/>
          <w:sz w:val="20"/>
        </w:rPr>
        <w:instrText xml:space="preserve"> SEQ Graf \* ARABIC </w:instrText>
      </w:r>
      <w:r w:rsidRPr="0058606B">
        <w:rPr>
          <w:b/>
          <w:i w:val="0"/>
          <w:color w:val="auto"/>
          <w:sz w:val="20"/>
        </w:rPr>
        <w:fldChar w:fldCharType="separate"/>
      </w:r>
      <w:r w:rsidR="004426F5">
        <w:rPr>
          <w:b/>
          <w:i w:val="0"/>
          <w:noProof/>
          <w:color w:val="auto"/>
          <w:sz w:val="20"/>
        </w:rPr>
        <w:t>7</w:t>
      </w:r>
      <w:r w:rsidRPr="0058606B">
        <w:rPr>
          <w:b/>
          <w:i w:val="0"/>
          <w:color w:val="auto"/>
          <w:sz w:val="20"/>
        </w:rPr>
        <w:fldChar w:fldCharType="end"/>
      </w:r>
      <w:r w:rsidRPr="0058606B">
        <w:rPr>
          <w:b/>
          <w:i w:val="0"/>
          <w:color w:val="auto"/>
          <w:sz w:val="20"/>
        </w:rPr>
        <w:t>.1: Základní ukazatelé dočasné pracovní neschopnosti v ČR v letech 1987–2018</w:t>
      </w:r>
    </w:p>
    <w:p w14:paraId="2F4F91D4" w14:textId="77777777" w:rsidR="006324E8" w:rsidRDefault="006324E8" w:rsidP="006324E8">
      <w:pPr>
        <w:spacing w:after="60"/>
        <w:jc w:val="both"/>
      </w:pPr>
      <w:r>
        <w:rPr>
          <w:noProof/>
        </w:rPr>
        <w:drawing>
          <wp:inline distT="0" distB="0" distL="0" distR="0" wp14:anchorId="0E034C0C" wp14:editId="2F891DC9">
            <wp:extent cx="6153150" cy="361950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A9A33CE" w14:textId="77777777" w:rsidR="006324E8" w:rsidRDefault="006324E8" w:rsidP="006324E8">
      <w:pPr>
        <w:rPr>
          <w:sz w:val="16"/>
        </w:rPr>
      </w:pPr>
      <w:r w:rsidRPr="00CA58EE">
        <w:rPr>
          <w:sz w:val="16"/>
        </w:rPr>
        <w:t xml:space="preserve">Zdroj: </w:t>
      </w:r>
      <w:r>
        <w:rPr>
          <w:sz w:val="16"/>
        </w:rPr>
        <w:t>ČSÚ</w:t>
      </w:r>
    </w:p>
    <w:p w14:paraId="28C22BBF" w14:textId="77777777" w:rsidR="006324E8" w:rsidRPr="00F24A1B" w:rsidRDefault="006324E8" w:rsidP="006324E8">
      <w:pPr>
        <w:jc w:val="both"/>
      </w:pPr>
      <w:r w:rsidRPr="00F24A1B">
        <w:t>Pohled na dlouhodobý vývoj základních ukazatelů pracovní neschopnosti nabízí graf 7.1.</w:t>
      </w:r>
    </w:p>
    <w:p w14:paraId="3C1503EC" w14:textId="77777777" w:rsidR="006324E8" w:rsidRDefault="006324E8" w:rsidP="006324E8">
      <w:pPr>
        <w:jc w:val="both"/>
      </w:pPr>
      <w:r>
        <w:t>Nejvýznamnějším zlomem vývoje nemocnosti v České republice za posledních 30 let byl rapidní pokles nemocnosti mezi roky 2007 až 2009, vyvolaný legislativními změnami v oblasti nemocenského pojištění. Svou roli zde sehrálo bezesporu zavedení karenční doby pro poskytování nemocenského od 1. 1. 2008, tzn. neposkytování nemocenských dávek za období prvních tří kalendářních dnů trvání dočasné pracovní neschopnosti, a přestože bylo nálezem Ústavního soudu s účinností od 30. 6. 2008 zrušeno, následovalo snížení sazby pro výpočet nemocenského za první 3 kalendářní dny pracovní neschopnosti z 60 % na 25 % od 1. 9. 2008. Nicméně nový zákon o nemocenském pojištění, účinný od 1. 1. 2009, poměrně revolučním způsobem zasáhl do vývoje nemocnosti – zejména posílením ochranných prvků proti zneužívání systému (zavedení karenční doby – 3 pracovní dny bez zabezpečení finančními prostředky, náhrada mzdy nebo platu od 4. pracovního dne) a zainteresováním zaměstnavatele na vývoji pracovní neschopnosti zaměstnanců (náhrada mzdy nebo platu za prvních 14 kalendářních dnů trvání pracovní neschopnosti). Důsledkem bylo snížení počtu případů dočasné pracovní neschopnosti zhruba na polovinu, což se projevilo zejména v četnosti případů méně závažných a krátkodobých pracovních neschopností, například u nemocí dýchacích cest (běžná nachlazení, záněty horních cest dýchacích). Tato onemocnění začali zaměstnanci ve většině případů řešit jiným způsobem, než návštěvou lékaře a vystavením neschopenky (krátkodobá dovolená, sick days). Dále došlo k poklesu počtu kalendářních dnů dočasné pracovní neschopnosti zhruba o třetinu a průměrného procenta pracovní neschopnosti zhruba o čtvrtinu. Tato skutečnost se projevila i na průměrné délce trvání 1 případu, která vzrostla vlivem dopadů legislativních změn téměř o 11 dnů na 45 dnů v roce 2009.</w:t>
      </w:r>
    </w:p>
    <w:p w14:paraId="70B0C405" w14:textId="5515B585" w:rsidR="00496F97" w:rsidRDefault="006324E8" w:rsidP="006324E8">
      <w:pPr>
        <w:jc w:val="both"/>
      </w:pPr>
      <w:r>
        <w:t>V posledních pěti letech jsme svědky postupného zvyšování nemocnosti – roste počet případů i počet kalendářních dnů dočasné pracovní neschopnosti, zvyšuje se průměrné procento pracovní neschopnosti při stagnaci průměrné délky trvání jednoho případu. Tento obrat může být zapříčiněn tím, že pracující populace přivykla přísnějším legislativním podmínkám čerpání nemocenských dávek. Vliv na tento trend rozhodně má i stárnutí populace a zvyšování průměrného věku zaměstnanců.</w:t>
      </w:r>
      <w:r w:rsidR="00496F97">
        <w:br w:type="page"/>
      </w:r>
    </w:p>
    <w:p w14:paraId="50682A8A" w14:textId="77777777" w:rsidR="00C62BD6" w:rsidRDefault="00C62BD6" w:rsidP="00C62BD6">
      <w:pPr>
        <w:pStyle w:val="Nadpis1"/>
      </w:pPr>
      <w:bookmarkStart w:id="29" w:name="_Toc10117321"/>
      <w:r>
        <w:lastRenderedPageBreak/>
        <w:t>5. Použité zkratky a značky</w:t>
      </w:r>
      <w:bookmarkEnd w:id="29"/>
    </w:p>
    <w:p w14:paraId="3C17DDB9" w14:textId="77777777" w:rsidR="00FE6DC6" w:rsidRDefault="00FE6DC6" w:rsidP="00FE6DC6">
      <w:pPr>
        <w:pStyle w:val="Zkladntextodsazen"/>
        <w:ind w:left="0"/>
        <w:jc w:val="both"/>
        <w:rPr>
          <w:rFonts w:cs="Arial"/>
        </w:rPr>
      </w:pPr>
      <w:r>
        <w:rPr>
          <w:rFonts w:cs="Arial"/>
        </w:rPr>
        <w:t>.</w:t>
      </w:r>
      <w:r>
        <w:rPr>
          <w:rFonts w:cs="Arial"/>
        </w:rPr>
        <w:tab/>
      </w:r>
      <w:r>
        <w:rPr>
          <w:rFonts w:cs="Arial"/>
        </w:rPr>
        <w:tab/>
        <w:t>tečka na místě čísla značí, že údaj není k dispozici nebo je nespolehlivý</w:t>
      </w:r>
    </w:p>
    <w:p w14:paraId="7AA1CCE8" w14:textId="0860F350" w:rsidR="00FE6DC6" w:rsidRDefault="00FE6DC6" w:rsidP="00FE6DC6">
      <w:pPr>
        <w:pStyle w:val="Zkladntextodsazen"/>
        <w:ind w:left="0"/>
        <w:jc w:val="both"/>
        <w:rPr>
          <w:rFonts w:cs="Arial"/>
        </w:rPr>
      </w:pPr>
      <w:r>
        <w:rPr>
          <w:rFonts w:cs="Arial"/>
        </w:rPr>
        <w:t>–</w:t>
      </w:r>
      <w:r>
        <w:rPr>
          <w:rFonts w:cs="Arial"/>
        </w:rPr>
        <w:tab/>
      </w:r>
      <w:r>
        <w:rPr>
          <w:rFonts w:cs="Arial"/>
        </w:rPr>
        <w:tab/>
        <w:t>pomlčka na místě čísla značí, že se jev nevyskytoval</w:t>
      </w:r>
    </w:p>
    <w:p w14:paraId="2C3EE428" w14:textId="77777777" w:rsidR="00FE6DC6" w:rsidRDefault="00FE6DC6" w:rsidP="00FE6DC6">
      <w:pPr>
        <w:pStyle w:val="Zkladntextodsazen"/>
        <w:ind w:left="0"/>
        <w:jc w:val="both"/>
        <w:rPr>
          <w:rFonts w:cs="Arial"/>
        </w:rPr>
      </w:pPr>
      <w:r>
        <w:rPr>
          <w:rFonts w:cs="Arial"/>
        </w:rPr>
        <w:t>x</w:t>
      </w:r>
      <w:r>
        <w:rPr>
          <w:rFonts w:cs="Arial"/>
        </w:rPr>
        <w:tab/>
      </w:r>
      <w:r>
        <w:rPr>
          <w:rFonts w:cs="Arial"/>
        </w:rPr>
        <w:tab/>
        <w:t>křížek (písmeno „x“) na místě čísla značí, že zápis není možný z logických důvodů</w:t>
      </w:r>
    </w:p>
    <w:p w14:paraId="03C3A063" w14:textId="77777777" w:rsidR="00FE6DC6" w:rsidRDefault="00FE6DC6" w:rsidP="00FE6DC6">
      <w:pPr>
        <w:pStyle w:val="Zkladntextodsazen"/>
        <w:ind w:left="0"/>
        <w:jc w:val="both"/>
        <w:rPr>
          <w:rFonts w:cs="Arial"/>
        </w:rPr>
      </w:pPr>
      <w:r>
        <w:rPr>
          <w:rFonts w:cs="Arial"/>
        </w:rPr>
        <w:t>0</w:t>
      </w:r>
      <w:r>
        <w:rPr>
          <w:rFonts w:cs="Arial"/>
        </w:rPr>
        <w:tab/>
      </w:r>
      <w:r>
        <w:rPr>
          <w:rFonts w:cs="Arial"/>
        </w:rPr>
        <w:tab/>
        <w:t>nula se používá pro označení číselných údajů menších než polovina zvolené měřicí jednotky</w:t>
      </w:r>
    </w:p>
    <w:p w14:paraId="02EC9EE1" w14:textId="77777777" w:rsidR="00FE6DC6" w:rsidRDefault="00FE6DC6" w:rsidP="00FE6DC6">
      <w:pPr>
        <w:pStyle w:val="Zkladntextodsazen"/>
        <w:ind w:left="0"/>
        <w:jc w:val="both"/>
        <w:rPr>
          <w:rFonts w:cs="Arial"/>
        </w:rPr>
      </w:pPr>
      <w:r>
        <w:rPr>
          <w:rFonts w:cs="Arial"/>
        </w:rPr>
        <w:t>i. d.</w:t>
      </w:r>
      <w:r>
        <w:rPr>
          <w:rFonts w:cs="Arial"/>
        </w:rPr>
        <w:tab/>
      </w:r>
      <w:r>
        <w:rPr>
          <w:rFonts w:cs="Arial"/>
        </w:rPr>
        <w:tab/>
        <w:t>značí důvěrná data (individuální údaje i důvěrné statistické údaje)</w:t>
      </w:r>
    </w:p>
    <w:p w14:paraId="4A97D7F5" w14:textId="77777777" w:rsidR="00FE6DC6" w:rsidRDefault="00FE6DC6" w:rsidP="00FE6DC6">
      <w:pPr>
        <w:pStyle w:val="Zkladntextodsazen"/>
        <w:ind w:left="0"/>
        <w:jc w:val="both"/>
        <w:rPr>
          <w:rFonts w:cs="Arial"/>
        </w:rPr>
      </w:pPr>
    </w:p>
    <w:p w14:paraId="3E44B104" w14:textId="77777777" w:rsidR="00FE6DC6" w:rsidRPr="002B1C15" w:rsidRDefault="00FE6DC6" w:rsidP="00FE6DC6">
      <w:pPr>
        <w:pStyle w:val="Zkladntextodsazen"/>
        <w:ind w:left="0"/>
      </w:pPr>
      <w:r w:rsidRPr="002B1C15">
        <w:t>CZ-NACE</w:t>
      </w:r>
      <w:r w:rsidRPr="002B1C15">
        <w:tab/>
        <w:t>Klasifikace ekonomických činností</w:t>
      </w:r>
    </w:p>
    <w:p w14:paraId="6C47BD38" w14:textId="77777777" w:rsidR="00FE6DC6" w:rsidRPr="002B1C15" w:rsidRDefault="00FE6DC6" w:rsidP="00FE6DC6">
      <w:pPr>
        <w:pStyle w:val="Zkladntextodsazen"/>
        <w:ind w:left="0"/>
      </w:pPr>
      <w:r w:rsidRPr="002B1C15">
        <w:t>CZ-NUTS</w:t>
      </w:r>
      <w:r>
        <w:tab/>
        <w:t>Klasifikace územních statistických jednotek</w:t>
      </w:r>
    </w:p>
    <w:p w14:paraId="1732F439" w14:textId="77777777" w:rsidR="00FE6DC6" w:rsidRDefault="00FE6DC6" w:rsidP="00FE6DC6">
      <w:pPr>
        <w:pStyle w:val="Zkladntextodsazen"/>
        <w:ind w:left="0"/>
      </w:pPr>
      <w:r w:rsidRPr="006E6496">
        <w:t>ČBÚ</w:t>
      </w:r>
      <w:r>
        <w:tab/>
      </w:r>
      <w:r>
        <w:tab/>
      </w:r>
      <w:r w:rsidRPr="006E6496">
        <w:t>Český báňský úřad</w:t>
      </w:r>
    </w:p>
    <w:p w14:paraId="18CFF152" w14:textId="77777777" w:rsidR="00FE6DC6" w:rsidRDefault="00FE6DC6" w:rsidP="00FE6DC6">
      <w:pPr>
        <w:pStyle w:val="Zkladntextodsazen"/>
        <w:ind w:left="0"/>
      </w:pPr>
      <w:r>
        <w:t>ČR</w:t>
      </w:r>
      <w:r>
        <w:tab/>
      </w:r>
      <w:r>
        <w:tab/>
        <w:t>Česká republika</w:t>
      </w:r>
    </w:p>
    <w:p w14:paraId="7C699C9E" w14:textId="77777777" w:rsidR="00FE6DC6" w:rsidRDefault="00FE6DC6" w:rsidP="00FE6DC6">
      <w:pPr>
        <w:pStyle w:val="Zkladntextodsazen"/>
        <w:ind w:left="0"/>
      </w:pPr>
      <w:r>
        <w:t>ČSÚ</w:t>
      </w:r>
      <w:r>
        <w:tab/>
      </w:r>
      <w:r>
        <w:tab/>
        <w:t>Český statistický úřad</w:t>
      </w:r>
    </w:p>
    <w:p w14:paraId="7AAA64B0" w14:textId="77777777" w:rsidR="00FE6DC6" w:rsidRDefault="00FE6DC6" w:rsidP="00FE6DC6">
      <w:pPr>
        <w:pStyle w:val="Zkladntextodsazen"/>
        <w:ind w:left="0"/>
      </w:pPr>
      <w:r>
        <w:t>ČSSZ</w:t>
      </w:r>
      <w:r>
        <w:tab/>
      </w:r>
      <w:r>
        <w:tab/>
        <w:t xml:space="preserve">Česká správa sociálního zabezpečení </w:t>
      </w:r>
    </w:p>
    <w:p w14:paraId="75E5A78D" w14:textId="77777777" w:rsidR="00FE6DC6" w:rsidRDefault="00FE6DC6" w:rsidP="00FE6DC6">
      <w:pPr>
        <w:pStyle w:val="Zkladntextodsazen"/>
        <w:ind w:left="0"/>
        <w:jc w:val="both"/>
      </w:pPr>
      <w:r>
        <w:rPr>
          <w:rFonts w:cs="Arial"/>
        </w:rPr>
        <w:t>DPN</w:t>
      </w:r>
      <w:r>
        <w:rPr>
          <w:rFonts w:cs="Arial"/>
        </w:rPr>
        <w:tab/>
      </w:r>
      <w:r>
        <w:rPr>
          <w:rFonts w:cs="Arial"/>
        </w:rPr>
        <w:tab/>
        <w:t>dočasná pracovní neschopnost</w:t>
      </w:r>
    </w:p>
    <w:p w14:paraId="0659B08E" w14:textId="77777777" w:rsidR="00FE6DC6" w:rsidRDefault="00FE6DC6" w:rsidP="00FE6DC6">
      <w:pPr>
        <w:pStyle w:val="Zkladntextodsazen"/>
        <w:ind w:left="0"/>
      </w:pPr>
      <w:r>
        <w:t>ESAW</w:t>
      </w:r>
      <w:r>
        <w:tab/>
      </w:r>
      <w:r>
        <w:tab/>
        <w:t>European Statistics on Accidents at Work (Evropská statistika pracovních úrazů)</w:t>
      </w:r>
    </w:p>
    <w:p w14:paraId="39D6F374" w14:textId="77777777" w:rsidR="00FE6DC6" w:rsidRDefault="00FE6DC6" w:rsidP="00FE6DC6">
      <w:pPr>
        <w:pStyle w:val="Zkladntextodsazen"/>
        <w:ind w:left="0"/>
      </w:pPr>
      <w:r>
        <w:t>EU</w:t>
      </w:r>
      <w:r>
        <w:tab/>
      </w:r>
      <w:r>
        <w:tab/>
        <w:t>Evropská unie</w:t>
      </w:r>
    </w:p>
    <w:p w14:paraId="06468801" w14:textId="77777777" w:rsidR="00FE6DC6" w:rsidRDefault="00FE6DC6" w:rsidP="00FE6DC6">
      <w:pPr>
        <w:pStyle w:val="Zkladntextodsazen"/>
        <w:ind w:left="0"/>
      </w:pPr>
      <w:r>
        <w:t>Eurostat</w:t>
      </w:r>
      <w:r>
        <w:tab/>
        <w:t>Statistický úřad Evropské unie</w:t>
      </w:r>
    </w:p>
    <w:p w14:paraId="5ADC4030" w14:textId="77777777" w:rsidR="00FE6DC6" w:rsidRDefault="00FE6DC6" w:rsidP="00FE6DC6">
      <w:pPr>
        <w:pStyle w:val="Zkladntextodsazen"/>
        <w:ind w:left="0"/>
      </w:pPr>
      <w:r>
        <w:t>IS KaPr</w:t>
      </w:r>
      <w:r>
        <w:tab/>
      </w:r>
      <w:r>
        <w:tab/>
        <w:t>Informační systém kategorizace prací</w:t>
      </w:r>
    </w:p>
    <w:p w14:paraId="4E97699F" w14:textId="77777777" w:rsidR="00FE6DC6" w:rsidRDefault="00FE6DC6" w:rsidP="00FE6DC6">
      <w:pPr>
        <w:pStyle w:val="Zkladntextodsazen"/>
        <w:ind w:left="0"/>
      </w:pPr>
      <w:r>
        <w:t>MF</w:t>
      </w:r>
      <w:r>
        <w:tab/>
      </w:r>
      <w:r>
        <w:tab/>
        <w:t>Ministerstvo financí České republiky</w:t>
      </w:r>
    </w:p>
    <w:p w14:paraId="21BBE017" w14:textId="77777777" w:rsidR="00FE6DC6" w:rsidRDefault="00FE6DC6" w:rsidP="00FE6DC6">
      <w:pPr>
        <w:pStyle w:val="Zkladntextodsazen"/>
        <w:ind w:left="0"/>
      </w:pPr>
      <w:r>
        <w:t>MKN-10</w:t>
      </w:r>
      <w:r>
        <w:tab/>
        <w:t>Mezinárodní statistická klasifikace nemocí a přidružených zdravotních problémů</w:t>
      </w:r>
    </w:p>
    <w:p w14:paraId="3F909857" w14:textId="77777777" w:rsidR="00FE6DC6" w:rsidRDefault="00FE6DC6" w:rsidP="00FE6DC6">
      <w:pPr>
        <w:pStyle w:val="Zkladntextodsazen"/>
        <w:ind w:left="0"/>
      </w:pPr>
      <w:r>
        <w:t>MPSV</w:t>
      </w:r>
      <w:r>
        <w:tab/>
      </w:r>
      <w:r>
        <w:tab/>
        <w:t>Ministerstvo práce a sociálních věcí České republiky</w:t>
      </w:r>
    </w:p>
    <w:p w14:paraId="29310E1C" w14:textId="77777777" w:rsidR="00FE6DC6" w:rsidRDefault="00FE6DC6" w:rsidP="00FE6DC6">
      <w:pPr>
        <w:pStyle w:val="Zkladntextodsazen"/>
        <w:ind w:left="0"/>
      </w:pPr>
      <w:r>
        <w:t>OIP</w:t>
      </w:r>
      <w:r>
        <w:tab/>
      </w:r>
      <w:r>
        <w:tab/>
        <w:t>Oblastní inspektorát práce</w:t>
      </w:r>
    </w:p>
    <w:p w14:paraId="59F70D1B" w14:textId="77777777" w:rsidR="00FE6DC6" w:rsidRDefault="00FE6DC6" w:rsidP="00FE6DC6">
      <w:pPr>
        <w:pStyle w:val="Zkladntextodsazen"/>
        <w:ind w:left="0"/>
      </w:pPr>
      <w:r>
        <w:t>OSSZ</w:t>
      </w:r>
      <w:r>
        <w:tab/>
      </w:r>
      <w:r>
        <w:tab/>
        <w:t>Okresní správa sociálního zabezpečení</w:t>
      </w:r>
    </w:p>
    <w:p w14:paraId="75BEA2D7" w14:textId="77777777" w:rsidR="00FE6DC6" w:rsidRDefault="00FE6DC6" w:rsidP="00FE6DC6">
      <w:pPr>
        <w:pStyle w:val="Zkladntextodsazen"/>
        <w:ind w:left="0"/>
      </w:pPr>
      <w:r>
        <w:t>OSVČ</w:t>
      </w:r>
      <w:r>
        <w:tab/>
      </w:r>
      <w:r>
        <w:tab/>
        <w:t>osoba samostatně výdělečně činná</w:t>
      </w:r>
    </w:p>
    <w:p w14:paraId="3EE0D53D" w14:textId="77777777" w:rsidR="00FE6DC6" w:rsidRDefault="00FE6DC6" w:rsidP="00FE6DC6">
      <w:pPr>
        <w:pStyle w:val="Zkladntextodsazen"/>
        <w:ind w:left="0"/>
      </w:pPr>
      <w:r>
        <w:t>SÚIP</w:t>
      </w:r>
      <w:r>
        <w:tab/>
      </w:r>
      <w:r>
        <w:tab/>
        <w:t>Státní úřad inspekce práce</w:t>
      </w:r>
    </w:p>
    <w:p w14:paraId="52614FF0" w14:textId="77777777" w:rsidR="00FE6DC6" w:rsidRDefault="00FE6DC6" w:rsidP="00FE6DC6">
      <w:pPr>
        <w:pStyle w:val="Zkladntextodsazen"/>
        <w:ind w:left="0"/>
      </w:pPr>
      <w:r>
        <w:t>SZÚ</w:t>
      </w:r>
      <w:r>
        <w:tab/>
      </w:r>
      <w:r>
        <w:tab/>
        <w:t>Státní zdravotní ústav</w:t>
      </w:r>
    </w:p>
    <w:p w14:paraId="7A448EAA" w14:textId="77777777" w:rsidR="00FE6DC6" w:rsidRDefault="00FE6DC6" w:rsidP="00FE6DC6">
      <w:pPr>
        <w:pStyle w:val="Zkladntextodsazen"/>
        <w:ind w:left="0"/>
      </w:pPr>
      <w:r>
        <w:t>ÚZIS ČR</w:t>
      </w:r>
      <w:r>
        <w:tab/>
        <w:t>Ústav zdravotnických informací a statistiky České republiky</w:t>
      </w:r>
    </w:p>
    <w:p w14:paraId="3321FFDA" w14:textId="77777777" w:rsidR="00FE6DC6" w:rsidRDefault="00FE6DC6" w:rsidP="00FE6DC6">
      <w:pPr>
        <w:pStyle w:val="Zkladntextodsazen"/>
        <w:ind w:left="0"/>
      </w:pPr>
      <w:r>
        <w:t>VÚBP</w:t>
      </w:r>
      <w:r>
        <w:tab/>
      </w:r>
      <w:r>
        <w:tab/>
        <w:t>Výzkumný ústav bezpečnosti práce</w:t>
      </w:r>
    </w:p>
    <w:p w14:paraId="4E0D1473" w14:textId="77777777" w:rsidR="00C62BD6" w:rsidRDefault="00C62BD6" w:rsidP="00C62BD6"/>
    <w:p w14:paraId="55D97C6A" w14:textId="77777777" w:rsidR="00F547BE" w:rsidRDefault="00F547BE">
      <w:pPr>
        <w:spacing w:after="0" w:line="240" w:lineRule="auto"/>
        <w:rPr>
          <w:rFonts w:eastAsia="MS Gothic"/>
          <w:b/>
          <w:bCs/>
          <w:color w:val="C00000"/>
          <w:sz w:val="32"/>
          <w:szCs w:val="28"/>
        </w:rPr>
      </w:pPr>
      <w:r>
        <w:br w:type="page"/>
      </w:r>
    </w:p>
    <w:p w14:paraId="66D65BA3" w14:textId="35534060" w:rsidR="0047139E" w:rsidRDefault="00C62BD6" w:rsidP="00C62BD6">
      <w:pPr>
        <w:pStyle w:val="Nadpis1"/>
      </w:pPr>
      <w:bookmarkStart w:id="30" w:name="_Toc10117322"/>
      <w:r>
        <w:lastRenderedPageBreak/>
        <w:t>6. Tabulková část</w:t>
      </w:r>
      <w:bookmarkEnd w:id="30"/>
    </w:p>
    <w:p w14:paraId="2D73BF60" w14:textId="77777777" w:rsidR="00FE6DC6" w:rsidRDefault="00FE6DC6" w:rsidP="00403189">
      <w:pPr>
        <w:spacing w:after="60"/>
        <w:rPr>
          <w:rFonts w:cs="Arial"/>
          <w:b/>
        </w:rPr>
      </w:pPr>
      <w:r w:rsidRPr="00FE6DC6">
        <w:rPr>
          <w:rFonts w:cs="Arial"/>
          <w:b/>
        </w:rPr>
        <w:t>Pracovní neschopnost dle velikosti podniku, sekcí CZ-NACE a krajů ČR</w:t>
      </w:r>
    </w:p>
    <w:p w14:paraId="4957ED07" w14:textId="43870265" w:rsidR="00FE6DC6" w:rsidRPr="00FE6DC6" w:rsidRDefault="00FE6DC6" w:rsidP="00FE6DC6">
      <w:pPr>
        <w:spacing w:after="0"/>
      </w:pPr>
      <w:r w:rsidRPr="00FE6DC6">
        <w:t>Základní ukazatele pracovní neschopnosti pro nemoc a úraz v ČR za rok 2018</w:t>
      </w:r>
    </w:p>
    <w:p w14:paraId="4D2D02C1" w14:textId="2FD38491" w:rsidR="00FE6DC6" w:rsidRPr="00FE6DC6" w:rsidRDefault="00FE6DC6" w:rsidP="00FE6DC6">
      <w:pPr>
        <w:spacing w:after="0"/>
      </w:pPr>
      <w:r w:rsidRPr="00FE6DC6">
        <w:t>Tab. 1: Počet nemocensky pojištěných v ČR za rok 2018</w:t>
      </w:r>
    </w:p>
    <w:p w14:paraId="52CF7E74" w14:textId="7AE4B372" w:rsidR="00FE6DC6" w:rsidRPr="00FE6DC6" w:rsidRDefault="00FE6DC6" w:rsidP="00FE6DC6">
      <w:pPr>
        <w:spacing w:after="0"/>
      </w:pPr>
      <w:r w:rsidRPr="00FE6DC6">
        <w:t>Tab. 2: Počet nově hlášených případů pracovní neschopnosti pro nemoc a úraz v ČR za rok 2018</w:t>
      </w:r>
    </w:p>
    <w:p w14:paraId="7D3307E5" w14:textId="4B134FE4" w:rsidR="00FE6DC6" w:rsidRPr="00FE6DC6" w:rsidRDefault="00FE6DC6" w:rsidP="00FE6DC6">
      <w:pPr>
        <w:spacing w:after="0"/>
      </w:pPr>
      <w:r w:rsidRPr="00FE6DC6">
        <w:t>Tab. 3: Počet kalendářních dnů pracovní neschopnosti pro nemoc a úraz v ČR za rok 2018</w:t>
      </w:r>
    </w:p>
    <w:p w14:paraId="29C2E1A4" w14:textId="7CB96796" w:rsidR="00FE6DC6" w:rsidRPr="00FE6DC6" w:rsidRDefault="00FE6DC6" w:rsidP="00FE6DC6">
      <w:pPr>
        <w:spacing w:after="0"/>
      </w:pPr>
      <w:r w:rsidRPr="00FE6DC6">
        <w:t>Tab. 4: Počet nově hlášených případů pracovní neschopnosti pro nemoc a úraz na 100 pojištěnců za rok 2018</w:t>
      </w:r>
    </w:p>
    <w:p w14:paraId="34571763" w14:textId="365EFCB2" w:rsidR="00FE6DC6" w:rsidRPr="00FE6DC6" w:rsidRDefault="00FE6DC6" w:rsidP="00FE6DC6">
      <w:pPr>
        <w:spacing w:after="0"/>
      </w:pPr>
      <w:r w:rsidRPr="00FE6DC6">
        <w:t>Tab. 5: Průměrné procento pracovní neschopnosti pro nemoc a úraz v ČR za rok 2018</w:t>
      </w:r>
    </w:p>
    <w:p w14:paraId="0C28FD65" w14:textId="07ED1E7E" w:rsidR="00FE6DC6" w:rsidRPr="00FE6DC6" w:rsidRDefault="00FE6DC6" w:rsidP="00FE6DC6">
      <w:pPr>
        <w:spacing w:after="0"/>
      </w:pPr>
      <w:r w:rsidRPr="00FE6DC6">
        <w:t>Tab. 6: Počet kalendářních dnů pracovní neschopnosti na 1 nově hlášený případ pro nemoc a úraz v ČR za</w:t>
      </w:r>
      <w:r w:rsidR="008A15C0">
        <w:t> </w:t>
      </w:r>
      <w:r w:rsidRPr="00FE6DC6">
        <w:t>rok 2018</w:t>
      </w:r>
    </w:p>
    <w:p w14:paraId="1B8DC9A9" w14:textId="6A44455C" w:rsidR="00FE6DC6" w:rsidRPr="00FE6DC6" w:rsidRDefault="00FE6DC6" w:rsidP="00403189">
      <w:r w:rsidRPr="00FE6DC6">
        <w:t>Tab. 7: Průměrný denní stav práce neschopných pro nemoc a úraz v ČR za rok 2018</w:t>
      </w:r>
    </w:p>
    <w:p w14:paraId="64D94D54" w14:textId="77777777" w:rsidR="00FE6DC6" w:rsidRPr="00FE6DC6" w:rsidRDefault="00FE6DC6" w:rsidP="00403189">
      <w:pPr>
        <w:spacing w:after="60"/>
        <w:rPr>
          <w:rStyle w:val="Siln"/>
          <w:rFonts w:eastAsia="MS Gothic" w:cs="Arial"/>
        </w:rPr>
      </w:pPr>
      <w:r w:rsidRPr="00FE6DC6">
        <w:rPr>
          <w:rStyle w:val="Siln"/>
          <w:rFonts w:eastAsia="MS Gothic" w:cs="Arial"/>
        </w:rPr>
        <w:t>Pracovní neschopnost dle sekcí a oddílů CZ-NACE</w:t>
      </w:r>
    </w:p>
    <w:p w14:paraId="7F786BD3" w14:textId="2CBAF905" w:rsidR="00FE6DC6" w:rsidRPr="00FE6DC6" w:rsidRDefault="00FE6DC6" w:rsidP="00FE6DC6">
      <w:pPr>
        <w:spacing w:after="0"/>
        <w:rPr>
          <w:rFonts w:cs="Arial"/>
        </w:rPr>
      </w:pPr>
      <w:r w:rsidRPr="00FE6DC6">
        <w:rPr>
          <w:rFonts w:cs="Arial"/>
        </w:rPr>
        <w:t>Základní ukazatele pracovní neschopnost pro nemoc a úraz v ČR dle sekcí, oddílů CZ-NACE za rok 2018</w:t>
      </w:r>
    </w:p>
    <w:p w14:paraId="6A201ACA" w14:textId="5E110D63" w:rsidR="00FE6DC6" w:rsidRPr="00FE6DC6" w:rsidRDefault="00FE6DC6" w:rsidP="00FE6DC6">
      <w:pPr>
        <w:spacing w:after="0" w:line="240" w:lineRule="auto"/>
        <w:rPr>
          <w:rFonts w:cs="Arial"/>
        </w:rPr>
      </w:pPr>
      <w:r w:rsidRPr="00FE6DC6">
        <w:rPr>
          <w:rFonts w:cs="Arial"/>
        </w:rPr>
        <w:t>Tab. 8: Počet nemocensky pojištěných v ČR dle sekcí, oddílů CZ-NACE za rok 2018</w:t>
      </w:r>
    </w:p>
    <w:p w14:paraId="6CB098F0" w14:textId="6FB39121" w:rsidR="00FE6DC6" w:rsidRPr="00FE6DC6" w:rsidRDefault="00FE6DC6" w:rsidP="00FE6DC6">
      <w:pPr>
        <w:spacing w:after="0"/>
        <w:rPr>
          <w:rFonts w:cs="Arial"/>
        </w:rPr>
      </w:pPr>
      <w:r w:rsidRPr="00FE6DC6">
        <w:rPr>
          <w:rFonts w:cs="Arial"/>
        </w:rPr>
        <w:t>Tab. 9: Počet nově hlášených případů pracovní neschopnosti v ČR dle se</w:t>
      </w:r>
      <w:r>
        <w:rPr>
          <w:rFonts w:cs="Arial"/>
        </w:rPr>
        <w:t>kce, oddílů CZ-NACE za rok 2018</w:t>
      </w:r>
    </w:p>
    <w:p w14:paraId="4DE81C0F" w14:textId="4EAE65C4" w:rsidR="00FE6DC6" w:rsidRPr="00FE6DC6" w:rsidRDefault="00FE6DC6" w:rsidP="00FE6DC6">
      <w:pPr>
        <w:spacing w:after="0"/>
        <w:rPr>
          <w:rFonts w:cs="Arial"/>
        </w:rPr>
      </w:pPr>
      <w:r w:rsidRPr="00FE6DC6">
        <w:rPr>
          <w:rFonts w:cs="Arial"/>
        </w:rPr>
        <w:t>Tab. 10: Počet kalendářních dnů pracovní neschopnosti pro nemoc a úraz dle se</w:t>
      </w:r>
      <w:r>
        <w:rPr>
          <w:rFonts w:cs="Arial"/>
        </w:rPr>
        <w:t>kce, oddílů CZ-NACE za</w:t>
      </w:r>
      <w:r w:rsidR="008A15C0">
        <w:rPr>
          <w:rFonts w:cs="Arial"/>
        </w:rPr>
        <w:t> </w:t>
      </w:r>
      <w:r>
        <w:rPr>
          <w:rFonts w:cs="Arial"/>
        </w:rPr>
        <w:t>rok 2018</w:t>
      </w:r>
    </w:p>
    <w:p w14:paraId="5C894271" w14:textId="1D4BB992" w:rsidR="00FE6DC6" w:rsidRPr="00FE6DC6" w:rsidRDefault="00FE6DC6" w:rsidP="00FE6DC6">
      <w:pPr>
        <w:spacing w:after="0"/>
        <w:rPr>
          <w:rFonts w:cs="Arial"/>
        </w:rPr>
      </w:pPr>
      <w:r w:rsidRPr="00FE6DC6">
        <w:rPr>
          <w:rFonts w:cs="Arial"/>
        </w:rPr>
        <w:t>Tab. 11: Počet nově hlášených případů pracovní neschopnosti v ČR na 100 pojištěnců dle sekc</w:t>
      </w:r>
      <w:r>
        <w:rPr>
          <w:rFonts w:cs="Arial"/>
        </w:rPr>
        <w:t>e, oddílů CZ-NACE za rok 2018</w:t>
      </w:r>
    </w:p>
    <w:p w14:paraId="18C6BE79" w14:textId="30E4CA2F" w:rsidR="00FE6DC6" w:rsidRPr="00FE6DC6" w:rsidRDefault="00FE6DC6" w:rsidP="00FE6DC6">
      <w:pPr>
        <w:spacing w:after="0"/>
        <w:rPr>
          <w:rFonts w:cs="Arial"/>
        </w:rPr>
      </w:pPr>
      <w:r w:rsidRPr="00FE6DC6">
        <w:rPr>
          <w:rFonts w:cs="Arial"/>
        </w:rPr>
        <w:t>Tab. 12: Průměrné procento pracovní neschopnosti v ČR dle sekcí, oddílů CZ-NACE za rok 2018</w:t>
      </w:r>
    </w:p>
    <w:p w14:paraId="1B85DE22" w14:textId="7CE80E78" w:rsidR="00FE6DC6" w:rsidRPr="00FE6DC6" w:rsidRDefault="00FE6DC6" w:rsidP="00FE6DC6">
      <w:pPr>
        <w:spacing w:after="0"/>
        <w:rPr>
          <w:rFonts w:cs="Arial"/>
        </w:rPr>
      </w:pPr>
      <w:r w:rsidRPr="00FE6DC6">
        <w:rPr>
          <w:rFonts w:cs="Arial"/>
        </w:rPr>
        <w:t>Tab. 13: Počet kalendářních dnů pracovní neschopnosti na 1 nově hlášený případ v ČR dle sekcí</w:t>
      </w:r>
      <w:r>
        <w:rPr>
          <w:rFonts w:cs="Arial"/>
        </w:rPr>
        <w:t>, oddílů  CZ-NACE za rok 2018</w:t>
      </w:r>
    </w:p>
    <w:p w14:paraId="29A6AE17" w14:textId="5C76B9E8" w:rsidR="00FE6DC6" w:rsidRPr="00FE6DC6" w:rsidRDefault="00FE6DC6" w:rsidP="00403189">
      <w:pPr>
        <w:rPr>
          <w:rStyle w:val="Siln"/>
          <w:rFonts w:eastAsia="MS Gothic" w:cs="Arial"/>
          <w:bCs w:val="0"/>
        </w:rPr>
      </w:pPr>
      <w:r w:rsidRPr="00FE6DC6">
        <w:rPr>
          <w:rFonts w:cs="Arial"/>
        </w:rPr>
        <w:t>Tab. 14: Průměrný denní stav práce neschopných pro nemoc a úraz v ČR dle sek</w:t>
      </w:r>
      <w:r>
        <w:rPr>
          <w:rFonts w:cs="Arial"/>
        </w:rPr>
        <w:t>cí, oddílů CZ-NACE za rok 2018</w:t>
      </w:r>
    </w:p>
    <w:p w14:paraId="7A718424" w14:textId="77777777" w:rsidR="00FE6DC6" w:rsidRPr="00FE6DC6" w:rsidRDefault="00FE6DC6" w:rsidP="00403189">
      <w:pPr>
        <w:spacing w:after="60"/>
        <w:rPr>
          <w:rStyle w:val="Siln"/>
          <w:rFonts w:eastAsia="MS Gothic" w:cs="Arial"/>
          <w:bCs w:val="0"/>
        </w:rPr>
      </w:pPr>
      <w:r w:rsidRPr="00FE6DC6">
        <w:rPr>
          <w:rStyle w:val="Siln"/>
          <w:rFonts w:eastAsia="MS Gothic" w:cs="Arial"/>
          <w:bCs w:val="0"/>
        </w:rPr>
        <w:t>Pracovní neschopnost dle okresů ČR</w:t>
      </w:r>
    </w:p>
    <w:p w14:paraId="1687714B" w14:textId="0D99F75E" w:rsidR="00FE6DC6" w:rsidRPr="00FE6DC6" w:rsidRDefault="00FE6DC6" w:rsidP="00403189">
      <w:pPr>
        <w:spacing w:after="0"/>
        <w:rPr>
          <w:rFonts w:cs="Arial"/>
        </w:rPr>
      </w:pPr>
      <w:r w:rsidRPr="00FE6DC6">
        <w:rPr>
          <w:rFonts w:cs="Arial"/>
        </w:rPr>
        <w:t>Základní ukazatele pracovní neschopnosti pro nemoc a úraz v okresech ČR za rok 2018</w:t>
      </w:r>
    </w:p>
    <w:p w14:paraId="7DFA76FB" w14:textId="640C4AC8" w:rsidR="00FE6DC6" w:rsidRPr="00FE6DC6" w:rsidRDefault="00FE6DC6" w:rsidP="00403189">
      <w:pPr>
        <w:spacing w:after="0"/>
        <w:rPr>
          <w:rFonts w:cs="Arial"/>
        </w:rPr>
      </w:pPr>
      <w:r w:rsidRPr="00FE6DC6">
        <w:rPr>
          <w:rFonts w:cs="Arial"/>
        </w:rPr>
        <w:t>Tab. 15: Počet nemocensky pojištěných v okresech ČR za rok 2018</w:t>
      </w:r>
    </w:p>
    <w:p w14:paraId="5A13336C" w14:textId="3CE3DAA5" w:rsidR="00FE6DC6" w:rsidRPr="00FE6DC6" w:rsidRDefault="00FE6DC6" w:rsidP="00403189">
      <w:pPr>
        <w:spacing w:after="0"/>
        <w:rPr>
          <w:rFonts w:cs="Arial"/>
        </w:rPr>
      </w:pPr>
      <w:r w:rsidRPr="00FE6DC6">
        <w:rPr>
          <w:rFonts w:cs="Arial"/>
        </w:rPr>
        <w:t xml:space="preserve">Tab. 16: Počet nově hlášených případů pracovní neschopnosti pro nemoc a úraz v okresech ČR za rok 2018 </w:t>
      </w:r>
    </w:p>
    <w:p w14:paraId="36C5D969" w14:textId="70B0844A" w:rsidR="00FE6DC6" w:rsidRPr="00FE6DC6" w:rsidRDefault="00FE6DC6" w:rsidP="00403189">
      <w:pPr>
        <w:spacing w:after="0"/>
        <w:rPr>
          <w:rFonts w:cs="Arial"/>
        </w:rPr>
      </w:pPr>
      <w:r w:rsidRPr="00FE6DC6">
        <w:rPr>
          <w:rFonts w:cs="Arial"/>
        </w:rPr>
        <w:t>Tab. 17: Počet kalendářních dnů pracovní neschopnosti pro nemoc a úraz v okresech ČR za rok 2018</w:t>
      </w:r>
    </w:p>
    <w:p w14:paraId="2C5EB5CC" w14:textId="0449BFCD" w:rsidR="00FE6DC6" w:rsidRPr="00FE6DC6" w:rsidRDefault="00FE6DC6" w:rsidP="00403189">
      <w:pPr>
        <w:spacing w:after="0"/>
        <w:rPr>
          <w:rFonts w:cs="Arial"/>
        </w:rPr>
      </w:pPr>
      <w:r w:rsidRPr="00FE6DC6">
        <w:rPr>
          <w:rFonts w:cs="Arial"/>
        </w:rPr>
        <w:t>Tab. 18: Počet nově hlášených případů pracovní neschopnosti pro nemoc a úraz na 100 pojištěnců v</w:t>
      </w:r>
      <w:r w:rsidR="008A15C0">
        <w:rPr>
          <w:rFonts w:cs="Arial"/>
        </w:rPr>
        <w:t> </w:t>
      </w:r>
      <w:r w:rsidRPr="00FE6DC6">
        <w:rPr>
          <w:rFonts w:cs="Arial"/>
        </w:rPr>
        <w:t>okresech ČR za rok 2018</w:t>
      </w:r>
    </w:p>
    <w:p w14:paraId="37B9A4C1" w14:textId="2E493473" w:rsidR="00FE6DC6" w:rsidRPr="00FE6DC6" w:rsidRDefault="00FE6DC6" w:rsidP="00403189">
      <w:pPr>
        <w:spacing w:after="0"/>
        <w:rPr>
          <w:rFonts w:cs="Arial"/>
        </w:rPr>
      </w:pPr>
      <w:r w:rsidRPr="00FE6DC6">
        <w:rPr>
          <w:rFonts w:cs="Arial"/>
        </w:rPr>
        <w:t>Tab. 19: Průměrné procento pracovní neschopnosti pro nemoc a úraz v okresech ČR za rok 2018</w:t>
      </w:r>
    </w:p>
    <w:p w14:paraId="5546F045" w14:textId="7876B63E" w:rsidR="00FE6DC6" w:rsidRPr="00FE6DC6" w:rsidRDefault="00FE6DC6" w:rsidP="00403189">
      <w:pPr>
        <w:spacing w:after="0"/>
        <w:rPr>
          <w:rFonts w:cs="Arial"/>
        </w:rPr>
      </w:pPr>
      <w:r w:rsidRPr="00FE6DC6">
        <w:rPr>
          <w:rFonts w:cs="Arial"/>
        </w:rPr>
        <w:t>Tab. 20: Počet kalendářních dnů pracovní neschopnosti na 1 nově hlášený případ pro nemoc a úraz v</w:t>
      </w:r>
      <w:r w:rsidR="008A15C0">
        <w:rPr>
          <w:rFonts w:cs="Arial"/>
        </w:rPr>
        <w:t> </w:t>
      </w:r>
      <w:r w:rsidRPr="00FE6DC6">
        <w:rPr>
          <w:rFonts w:cs="Arial"/>
        </w:rPr>
        <w:t>okresech ČR za rok 2018</w:t>
      </w:r>
    </w:p>
    <w:p w14:paraId="4BC3263B" w14:textId="725379B4" w:rsidR="00FE6DC6" w:rsidRPr="00FE6DC6" w:rsidRDefault="00FE6DC6" w:rsidP="00403189">
      <w:pPr>
        <w:rPr>
          <w:rFonts w:cs="Arial"/>
        </w:rPr>
      </w:pPr>
      <w:r w:rsidRPr="00FE6DC6">
        <w:rPr>
          <w:rFonts w:cs="Arial"/>
        </w:rPr>
        <w:t>Tab. 21: Průměrný denní stav práce neschopných pro nemoc a úraz v okresech ČR za rok 2018</w:t>
      </w:r>
    </w:p>
    <w:p w14:paraId="1587FAF5" w14:textId="77777777" w:rsidR="00FE6DC6" w:rsidRPr="00FE6DC6" w:rsidRDefault="00FE6DC6" w:rsidP="00403189">
      <w:pPr>
        <w:spacing w:after="60"/>
        <w:rPr>
          <w:rStyle w:val="Siln"/>
          <w:rFonts w:eastAsia="MS Gothic" w:cs="Arial"/>
        </w:rPr>
      </w:pPr>
      <w:r w:rsidRPr="00FE6DC6">
        <w:rPr>
          <w:rStyle w:val="Siln"/>
          <w:rFonts w:eastAsia="MS Gothic" w:cs="Arial"/>
        </w:rPr>
        <w:t xml:space="preserve">Pracovní neschopnost OSVČ (nemocensky pojištěných) </w:t>
      </w:r>
    </w:p>
    <w:p w14:paraId="21C27C44" w14:textId="260B2619" w:rsidR="00FE6DC6" w:rsidRPr="00FE6DC6" w:rsidRDefault="00FE6DC6" w:rsidP="00403189">
      <w:pPr>
        <w:spacing w:after="0"/>
        <w:rPr>
          <w:rFonts w:cs="Arial"/>
        </w:rPr>
      </w:pPr>
      <w:r w:rsidRPr="00FE6DC6">
        <w:rPr>
          <w:rFonts w:cs="Arial"/>
        </w:rPr>
        <w:t>Základní ukazatele pracovní neschopnosti pro nemoc a úraz u</w:t>
      </w:r>
      <w:r w:rsidR="00403189">
        <w:rPr>
          <w:rFonts w:cs="Arial"/>
        </w:rPr>
        <w:t xml:space="preserve"> OSVČ v krajích ČR za rok 2018</w:t>
      </w:r>
    </w:p>
    <w:p w14:paraId="74A3F90F" w14:textId="5C5E06CC" w:rsidR="00FE6DC6" w:rsidRPr="00FE6DC6" w:rsidRDefault="00FE6DC6" w:rsidP="00403189">
      <w:pPr>
        <w:spacing w:after="0"/>
        <w:rPr>
          <w:rFonts w:cs="Arial"/>
        </w:rPr>
      </w:pPr>
      <w:r w:rsidRPr="00FE6DC6">
        <w:rPr>
          <w:rFonts w:cs="Arial"/>
        </w:rPr>
        <w:t>Tab. 22: Počet nemocensky pojištěnýc</w:t>
      </w:r>
      <w:r w:rsidR="00403189">
        <w:rPr>
          <w:rFonts w:cs="Arial"/>
        </w:rPr>
        <w:t>h OSVČ v krajích ČR za rok 2018</w:t>
      </w:r>
    </w:p>
    <w:p w14:paraId="1D2D2163" w14:textId="55434C32" w:rsidR="00FE6DC6" w:rsidRPr="00FE6DC6" w:rsidRDefault="00FE6DC6" w:rsidP="00403189">
      <w:pPr>
        <w:spacing w:after="0"/>
        <w:rPr>
          <w:rFonts w:cs="Arial"/>
        </w:rPr>
      </w:pPr>
      <w:r w:rsidRPr="00FE6DC6">
        <w:rPr>
          <w:rFonts w:cs="Arial"/>
        </w:rPr>
        <w:t xml:space="preserve">Tab. 23: Počet nově hlášených případů pracovní neschopnosti pro nemoc a úraz </w:t>
      </w:r>
      <w:r w:rsidR="00403189">
        <w:rPr>
          <w:rFonts w:cs="Arial"/>
        </w:rPr>
        <w:t>OSVČ v krajích ČR za rok 2018</w:t>
      </w:r>
    </w:p>
    <w:p w14:paraId="644602F4" w14:textId="138FAC98" w:rsidR="00FE6DC6" w:rsidRPr="00FE6DC6" w:rsidRDefault="00FE6DC6" w:rsidP="00403189">
      <w:pPr>
        <w:spacing w:after="0"/>
        <w:rPr>
          <w:rFonts w:cs="Arial"/>
        </w:rPr>
      </w:pPr>
      <w:r w:rsidRPr="00FE6DC6">
        <w:rPr>
          <w:rFonts w:cs="Arial"/>
        </w:rPr>
        <w:t xml:space="preserve">Tab. 24: Počet kalendářních dnů pracovní neschopnosti pro nemoc a úraz OSVČ v krajích ČR za rok </w:t>
      </w:r>
      <w:r w:rsidR="00403189">
        <w:rPr>
          <w:rFonts w:cs="Arial"/>
        </w:rPr>
        <w:t>2018</w:t>
      </w:r>
    </w:p>
    <w:p w14:paraId="3B79A642" w14:textId="37CD2C86" w:rsidR="00FE6DC6" w:rsidRPr="00FE6DC6" w:rsidRDefault="00FE6DC6" w:rsidP="00403189">
      <w:pPr>
        <w:spacing w:after="0"/>
        <w:rPr>
          <w:rFonts w:cs="Arial"/>
        </w:rPr>
      </w:pPr>
      <w:r w:rsidRPr="00FE6DC6">
        <w:rPr>
          <w:rFonts w:cs="Arial"/>
        </w:rPr>
        <w:t>Tab. 25: Počet nově hlášených případů pracovní neschopnosti pro nemoc a úraz OSVČ na 100 pojišt</w:t>
      </w:r>
      <w:r w:rsidR="00403189">
        <w:rPr>
          <w:rFonts w:cs="Arial"/>
        </w:rPr>
        <w:t>ěnců v</w:t>
      </w:r>
      <w:r w:rsidR="008A15C0">
        <w:rPr>
          <w:rFonts w:cs="Arial"/>
        </w:rPr>
        <w:t> </w:t>
      </w:r>
      <w:r w:rsidR="00403189">
        <w:rPr>
          <w:rFonts w:cs="Arial"/>
        </w:rPr>
        <w:t>krajích ČR za rok 2018</w:t>
      </w:r>
    </w:p>
    <w:p w14:paraId="302C0FFA" w14:textId="40DB062B" w:rsidR="00FE6DC6" w:rsidRPr="00FE6DC6" w:rsidRDefault="00FE6DC6" w:rsidP="00403189">
      <w:pPr>
        <w:spacing w:after="0"/>
        <w:rPr>
          <w:rFonts w:cs="Arial"/>
        </w:rPr>
      </w:pPr>
      <w:r w:rsidRPr="00FE6DC6">
        <w:rPr>
          <w:rFonts w:cs="Arial"/>
        </w:rPr>
        <w:t>Tab. 26: Průměrné procento pracovní neschopnosti pro nemoc a úraz OSVČ v krajích ČR za rok 2018</w:t>
      </w:r>
    </w:p>
    <w:p w14:paraId="7C34DBE1" w14:textId="071CE6CB" w:rsidR="00FE6DC6" w:rsidRPr="00FE6DC6" w:rsidRDefault="00FE6DC6" w:rsidP="00403189">
      <w:pPr>
        <w:spacing w:after="0"/>
        <w:rPr>
          <w:rFonts w:cs="Arial"/>
        </w:rPr>
      </w:pPr>
      <w:r w:rsidRPr="00FE6DC6">
        <w:rPr>
          <w:rFonts w:cs="Arial"/>
        </w:rPr>
        <w:t xml:space="preserve">Tab. 27: Počet kalendářních dnů pracovní neschopnosti na 1 nově hlášený případ pro nemoc a úraz </w:t>
      </w:r>
      <w:r w:rsidR="00403189">
        <w:rPr>
          <w:rFonts w:cs="Arial"/>
        </w:rPr>
        <w:t>OSVČ v krajích ČR za rok 2018</w:t>
      </w:r>
    </w:p>
    <w:p w14:paraId="1BBDF5C5" w14:textId="2E6E0DC1" w:rsidR="00FE6DC6" w:rsidRPr="00FE6DC6" w:rsidRDefault="00FE6DC6" w:rsidP="00403189">
      <w:pPr>
        <w:rPr>
          <w:rFonts w:cs="Arial"/>
        </w:rPr>
      </w:pPr>
      <w:r w:rsidRPr="00FE6DC6">
        <w:rPr>
          <w:rFonts w:cs="Arial"/>
        </w:rPr>
        <w:lastRenderedPageBreak/>
        <w:t>Tab. 28: Průměrný denní stav práce neschopných pro nemoc a úraz OSVČ v krajích ČR za rok 2018</w:t>
      </w:r>
    </w:p>
    <w:p w14:paraId="618A535E" w14:textId="6B65E648" w:rsidR="00FE6DC6" w:rsidRPr="00FE6DC6" w:rsidRDefault="00403189" w:rsidP="00403189">
      <w:pPr>
        <w:spacing w:after="60"/>
        <w:rPr>
          <w:rStyle w:val="Siln"/>
          <w:rFonts w:eastAsia="MS Gothic" w:cs="Arial"/>
          <w:bCs w:val="0"/>
        </w:rPr>
      </w:pPr>
      <w:r>
        <w:rPr>
          <w:rStyle w:val="Siln"/>
          <w:rFonts w:eastAsia="MS Gothic" w:cs="Arial"/>
          <w:bCs w:val="0"/>
        </w:rPr>
        <w:t>Pracovní úrazovost mladistvých</w:t>
      </w:r>
    </w:p>
    <w:p w14:paraId="16630D8F" w14:textId="4E49B637" w:rsidR="00FE6DC6" w:rsidRPr="00FE6DC6" w:rsidRDefault="00FE6DC6" w:rsidP="00403189">
      <w:pPr>
        <w:spacing w:line="240" w:lineRule="auto"/>
        <w:rPr>
          <w:rFonts w:cs="Arial"/>
        </w:rPr>
      </w:pPr>
      <w:r w:rsidRPr="00FE6DC6">
        <w:rPr>
          <w:rFonts w:cs="Arial"/>
        </w:rPr>
        <w:t>Tab. 29: Pracovní úrazovo</w:t>
      </w:r>
      <w:r w:rsidR="00403189">
        <w:rPr>
          <w:rFonts w:cs="Arial"/>
        </w:rPr>
        <w:t>st mladistvých v ČR za rok 2018</w:t>
      </w:r>
    </w:p>
    <w:p w14:paraId="6EC47965" w14:textId="77777777" w:rsidR="00FE6DC6" w:rsidRPr="00FE6DC6" w:rsidRDefault="00FE6DC6" w:rsidP="00403189">
      <w:pPr>
        <w:spacing w:after="60"/>
        <w:rPr>
          <w:rStyle w:val="Siln"/>
          <w:rFonts w:eastAsia="MS Gothic" w:cs="Arial"/>
        </w:rPr>
      </w:pPr>
      <w:r w:rsidRPr="00FE6DC6">
        <w:rPr>
          <w:rStyle w:val="Siln"/>
          <w:rFonts w:eastAsia="MS Gothic" w:cs="Arial"/>
        </w:rPr>
        <w:t>Pracovní úrazy s pracovní neschopností delší než 3 dny</w:t>
      </w:r>
    </w:p>
    <w:p w14:paraId="53ABEF14" w14:textId="7A8B8891" w:rsidR="00FE6DC6" w:rsidRPr="00FE6DC6" w:rsidRDefault="00FE6DC6" w:rsidP="00FE6DC6">
      <w:pPr>
        <w:rPr>
          <w:rFonts w:cs="Arial"/>
        </w:rPr>
      </w:pPr>
      <w:r w:rsidRPr="00FE6DC6">
        <w:rPr>
          <w:rFonts w:cs="Arial"/>
        </w:rPr>
        <w:t>Tab</w:t>
      </w:r>
      <w:r w:rsidR="00F547BE">
        <w:rPr>
          <w:rFonts w:cs="Arial"/>
        </w:rPr>
        <w:t>.</w:t>
      </w:r>
      <w:r w:rsidRPr="00FE6DC6">
        <w:rPr>
          <w:rFonts w:cs="Arial"/>
        </w:rPr>
        <w:t xml:space="preserve"> 30: Pracovní úrazy s pracovní neschopností delší než 3 dny v ČR za rok 2</w:t>
      </w:r>
      <w:r w:rsidR="00403189">
        <w:rPr>
          <w:rFonts w:cs="Arial"/>
        </w:rPr>
        <w:t>018</w:t>
      </w:r>
    </w:p>
    <w:p w14:paraId="05FFC62F" w14:textId="77777777" w:rsidR="00FE6DC6" w:rsidRPr="00FE6DC6" w:rsidRDefault="00FE6DC6" w:rsidP="00403189">
      <w:pPr>
        <w:spacing w:after="60"/>
        <w:rPr>
          <w:rStyle w:val="Siln"/>
          <w:rFonts w:eastAsia="MS Gothic" w:cs="Arial"/>
          <w:bCs w:val="0"/>
        </w:rPr>
      </w:pPr>
      <w:r w:rsidRPr="00FE6DC6">
        <w:rPr>
          <w:rStyle w:val="Siln"/>
          <w:rFonts w:eastAsia="MS Gothic" w:cs="Arial"/>
          <w:bCs w:val="0"/>
        </w:rPr>
        <w:t>Pracovní neschopnost v nefinančních podnicích v ČR</w:t>
      </w:r>
    </w:p>
    <w:p w14:paraId="247F8F07" w14:textId="72A324DF" w:rsidR="00FE6DC6" w:rsidRPr="00FE6DC6" w:rsidRDefault="00FE6DC6" w:rsidP="00403189">
      <w:pPr>
        <w:spacing w:after="0"/>
        <w:rPr>
          <w:rFonts w:cs="Arial"/>
        </w:rPr>
      </w:pPr>
      <w:r w:rsidRPr="00FE6DC6">
        <w:rPr>
          <w:rFonts w:cs="Arial"/>
        </w:rPr>
        <w:t>Základní ukazatele pracovní neschopnosti v nefinančn</w:t>
      </w:r>
      <w:r w:rsidR="00403189">
        <w:rPr>
          <w:rFonts w:cs="Arial"/>
        </w:rPr>
        <w:t>ích podnicích v ČR za rok 2018</w:t>
      </w:r>
    </w:p>
    <w:p w14:paraId="7FD37226" w14:textId="38DED8CD" w:rsidR="00FE6DC6" w:rsidRPr="00FE6DC6" w:rsidRDefault="00FE6DC6" w:rsidP="00403189">
      <w:pPr>
        <w:spacing w:after="0"/>
        <w:rPr>
          <w:rFonts w:cs="Arial"/>
        </w:rPr>
      </w:pPr>
      <w:r w:rsidRPr="00FE6DC6">
        <w:rPr>
          <w:rFonts w:cs="Arial"/>
        </w:rPr>
        <w:t>Tab. 31: Počet nemocensky pojištěných v nefinančních podnicích v ČR za rok</w:t>
      </w:r>
      <w:r w:rsidR="00403189">
        <w:rPr>
          <w:rFonts w:cs="Arial"/>
        </w:rPr>
        <w:t xml:space="preserve"> 2018</w:t>
      </w:r>
    </w:p>
    <w:p w14:paraId="3BDCFCC9" w14:textId="73801C4C" w:rsidR="00FE6DC6" w:rsidRPr="00FE6DC6" w:rsidRDefault="00FE6DC6" w:rsidP="00403189">
      <w:pPr>
        <w:spacing w:after="0"/>
        <w:rPr>
          <w:rFonts w:cs="Arial"/>
        </w:rPr>
      </w:pPr>
      <w:r w:rsidRPr="00FE6DC6">
        <w:rPr>
          <w:rFonts w:cs="Arial"/>
        </w:rPr>
        <w:t>Tab. 32: Počet nově hlášených případů pracovní neschopnosti v nefinančních podnicích v ČR za rok 2018</w:t>
      </w:r>
    </w:p>
    <w:p w14:paraId="0247DEB5" w14:textId="4186AB51" w:rsidR="00FE6DC6" w:rsidRPr="00FE6DC6" w:rsidRDefault="00FE6DC6" w:rsidP="00403189">
      <w:pPr>
        <w:spacing w:after="0"/>
        <w:rPr>
          <w:rFonts w:cs="Arial"/>
        </w:rPr>
      </w:pPr>
      <w:r w:rsidRPr="00FE6DC6">
        <w:rPr>
          <w:rFonts w:cs="Arial"/>
        </w:rPr>
        <w:t>Tab. 33: Počet kalendářních dnů pracovní neschopnosti pro nemoc a úraz v nefinančních podnicích v ČR za</w:t>
      </w:r>
      <w:r w:rsidR="008A15C0">
        <w:rPr>
          <w:rFonts w:cs="Arial"/>
        </w:rPr>
        <w:t> </w:t>
      </w:r>
      <w:r w:rsidRPr="00FE6DC6">
        <w:rPr>
          <w:rFonts w:cs="Arial"/>
        </w:rPr>
        <w:t>ro</w:t>
      </w:r>
      <w:r w:rsidR="00403189">
        <w:rPr>
          <w:rFonts w:cs="Arial"/>
        </w:rPr>
        <w:t>k 2018</w:t>
      </w:r>
    </w:p>
    <w:p w14:paraId="5A417FFD" w14:textId="032E8677" w:rsidR="00FE6DC6" w:rsidRPr="00FE6DC6" w:rsidRDefault="00FE6DC6" w:rsidP="00403189">
      <w:pPr>
        <w:spacing w:after="0"/>
        <w:rPr>
          <w:rFonts w:cs="Arial"/>
        </w:rPr>
      </w:pPr>
      <w:r w:rsidRPr="00FE6DC6">
        <w:rPr>
          <w:rFonts w:cs="Arial"/>
        </w:rPr>
        <w:t>Tab. 34: Počet nově hlášených případů pracovní neschopnosti na 100 pojištěnců v nefinanč</w:t>
      </w:r>
      <w:r w:rsidR="00403189">
        <w:rPr>
          <w:rFonts w:cs="Arial"/>
        </w:rPr>
        <w:t>ních podnicích v</w:t>
      </w:r>
      <w:r w:rsidR="008A15C0">
        <w:rPr>
          <w:rFonts w:cs="Arial"/>
        </w:rPr>
        <w:t> </w:t>
      </w:r>
      <w:r w:rsidR="00403189">
        <w:rPr>
          <w:rFonts w:cs="Arial"/>
        </w:rPr>
        <w:t>ČR za rok 2018</w:t>
      </w:r>
    </w:p>
    <w:p w14:paraId="02F214EE" w14:textId="5B9611B6" w:rsidR="00FE6DC6" w:rsidRPr="00FE6DC6" w:rsidRDefault="00FE6DC6" w:rsidP="00403189">
      <w:pPr>
        <w:spacing w:after="0"/>
        <w:rPr>
          <w:rFonts w:cs="Arial"/>
        </w:rPr>
      </w:pPr>
      <w:r w:rsidRPr="00FE6DC6">
        <w:rPr>
          <w:rFonts w:cs="Arial"/>
        </w:rPr>
        <w:t>Tab. 35: Průměrné procento pracovní neschopnosti v nefinančních podnicích v ČR za rok 2018</w:t>
      </w:r>
    </w:p>
    <w:p w14:paraId="1CB43964" w14:textId="2F1CA1B4" w:rsidR="00FE6DC6" w:rsidRPr="00FE6DC6" w:rsidRDefault="00FE6DC6" w:rsidP="00403189">
      <w:pPr>
        <w:spacing w:after="0"/>
        <w:rPr>
          <w:rFonts w:cs="Arial"/>
        </w:rPr>
      </w:pPr>
      <w:r w:rsidRPr="00FE6DC6">
        <w:rPr>
          <w:rFonts w:cs="Arial"/>
        </w:rPr>
        <w:t>Tab. 36: Počet kalendářních dnů pracovní neschopnosti na 1 nově hlášený případ v nefinanč</w:t>
      </w:r>
      <w:r w:rsidR="00403189">
        <w:rPr>
          <w:rFonts w:cs="Arial"/>
        </w:rPr>
        <w:t>ních podnicích v ČR za rok 2018</w:t>
      </w:r>
    </w:p>
    <w:p w14:paraId="442243B9" w14:textId="6DDE6678" w:rsidR="00403189" w:rsidRDefault="00FE6DC6" w:rsidP="00F547BE">
      <w:pPr>
        <w:rPr>
          <w:rFonts w:cs="Arial"/>
        </w:rPr>
      </w:pPr>
      <w:r w:rsidRPr="00FE6DC6">
        <w:rPr>
          <w:rFonts w:cs="Arial"/>
        </w:rPr>
        <w:t xml:space="preserve">Tab. 37: Průměrný denní stav práce neschopných pro nemoc a úraz v nefinančních podnicích </w:t>
      </w:r>
      <w:r w:rsidR="00403189">
        <w:rPr>
          <w:rFonts w:cs="Arial"/>
        </w:rPr>
        <w:t>v ČR za rok 2018</w:t>
      </w:r>
    </w:p>
    <w:p w14:paraId="7555D791" w14:textId="77777777" w:rsidR="00FE6DC6" w:rsidRPr="00FE6DC6" w:rsidRDefault="00FE6DC6" w:rsidP="00403189">
      <w:pPr>
        <w:spacing w:after="60"/>
        <w:rPr>
          <w:rStyle w:val="Siln"/>
          <w:rFonts w:eastAsia="MS Gothic" w:cs="Arial"/>
        </w:rPr>
      </w:pPr>
      <w:r w:rsidRPr="00FE6DC6">
        <w:rPr>
          <w:rStyle w:val="Siln"/>
          <w:rFonts w:eastAsia="MS Gothic" w:cs="Arial"/>
        </w:rPr>
        <w:t>Pracovní neschopnost ve zpracovatelském průmyslu</w:t>
      </w:r>
    </w:p>
    <w:p w14:paraId="056C82CD" w14:textId="31872E1C" w:rsidR="00FE6DC6" w:rsidRPr="00FE6DC6" w:rsidRDefault="00FE6DC6" w:rsidP="00403189">
      <w:pPr>
        <w:spacing w:after="0"/>
        <w:rPr>
          <w:rFonts w:cs="Arial"/>
        </w:rPr>
      </w:pPr>
      <w:r w:rsidRPr="00FE6DC6">
        <w:rPr>
          <w:rFonts w:cs="Arial"/>
        </w:rPr>
        <w:t>Základní ukazatele pracovní neschopnosti ve zpracovate</w:t>
      </w:r>
      <w:r w:rsidR="00403189">
        <w:rPr>
          <w:rFonts w:cs="Arial"/>
        </w:rPr>
        <w:t>lském průmyslu v ČR za rok 2018</w:t>
      </w:r>
    </w:p>
    <w:p w14:paraId="4A2194A3" w14:textId="319711DD" w:rsidR="00FE6DC6" w:rsidRPr="00FE6DC6" w:rsidRDefault="00FE6DC6" w:rsidP="00403189">
      <w:pPr>
        <w:spacing w:after="0"/>
        <w:rPr>
          <w:rFonts w:cs="Arial"/>
        </w:rPr>
      </w:pPr>
      <w:r w:rsidRPr="00FE6DC6">
        <w:rPr>
          <w:rFonts w:cs="Arial"/>
        </w:rPr>
        <w:t>Tab. 38: Počet nemocensky pojištěných ve zpracovatelském průmyslu v ČR za rok 2018</w:t>
      </w:r>
    </w:p>
    <w:p w14:paraId="69943777" w14:textId="7870CCC9" w:rsidR="00FE6DC6" w:rsidRPr="00FE6DC6" w:rsidRDefault="00FE6DC6" w:rsidP="00403189">
      <w:pPr>
        <w:spacing w:after="0"/>
        <w:rPr>
          <w:rFonts w:cs="Arial"/>
        </w:rPr>
      </w:pPr>
      <w:r w:rsidRPr="00FE6DC6">
        <w:rPr>
          <w:rFonts w:cs="Arial"/>
        </w:rPr>
        <w:t>Tab. 39: Počet nově hlášených případů pracovní neschopnosti ve zpracovatels</w:t>
      </w:r>
      <w:r w:rsidR="00403189">
        <w:rPr>
          <w:rFonts w:cs="Arial"/>
        </w:rPr>
        <w:t>kém průmyslu v ČR za rok 2018</w:t>
      </w:r>
    </w:p>
    <w:p w14:paraId="60512D61" w14:textId="0695C298" w:rsidR="00FE6DC6" w:rsidRPr="00FE6DC6" w:rsidRDefault="00FE6DC6" w:rsidP="00403189">
      <w:pPr>
        <w:spacing w:after="0"/>
        <w:rPr>
          <w:rFonts w:cs="Arial"/>
        </w:rPr>
      </w:pPr>
      <w:r w:rsidRPr="00FE6DC6">
        <w:rPr>
          <w:rFonts w:cs="Arial"/>
        </w:rPr>
        <w:t>Tab. 40: Počet kalendářních dnů pracovní neschopnosti pro nemoc a úraz ve zpracovatels</w:t>
      </w:r>
      <w:r w:rsidR="00403189">
        <w:rPr>
          <w:rFonts w:cs="Arial"/>
        </w:rPr>
        <w:t>kém průmyslu v</w:t>
      </w:r>
      <w:r w:rsidR="008A15C0">
        <w:rPr>
          <w:rFonts w:cs="Arial"/>
        </w:rPr>
        <w:t> </w:t>
      </w:r>
      <w:r w:rsidR="00403189">
        <w:rPr>
          <w:rFonts w:cs="Arial"/>
        </w:rPr>
        <w:t>ČR za rok 2018</w:t>
      </w:r>
    </w:p>
    <w:p w14:paraId="27C684A0" w14:textId="68299533" w:rsidR="00FE6DC6" w:rsidRPr="00FE6DC6" w:rsidRDefault="00FE6DC6" w:rsidP="00403189">
      <w:pPr>
        <w:spacing w:after="0"/>
        <w:rPr>
          <w:rFonts w:cs="Arial"/>
        </w:rPr>
      </w:pPr>
      <w:r w:rsidRPr="00FE6DC6">
        <w:rPr>
          <w:rFonts w:cs="Arial"/>
        </w:rPr>
        <w:t>Tab. 41: Počet nově hlášených případů pracovní neschopnosti na 100 pojištěnců ve zpracovate</w:t>
      </w:r>
      <w:r w:rsidR="00403189">
        <w:rPr>
          <w:rFonts w:cs="Arial"/>
        </w:rPr>
        <w:t>lském průmyslu v ČR za rok 2018</w:t>
      </w:r>
    </w:p>
    <w:p w14:paraId="34056E1D" w14:textId="77BA5929" w:rsidR="00FE6DC6" w:rsidRPr="00FE6DC6" w:rsidRDefault="00FE6DC6" w:rsidP="00403189">
      <w:pPr>
        <w:spacing w:after="0"/>
        <w:rPr>
          <w:rFonts w:cs="Arial"/>
        </w:rPr>
      </w:pPr>
      <w:r w:rsidRPr="00FE6DC6">
        <w:rPr>
          <w:rFonts w:cs="Arial"/>
        </w:rPr>
        <w:t>Tab. 42: Průměrné procento pracovní neschopnosti ve zpracovate</w:t>
      </w:r>
      <w:r w:rsidR="00403189">
        <w:rPr>
          <w:rFonts w:cs="Arial"/>
        </w:rPr>
        <w:t>lském průmyslu v ČR za rok 2018</w:t>
      </w:r>
    </w:p>
    <w:p w14:paraId="66A7E5EE" w14:textId="1A0CB07E" w:rsidR="00FE6DC6" w:rsidRPr="00FE6DC6" w:rsidRDefault="00FE6DC6" w:rsidP="00403189">
      <w:pPr>
        <w:spacing w:after="0"/>
        <w:rPr>
          <w:rFonts w:cs="Arial"/>
        </w:rPr>
      </w:pPr>
      <w:r w:rsidRPr="00FE6DC6">
        <w:rPr>
          <w:rFonts w:cs="Arial"/>
        </w:rPr>
        <w:t>Tab. 43: Počet kalendářních dnů pracovní neschopnosti na 1 nově hlášený případ ve zpracovate</w:t>
      </w:r>
      <w:r w:rsidR="00403189">
        <w:rPr>
          <w:rFonts w:cs="Arial"/>
        </w:rPr>
        <w:t>lském průmyslu v ČR za rok 2018</w:t>
      </w:r>
    </w:p>
    <w:p w14:paraId="522CC33C" w14:textId="25D53F4E" w:rsidR="00FE6DC6" w:rsidRPr="00FE6DC6" w:rsidRDefault="00FE6DC6" w:rsidP="00403189">
      <w:pPr>
        <w:spacing w:after="0"/>
        <w:rPr>
          <w:rFonts w:cs="Arial"/>
        </w:rPr>
      </w:pPr>
      <w:r w:rsidRPr="00FE6DC6">
        <w:rPr>
          <w:rFonts w:cs="Arial"/>
        </w:rPr>
        <w:t>Tab. 44: Průměrný denní stav práce neschopných pro nemoc a úraz ve zpracovate</w:t>
      </w:r>
      <w:r w:rsidR="00403189">
        <w:rPr>
          <w:rFonts w:cs="Arial"/>
        </w:rPr>
        <w:t>lském průmyslu v ČR za</w:t>
      </w:r>
      <w:r w:rsidR="008A15C0">
        <w:rPr>
          <w:rFonts w:cs="Arial"/>
        </w:rPr>
        <w:t> </w:t>
      </w:r>
      <w:r w:rsidR="00403189">
        <w:rPr>
          <w:rFonts w:cs="Arial"/>
        </w:rPr>
        <w:t>rok 2018</w:t>
      </w:r>
    </w:p>
    <w:p w14:paraId="1A4AC498" w14:textId="77777777" w:rsidR="00FE6DC6" w:rsidRPr="0016121A" w:rsidRDefault="00FE6DC6" w:rsidP="00FE6DC6">
      <w:pPr>
        <w:rPr>
          <w:rStyle w:val="Siln"/>
          <w:rFonts w:eastAsia="MS Gothic"/>
          <w:bCs w:val="0"/>
        </w:rPr>
      </w:pPr>
    </w:p>
    <w:p w14:paraId="19E50CC3" w14:textId="77777777" w:rsidR="0047139E" w:rsidRPr="0047139E" w:rsidRDefault="0047139E" w:rsidP="0047139E"/>
    <w:p w14:paraId="31BC6F40" w14:textId="64668E58" w:rsidR="0047139E" w:rsidRPr="00C76A59" w:rsidRDefault="0047139E" w:rsidP="00C76A59">
      <w:pPr>
        <w:spacing w:after="0" w:line="240" w:lineRule="auto"/>
        <w:rPr>
          <w:rFonts w:eastAsia="MS Gothic"/>
          <w:b/>
          <w:bCs/>
          <w:color w:val="C00000"/>
          <w:sz w:val="32"/>
          <w:szCs w:val="28"/>
        </w:rPr>
      </w:pPr>
    </w:p>
    <w:p w14:paraId="48867094" w14:textId="528C55B3" w:rsidR="00C62BD6" w:rsidRDefault="00C62BD6" w:rsidP="00A16413"/>
    <w:sectPr w:rsidR="00C62BD6" w:rsidSect="006F5416">
      <w:headerReference w:type="even" r:id="rId40"/>
      <w:headerReference w:type="default" r:id="rId41"/>
      <w:footerReference w:type="even" r:id="rId42"/>
      <w:footerReference w:type="default" r:id="rId43"/>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63858" w14:textId="77777777" w:rsidR="0030372D" w:rsidRDefault="0030372D" w:rsidP="00E71A58">
      <w:r>
        <w:separator/>
      </w:r>
    </w:p>
  </w:endnote>
  <w:endnote w:type="continuationSeparator" w:id="0">
    <w:p w14:paraId="1A17B791" w14:textId="77777777" w:rsidR="0030372D" w:rsidRDefault="0030372D"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E9708" w14:textId="333C2298" w:rsidR="00A37CD1" w:rsidRPr="00932443" w:rsidRDefault="00A37CD1" w:rsidP="00A418BC">
    <w:pPr>
      <w:pStyle w:val="Zpat"/>
      <w:rPr>
        <w:szCs w:val="16"/>
      </w:rPr>
    </w:pPr>
    <w:r>
      <w:rPr>
        <w:szCs w:val="16"/>
        <w:lang w:eastAsia="cs-CZ"/>
      </w:rPr>
      <w:drawing>
        <wp:anchor distT="0" distB="0" distL="114300" distR="114300" simplePos="0" relativeHeight="251658240" behindDoc="0" locked="0" layoutInCell="1" allowOverlap="1" wp14:anchorId="2A21AEC1" wp14:editId="6939DE94">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anchor>
      </w:drawing>
    </w:r>
    <w:r w:rsidRPr="00932443">
      <w:rPr>
        <w:szCs w:val="16"/>
      </w:rPr>
      <w:fldChar w:fldCharType="begin"/>
    </w:r>
    <w:r w:rsidRPr="00932443">
      <w:rPr>
        <w:szCs w:val="16"/>
      </w:rPr>
      <w:instrText>PAGE   \* MERGEFORMAT</w:instrText>
    </w:r>
    <w:r w:rsidRPr="00932443">
      <w:rPr>
        <w:szCs w:val="16"/>
      </w:rPr>
      <w:fldChar w:fldCharType="separate"/>
    </w:r>
    <w:r w:rsidR="004426F5">
      <w:rPr>
        <w:szCs w:val="16"/>
      </w:rPr>
      <w:t>52</w:t>
    </w:r>
    <w:r w:rsidRPr="00932443">
      <w:rPr>
        <w:szCs w:val="16"/>
      </w:rPr>
      <w:fldChar w:fldCharType="end"/>
    </w:r>
    <w:r w:rsidRPr="00932443">
      <w:rPr>
        <w:szCs w:val="16"/>
      </w:rPr>
      <w:tab/>
    </w:r>
    <w:r>
      <w:rPr>
        <w:szCs w:val="16"/>
      </w:rPr>
      <w:t>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EDDD1" w14:textId="18D5912D" w:rsidR="00A37CD1" w:rsidRPr="00932443" w:rsidRDefault="00A37CD1" w:rsidP="00A418BC">
    <w:pPr>
      <w:pStyle w:val="Zpat"/>
      <w:rPr>
        <w:szCs w:val="16"/>
      </w:rPr>
    </w:pPr>
    <w:r>
      <w:rPr>
        <w:szCs w:val="16"/>
        <w:lang w:eastAsia="cs-CZ"/>
      </w:rPr>
      <w:drawing>
        <wp:anchor distT="0" distB="0" distL="114300" distR="114300" simplePos="0" relativeHeight="251657216" behindDoc="0" locked="0" layoutInCell="1" allowOverlap="1" wp14:anchorId="6C1CC401" wp14:editId="26985E50">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anchor>
      </w:drawing>
    </w:r>
    <w:r w:rsidRPr="00932443">
      <w:rPr>
        <w:szCs w:val="16"/>
      </w:rPr>
      <w:tab/>
    </w:r>
    <w:r>
      <w:rPr>
        <w:rStyle w:val="ZpatChar"/>
        <w:szCs w:val="16"/>
      </w:rPr>
      <w:t>2018</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4426F5">
      <w:rPr>
        <w:rStyle w:val="ZpatChar"/>
        <w:szCs w:val="16"/>
      </w:rPr>
      <w:t>51</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C4AFD" w14:textId="77777777" w:rsidR="0030372D" w:rsidRDefault="0030372D" w:rsidP="00E71A58">
      <w:r>
        <w:separator/>
      </w:r>
    </w:p>
  </w:footnote>
  <w:footnote w:type="continuationSeparator" w:id="0">
    <w:p w14:paraId="4EAECED5" w14:textId="77777777" w:rsidR="0030372D" w:rsidRDefault="0030372D" w:rsidP="00E71A58">
      <w:r>
        <w:continuationSeparator/>
      </w:r>
    </w:p>
  </w:footnote>
  <w:footnote w:id="1">
    <w:p w14:paraId="48A30114" w14:textId="3B013D6A" w:rsidR="00A37CD1" w:rsidRDefault="00A37CD1">
      <w:pPr>
        <w:pStyle w:val="Textpoznpodarou"/>
      </w:pPr>
      <w:r w:rsidRPr="0036400F">
        <w:rPr>
          <w:rStyle w:val="Znakapoznpodarou"/>
          <w:sz w:val="16"/>
        </w:rPr>
        <w:footnoteRef/>
      </w:r>
      <w:r w:rsidRPr="0036400F">
        <w:rPr>
          <w:sz w:val="16"/>
        </w:rPr>
        <w:t xml:space="preserve"> </w:t>
      </w:r>
      <w:r w:rsidRPr="00BF6442">
        <w:rPr>
          <w:sz w:val="18"/>
          <w:szCs w:val="18"/>
        </w:rPr>
        <w:t xml:space="preserve">Publikaci s daty za rok 2017 lze nalézt na: </w:t>
      </w:r>
      <w:hyperlink r:id="rId1" w:history="1">
        <w:r w:rsidRPr="00BF6442">
          <w:rPr>
            <w:rStyle w:val="Hypertextovodkaz"/>
            <w:sz w:val="18"/>
            <w:szCs w:val="18"/>
          </w:rPr>
          <w:t>https://www.czso.cz/csu/czso/pracovni-neschopnost-pro-nemoc-a-uraz-v-ceske-republice-za-rok-2017</w:t>
        </w:r>
      </w:hyperlink>
    </w:p>
  </w:footnote>
  <w:footnote w:id="2">
    <w:p w14:paraId="43A41FC8" w14:textId="4DE298C4" w:rsidR="00A37CD1" w:rsidRPr="00F547BE" w:rsidRDefault="00A37CD1">
      <w:pPr>
        <w:pStyle w:val="Textpoznpodarou"/>
        <w:rPr>
          <w:sz w:val="18"/>
          <w:szCs w:val="18"/>
        </w:rPr>
      </w:pPr>
      <w:r w:rsidRPr="00F547BE">
        <w:rPr>
          <w:rStyle w:val="Znakapoznpodarou"/>
          <w:sz w:val="18"/>
          <w:szCs w:val="18"/>
        </w:rPr>
        <w:footnoteRef/>
      </w:r>
      <w:r w:rsidRPr="00F547BE">
        <w:rPr>
          <w:sz w:val="18"/>
          <w:szCs w:val="18"/>
        </w:rPr>
        <w:t xml:space="preserve"> O postupu při uplatnění nároku na nemocenské se více dozvíte zde: </w:t>
      </w:r>
      <w:hyperlink r:id="rId2" w:anchor="PNEM" w:history="1">
        <w:r w:rsidRPr="00F547BE">
          <w:rPr>
            <w:rStyle w:val="Hypertextovodkaz"/>
            <w:rFonts w:cs="Arial"/>
            <w:sz w:val="18"/>
            <w:szCs w:val="18"/>
          </w:rPr>
          <w:t>https://www.cssz.cz/cz/nemocenske-pojisteni/davky/uplatnovani-naroku-a-vyplata-davek-nemocenskeho-pojisteni.htm#PNEM</w:t>
        </w:r>
      </w:hyperlink>
    </w:p>
  </w:footnote>
  <w:footnote w:id="3">
    <w:p w14:paraId="47146AD7" w14:textId="64E3ADDD" w:rsidR="00A37CD1" w:rsidRDefault="00A37CD1">
      <w:pPr>
        <w:pStyle w:val="Textpoznpodarou"/>
      </w:pPr>
      <w:r w:rsidRPr="00F547BE">
        <w:rPr>
          <w:rStyle w:val="Znakapoznpodarou"/>
          <w:sz w:val="18"/>
          <w:szCs w:val="18"/>
        </w:rPr>
        <w:footnoteRef/>
      </w:r>
      <w:r w:rsidRPr="00F547BE">
        <w:rPr>
          <w:sz w:val="18"/>
          <w:szCs w:val="18"/>
        </w:rPr>
        <w:t xml:space="preserve"> O výplatě dávek nemocenského pojištění se více dozvíte zde: </w:t>
      </w:r>
      <w:r w:rsidRPr="00F547BE">
        <w:rPr>
          <w:rFonts w:cs="Arial"/>
          <w:sz w:val="18"/>
          <w:szCs w:val="18"/>
        </w:rPr>
        <w:t> </w:t>
      </w:r>
      <w:hyperlink r:id="rId3" w:anchor="VYPLATA" w:history="1">
        <w:r w:rsidRPr="00F547BE">
          <w:rPr>
            <w:rStyle w:val="Hypertextovodkaz"/>
            <w:rFonts w:cs="Arial"/>
            <w:sz w:val="18"/>
            <w:szCs w:val="18"/>
          </w:rPr>
          <w:t>https://www.cssz.cz/cz/nemocenske-pojisteni/davky/uplatnovani-naroku-a-vyplata-davek-nemocenskeho-pojisteni.htm#VYPLATA</w:t>
        </w:r>
      </w:hyperlink>
    </w:p>
  </w:footnote>
  <w:footnote w:id="4">
    <w:p w14:paraId="73FCD81A" w14:textId="59B46C77" w:rsidR="00A37CD1" w:rsidRPr="003F3CA8" w:rsidRDefault="00A37CD1" w:rsidP="00F547BE">
      <w:pPr>
        <w:pStyle w:val="Textpoznpodarou"/>
        <w:spacing w:after="60"/>
        <w:rPr>
          <w:sz w:val="18"/>
          <w:szCs w:val="18"/>
        </w:rPr>
      </w:pPr>
      <w:r w:rsidRPr="003F3CA8">
        <w:rPr>
          <w:rStyle w:val="Znakapoznpodarou"/>
          <w:sz w:val="18"/>
          <w:szCs w:val="18"/>
        </w:rPr>
        <w:footnoteRef/>
      </w:r>
      <w:r w:rsidRPr="003F3CA8">
        <w:rPr>
          <w:sz w:val="18"/>
          <w:szCs w:val="18"/>
        </w:rPr>
        <w:t xml:space="preserve"> Vedle tiskopisu je možné podat </w:t>
      </w:r>
      <w:r w:rsidRPr="003F3CA8">
        <w:rPr>
          <w:rFonts w:cs="Arial"/>
          <w:sz w:val="18"/>
          <w:szCs w:val="18"/>
        </w:rPr>
        <w:t>hlášení o vzniku a ukončení pracovní neschopnosti zasílat elektronickou formou (tzv. e-neschopenka).</w:t>
      </w:r>
    </w:p>
  </w:footnote>
  <w:footnote w:id="5">
    <w:p w14:paraId="3E66F7F5" w14:textId="08607D23" w:rsidR="00A37CD1" w:rsidRPr="00785650" w:rsidRDefault="00A37CD1" w:rsidP="00F547BE">
      <w:pPr>
        <w:spacing w:before="20"/>
        <w:jc w:val="both"/>
        <w:rPr>
          <w:rFonts w:cs="Arial"/>
          <w:sz w:val="16"/>
          <w:szCs w:val="20"/>
        </w:rPr>
      </w:pPr>
      <w:r w:rsidRPr="003F3CA8">
        <w:rPr>
          <w:rStyle w:val="Znakapoznpodarou"/>
          <w:sz w:val="18"/>
          <w:szCs w:val="18"/>
        </w:rPr>
        <w:footnoteRef/>
      </w:r>
      <w:r w:rsidRPr="003F3CA8">
        <w:rPr>
          <w:sz w:val="18"/>
          <w:szCs w:val="18"/>
        </w:rPr>
        <w:t xml:space="preserve"> V údajích ČSSZ nejsou zahrnuti příslušníci </w:t>
      </w:r>
      <w:r w:rsidRPr="003F3CA8">
        <w:rPr>
          <w:rFonts w:cs="Arial"/>
          <w:sz w:val="18"/>
          <w:szCs w:val="18"/>
        </w:rPr>
        <w:t>Policie ČR, Hasičského záchranného sboru ČR, Celní správy ČR, Vězeňské služby ČR, Generální inspekce bezpečnostních sborů, Bezpečnostní informační služby, Úřadu pro zahraniční styky a informace a vojáci z povolání (§ 5 písm. a) bod 2 zákona č.187/2006 Sb.). Správcem registrů těchto příslušníků a</w:t>
      </w:r>
      <w:r>
        <w:rPr>
          <w:rFonts w:cs="Arial"/>
          <w:sz w:val="18"/>
          <w:szCs w:val="18"/>
        </w:rPr>
        <w:t> </w:t>
      </w:r>
      <w:r w:rsidRPr="003F3CA8">
        <w:rPr>
          <w:rFonts w:cs="Arial"/>
          <w:sz w:val="18"/>
          <w:szCs w:val="18"/>
        </w:rPr>
        <w:t>odsouzených osob je služební orgán v oborech své působnosti. Služebními orgány jsou Ministerstvo obrany, Ministerstvo vnitra, Vězeňská služba ČR, Generální ředitelství cel, Bezpečnostní informační služba a Úřad pro zahraniční styky a informace.</w:t>
      </w:r>
    </w:p>
  </w:footnote>
  <w:footnote w:id="6">
    <w:p w14:paraId="69FAB5F5" w14:textId="11DA8D22" w:rsidR="00A37CD1" w:rsidRPr="00F547BE" w:rsidRDefault="00A37CD1">
      <w:pPr>
        <w:pStyle w:val="Textpoznpodarou"/>
        <w:rPr>
          <w:sz w:val="18"/>
          <w:szCs w:val="18"/>
        </w:rPr>
      </w:pPr>
      <w:r w:rsidRPr="00F547BE">
        <w:rPr>
          <w:rStyle w:val="Znakapoznpodarou"/>
          <w:sz w:val="18"/>
          <w:szCs w:val="18"/>
        </w:rPr>
        <w:footnoteRef/>
      </w:r>
      <w:r w:rsidRPr="00F547BE">
        <w:rPr>
          <w:sz w:val="18"/>
          <w:szCs w:val="18"/>
        </w:rPr>
        <w:t xml:space="preserve"> </w:t>
      </w:r>
      <w:hyperlink r:id="rId4" w:history="1">
        <w:r w:rsidRPr="00F547BE">
          <w:rPr>
            <w:rStyle w:val="Hypertextovodkaz"/>
            <w:rFonts w:cs="Arial"/>
            <w:sz w:val="18"/>
            <w:szCs w:val="18"/>
          </w:rPr>
          <w:t>https://www.czso.cz/csu/czso/klasifikace-institucionalnich-sektoru-a-subsektoru-cz-ciss</w:t>
        </w:r>
      </w:hyperlink>
    </w:p>
  </w:footnote>
  <w:footnote w:id="7">
    <w:p w14:paraId="01445DA6" w14:textId="022157E7" w:rsidR="00A37CD1" w:rsidRPr="00A63DFD" w:rsidRDefault="00A37CD1" w:rsidP="00A63DFD">
      <w:pPr>
        <w:pStyle w:val="Textpoznpodarou"/>
        <w:jc w:val="both"/>
        <w:rPr>
          <w:sz w:val="18"/>
        </w:rPr>
      </w:pPr>
      <w:r w:rsidRPr="00A63DFD">
        <w:rPr>
          <w:rStyle w:val="Znakapoznpodarou"/>
          <w:sz w:val="18"/>
        </w:rPr>
        <w:footnoteRef/>
      </w:r>
      <w:r w:rsidRPr="00A63DFD">
        <w:rPr>
          <w:sz w:val="18"/>
        </w:rPr>
        <w:t xml:space="preserve"> V Jeseníku se nachází referát účtárny pěstounské péče pro profesionální pěstouny v ČR. </w:t>
      </w:r>
      <w:r>
        <w:rPr>
          <w:sz w:val="18"/>
        </w:rPr>
        <w:t xml:space="preserve">Profesionální pěstouni </w:t>
      </w:r>
      <w:r w:rsidRPr="00A63DFD">
        <w:rPr>
          <w:sz w:val="18"/>
        </w:rPr>
        <w:t>na</w:t>
      </w:r>
      <w:r>
        <w:rPr>
          <w:sz w:val="18"/>
        </w:rPr>
        <w:t> </w:t>
      </w:r>
      <w:r w:rsidRPr="00A63DFD">
        <w:rPr>
          <w:sz w:val="18"/>
        </w:rPr>
        <w:t xml:space="preserve">neschopenku nechodí, protože jim </w:t>
      </w:r>
      <w:r>
        <w:rPr>
          <w:sz w:val="18"/>
        </w:rPr>
        <w:t xml:space="preserve">po dobu pracovní neschopnosti </w:t>
      </w:r>
      <w:r w:rsidRPr="00A63DFD">
        <w:rPr>
          <w:sz w:val="18"/>
        </w:rPr>
        <w:t>svěřené dítě neodeberou. Jsou však zahrnuti do</w:t>
      </w:r>
      <w:r>
        <w:rPr>
          <w:sz w:val="18"/>
        </w:rPr>
        <w:t> </w:t>
      </w:r>
      <w:r w:rsidRPr="00A63DFD">
        <w:rPr>
          <w:sz w:val="18"/>
        </w:rPr>
        <w:t>jmenovatele jako počet pojištěnců v okrese.</w:t>
      </w:r>
    </w:p>
  </w:footnote>
  <w:footnote w:id="8">
    <w:p w14:paraId="749778F5" w14:textId="3305DAD9" w:rsidR="00A37CD1" w:rsidRPr="002572EA" w:rsidRDefault="00A37CD1" w:rsidP="00BA3658">
      <w:pPr>
        <w:pStyle w:val="Textpoznpodarou"/>
        <w:jc w:val="both"/>
        <w:rPr>
          <w:sz w:val="18"/>
        </w:rPr>
      </w:pPr>
      <w:r w:rsidRPr="002572EA">
        <w:rPr>
          <w:rStyle w:val="Znakapoznpodarou"/>
          <w:sz w:val="18"/>
        </w:rPr>
        <w:footnoteRef/>
      </w:r>
      <w:r w:rsidRPr="002572EA">
        <w:rPr>
          <w:sz w:val="18"/>
        </w:rPr>
        <w:t xml:space="preserve"> Poživateli starobního nebo invalidního důchodu pro invaliditu třetího stupně se nemocenské vyplácí od</w:t>
      </w:r>
      <w:r>
        <w:rPr>
          <w:sz w:val="18"/>
        </w:rPr>
        <w:t> </w:t>
      </w:r>
      <w:r w:rsidRPr="002572EA">
        <w:rPr>
          <w:sz w:val="18"/>
        </w:rPr>
        <w:t>15.</w:t>
      </w:r>
      <w:r>
        <w:rPr>
          <w:sz w:val="18"/>
        </w:rPr>
        <w:t> </w:t>
      </w:r>
      <w:r w:rsidRPr="002572EA">
        <w:rPr>
          <w:sz w:val="18"/>
        </w:rPr>
        <w:t>kalendářního dne trvání dočasné pracovní neschopnosti nebo od 15. kalendářního dne nařízené karantény po</w:t>
      </w:r>
      <w:r>
        <w:rPr>
          <w:sz w:val="18"/>
        </w:rPr>
        <w:t> </w:t>
      </w:r>
      <w:r w:rsidRPr="002572EA">
        <w:rPr>
          <w:sz w:val="18"/>
        </w:rPr>
        <w:t>dobu nejvýše 70 kalendářních dnů, nejdéle však do dne, jímž končí pojištěná činnost.</w:t>
      </w:r>
    </w:p>
    <w:p w14:paraId="720846BD" w14:textId="77777777" w:rsidR="00A37CD1" w:rsidRDefault="00A37CD1" w:rsidP="004744DF">
      <w:pPr>
        <w:pStyle w:val="Textpoznpodarou"/>
      </w:pPr>
    </w:p>
  </w:footnote>
  <w:footnote w:id="9">
    <w:p w14:paraId="22D8FC8A" w14:textId="353056EB" w:rsidR="00A37CD1" w:rsidRPr="00421EAD" w:rsidRDefault="00A37CD1" w:rsidP="00421EAD">
      <w:pPr>
        <w:pStyle w:val="Textpoznpodarou"/>
        <w:spacing w:after="60"/>
        <w:jc w:val="both"/>
        <w:rPr>
          <w:sz w:val="18"/>
        </w:rPr>
      </w:pPr>
      <w:r w:rsidRPr="00421EAD">
        <w:rPr>
          <w:rStyle w:val="Znakapoznpodarou"/>
          <w:sz w:val="18"/>
        </w:rPr>
        <w:footnoteRef/>
      </w:r>
      <w:r w:rsidRPr="00421EAD">
        <w:rPr>
          <w:sz w:val="18"/>
        </w:rPr>
        <w:t xml:space="preserve"> Zavedení dávky otcovské poporodní péče, tzv. „otcovská“ z</w:t>
      </w:r>
      <w:r w:rsidRPr="00421EAD">
        <w:rPr>
          <w:bCs/>
          <w:sz w:val="18"/>
        </w:rPr>
        <w:t>ákonem č. 148/2017 Sb.,</w:t>
      </w:r>
      <w:r w:rsidRPr="00421EAD">
        <w:rPr>
          <w:sz w:val="18"/>
        </w:rPr>
        <w:t xml:space="preserve"> kterým se mění zákon č. 187/2006 Sb., o nemocenském pojištění.</w:t>
      </w:r>
    </w:p>
  </w:footnote>
  <w:footnote w:id="10">
    <w:p w14:paraId="02C19511" w14:textId="7A757FBC" w:rsidR="00A37CD1" w:rsidRDefault="00A37CD1" w:rsidP="00421EAD">
      <w:pPr>
        <w:pStyle w:val="Textpoznpodarou"/>
        <w:jc w:val="both"/>
      </w:pPr>
      <w:r w:rsidRPr="00421EAD">
        <w:rPr>
          <w:rStyle w:val="Znakapoznpodarou"/>
          <w:sz w:val="18"/>
        </w:rPr>
        <w:footnoteRef/>
      </w:r>
      <w:r w:rsidRPr="00421EAD">
        <w:rPr>
          <w:sz w:val="18"/>
        </w:rPr>
        <w:t xml:space="preserve"> Zavedení dávky dlouhodobé ošetřovné zákonem č. 310/2017 Sb., kterým se mění zákon č. 187/2006 Sb., o</w:t>
      </w:r>
      <w:r>
        <w:rPr>
          <w:sz w:val="18"/>
        </w:rPr>
        <w:t> </w:t>
      </w:r>
      <w:r w:rsidRPr="00421EAD">
        <w:rPr>
          <w:sz w:val="18"/>
        </w:rPr>
        <w:t>nemocenském pojištění.</w:t>
      </w:r>
    </w:p>
  </w:footnote>
  <w:footnote w:id="11">
    <w:p w14:paraId="4C920C81" w14:textId="2F5D1E19" w:rsidR="00A37CD1" w:rsidRPr="008A15C0" w:rsidRDefault="00A37CD1" w:rsidP="008A15C0">
      <w:pPr>
        <w:pStyle w:val="Textpoznpodarou"/>
        <w:jc w:val="both"/>
        <w:rPr>
          <w:sz w:val="18"/>
          <w:szCs w:val="18"/>
        </w:rPr>
      </w:pPr>
      <w:r w:rsidRPr="008A15C0">
        <w:rPr>
          <w:rStyle w:val="Znakapoznpodarou"/>
          <w:sz w:val="18"/>
          <w:szCs w:val="18"/>
        </w:rPr>
        <w:footnoteRef/>
      </w:r>
      <w:r w:rsidRPr="008A15C0">
        <w:rPr>
          <w:sz w:val="18"/>
          <w:szCs w:val="18"/>
        </w:rPr>
        <w:t xml:space="preserve"> Poslední dostupná data s mezinárodním srovnáním za členské státy EU28 byla v době zpracování této publikace </w:t>
      </w:r>
      <w:r w:rsidRPr="008A15C0">
        <w:rPr>
          <w:spacing w:val="-3"/>
          <w:sz w:val="18"/>
          <w:szCs w:val="18"/>
        </w:rPr>
        <w:t xml:space="preserve">za rok 2016. Jejich zdrojem je databáze Eurostatu: </w:t>
      </w:r>
      <w:hyperlink r:id="rId5" w:history="1">
        <w:r w:rsidRPr="008A15C0">
          <w:rPr>
            <w:rStyle w:val="Hypertextovodkaz"/>
            <w:spacing w:val="-3"/>
            <w:sz w:val="18"/>
            <w:szCs w:val="18"/>
          </w:rPr>
          <w:t>http://ec.europa.eu/eurostat/web/health/health-safety-work/data/database</w:t>
        </w:r>
      </w:hyperlink>
      <w:r w:rsidRPr="008A15C0">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E75DF" w14:textId="77777777" w:rsidR="00A37CD1" w:rsidRPr="00C62BD6" w:rsidRDefault="00A37CD1" w:rsidP="00C62BD6">
    <w:pPr>
      <w:pStyle w:val="Zhlav"/>
    </w:pPr>
    <w:r>
      <w:t>Pracovní neschopnost pro nemoc a úraz v České republice za rok 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52F09" w14:textId="77777777" w:rsidR="00A37CD1" w:rsidRPr="00C62BD6" w:rsidRDefault="00A37CD1" w:rsidP="00C62BD6">
    <w:pPr>
      <w:pStyle w:val="Zhlav"/>
    </w:pPr>
    <w:r>
      <w:t>Pracovní neschopnost pro nemoc a úraz v České republice za rok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1DE2C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746EB"/>
    <w:multiLevelType w:val="hybridMultilevel"/>
    <w:tmpl w:val="D616BA42"/>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46B787E"/>
    <w:multiLevelType w:val="hybridMultilevel"/>
    <w:tmpl w:val="A4A86456"/>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2FB3472"/>
    <w:multiLevelType w:val="hybridMultilevel"/>
    <w:tmpl w:val="306E32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4D40B42"/>
    <w:multiLevelType w:val="hybridMultilevel"/>
    <w:tmpl w:val="42CCFE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AD14163"/>
    <w:multiLevelType w:val="hybridMultilevel"/>
    <w:tmpl w:val="8E5265F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8277888"/>
    <w:multiLevelType w:val="hybridMultilevel"/>
    <w:tmpl w:val="85C8C1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F7078D0"/>
    <w:multiLevelType w:val="hybridMultilevel"/>
    <w:tmpl w:val="CF6C1552"/>
    <w:lvl w:ilvl="0" w:tplc="2D4AD4D6">
      <w:start w:val="1"/>
      <w:numFmt w:val="decimal"/>
      <w:lvlText w:val="%1)"/>
      <w:lvlJc w:val="left"/>
      <w:pPr>
        <w:ind w:left="720" w:hanging="360"/>
      </w:pPr>
      <w:rPr>
        <w:rFonts w:hint="default"/>
        <w:vertAlign w:val="superscrip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7901B91"/>
    <w:multiLevelType w:val="hybridMultilevel"/>
    <w:tmpl w:val="EA869778"/>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468194F"/>
    <w:multiLevelType w:val="hybridMultilevel"/>
    <w:tmpl w:val="222C3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62E1767"/>
    <w:multiLevelType w:val="hybridMultilevel"/>
    <w:tmpl w:val="20A0152A"/>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5"/>
  </w:num>
  <w:num w:numId="13">
    <w:abstractNumId w:val="21"/>
  </w:num>
  <w:num w:numId="14">
    <w:abstractNumId w:val="25"/>
  </w:num>
  <w:num w:numId="15">
    <w:abstractNumId w:val="13"/>
  </w:num>
  <w:num w:numId="16">
    <w:abstractNumId w:val="23"/>
  </w:num>
  <w:num w:numId="17">
    <w:abstractNumId w:val="16"/>
  </w:num>
  <w:num w:numId="18">
    <w:abstractNumId w:val="19"/>
  </w:num>
  <w:num w:numId="19">
    <w:abstractNumId w:val="24"/>
  </w:num>
  <w:num w:numId="20">
    <w:abstractNumId w:val="11"/>
  </w:num>
  <w:num w:numId="21">
    <w:abstractNumId w:val="27"/>
  </w:num>
  <w:num w:numId="22">
    <w:abstractNumId w:val="10"/>
  </w:num>
  <w:num w:numId="23">
    <w:abstractNumId w:val="12"/>
  </w:num>
  <w:num w:numId="24">
    <w:abstractNumId w:val="22"/>
  </w:num>
  <w:num w:numId="25">
    <w:abstractNumId w:val="18"/>
  </w:num>
  <w:num w:numId="26">
    <w:abstractNumId w:val="14"/>
  </w:num>
  <w:num w:numId="27">
    <w:abstractNumId w:val="17"/>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29F"/>
    <w:rsid w:val="0000209D"/>
    <w:rsid w:val="00004D5A"/>
    <w:rsid w:val="000056D5"/>
    <w:rsid w:val="00005F37"/>
    <w:rsid w:val="0000767A"/>
    <w:rsid w:val="00010702"/>
    <w:rsid w:val="00012E3C"/>
    <w:rsid w:val="00016992"/>
    <w:rsid w:val="00017063"/>
    <w:rsid w:val="000234D6"/>
    <w:rsid w:val="00023D29"/>
    <w:rsid w:val="00024095"/>
    <w:rsid w:val="00026389"/>
    <w:rsid w:val="000264BA"/>
    <w:rsid w:val="00031AE0"/>
    <w:rsid w:val="000322EF"/>
    <w:rsid w:val="00033FCD"/>
    <w:rsid w:val="00041CEC"/>
    <w:rsid w:val="00043077"/>
    <w:rsid w:val="000441B2"/>
    <w:rsid w:val="0004694F"/>
    <w:rsid w:val="000522E4"/>
    <w:rsid w:val="000560F6"/>
    <w:rsid w:val="000610E1"/>
    <w:rsid w:val="00062EC5"/>
    <w:rsid w:val="00062F22"/>
    <w:rsid w:val="000672E0"/>
    <w:rsid w:val="000707F1"/>
    <w:rsid w:val="000712B3"/>
    <w:rsid w:val="00080BBB"/>
    <w:rsid w:val="000813C9"/>
    <w:rsid w:val="0008263E"/>
    <w:rsid w:val="00082C19"/>
    <w:rsid w:val="00085395"/>
    <w:rsid w:val="00085730"/>
    <w:rsid w:val="00087634"/>
    <w:rsid w:val="000879D5"/>
    <w:rsid w:val="00087F2B"/>
    <w:rsid w:val="000974D1"/>
    <w:rsid w:val="0009799E"/>
    <w:rsid w:val="000A1183"/>
    <w:rsid w:val="000A256D"/>
    <w:rsid w:val="000A3A2C"/>
    <w:rsid w:val="000A65CA"/>
    <w:rsid w:val="000B068F"/>
    <w:rsid w:val="000B282C"/>
    <w:rsid w:val="000B2975"/>
    <w:rsid w:val="000B30FA"/>
    <w:rsid w:val="000B3152"/>
    <w:rsid w:val="000B723A"/>
    <w:rsid w:val="000B78F7"/>
    <w:rsid w:val="000C3408"/>
    <w:rsid w:val="000C6AFD"/>
    <w:rsid w:val="000D1DC8"/>
    <w:rsid w:val="000D23AC"/>
    <w:rsid w:val="000D281A"/>
    <w:rsid w:val="000D5637"/>
    <w:rsid w:val="000E27AF"/>
    <w:rsid w:val="000E6FBD"/>
    <w:rsid w:val="00100F5C"/>
    <w:rsid w:val="001033B0"/>
    <w:rsid w:val="0010437D"/>
    <w:rsid w:val="00104C4C"/>
    <w:rsid w:val="00107F98"/>
    <w:rsid w:val="0012192F"/>
    <w:rsid w:val="00121EF0"/>
    <w:rsid w:val="00125D69"/>
    <w:rsid w:val="00131CFC"/>
    <w:rsid w:val="0013313C"/>
    <w:rsid w:val="001341B9"/>
    <w:rsid w:val="001405FA"/>
    <w:rsid w:val="001425C3"/>
    <w:rsid w:val="0014556E"/>
    <w:rsid w:val="0014571B"/>
    <w:rsid w:val="001522B9"/>
    <w:rsid w:val="00156FA0"/>
    <w:rsid w:val="00157E96"/>
    <w:rsid w:val="00157F4D"/>
    <w:rsid w:val="0016256B"/>
    <w:rsid w:val="00162BC5"/>
    <w:rsid w:val="00163793"/>
    <w:rsid w:val="00166B70"/>
    <w:rsid w:val="001706D6"/>
    <w:rsid w:val="001714F2"/>
    <w:rsid w:val="00172DAA"/>
    <w:rsid w:val="00175140"/>
    <w:rsid w:val="00175D24"/>
    <w:rsid w:val="001771A3"/>
    <w:rsid w:val="0018047C"/>
    <w:rsid w:val="00180F80"/>
    <w:rsid w:val="00184B08"/>
    <w:rsid w:val="00185010"/>
    <w:rsid w:val="001861BD"/>
    <w:rsid w:val="00187A17"/>
    <w:rsid w:val="001968DC"/>
    <w:rsid w:val="001A09FF"/>
    <w:rsid w:val="001A1661"/>
    <w:rsid w:val="001A552F"/>
    <w:rsid w:val="001B2CA9"/>
    <w:rsid w:val="001B3110"/>
    <w:rsid w:val="001B4729"/>
    <w:rsid w:val="001B6C09"/>
    <w:rsid w:val="001C0339"/>
    <w:rsid w:val="001C05CD"/>
    <w:rsid w:val="001C1E6A"/>
    <w:rsid w:val="001C2FEB"/>
    <w:rsid w:val="001C4344"/>
    <w:rsid w:val="001D68B2"/>
    <w:rsid w:val="001E0429"/>
    <w:rsid w:val="001E0499"/>
    <w:rsid w:val="001E1D5E"/>
    <w:rsid w:val="001E476C"/>
    <w:rsid w:val="001F1CA6"/>
    <w:rsid w:val="001F4597"/>
    <w:rsid w:val="001F78C9"/>
    <w:rsid w:val="00200A8C"/>
    <w:rsid w:val="00206D98"/>
    <w:rsid w:val="002118B9"/>
    <w:rsid w:val="00211F9B"/>
    <w:rsid w:val="00214352"/>
    <w:rsid w:val="00217C5B"/>
    <w:rsid w:val="0022139E"/>
    <w:rsid w:val="002252E0"/>
    <w:rsid w:val="002255F6"/>
    <w:rsid w:val="00227850"/>
    <w:rsid w:val="00227A53"/>
    <w:rsid w:val="00230496"/>
    <w:rsid w:val="00230C6E"/>
    <w:rsid w:val="00236443"/>
    <w:rsid w:val="00241D09"/>
    <w:rsid w:val="002436BA"/>
    <w:rsid w:val="00243997"/>
    <w:rsid w:val="00244A15"/>
    <w:rsid w:val="00247319"/>
    <w:rsid w:val="0024799E"/>
    <w:rsid w:val="00250165"/>
    <w:rsid w:val="0025379B"/>
    <w:rsid w:val="00253C0F"/>
    <w:rsid w:val="00255711"/>
    <w:rsid w:val="002572EA"/>
    <w:rsid w:val="00271465"/>
    <w:rsid w:val="00277316"/>
    <w:rsid w:val="00282F1A"/>
    <w:rsid w:val="00285412"/>
    <w:rsid w:val="00285EDB"/>
    <w:rsid w:val="00287970"/>
    <w:rsid w:val="002A00BE"/>
    <w:rsid w:val="002A16D4"/>
    <w:rsid w:val="002A230C"/>
    <w:rsid w:val="002A76E1"/>
    <w:rsid w:val="002A7AC1"/>
    <w:rsid w:val="002B03C8"/>
    <w:rsid w:val="002B4B3B"/>
    <w:rsid w:val="002B6D9C"/>
    <w:rsid w:val="002C394F"/>
    <w:rsid w:val="002C43BD"/>
    <w:rsid w:val="002C4F33"/>
    <w:rsid w:val="002C63D7"/>
    <w:rsid w:val="002C7BFB"/>
    <w:rsid w:val="002D0E59"/>
    <w:rsid w:val="002E02A1"/>
    <w:rsid w:val="002E3478"/>
    <w:rsid w:val="002E3A71"/>
    <w:rsid w:val="002E48BA"/>
    <w:rsid w:val="002E4E4C"/>
    <w:rsid w:val="002E5729"/>
    <w:rsid w:val="002F5756"/>
    <w:rsid w:val="002F5A91"/>
    <w:rsid w:val="0030013F"/>
    <w:rsid w:val="0030372D"/>
    <w:rsid w:val="00304771"/>
    <w:rsid w:val="003052D4"/>
    <w:rsid w:val="00306C5B"/>
    <w:rsid w:val="003116A3"/>
    <w:rsid w:val="00311EA9"/>
    <w:rsid w:val="003209D6"/>
    <w:rsid w:val="00321924"/>
    <w:rsid w:val="0032656E"/>
    <w:rsid w:val="00332190"/>
    <w:rsid w:val="00332B74"/>
    <w:rsid w:val="00333C53"/>
    <w:rsid w:val="00334C1B"/>
    <w:rsid w:val="003350EA"/>
    <w:rsid w:val="00343EB9"/>
    <w:rsid w:val="00344668"/>
    <w:rsid w:val="003462D9"/>
    <w:rsid w:val="00360C86"/>
    <w:rsid w:val="0036117D"/>
    <w:rsid w:val="0036400F"/>
    <w:rsid w:val="003657F3"/>
    <w:rsid w:val="003728E7"/>
    <w:rsid w:val="00381067"/>
    <w:rsid w:val="003818DC"/>
    <w:rsid w:val="00384327"/>
    <w:rsid w:val="00385D98"/>
    <w:rsid w:val="00386434"/>
    <w:rsid w:val="00390287"/>
    <w:rsid w:val="003959BE"/>
    <w:rsid w:val="003A2B4D"/>
    <w:rsid w:val="003A2E6F"/>
    <w:rsid w:val="003A478C"/>
    <w:rsid w:val="003A5525"/>
    <w:rsid w:val="003A6B38"/>
    <w:rsid w:val="003A6F27"/>
    <w:rsid w:val="003B5A32"/>
    <w:rsid w:val="003C3490"/>
    <w:rsid w:val="003C629F"/>
    <w:rsid w:val="003C780C"/>
    <w:rsid w:val="003D5EC9"/>
    <w:rsid w:val="003D618E"/>
    <w:rsid w:val="003D655B"/>
    <w:rsid w:val="003D6920"/>
    <w:rsid w:val="003D6F0F"/>
    <w:rsid w:val="003E12C3"/>
    <w:rsid w:val="003E2008"/>
    <w:rsid w:val="003E2BFB"/>
    <w:rsid w:val="003E2F90"/>
    <w:rsid w:val="003E3CA0"/>
    <w:rsid w:val="003E4C91"/>
    <w:rsid w:val="003F132D"/>
    <w:rsid w:val="003F313C"/>
    <w:rsid w:val="003F3CA8"/>
    <w:rsid w:val="003F4B2C"/>
    <w:rsid w:val="003F551C"/>
    <w:rsid w:val="003F647B"/>
    <w:rsid w:val="003F7D23"/>
    <w:rsid w:val="00403189"/>
    <w:rsid w:val="00407C13"/>
    <w:rsid w:val="00410638"/>
    <w:rsid w:val="0041370D"/>
    <w:rsid w:val="004140C1"/>
    <w:rsid w:val="00421EAD"/>
    <w:rsid w:val="004223A0"/>
    <w:rsid w:val="00432A58"/>
    <w:rsid w:val="00434617"/>
    <w:rsid w:val="00440900"/>
    <w:rsid w:val="004426F5"/>
    <w:rsid w:val="00442BB5"/>
    <w:rsid w:val="00442D9E"/>
    <w:rsid w:val="004441A0"/>
    <w:rsid w:val="004542FC"/>
    <w:rsid w:val="00460FB3"/>
    <w:rsid w:val="00464B0B"/>
    <w:rsid w:val="0047139E"/>
    <w:rsid w:val="00472BF3"/>
    <w:rsid w:val="004744DF"/>
    <w:rsid w:val="00475D16"/>
    <w:rsid w:val="00476240"/>
    <w:rsid w:val="00476439"/>
    <w:rsid w:val="0047735C"/>
    <w:rsid w:val="00477449"/>
    <w:rsid w:val="004776BC"/>
    <w:rsid w:val="0048139F"/>
    <w:rsid w:val="00481E40"/>
    <w:rsid w:val="00484ECE"/>
    <w:rsid w:val="004900FF"/>
    <w:rsid w:val="004915CB"/>
    <w:rsid w:val="0049175C"/>
    <w:rsid w:val="004924DC"/>
    <w:rsid w:val="00493A71"/>
    <w:rsid w:val="00496F97"/>
    <w:rsid w:val="004A14E4"/>
    <w:rsid w:val="004A3212"/>
    <w:rsid w:val="004A61C5"/>
    <w:rsid w:val="004A77DF"/>
    <w:rsid w:val="004B1417"/>
    <w:rsid w:val="004B4514"/>
    <w:rsid w:val="004B4EAD"/>
    <w:rsid w:val="004B55B7"/>
    <w:rsid w:val="004B5B2E"/>
    <w:rsid w:val="004B6468"/>
    <w:rsid w:val="004C01CC"/>
    <w:rsid w:val="004C384C"/>
    <w:rsid w:val="004C3867"/>
    <w:rsid w:val="004C4CD0"/>
    <w:rsid w:val="004C5CA5"/>
    <w:rsid w:val="004C701A"/>
    <w:rsid w:val="004C70DC"/>
    <w:rsid w:val="004D0211"/>
    <w:rsid w:val="004D02A3"/>
    <w:rsid w:val="004D0794"/>
    <w:rsid w:val="004D6A14"/>
    <w:rsid w:val="004E215F"/>
    <w:rsid w:val="004F06F5"/>
    <w:rsid w:val="004F2630"/>
    <w:rsid w:val="004F33A0"/>
    <w:rsid w:val="00500A8A"/>
    <w:rsid w:val="005108C0"/>
    <w:rsid w:val="00510AB1"/>
    <w:rsid w:val="00511873"/>
    <w:rsid w:val="00512226"/>
    <w:rsid w:val="00512A2F"/>
    <w:rsid w:val="00513B7E"/>
    <w:rsid w:val="00513C1E"/>
    <w:rsid w:val="00514756"/>
    <w:rsid w:val="00515C74"/>
    <w:rsid w:val="0052007E"/>
    <w:rsid w:val="00522087"/>
    <w:rsid w:val="005229A8"/>
    <w:rsid w:val="0052337A"/>
    <w:rsid w:val="00525137"/>
    <w:rsid w:val="005251DD"/>
    <w:rsid w:val="005252CA"/>
    <w:rsid w:val="00532BBD"/>
    <w:rsid w:val="00532CE7"/>
    <w:rsid w:val="00532E6C"/>
    <w:rsid w:val="0053324C"/>
    <w:rsid w:val="005346F3"/>
    <w:rsid w:val="00534A28"/>
    <w:rsid w:val="00541508"/>
    <w:rsid w:val="00542131"/>
    <w:rsid w:val="00545F75"/>
    <w:rsid w:val="0055599F"/>
    <w:rsid w:val="00556D68"/>
    <w:rsid w:val="0056065A"/>
    <w:rsid w:val="005647BF"/>
    <w:rsid w:val="00570372"/>
    <w:rsid w:val="00570BDC"/>
    <w:rsid w:val="00572936"/>
    <w:rsid w:val="0057364B"/>
    <w:rsid w:val="00574035"/>
    <w:rsid w:val="00574773"/>
    <w:rsid w:val="00574C7C"/>
    <w:rsid w:val="00574EBF"/>
    <w:rsid w:val="00583FFD"/>
    <w:rsid w:val="005847D6"/>
    <w:rsid w:val="00584D18"/>
    <w:rsid w:val="00585490"/>
    <w:rsid w:val="0058560C"/>
    <w:rsid w:val="0058606B"/>
    <w:rsid w:val="005874D5"/>
    <w:rsid w:val="005911BE"/>
    <w:rsid w:val="00593152"/>
    <w:rsid w:val="005968FD"/>
    <w:rsid w:val="005A10F2"/>
    <w:rsid w:val="005A21E0"/>
    <w:rsid w:val="005A28FF"/>
    <w:rsid w:val="005A3DF8"/>
    <w:rsid w:val="005A5549"/>
    <w:rsid w:val="005A6E76"/>
    <w:rsid w:val="005B121D"/>
    <w:rsid w:val="005B3EB2"/>
    <w:rsid w:val="005B4A93"/>
    <w:rsid w:val="005C06ED"/>
    <w:rsid w:val="005D3C32"/>
    <w:rsid w:val="005D5802"/>
    <w:rsid w:val="005D7890"/>
    <w:rsid w:val="005E012A"/>
    <w:rsid w:val="005E2102"/>
    <w:rsid w:val="005E7C78"/>
    <w:rsid w:val="005F1D8B"/>
    <w:rsid w:val="005F2E14"/>
    <w:rsid w:val="005F3EB1"/>
    <w:rsid w:val="005F5469"/>
    <w:rsid w:val="006006C5"/>
    <w:rsid w:val="00604307"/>
    <w:rsid w:val="0060487F"/>
    <w:rsid w:val="00604EAD"/>
    <w:rsid w:val="006104FB"/>
    <w:rsid w:val="006111AE"/>
    <w:rsid w:val="00612A2F"/>
    <w:rsid w:val="0061690D"/>
    <w:rsid w:val="00616E05"/>
    <w:rsid w:val="00624093"/>
    <w:rsid w:val="006324E8"/>
    <w:rsid w:val="00632755"/>
    <w:rsid w:val="00632BF0"/>
    <w:rsid w:val="006404A7"/>
    <w:rsid w:val="00642E5B"/>
    <w:rsid w:val="006451E4"/>
    <w:rsid w:val="00645B33"/>
    <w:rsid w:val="00647621"/>
    <w:rsid w:val="006516CB"/>
    <w:rsid w:val="00655555"/>
    <w:rsid w:val="00656BD6"/>
    <w:rsid w:val="006574B7"/>
    <w:rsid w:val="00657E87"/>
    <w:rsid w:val="00660130"/>
    <w:rsid w:val="006601C5"/>
    <w:rsid w:val="00661E61"/>
    <w:rsid w:val="00664803"/>
    <w:rsid w:val="00665BA4"/>
    <w:rsid w:val="00667AF2"/>
    <w:rsid w:val="00667CC8"/>
    <w:rsid w:val="0067037C"/>
    <w:rsid w:val="006710C9"/>
    <w:rsid w:val="0067117F"/>
    <w:rsid w:val="0067418E"/>
    <w:rsid w:val="00674574"/>
    <w:rsid w:val="00674D89"/>
    <w:rsid w:val="00675E37"/>
    <w:rsid w:val="00676681"/>
    <w:rsid w:val="0068174E"/>
    <w:rsid w:val="00681DCE"/>
    <w:rsid w:val="0068260E"/>
    <w:rsid w:val="00682D5C"/>
    <w:rsid w:val="00683CE8"/>
    <w:rsid w:val="006846A7"/>
    <w:rsid w:val="00695BEF"/>
    <w:rsid w:val="00695EF9"/>
    <w:rsid w:val="006977F6"/>
    <w:rsid w:val="00697A13"/>
    <w:rsid w:val="006A109C"/>
    <w:rsid w:val="006A16F0"/>
    <w:rsid w:val="006A51FD"/>
    <w:rsid w:val="006B18AB"/>
    <w:rsid w:val="006B2560"/>
    <w:rsid w:val="006B344A"/>
    <w:rsid w:val="006B78D8"/>
    <w:rsid w:val="006C113F"/>
    <w:rsid w:val="006C123E"/>
    <w:rsid w:val="006C2D96"/>
    <w:rsid w:val="006C4575"/>
    <w:rsid w:val="006C56D4"/>
    <w:rsid w:val="006C6924"/>
    <w:rsid w:val="006C7CA6"/>
    <w:rsid w:val="006D09A9"/>
    <w:rsid w:val="006D3235"/>
    <w:rsid w:val="006D3E8A"/>
    <w:rsid w:val="006D61F6"/>
    <w:rsid w:val="006E0354"/>
    <w:rsid w:val="006E279A"/>
    <w:rsid w:val="006E313B"/>
    <w:rsid w:val="006E535F"/>
    <w:rsid w:val="006F2AEC"/>
    <w:rsid w:val="006F5416"/>
    <w:rsid w:val="006F687C"/>
    <w:rsid w:val="006F7137"/>
    <w:rsid w:val="0070066F"/>
    <w:rsid w:val="00700B12"/>
    <w:rsid w:val="00700F09"/>
    <w:rsid w:val="00706AD4"/>
    <w:rsid w:val="0071250D"/>
    <w:rsid w:val="007140BE"/>
    <w:rsid w:val="00715016"/>
    <w:rsid w:val="00717B13"/>
    <w:rsid w:val="007211F5"/>
    <w:rsid w:val="00722773"/>
    <w:rsid w:val="00722908"/>
    <w:rsid w:val="00725BB5"/>
    <w:rsid w:val="0072640B"/>
    <w:rsid w:val="00730AE8"/>
    <w:rsid w:val="0073249C"/>
    <w:rsid w:val="00735DA6"/>
    <w:rsid w:val="00741493"/>
    <w:rsid w:val="00743BCB"/>
    <w:rsid w:val="00744A49"/>
    <w:rsid w:val="007508FD"/>
    <w:rsid w:val="00752180"/>
    <w:rsid w:val="00755202"/>
    <w:rsid w:val="00755D3A"/>
    <w:rsid w:val="00755F52"/>
    <w:rsid w:val="007578D3"/>
    <w:rsid w:val="007609C6"/>
    <w:rsid w:val="0076175D"/>
    <w:rsid w:val="0076521E"/>
    <w:rsid w:val="007654F6"/>
    <w:rsid w:val="007661E9"/>
    <w:rsid w:val="00776169"/>
    <w:rsid w:val="00776527"/>
    <w:rsid w:val="00776E3B"/>
    <w:rsid w:val="00780EF1"/>
    <w:rsid w:val="00783112"/>
    <w:rsid w:val="00784CF6"/>
    <w:rsid w:val="00786ED5"/>
    <w:rsid w:val="00790764"/>
    <w:rsid w:val="007936D2"/>
    <w:rsid w:val="00793707"/>
    <w:rsid w:val="0079453C"/>
    <w:rsid w:val="00794677"/>
    <w:rsid w:val="00796E73"/>
    <w:rsid w:val="007A3D44"/>
    <w:rsid w:val="007A7D7E"/>
    <w:rsid w:val="007B1713"/>
    <w:rsid w:val="007B6689"/>
    <w:rsid w:val="007C2E22"/>
    <w:rsid w:val="007C60B5"/>
    <w:rsid w:val="007D00CE"/>
    <w:rsid w:val="007D40DF"/>
    <w:rsid w:val="007E69A2"/>
    <w:rsid w:val="007E7390"/>
    <w:rsid w:val="007E7B35"/>
    <w:rsid w:val="007E7E61"/>
    <w:rsid w:val="007F0845"/>
    <w:rsid w:val="007F799E"/>
    <w:rsid w:val="00801735"/>
    <w:rsid w:val="008021F7"/>
    <w:rsid w:val="00803315"/>
    <w:rsid w:val="0080721C"/>
    <w:rsid w:val="00807C82"/>
    <w:rsid w:val="00816905"/>
    <w:rsid w:val="00817B82"/>
    <w:rsid w:val="00821FF6"/>
    <w:rsid w:val="00822BA7"/>
    <w:rsid w:val="0082313C"/>
    <w:rsid w:val="00825467"/>
    <w:rsid w:val="00825C4D"/>
    <w:rsid w:val="008310A4"/>
    <w:rsid w:val="0083143E"/>
    <w:rsid w:val="00831CDE"/>
    <w:rsid w:val="00834304"/>
    <w:rsid w:val="00834FAA"/>
    <w:rsid w:val="00836086"/>
    <w:rsid w:val="00836EBC"/>
    <w:rsid w:val="0083799B"/>
    <w:rsid w:val="00840923"/>
    <w:rsid w:val="00846150"/>
    <w:rsid w:val="0084688F"/>
    <w:rsid w:val="0084708F"/>
    <w:rsid w:val="008477C8"/>
    <w:rsid w:val="0085114D"/>
    <w:rsid w:val="00852217"/>
    <w:rsid w:val="00855408"/>
    <w:rsid w:val="00856D65"/>
    <w:rsid w:val="00861B41"/>
    <w:rsid w:val="00861DCA"/>
    <w:rsid w:val="00863434"/>
    <w:rsid w:val="00863710"/>
    <w:rsid w:val="00865E4C"/>
    <w:rsid w:val="008701E4"/>
    <w:rsid w:val="008712AA"/>
    <w:rsid w:val="00874D21"/>
    <w:rsid w:val="00875A32"/>
    <w:rsid w:val="00876086"/>
    <w:rsid w:val="00884749"/>
    <w:rsid w:val="008847E1"/>
    <w:rsid w:val="008873D4"/>
    <w:rsid w:val="0089159B"/>
    <w:rsid w:val="00893E85"/>
    <w:rsid w:val="00894031"/>
    <w:rsid w:val="00894E45"/>
    <w:rsid w:val="008965CE"/>
    <w:rsid w:val="00896C9F"/>
    <w:rsid w:val="008A11DC"/>
    <w:rsid w:val="008A15C0"/>
    <w:rsid w:val="008A558B"/>
    <w:rsid w:val="008A6DE5"/>
    <w:rsid w:val="008A7794"/>
    <w:rsid w:val="008A7BFD"/>
    <w:rsid w:val="008B7C02"/>
    <w:rsid w:val="008B7D2B"/>
    <w:rsid w:val="008C0049"/>
    <w:rsid w:val="008C0E88"/>
    <w:rsid w:val="008C2001"/>
    <w:rsid w:val="008D1AAF"/>
    <w:rsid w:val="008D1E6A"/>
    <w:rsid w:val="008D2084"/>
    <w:rsid w:val="008D2A16"/>
    <w:rsid w:val="008D49FF"/>
    <w:rsid w:val="008E048A"/>
    <w:rsid w:val="008E0AD6"/>
    <w:rsid w:val="008E1170"/>
    <w:rsid w:val="008E203F"/>
    <w:rsid w:val="008E2561"/>
    <w:rsid w:val="008E2C57"/>
    <w:rsid w:val="008E31FF"/>
    <w:rsid w:val="008E5FEF"/>
    <w:rsid w:val="008E6108"/>
    <w:rsid w:val="008E63E7"/>
    <w:rsid w:val="008E6F06"/>
    <w:rsid w:val="008F029B"/>
    <w:rsid w:val="008F3FC9"/>
    <w:rsid w:val="008F585B"/>
    <w:rsid w:val="009003A8"/>
    <w:rsid w:val="00902500"/>
    <w:rsid w:val="00902EFF"/>
    <w:rsid w:val="00903EA5"/>
    <w:rsid w:val="00906401"/>
    <w:rsid w:val="0091155E"/>
    <w:rsid w:val="00911E25"/>
    <w:rsid w:val="00912A92"/>
    <w:rsid w:val="0091728D"/>
    <w:rsid w:val="0092180B"/>
    <w:rsid w:val="00921F14"/>
    <w:rsid w:val="00922AA2"/>
    <w:rsid w:val="00924AC8"/>
    <w:rsid w:val="0092597A"/>
    <w:rsid w:val="00931300"/>
    <w:rsid w:val="00932443"/>
    <w:rsid w:val="00932A71"/>
    <w:rsid w:val="009343D6"/>
    <w:rsid w:val="00937AE2"/>
    <w:rsid w:val="0094427A"/>
    <w:rsid w:val="00944344"/>
    <w:rsid w:val="00950005"/>
    <w:rsid w:val="00967163"/>
    <w:rsid w:val="00972D12"/>
    <w:rsid w:val="00973496"/>
    <w:rsid w:val="00974923"/>
    <w:rsid w:val="00977F2A"/>
    <w:rsid w:val="00980D3D"/>
    <w:rsid w:val="009873AF"/>
    <w:rsid w:val="00987A30"/>
    <w:rsid w:val="00992CF3"/>
    <w:rsid w:val="00992FBA"/>
    <w:rsid w:val="009962BB"/>
    <w:rsid w:val="009968D6"/>
    <w:rsid w:val="00997C2A"/>
    <w:rsid w:val="009A1CAB"/>
    <w:rsid w:val="009A38E3"/>
    <w:rsid w:val="009A60D1"/>
    <w:rsid w:val="009B08CF"/>
    <w:rsid w:val="009B39CA"/>
    <w:rsid w:val="009B6FD3"/>
    <w:rsid w:val="009C1750"/>
    <w:rsid w:val="009C2E29"/>
    <w:rsid w:val="009C37BE"/>
    <w:rsid w:val="009C554B"/>
    <w:rsid w:val="009C694A"/>
    <w:rsid w:val="009C6CD3"/>
    <w:rsid w:val="009C719E"/>
    <w:rsid w:val="009D3ACD"/>
    <w:rsid w:val="009D65DD"/>
    <w:rsid w:val="009E1AD0"/>
    <w:rsid w:val="009E5273"/>
    <w:rsid w:val="009E5DDB"/>
    <w:rsid w:val="009F4CA7"/>
    <w:rsid w:val="00A02A9E"/>
    <w:rsid w:val="00A05546"/>
    <w:rsid w:val="00A10D66"/>
    <w:rsid w:val="00A14114"/>
    <w:rsid w:val="00A16413"/>
    <w:rsid w:val="00A2036D"/>
    <w:rsid w:val="00A23E43"/>
    <w:rsid w:val="00A30DCD"/>
    <w:rsid w:val="00A30F65"/>
    <w:rsid w:val="00A37A9C"/>
    <w:rsid w:val="00A37CD1"/>
    <w:rsid w:val="00A418BC"/>
    <w:rsid w:val="00A46DE0"/>
    <w:rsid w:val="00A471C3"/>
    <w:rsid w:val="00A50D73"/>
    <w:rsid w:val="00A50EE7"/>
    <w:rsid w:val="00A521DF"/>
    <w:rsid w:val="00A52CAD"/>
    <w:rsid w:val="00A53FC7"/>
    <w:rsid w:val="00A6243B"/>
    <w:rsid w:val="00A62CE1"/>
    <w:rsid w:val="00A63DFD"/>
    <w:rsid w:val="00A6741E"/>
    <w:rsid w:val="00A731FC"/>
    <w:rsid w:val="00A75E40"/>
    <w:rsid w:val="00A77D1D"/>
    <w:rsid w:val="00A84595"/>
    <w:rsid w:val="00A857C0"/>
    <w:rsid w:val="00A85913"/>
    <w:rsid w:val="00A86205"/>
    <w:rsid w:val="00A96047"/>
    <w:rsid w:val="00AA2996"/>
    <w:rsid w:val="00AA52BF"/>
    <w:rsid w:val="00AA559A"/>
    <w:rsid w:val="00AA5FC8"/>
    <w:rsid w:val="00AA7749"/>
    <w:rsid w:val="00AB2AF1"/>
    <w:rsid w:val="00AB3FB1"/>
    <w:rsid w:val="00AB63D9"/>
    <w:rsid w:val="00AC42E0"/>
    <w:rsid w:val="00AD306C"/>
    <w:rsid w:val="00AD626C"/>
    <w:rsid w:val="00AE09B3"/>
    <w:rsid w:val="00AE1A83"/>
    <w:rsid w:val="00B00913"/>
    <w:rsid w:val="00B01593"/>
    <w:rsid w:val="00B04995"/>
    <w:rsid w:val="00B0599A"/>
    <w:rsid w:val="00B06470"/>
    <w:rsid w:val="00B10230"/>
    <w:rsid w:val="00B10A4D"/>
    <w:rsid w:val="00B16FDB"/>
    <w:rsid w:val="00B17E71"/>
    <w:rsid w:val="00B17FDE"/>
    <w:rsid w:val="00B2379C"/>
    <w:rsid w:val="00B2687D"/>
    <w:rsid w:val="00B3110D"/>
    <w:rsid w:val="00B32168"/>
    <w:rsid w:val="00B32DDB"/>
    <w:rsid w:val="00B34528"/>
    <w:rsid w:val="00B402FC"/>
    <w:rsid w:val="00B46604"/>
    <w:rsid w:val="00B47FF7"/>
    <w:rsid w:val="00B50ECC"/>
    <w:rsid w:val="00B530CD"/>
    <w:rsid w:val="00B535D0"/>
    <w:rsid w:val="00B55F5E"/>
    <w:rsid w:val="00B5752E"/>
    <w:rsid w:val="00B624C6"/>
    <w:rsid w:val="00B63720"/>
    <w:rsid w:val="00B63A11"/>
    <w:rsid w:val="00B64C24"/>
    <w:rsid w:val="00B6608F"/>
    <w:rsid w:val="00B679FB"/>
    <w:rsid w:val="00B76D1E"/>
    <w:rsid w:val="00B80EC6"/>
    <w:rsid w:val="00B90ADC"/>
    <w:rsid w:val="00B92D1D"/>
    <w:rsid w:val="00B938C5"/>
    <w:rsid w:val="00B93A40"/>
    <w:rsid w:val="00B94BD1"/>
    <w:rsid w:val="00B95940"/>
    <w:rsid w:val="00BA3658"/>
    <w:rsid w:val="00BA72CF"/>
    <w:rsid w:val="00BB24C4"/>
    <w:rsid w:val="00BB2927"/>
    <w:rsid w:val="00BB40CA"/>
    <w:rsid w:val="00BB46F3"/>
    <w:rsid w:val="00BB4CB1"/>
    <w:rsid w:val="00BB4F98"/>
    <w:rsid w:val="00BB700A"/>
    <w:rsid w:val="00BC3FF5"/>
    <w:rsid w:val="00BC7154"/>
    <w:rsid w:val="00BD29D2"/>
    <w:rsid w:val="00BD30CC"/>
    <w:rsid w:val="00BD366B"/>
    <w:rsid w:val="00BD6D50"/>
    <w:rsid w:val="00BE18B9"/>
    <w:rsid w:val="00BE2495"/>
    <w:rsid w:val="00BE67B3"/>
    <w:rsid w:val="00BE7CFA"/>
    <w:rsid w:val="00BF0FA2"/>
    <w:rsid w:val="00BF1578"/>
    <w:rsid w:val="00BF1975"/>
    <w:rsid w:val="00BF6442"/>
    <w:rsid w:val="00BF7B0E"/>
    <w:rsid w:val="00C00742"/>
    <w:rsid w:val="00C062EB"/>
    <w:rsid w:val="00C06407"/>
    <w:rsid w:val="00C11C1F"/>
    <w:rsid w:val="00C156AC"/>
    <w:rsid w:val="00C161D6"/>
    <w:rsid w:val="00C20B47"/>
    <w:rsid w:val="00C20BCD"/>
    <w:rsid w:val="00C214EC"/>
    <w:rsid w:val="00C21F94"/>
    <w:rsid w:val="00C22CC2"/>
    <w:rsid w:val="00C25159"/>
    <w:rsid w:val="00C27913"/>
    <w:rsid w:val="00C27ECC"/>
    <w:rsid w:val="00C30020"/>
    <w:rsid w:val="00C32940"/>
    <w:rsid w:val="00C33B68"/>
    <w:rsid w:val="00C36A79"/>
    <w:rsid w:val="00C40474"/>
    <w:rsid w:val="00C405D4"/>
    <w:rsid w:val="00C43A78"/>
    <w:rsid w:val="00C44514"/>
    <w:rsid w:val="00C4513B"/>
    <w:rsid w:val="00C45998"/>
    <w:rsid w:val="00C53647"/>
    <w:rsid w:val="00C54697"/>
    <w:rsid w:val="00C54FA7"/>
    <w:rsid w:val="00C56C71"/>
    <w:rsid w:val="00C57E6B"/>
    <w:rsid w:val="00C62BD6"/>
    <w:rsid w:val="00C67747"/>
    <w:rsid w:val="00C716BD"/>
    <w:rsid w:val="00C73885"/>
    <w:rsid w:val="00C745EE"/>
    <w:rsid w:val="00C747B1"/>
    <w:rsid w:val="00C76A59"/>
    <w:rsid w:val="00C8163A"/>
    <w:rsid w:val="00C82191"/>
    <w:rsid w:val="00C90286"/>
    <w:rsid w:val="00C90CF4"/>
    <w:rsid w:val="00C92EB6"/>
    <w:rsid w:val="00C93389"/>
    <w:rsid w:val="00C93504"/>
    <w:rsid w:val="00CA440F"/>
    <w:rsid w:val="00CA58EE"/>
    <w:rsid w:val="00CB4930"/>
    <w:rsid w:val="00CB6E4D"/>
    <w:rsid w:val="00CB7336"/>
    <w:rsid w:val="00CC2E7D"/>
    <w:rsid w:val="00CC4CD9"/>
    <w:rsid w:val="00CC6E4B"/>
    <w:rsid w:val="00CD10A5"/>
    <w:rsid w:val="00CD2076"/>
    <w:rsid w:val="00CD4A23"/>
    <w:rsid w:val="00CD6BF9"/>
    <w:rsid w:val="00CE670B"/>
    <w:rsid w:val="00CF51EC"/>
    <w:rsid w:val="00CF73AE"/>
    <w:rsid w:val="00CF7D03"/>
    <w:rsid w:val="00D021CA"/>
    <w:rsid w:val="00D040DD"/>
    <w:rsid w:val="00D071D7"/>
    <w:rsid w:val="00D112A7"/>
    <w:rsid w:val="00D13986"/>
    <w:rsid w:val="00D212E7"/>
    <w:rsid w:val="00D235B7"/>
    <w:rsid w:val="00D23A2A"/>
    <w:rsid w:val="00D25F28"/>
    <w:rsid w:val="00D27973"/>
    <w:rsid w:val="00D40AC0"/>
    <w:rsid w:val="00D41B00"/>
    <w:rsid w:val="00D50F46"/>
    <w:rsid w:val="00D55199"/>
    <w:rsid w:val="00D57D26"/>
    <w:rsid w:val="00D61C4A"/>
    <w:rsid w:val="00D61CD9"/>
    <w:rsid w:val="00D66223"/>
    <w:rsid w:val="00D758FD"/>
    <w:rsid w:val="00D8084C"/>
    <w:rsid w:val="00D94CF4"/>
    <w:rsid w:val="00D96350"/>
    <w:rsid w:val="00D9745B"/>
    <w:rsid w:val="00D97F77"/>
    <w:rsid w:val="00DA7C0C"/>
    <w:rsid w:val="00DB2EC8"/>
    <w:rsid w:val="00DB7F87"/>
    <w:rsid w:val="00DC5B3B"/>
    <w:rsid w:val="00DD129F"/>
    <w:rsid w:val="00DD44CF"/>
    <w:rsid w:val="00DD724E"/>
    <w:rsid w:val="00DE0023"/>
    <w:rsid w:val="00DE47F1"/>
    <w:rsid w:val="00DE6447"/>
    <w:rsid w:val="00DF42FF"/>
    <w:rsid w:val="00E01C0E"/>
    <w:rsid w:val="00E03F9A"/>
    <w:rsid w:val="00E04694"/>
    <w:rsid w:val="00E06C4D"/>
    <w:rsid w:val="00E07843"/>
    <w:rsid w:val="00E120F2"/>
    <w:rsid w:val="00E12B1E"/>
    <w:rsid w:val="00E1471B"/>
    <w:rsid w:val="00E16CCE"/>
    <w:rsid w:val="00E17262"/>
    <w:rsid w:val="00E252E5"/>
    <w:rsid w:val="00E253A2"/>
    <w:rsid w:val="00E3309D"/>
    <w:rsid w:val="00E41A63"/>
    <w:rsid w:val="00E50156"/>
    <w:rsid w:val="00E5051B"/>
    <w:rsid w:val="00E5331D"/>
    <w:rsid w:val="00E53470"/>
    <w:rsid w:val="00E539F6"/>
    <w:rsid w:val="00E63915"/>
    <w:rsid w:val="00E6519D"/>
    <w:rsid w:val="00E67696"/>
    <w:rsid w:val="00E70927"/>
    <w:rsid w:val="00E712BD"/>
    <w:rsid w:val="00E71A58"/>
    <w:rsid w:val="00E72A7A"/>
    <w:rsid w:val="00E743C4"/>
    <w:rsid w:val="00E755F0"/>
    <w:rsid w:val="00E75C94"/>
    <w:rsid w:val="00E80782"/>
    <w:rsid w:val="00E87830"/>
    <w:rsid w:val="00E90976"/>
    <w:rsid w:val="00E93820"/>
    <w:rsid w:val="00EA0C68"/>
    <w:rsid w:val="00EA32BC"/>
    <w:rsid w:val="00EB4511"/>
    <w:rsid w:val="00EB6AE0"/>
    <w:rsid w:val="00EB78CE"/>
    <w:rsid w:val="00EC03D7"/>
    <w:rsid w:val="00EC11C8"/>
    <w:rsid w:val="00EC277B"/>
    <w:rsid w:val="00ED62C6"/>
    <w:rsid w:val="00ED64C1"/>
    <w:rsid w:val="00ED71BD"/>
    <w:rsid w:val="00EE143A"/>
    <w:rsid w:val="00EE3446"/>
    <w:rsid w:val="00EE3E78"/>
    <w:rsid w:val="00EE4B1B"/>
    <w:rsid w:val="00EF150D"/>
    <w:rsid w:val="00EF1CFD"/>
    <w:rsid w:val="00EF1F5A"/>
    <w:rsid w:val="00EF47BF"/>
    <w:rsid w:val="00EF68C6"/>
    <w:rsid w:val="00F00627"/>
    <w:rsid w:val="00F00C8A"/>
    <w:rsid w:val="00F03E5C"/>
    <w:rsid w:val="00F04811"/>
    <w:rsid w:val="00F0488C"/>
    <w:rsid w:val="00F05F5E"/>
    <w:rsid w:val="00F10F11"/>
    <w:rsid w:val="00F14F45"/>
    <w:rsid w:val="00F15AAA"/>
    <w:rsid w:val="00F15BEF"/>
    <w:rsid w:val="00F21D59"/>
    <w:rsid w:val="00F24407"/>
    <w:rsid w:val="00F24FAA"/>
    <w:rsid w:val="00F33271"/>
    <w:rsid w:val="00F3364D"/>
    <w:rsid w:val="00F34BC1"/>
    <w:rsid w:val="00F36267"/>
    <w:rsid w:val="00F4354F"/>
    <w:rsid w:val="00F437CC"/>
    <w:rsid w:val="00F46EA8"/>
    <w:rsid w:val="00F47067"/>
    <w:rsid w:val="00F525EB"/>
    <w:rsid w:val="00F54666"/>
    <w:rsid w:val="00F547BE"/>
    <w:rsid w:val="00F551D0"/>
    <w:rsid w:val="00F577AD"/>
    <w:rsid w:val="00F60790"/>
    <w:rsid w:val="00F617C3"/>
    <w:rsid w:val="00F63DDE"/>
    <w:rsid w:val="00F63FB7"/>
    <w:rsid w:val="00F649D2"/>
    <w:rsid w:val="00F6602B"/>
    <w:rsid w:val="00F666D5"/>
    <w:rsid w:val="00F7260E"/>
    <w:rsid w:val="00F734AD"/>
    <w:rsid w:val="00F73A0C"/>
    <w:rsid w:val="00F73D2C"/>
    <w:rsid w:val="00F756DB"/>
    <w:rsid w:val="00F77E3B"/>
    <w:rsid w:val="00F85066"/>
    <w:rsid w:val="00F87585"/>
    <w:rsid w:val="00F9254E"/>
    <w:rsid w:val="00F93C08"/>
    <w:rsid w:val="00FA5D4D"/>
    <w:rsid w:val="00FB0EE2"/>
    <w:rsid w:val="00FB1AE3"/>
    <w:rsid w:val="00FB542E"/>
    <w:rsid w:val="00FC0E5F"/>
    <w:rsid w:val="00FC1A95"/>
    <w:rsid w:val="00FC4227"/>
    <w:rsid w:val="00FC4C80"/>
    <w:rsid w:val="00FC56DE"/>
    <w:rsid w:val="00FC684B"/>
    <w:rsid w:val="00FD1F88"/>
    <w:rsid w:val="00FD3265"/>
    <w:rsid w:val="00FD38EA"/>
    <w:rsid w:val="00FE2F78"/>
    <w:rsid w:val="00FE6DC6"/>
    <w:rsid w:val="00FF7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2D8C4377"/>
  <w15:docId w15:val="{E7BAA903-B2D7-43DF-BF9A-62FE07DDE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styleId="Odkaznakoment">
    <w:name w:val="annotation reference"/>
    <w:basedOn w:val="Standardnpsmoodstavce"/>
    <w:uiPriority w:val="99"/>
    <w:semiHidden/>
    <w:unhideWhenUsed/>
    <w:rsid w:val="0089159B"/>
    <w:rPr>
      <w:sz w:val="16"/>
      <w:szCs w:val="16"/>
    </w:rPr>
  </w:style>
  <w:style w:type="paragraph" w:styleId="Textkomente">
    <w:name w:val="annotation text"/>
    <w:basedOn w:val="Normln"/>
    <w:link w:val="TextkomenteChar"/>
    <w:uiPriority w:val="99"/>
    <w:unhideWhenUsed/>
    <w:rsid w:val="0089159B"/>
    <w:pPr>
      <w:spacing w:line="240" w:lineRule="auto"/>
    </w:pPr>
    <w:rPr>
      <w:szCs w:val="20"/>
    </w:rPr>
  </w:style>
  <w:style w:type="character" w:customStyle="1" w:styleId="TextkomenteChar">
    <w:name w:val="Text komentáře Char"/>
    <w:basedOn w:val="Standardnpsmoodstavce"/>
    <w:link w:val="Textkomente"/>
    <w:uiPriority w:val="99"/>
    <w:rsid w:val="0089159B"/>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89159B"/>
    <w:rPr>
      <w:b/>
      <w:bCs/>
    </w:rPr>
  </w:style>
  <w:style w:type="character" w:customStyle="1" w:styleId="PedmtkomenteChar">
    <w:name w:val="Předmět komentáře Char"/>
    <w:basedOn w:val="TextkomenteChar"/>
    <w:link w:val="Pedmtkomente"/>
    <w:uiPriority w:val="99"/>
    <w:semiHidden/>
    <w:rsid w:val="0089159B"/>
    <w:rPr>
      <w:rFonts w:ascii="Arial" w:eastAsia="Times New Roman" w:hAnsi="Arial"/>
      <w:b/>
      <w:bCs/>
      <w:lang w:eastAsia="cs-CZ"/>
    </w:rPr>
  </w:style>
  <w:style w:type="paragraph" w:styleId="Normlnweb">
    <w:name w:val="Normal (Web)"/>
    <w:basedOn w:val="Normln"/>
    <w:uiPriority w:val="99"/>
    <w:unhideWhenUsed/>
    <w:rsid w:val="00A86205"/>
    <w:pPr>
      <w:spacing w:before="100" w:beforeAutospacing="1" w:after="100" w:afterAutospacing="1" w:line="240" w:lineRule="auto"/>
    </w:pPr>
    <w:rPr>
      <w:rFonts w:ascii="Times New Roman" w:hAnsi="Times New Roman"/>
      <w:sz w:val="24"/>
    </w:rPr>
  </w:style>
  <w:style w:type="character" w:styleId="Znakapoznpodarou">
    <w:name w:val="footnote reference"/>
    <w:rsid w:val="000B2975"/>
    <w:rPr>
      <w:vertAlign w:val="superscript"/>
    </w:rPr>
  </w:style>
  <w:style w:type="paragraph" w:styleId="Odstavecseseznamem">
    <w:name w:val="List Paragraph"/>
    <w:basedOn w:val="Normln"/>
    <w:uiPriority w:val="99"/>
    <w:qFormat/>
    <w:rsid w:val="000B2975"/>
    <w:pPr>
      <w:suppressAutoHyphens/>
      <w:spacing w:before="280" w:after="280" w:line="240" w:lineRule="auto"/>
      <w:ind w:left="720"/>
    </w:pPr>
    <w:rPr>
      <w:rFonts w:ascii="Times New Roman" w:hAnsi="Times New Roman"/>
      <w:sz w:val="24"/>
      <w:lang w:eastAsia="ar-SA"/>
    </w:rPr>
  </w:style>
  <w:style w:type="paragraph" w:styleId="Titulek">
    <w:name w:val="caption"/>
    <w:basedOn w:val="Normln"/>
    <w:next w:val="Normln"/>
    <w:uiPriority w:val="35"/>
    <w:unhideWhenUsed/>
    <w:qFormat/>
    <w:rsid w:val="001C0339"/>
    <w:pPr>
      <w:spacing w:after="200" w:line="240" w:lineRule="auto"/>
    </w:pPr>
    <w:rPr>
      <w:i/>
      <w:iCs/>
      <w:color w:val="1F497D" w:themeColor="text2"/>
      <w:sz w:val="18"/>
      <w:szCs w:val="18"/>
    </w:rPr>
  </w:style>
  <w:style w:type="paragraph" w:styleId="Textpoznpodarou">
    <w:name w:val="footnote text"/>
    <w:basedOn w:val="Normln"/>
    <w:link w:val="TextpoznpodarouChar"/>
    <w:uiPriority w:val="99"/>
    <w:semiHidden/>
    <w:rsid w:val="00C44514"/>
    <w:pPr>
      <w:spacing w:after="0"/>
    </w:pPr>
    <w:rPr>
      <w:szCs w:val="20"/>
    </w:rPr>
  </w:style>
  <w:style w:type="character" w:customStyle="1" w:styleId="TextpoznpodarouChar">
    <w:name w:val="Text pozn. pod čarou Char"/>
    <w:basedOn w:val="Standardnpsmoodstavce"/>
    <w:link w:val="Textpoznpodarou"/>
    <w:uiPriority w:val="99"/>
    <w:semiHidden/>
    <w:rsid w:val="00C44514"/>
    <w:rPr>
      <w:rFonts w:ascii="Arial" w:eastAsia="Times New Roman" w:hAnsi="Arial"/>
      <w:lang w:eastAsia="cs-CZ"/>
    </w:rPr>
  </w:style>
  <w:style w:type="paragraph" w:styleId="Zkladntextodsazen">
    <w:name w:val="Body Text Indent"/>
    <w:basedOn w:val="Normln"/>
    <w:link w:val="ZkladntextodsazenChar"/>
    <w:uiPriority w:val="99"/>
    <w:rsid w:val="002F5A91"/>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2F5A91"/>
    <w:rPr>
      <w:rFonts w:ascii="Arial" w:eastAsia="Times New Roman" w:hAnsi="Arial"/>
      <w:lang w:eastAsia="cs-CZ"/>
    </w:rPr>
  </w:style>
  <w:style w:type="paragraph" w:styleId="Textvysvtlivek">
    <w:name w:val="endnote text"/>
    <w:basedOn w:val="Normln"/>
    <w:link w:val="TextvysvtlivekChar"/>
    <w:uiPriority w:val="99"/>
    <w:semiHidden/>
    <w:unhideWhenUsed/>
    <w:rsid w:val="00B535D0"/>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B535D0"/>
    <w:rPr>
      <w:rFonts w:ascii="Arial" w:eastAsia="Times New Roman" w:hAnsi="Arial"/>
      <w:lang w:eastAsia="cs-CZ"/>
    </w:rPr>
  </w:style>
  <w:style w:type="character" w:styleId="Odkaznavysvtlivky">
    <w:name w:val="endnote reference"/>
    <w:basedOn w:val="Standardnpsmoodstavce"/>
    <w:uiPriority w:val="99"/>
    <w:semiHidden/>
    <w:unhideWhenUsed/>
    <w:rsid w:val="00B535D0"/>
    <w:rPr>
      <w:vertAlign w:val="superscript"/>
    </w:rPr>
  </w:style>
  <w:style w:type="paragraph" w:styleId="Seznamobrzk">
    <w:name w:val="table of figures"/>
    <w:basedOn w:val="Normln"/>
    <w:next w:val="Normln"/>
    <w:uiPriority w:val="99"/>
    <w:unhideWhenUsed/>
    <w:rsid w:val="0047139E"/>
    <w:pPr>
      <w:spacing w:after="0"/>
    </w:pPr>
  </w:style>
  <w:style w:type="character" w:styleId="Sledovanodkaz">
    <w:name w:val="FollowedHyperlink"/>
    <w:basedOn w:val="Standardnpsmoodstavce"/>
    <w:uiPriority w:val="99"/>
    <w:semiHidden/>
    <w:unhideWhenUsed/>
    <w:rsid w:val="004744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1860358">
      <w:bodyDiv w:val="1"/>
      <w:marLeft w:val="0"/>
      <w:marRight w:val="0"/>
      <w:marTop w:val="0"/>
      <w:marBottom w:val="0"/>
      <w:divBdr>
        <w:top w:val="none" w:sz="0" w:space="0" w:color="auto"/>
        <w:left w:val="none" w:sz="0" w:space="0" w:color="auto"/>
        <w:bottom w:val="none" w:sz="0" w:space="0" w:color="auto"/>
        <w:right w:val="none" w:sz="0" w:space="0" w:color="auto"/>
      </w:divBdr>
    </w:div>
    <w:div w:id="86660881">
      <w:bodyDiv w:val="1"/>
      <w:marLeft w:val="0"/>
      <w:marRight w:val="0"/>
      <w:marTop w:val="0"/>
      <w:marBottom w:val="0"/>
      <w:divBdr>
        <w:top w:val="none" w:sz="0" w:space="0" w:color="auto"/>
        <w:left w:val="none" w:sz="0" w:space="0" w:color="auto"/>
        <w:bottom w:val="none" w:sz="0" w:space="0" w:color="auto"/>
        <w:right w:val="none" w:sz="0" w:space="0" w:color="auto"/>
      </w:divBdr>
      <w:divsChild>
        <w:div w:id="868645060">
          <w:marLeft w:val="0"/>
          <w:marRight w:val="0"/>
          <w:marTop w:val="0"/>
          <w:marBottom w:val="0"/>
          <w:divBdr>
            <w:top w:val="none" w:sz="0" w:space="0" w:color="auto"/>
            <w:left w:val="none" w:sz="0" w:space="0" w:color="auto"/>
            <w:bottom w:val="none" w:sz="0" w:space="0" w:color="auto"/>
            <w:right w:val="none" w:sz="0" w:space="0" w:color="auto"/>
          </w:divBdr>
        </w:div>
        <w:div w:id="595595093">
          <w:marLeft w:val="0"/>
          <w:marRight w:val="0"/>
          <w:marTop w:val="0"/>
          <w:marBottom w:val="0"/>
          <w:divBdr>
            <w:top w:val="none" w:sz="0" w:space="0" w:color="auto"/>
            <w:left w:val="none" w:sz="0" w:space="0" w:color="auto"/>
            <w:bottom w:val="none" w:sz="0" w:space="0" w:color="auto"/>
            <w:right w:val="none" w:sz="0" w:space="0" w:color="auto"/>
          </w:divBdr>
        </w:div>
        <w:div w:id="728651557">
          <w:marLeft w:val="0"/>
          <w:marRight w:val="0"/>
          <w:marTop w:val="0"/>
          <w:marBottom w:val="0"/>
          <w:divBdr>
            <w:top w:val="none" w:sz="0" w:space="0" w:color="auto"/>
            <w:left w:val="none" w:sz="0" w:space="0" w:color="auto"/>
            <w:bottom w:val="none" w:sz="0" w:space="0" w:color="auto"/>
            <w:right w:val="none" w:sz="0" w:space="0" w:color="auto"/>
          </w:divBdr>
        </w:div>
        <w:div w:id="1210340624">
          <w:marLeft w:val="0"/>
          <w:marRight w:val="0"/>
          <w:marTop w:val="0"/>
          <w:marBottom w:val="0"/>
          <w:divBdr>
            <w:top w:val="none" w:sz="0" w:space="0" w:color="auto"/>
            <w:left w:val="none" w:sz="0" w:space="0" w:color="auto"/>
            <w:bottom w:val="none" w:sz="0" w:space="0" w:color="auto"/>
            <w:right w:val="none" w:sz="0" w:space="0" w:color="auto"/>
          </w:divBdr>
        </w:div>
        <w:div w:id="1849175131">
          <w:marLeft w:val="0"/>
          <w:marRight w:val="0"/>
          <w:marTop w:val="0"/>
          <w:marBottom w:val="0"/>
          <w:divBdr>
            <w:top w:val="none" w:sz="0" w:space="0" w:color="auto"/>
            <w:left w:val="none" w:sz="0" w:space="0" w:color="auto"/>
            <w:bottom w:val="none" w:sz="0" w:space="0" w:color="auto"/>
            <w:right w:val="none" w:sz="0" w:space="0" w:color="auto"/>
          </w:divBdr>
        </w:div>
        <w:div w:id="937524269">
          <w:marLeft w:val="0"/>
          <w:marRight w:val="0"/>
          <w:marTop w:val="0"/>
          <w:marBottom w:val="0"/>
          <w:divBdr>
            <w:top w:val="none" w:sz="0" w:space="0" w:color="auto"/>
            <w:left w:val="none" w:sz="0" w:space="0" w:color="auto"/>
            <w:bottom w:val="none" w:sz="0" w:space="0" w:color="auto"/>
            <w:right w:val="none" w:sz="0" w:space="0" w:color="auto"/>
          </w:divBdr>
        </w:div>
        <w:div w:id="80877033">
          <w:marLeft w:val="0"/>
          <w:marRight w:val="0"/>
          <w:marTop w:val="0"/>
          <w:marBottom w:val="0"/>
          <w:divBdr>
            <w:top w:val="none" w:sz="0" w:space="0" w:color="auto"/>
            <w:left w:val="none" w:sz="0" w:space="0" w:color="auto"/>
            <w:bottom w:val="none" w:sz="0" w:space="0" w:color="auto"/>
            <w:right w:val="none" w:sz="0" w:space="0" w:color="auto"/>
          </w:divBdr>
        </w:div>
        <w:div w:id="360472931">
          <w:marLeft w:val="0"/>
          <w:marRight w:val="0"/>
          <w:marTop w:val="0"/>
          <w:marBottom w:val="0"/>
          <w:divBdr>
            <w:top w:val="none" w:sz="0" w:space="0" w:color="auto"/>
            <w:left w:val="none" w:sz="0" w:space="0" w:color="auto"/>
            <w:bottom w:val="none" w:sz="0" w:space="0" w:color="auto"/>
            <w:right w:val="none" w:sz="0" w:space="0" w:color="auto"/>
          </w:divBdr>
        </w:div>
        <w:div w:id="926689499">
          <w:marLeft w:val="0"/>
          <w:marRight w:val="0"/>
          <w:marTop w:val="0"/>
          <w:marBottom w:val="0"/>
          <w:divBdr>
            <w:top w:val="none" w:sz="0" w:space="0" w:color="auto"/>
            <w:left w:val="none" w:sz="0" w:space="0" w:color="auto"/>
            <w:bottom w:val="none" w:sz="0" w:space="0" w:color="auto"/>
            <w:right w:val="none" w:sz="0" w:space="0" w:color="auto"/>
          </w:divBdr>
        </w:div>
        <w:div w:id="1759251069">
          <w:marLeft w:val="0"/>
          <w:marRight w:val="0"/>
          <w:marTop w:val="0"/>
          <w:marBottom w:val="0"/>
          <w:divBdr>
            <w:top w:val="none" w:sz="0" w:space="0" w:color="auto"/>
            <w:left w:val="none" w:sz="0" w:space="0" w:color="auto"/>
            <w:bottom w:val="none" w:sz="0" w:space="0" w:color="auto"/>
            <w:right w:val="none" w:sz="0" w:space="0" w:color="auto"/>
          </w:divBdr>
        </w:div>
        <w:div w:id="1631008926">
          <w:marLeft w:val="0"/>
          <w:marRight w:val="0"/>
          <w:marTop w:val="0"/>
          <w:marBottom w:val="0"/>
          <w:divBdr>
            <w:top w:val="none" w:sz="0" w:space="0" w:color="auto"/>
            <w:left w:val="none" w:sz="0" w:space="0" w:color="auto"/>
            <w:bottom w:val="none" w:sz="0" w:space="0" w:color="auto"/>
            <w:right w:val="none" w:sz="0" w:space="0" w:color="auto"/>
          </w:divBdr>
        </w:div>
        <w:div w:id="756679415">
          <w:marLeft w:val="0"/>
          <w:marRight w:val="0"/>
          <w:marTop w:val="0"/>
          <w:marBottom w:val="0"/>
          <w:divBdr>
            <w:top w:val="none" w:sz="0" w:space="0" w:color="auto"/>
            <w:left w:val="none" w:sz="0" w:space="0" w:color="auto"/>
            <w:bottom w:val="none" w:sz="0" w:space="0" w:color="auto"/>
            <w:right w:val="none" w:sz="0" w:space="0" w:color="auto"/>
          </w:divBdr>
        </w:div>
        <w:div w:id="1407922103">
          <w:marLeft w:val="0"/>
          <w:marRight w:val="0"/>
          <w:marTop w:val="0"/>
          <w:marBottom w:val="0"/>
          <w:divBdr>
            <w:top w:val="none" w:sz="0" w:space="0" w:color="auto"/>
            <w:left w:val="none" w:sz="0" w:space="0" w:color="auto"/>
            <w:bottom w:val="none" w:sz="0" w:space="0" w:color="auto"/>
            <w:right w:val="none" w:sz="0" w:space="0" w:color="auto"/>
          </w:divBdr>
        </w:div>
        <w:div w:id="65034994">
          <w:marLeft w:val="0"/>
          <w:marRight w:val="0"/>
          <w:marTop w:val="0"/>
          <w:marBottom w:val="0"/>
          <w:divBdr>
            <w:top w:val="none" w:sz="0" w:space="0" w:color="auto"/>
            <w:left w:val="none" w:sz="0" w:space="0" w:color="auto"/>
            <w:bottom w:val="none" w:sz="0" w:space="0" w:color="auto"/>
            <w:right w:val="none" w:sz="0" w:space="0" w:color="auto"/>
          </w:divBdr>
        </w:div>
        <w:div w:id="334500262">
          <w:marLeft w:val="0"/>
          <w:marRight w:val="0"/>
          <w:marTop w:val="0"/>
          <w:marBottom w:val="0"/>
          <w:divBdr>
            <w:top w:val="none" w:sz="0" w:space="0" w:color="auto"/>
            <w:left w:val="none" w:sz="0" w:space="0" w:color="auto"/>
            <w:bottom w:val="none" w:sz="0" w:space="0" w:color="auto"/>
            <w:right w:val="none" w:sz="0" w:space="0" w:color="auto"/>
          </w:divBdr>
        </w:div>
        <w:div w:id="376009702">
          <w:marLeft w:val="0"/>
          <w:marRight w:val="0"/>
          <w:marTop w:val="0"/>
          <w:marBottom w:val="0"/>
          <w:divBdr>
            <w:top w:val="none" w:sz="0" w:space="0" w:color="auto"/>
            <w:left w:val="none" w:sz="0" w:space="0" w:color="auto"/>
            <w:bottom w:val="none" w:sz="0" w:space="0" w:color="auto"/>
            <w:right w:val="none" w:sz="0" w:space="0" w:color="auto"/>
          </w:divBdr>
        </w:div>
        <w:div w:id="1956322764">
          <w:marLeft w:val="0"/>
          <w:marRight w:val="0"/>
          <w:marTop w:val="0"/>
          <w:marBottom w:val="0"/>
          <w:divBdr>
            <w:top w:val="none" w:sz="0" w:space="0" w:color="auto"/>
            <w:left w:val="none" w:sz="0" w:space="0" w:color="auto"/>
            <w:bottom w:val="none" w:sz="0" w:space="0" w:color="auto"/>
            <w:right w:val="none" w:sz="0" w:space="0" w:color="auto"/>
          </w:divBdr>
        </w:div>
        <w:div w:id="840512156">
          <w:marLeft w:val="0"/>
          <w:marRight w:val="0"/>
          <w:marTop w:val="0"/>
          <w:marBottom w:val="0"/>
          <w:divBdr>
            <w:top w:val="none" w:sz="0" w:space="0" w:color="auto"/>
            <w:left w:val="none" w:sz="0" w:space="0" w:color="auto"/>
            <w:bottom w:val="none" w:sz="0" w:space="0" w:color="auto"/>
            <w:right w:val="none" w:sz="0" w:space="0" w:color="auto"/>
          </w:divBdr>
        </w:div>
        <w:div w:id="347760949">
          <w:marLeft w:val="0"/>
          <w:marRight w:val="0"/>
          <w:marTop w:val="0"/>
          <w:marBottom w:val="0"/>
          <w:divBdr>
            <w:top w:val="none" w:sz="0" w:space="0" w:color="auto"/>
            <w:left w:val="none" w:sz="0" w:space="0" w:color="auto"/>
            <w:bottom w:val="none" w:sz="0" w:space="0" w:color="auto"/>
            <w:right w:val="none" w:sz="0" w:space="0" w:color="auto"/>
          </w:divBdr>
        </w:div>
        <w:div w:id="989672391">
          <w:marLeft w:val="0"/>
          <w:marRight w:val="0"/>
          <w:marTop w:val="0"/>
          <w:marBottom w:val="0"/>
          <w:divBdr>
            <w:top w:val="none" w:sz="0" w:space="0" w:color="auto"/>
            <w:left w:val="none" w:sz="0" w:space="0" w:color="auto"/>
            <w:bottom w:val="none" w:sz="0" w:space="0" w:color="auto"/>
            <w:right w:val="none" w:sz="0" w:space="0" w:color="auto"/>
          </w:divBdr>
        </w:div>
        <w:div w:id="1999527661">
          <w:marLeft w:val="0"/>
          <w:marRight w:val="0"/>
          <w:marTop w:val="0"/>
          <w:marBottom w:val="0"/>
          <w:divBdr>
            <w:top w:val="none" w:sz="0" w:space="0" w:color="auto"/>
            <w:left w:val="none" w:sz="0" w:space="0" w:color="auto"/>
            <w:bottom w:val="none" w:sz="0" w:space="0" w:color="auto"/>
            <w:right w:val="none" w:sz="0" w:space="0" w:color="auto"/>
          </w:divBdr>
        </w:div>
        <w:div w:id="1265112052">
          <w:marLeft w:val="0"/>
          <w:marRight w:val="0"/>
          <w:marTop w:val="0"/>
          <w:marBottom w:val="0"/>
          <w:divBdr>
            <w:top w:val="none" w:sz="0" w:space="0" w:color="auto"/>
            <w:left w:val="none" w:sz="0" w:space="0" w:color="auto"/>
            <w:bottom w:val="none" w:sz="0" w:space="0" w:color="auto"/>
            <w:right w:val="none" w:sz="0" w:space="0" w:color="auto"/>
          </w:divBdr>
        </w:div>
        <w:div w:id="277034290">
          <w:marLeft w:val="0"/>
          <w:marRight w:val="0"/>
          <w:marTop w:val="0"/>
          <w:marBottom w:val="0"/>
          <w:divBdr>
            <w:top w:val="none" w:sz="0" w:space="0" w:color="auto"/>
            <w:left w:val="none" w:sz="0" w:space="0" w:color="auto"/>
            <w:bottom w:val="none" w:sz="0" w:space="0" w:color="auto"/>
            <w:right w:val="none" w:sz="0" w:space="0" w:color="auto"/>
          </w:divBdr>
        </w:div>
        <w:div w:id="1284193834">
          <w:marLeft w:val="0"/>
          <w:marRight w:val="0"/>
          <w:marTop w:val="0"/>
          <w:marBottom w:val="0"/>
          <w:divBdr>
            <w:top w:val="none" w:sz="0" w:space="0" w:color="auto"/>
            <w:left w:val="none" w:sz="0" w:space="0" w:color="auto"/>
            <w:bottom w:val="none" w:sz="0" w:space="0" w:color="auto"/>
            <w:right w:val="none" w:sz="0" w:space="0" w:color="auto"/>
          </w:divBdr>
        </w:div>
        <w:div w:id="1700667310">
          <w:marLeft w:val="0"/>
          <w:marRight w:val="0"/>
          <w:marTop w:val="0"/>
          <w:marBottom w:val="0"/>
          <w:divBdr>
            <w:top w:val="none" w:sz="0" w:space="0" w:color="auto"/>
            <w:left w:val="none" w:sz="0" w:space="0" w:color="auto"/>
            <w:bottom w:val="none" w:sz="0" w:space="0" w:color="auto"/>
            <w:right w:val="none" w:sz="0" w:space="0" w:color="auto"/>
          </w:divBdr>
        </w:div>
        <w:div w:id="2022705486">
          <w:marLeft w:val="0"/>
          <w:marRight w:val="0"/>
          <w:marTop w:val="0"/>
          <w:marBottom w:val="0"/>
          <w:divBdr>
            <w:top w:val="none" w:sz="0" w:space="0" w:color="auto"/>
            <w:left w:val="none" w:sz="0" w:space="0" w:color="auto"/>
            <w:bottom w:val="none" w:sz="0" w:space="0" w:color="auto"/>
            <w:right w:val="none" w:sz="0" w:space="0" w:color="auto"/>
          </w:divBdr>
        </w:div>
        <w:div w:id="121071819">
          <w:marLeft w:val="0"/>
          <w:marRight w:val="0"/>
          <w:marTop w:val="0"/>
          <w:marBottom w:val="0"/>
          <w:divBdr>
            <w:top w:val="none" w:sz="0" w:space="0" w:color="auto"/>
            <w:left w:val="none" w:sz="0" w:space="0" w:color="auto"/>
            <w:bottom w:val="none" w:sz="0" w:space="0" w:color="auto"/>
            <w:right w:val="none" w:sz="0" w:space="0" w:color="auto"/>
          </w:divBdr>
        </w:div>
        <w:div w:id="1666661200">
          <w:marLeft w:val="0"/>
          <w:marRight w:val="0"/>
          <w:marTop w:val="0"/>
          <w:marBottom w:val="0"/>
          <w:divBdr>
            <w:top w:val="none" w:sz="0" w:space="0" w:color="auto"/>
            <w:left w:val="none" w:sz="0" w:space="0" w:color="auto"/>
            <w:bottom w:val="none" w:sz="0" w:space="0" w:color="auto"/>
            <w:right w:val="none" w:sz="0" w:space="0" w:color="auto"/>
          </w:divBdr>
        </w:div>
        <w:div w:id="395587225">
          <w:marLeft w:val="0"/>
          <w:marRight w:val="0"/>
          <w:marTop w:val="0"/>
          <w:marBottom w:val="0"/>
          <w:divBdr>
            <w:top w:val="none" w:sz="0" w:space="0" w:color="auto"/>
            <w:left w:val="none" w:sz="0" w:space="0" w:color="auto"/>
            <w:bottom w:val="none" w:sz="0" w:space="0" w:color="auto"/>
            <w:right w:val="none" w:sz="0" w:space="0" w:color="auto"/>
          </w:divBdr>
        </w:div>
        <w:div w:id="1087775277">
          <w:marLeft w:val="0"/>
          <w:marRight w:val="0"/>
          <w:marTop w:val="0"/>
          <w:marBottom w:val="0"/>
          <w:divBdr>
            <w:top w:val="none" w:sz="0" w:space="0" w:color="auto"/>
            <w:left w:val="none" w:sz="0" w:space="0" w:color="auto"/>
            <w:bottom w:val="none" w:sz="0" w:space="0" w:color="auto"/>
            <w:right w:val="none" w:sz="0" w:space="0" w:color="auto"/>
          </w:divBdr>
        </w:div>
        <w:div w:id="540434938">
          <w:marLeft w:val="0"/>
          <w:marRight w:val="0"/>
          <w:marTop w:val="0"/>
          <w:marBottom w:val="0"/>
          <w:divBdr>
            <w:top w:val="none" w:sz="0" w:space="0" w:color="auto"/>
            <w:left w:val="none" w:sz="0" w:space="0" w:color="auto"/>
            <w:bottom w:val="none" w:sz="0" w:space="0" w:color="auto"/>
            <w:right w:val="none" w:sz="0" w:space="0" w:color="auto"/>
          </w:divBdr>
        </w:div>
        <w:div w:id="1653370940">
          <w:marLeft w:val="0"/>
          <w:marRight w:val="0"/>
          <w:marTop w:val="0"/>
          <w:marBottom w:val="0"/>
          <w:divBdr>
            <w:top w:val="none" w:sz="0" w:space="0" w:color="auto"/>
            <w:left w:val="none" w:sz="0" w:space="0" w:color="auto"/>
            <w:bottom w:val="none" w:sz="0" w:space="0" w:color="auto"/>
            <w:right w:val="none" w:sz="0" w:space="0" w:color="auto"/>
          </w:divBdr>
        </w:div>
        <w:div w:id="1306086060">
          <w:marLeft w:val="0"/>
          <w:marRight w:val="0"/>
          <w:marTop w:val="0"/>
          <w:marBottom w:val="0"/>
          <w:divBdr>
            <w:top w:val="none" w:sz="0" w:space="0" w:color="auto"/>
            <w:left w:val="none" w:sz="0" w:space="0" w:color="auto"/>
            <w:bottom w:val="none" w:sz="0" w:space="0" w:color="auto"/>
            <w:right w:val="none" w:sz="0" w:space="0" w:color="auto"/>
          </w:divBdr>
        </w:div>
        <w:div w:id="1196775641">
          <w:marLeft w:val="0"/>
          <w:marRight w:val="0"/>
          <w:marTop w:val="0"/>
          <w:marBottom w:val="0"/>
          <w:divBdr>
            <w:top w:val="none" w:sz="0" w:space="0" w:color="auto"/>
            <w:left w:val="none" w:sz="0" w:space="0" w:color="auto"/>
            <w:bottom w:val="none" w:sz="0" w:space="0" w:color="auto"/>
            <w:right w:val="none" w:sz="0" w:space="0" w:color="auto"/>
          </w:divBdr>
        </w:div>
        <w:div w:id="815490425">
          <w:marLeft w:val="0"/>
          <w:marRight w:val="0"/>
          <w:marTop w:val="0"/>
          <w:marBottom w:val="0"/>
          <w:divBdr>
            <w:top w:val="none" w:sz="0" w:space="0" w:color="auto"/>
            <w:left w:val="none" w:sz="0" w:space="0" w:color="auto"/>
            <w:bottom w:val="none" w:sz="0" w:space="0" w:color="auto"/>
            <w:right w:val="none" w:sz="0" w:space="0" w:color="auto"/>
          </w:divBdr>
        </w:div>
        <w:div w:id="1986280321">
          <w:marLeft w:val="0"/>
          <w:marRight w:val="0"/>
          <w:marTop w:val="0"/>
          <w:marBottom w:val="0"/>
          <w:divBdr>
            <w:top w:val="none" w:sz="0" w:space="0" w:color="auto"/>
            <w:left w:val="none" w:sz="0" w:space="0" w:color="auto"/>
            <w:bottom w:val="none" w:sz="0" w:space="0" w:color="auto"/>
            <w:right w:val="none" w:sz="0" w:space="0" w:color="auto"/>
          </w:divBdr>
        </w:div>
        <w:div w:id="1654718672">
          <w:marLeft w:val="0"/>
          <w:marRight w:val="0"/>
          <w:marTop w:val="0"/>
          <w:marBottom w:val="0"/>
          <w:divBdr>
            <w:top w:val="none" w:sz="0" w:space="0" w:color="auto"/>
            <w:left w:val="none" w:sz="0" w:space="0" w:color="auto"/>
            <w:bottom w:val="none" w:sz="0" w:space="0" w:color="auto"/>
            <w:right w:val="none" w:sz="0" w:space="0" w:color="auto"/>
          </w:divBdr>
        </w:div>
        <w:div w:id="859317371">
          <w:marLeft w:val="0"/>
          <w:marRight w:val="0"/>
          <w:marTop w:val="0"/>
          <w:marBottom w:val="0"/>
          <w:divBdr>
            <w:top w:val="none" w:sz="0" w:space="0" w:color="auto"/>
            <w:left w:val="none" w:sz="0" w:space="0" w:color="auto"/>
            <w:bottom w:val="none" w:sz="0" w:space="0" w:color="auto"/>
            <w:right w:val="none" w:sz="0" w:space="0" w:color="auto"/>
          </w:divBdr>
        </w:div>
        <w:div w:id="386882202">
          <w:marLeft w:val="0"/>
          <w:marRight w:val="0"/>
          <w:marTop w:val="0"/>
          <w:marBottom w:val="0"/>
          <w:divBdr>
            <w:top w:val="none" w:sz="0" w:space="0" w:color="auto"/>
            <w:left w:val="none" w:sz="0" w:space="0" w:color="auto"/>
            <w:bottom w:val="none" w:sz="0" w:space="0" w:color="auto"/>
            <w:right w:val="none" w:sz="0" w:space="0" w:color="auto"/>
          </w:divBdr>
        </w:div>
        <w:div w:id="1454903964">
          <w:marLeft w:val="0"/>
          <w:marRight w:val="0"/>
          <w:marTop w:val="0"/>
          <w:marBottom w:val="0"/>
          <w:divBdr>
            <w:top w:val="none" w:sz="0" w:space="0" w:color="auto"/>
            <w:left w:val="none" w:sz="0" w:space="0" w:color="auto"/>
            <w:bottom w:val="none" w:sz="0" w:space="0" w:color="auto"/>
            <w:right w:val="none" w:sz="0" w:space="0" w:color="auto"/>
          </w:divBdr>
        </w:div>
        <w:div w:id="1778408491">
          <w:marLeft w:val="0"/>
          <w:marRight w:val="0"/>
          <w:marTop w:val="0"/>
          <w:marBottom w:val="0"/>
          <w:divBdr>
            <w:top w:val="none" w:sz="0" w:space="0" w:color="auto"/>
            <w:left w:val="none" w:sz="0" w:space="0" w:color="auto"/>
            <w:bottom w:val="none" w:sz="0" w:space="0" w:color="auto"/>
            <w:right w:val="none" w:sz="0" w:space="0" w:color="auto"/>
          </w:divBdr>
        </w:div>
        <w:div w:id="142158479">
          <w:marLeft w:val="0"/>
          <w:marRight w:val="0"/>
          <w:marTop w:val="0"/>
          <w:marBottom w:val="0"/>
          <w:divBdr>
            <w:top w:val="none" w:sz="0" w:space="0" w:color="auto"/>
            <w:left w:val="none" w:sz="0" w:space="0" w:color="auto"/>
            <w:bottom w:val="none" w:sz="0" w:space="0" w:color="auto"/>
            <w:right w:val="none" w:sz="0" w:space="0" w:color="auto"/>
          </w:divBdr>
        </w:div>
        <w:div w:id="1072969911">
          <w:marLeft w:val="0"/>
          <w:marRight w:val="0"/>
          <w:marTop w:val="0"/>
          <w:marBottom w:val="0"/>
          <w:divBdr>
            <w:top w:val="none" w:sz="0" w:space="0" w:color="auto"/>
            <w:left w:val="none" w:sz="0" w:space="0" w:color="auto"/>
            <w:bottom w:val="none" w:sz="0" w:space="0" w:color="auto"/>
            <w:right w:val="none" w:sz="0" w:space="0" w:color="auto"/>
          </w:divBdr>
        </w:div>
        <w:div w:id="1336884988">
          <w:marLeft w:val="0"/>
          <w:marRight w:val="0"/>
          <w:marTop w:val="0"/>
          <w:marBottom w:val="0"/>
          <w:divBdr>
            <w:top w:val="none" w:sz="0" w:space="0" w:color="auto"/>
            <w:left w:val="none" w:sz="0" w:space="0" w:color="auto"/>
            <w:bottom w:val="none" w:sz="0" w:space="0" w:color="auto"/>
            <w:right w:val="none" w:sz="0" w:space="0" w:color="auto"/>
          </w:divBdr>
        </w:div>
        <w:div w:id="1678188630">
          <w:marLeft w:val="0"/>
          <w:marRight w:val="0"/>
          <w:marTop w:val="0"/>
          <w:marBottom w:val="0"/>
          <w:divBdr>
            <w:top w:val="none" w:sz="0" w:space="0" w:color="auto"/>
            <w:left w:val="none" w:sz="0" w:space="0" w:color="auto"/>
            <w:bottom w:val="none" w:sz="0" w:space="0" w:color="auto"/>
            <w:right w:val="none" w:sz="0" w:space="0" w:color="auto"/>
          </w:divBdr>
        </w:div>
        <w:div w:id="640228898">
          <w:marLeft w:val="0"/>
          <w:marRight w:val="0"/>
          <w:marTop w:val="0"/>
          <w:marBottom w:val="0"/>
          <w:divBdr>
            <w:top w:val="none" w:sz="0" w:space="0" w:color="auto"/>
            <w:left w:val="none" w:sz="0" w:space="0" w:color="auto"/>
            <w:bottom w:val="none" w:sz="0" w:space="0" w:color="auto"/>
            <w:right w:val="none" w:sz="0" w:space="0" w:color="auto"/>
          </w:divBdr>
        </w:div>
        <w:div w:id="252469576">
          <w:marLeft w:val="0"/>
          <w:marRight w:val="0"/>
          <w:marTop w:val="0"/>
          <w:marBottom w:val="0"/>
          <w:divBdr>
            <w:top w:val="none" w:sz="0" w:space="0" w:color="auto"/>
            <w:left w:val="none" w:sz="0" w:space="0" w:color="auto"/>
            <w:bottom w:val="none" w:sz="0" w:space="0" w:color="auto"/>
            <w:right w:val="none" w:sz="0" w:space="0" w:color="auto"/>
          </w:divBdr>
        </w:div>
        <w:div w:id="1003315614">
          <w:marLeft w:val="0"/>
          <w:marRight w:val="0"/>
          <w:marTop w:val="0"/>
          <w:marBottom w:val="0"/>
          <w:divBdr>
            <w:top w:val="none" w:sz="0" w:space="0" w:color="auto"/>
            <w:left w:val="none" w:sz="0" w:space="0" w:color="auto"/>
            <w:bottom w:val="none" w:sz="0" w:space="0" w:color="auto"/>
            <w:right w:val="none" w:sz="0" w:space="0" w:color="auto"/>
          </w:divBdr>
        </w:div>
      </w:divsChild>
    </w:div>
    <w:div w:id="133836293">
      <w:bodyDiv w:val="1"/>
      <w:marLeft w:val="0"/>
      <w:marRight w:val="0"/>
      <w:marTop w:val="0"/>
      <w:marBottom w:val="0"/>
      <w:divBdr>
        <w:top w:val="none" w:sz="0" w:space="0" w:color="auto"/>
        <w:left w:val="none" w:sz="0" w:space="0" w:color="auto"/>
        <w:bottom w:val="none" w:sz="0" w:space="0" w:color="auto"/>
        <w:right w:val="none" w:sz="0" w:space="0" w:color="auto"/>
      </w:divBdr>
    </w:div>
    <w:div w:id="139419919">
      <w:bodyDiv w:val="1"/>
      <w:marLeft w:val="0"/>
      <w:marRight w:val="0"/>
      <w:marTop w:val="0"/>
      <w:marBottom w:val="0"/>
      <w:divBdr>
        <w:top w:val="none" w:sz="0" w:space="0" w:color="auto"/>
        <w:left w:val="none" w:sz="0" w:space="0" w:color="auto"/>
        <w:bottom w:val="none" w:sz="0" w:space="0" w:color="auto"/>
        <w:right w:val="none" w:sz="0" w:space="0" w:color="auto"/>
      </w:divBdr>
    </w:div>
    <w:div w:id="156844505">
      <w:bodyDiv w:val="1"/>
      <w:marLeft w:val="0"/>
      <w:marRight w:val="0"/>
      <w:marTop w:val="0"/>
      <w:marBottom w:val="0"/>
      <w:divBdr>
        <w:top w:val="none" w:sz="0" w:space="0" w:color="auto"/>
        <w:left w:val="none" w:sz="0" w:space="0" w:color="auto"/>
        <w:bottom w:val="none" w:sz="0" w:space="0" w:color="auto"/>
        <w:right w:val="none" w:sz="0" w:space="0" w:color="auto"/>
      </w:divBdr>
    </w:div>
    <w:div w:id="173805000">
      <w:bodyDiv w:val="1"/>
      <w:marLeft w:val="0"/>
      <w:marRight w:val="0"/>
      <w:marTop w:val="0"/>
      <w:marBottom w:val="0"/>
      <w:divBdr>
        <w:top w:val="none" w:sz="0" w:space="0" w:color="auto"/>
        <w:left w:val="none" w:sz="0" w:space="0" w:color="auto"/>
        <w:bottom w:val="none" w:sz="0" w:space="0" w:color="auto"/>
        <w:right w:val="none" w:sz="0" w:space="0" w:color="auto"/>
      </w:divBdr>
    </w:div>
    <w:div w:id="176505336">
      <w:bodyDiv w:val="1"/>
      <w:marLeft w:val="0"/>
      <w:marRight w:val="0"/>
      <w:marTop w:val="0"/>
      <w:marBottom w:val="0"/>
      <w:divBdr>
        <w:top w:val="none" w:sz="0" w:space="0" w:color="auto"/>
        <w:left w:val="none" w:sz="0" w:space="0" w:color="auto"/>
        <w:bottom w:val="none" w:sz="0" w:space="0" w:color="auto"/>
        <w:right w:val="none" w:sz="0" w:space="0" w:color="auto"/>
      </w:divBdr>
    </w:div>
    <w:div w:id="205915063">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6375003">
      <w:bodyDiv w:val="1"/>
      <w:marLeft w:val="0"/>
      <w:marRight w:val="0"/>
      <w:marTop w:val="0"/>
      <w:marBottom w:val="0"/>
      <w:divBdr>
        <w:top w:val="none" w:sz="0" w:space="0" w:color="auto"/>
        <w:left w:val="none" w:sz="0" w:space="0" w:color="auto"/>
        <w:bottom w:val="none" w:sz="0" w:space="0" w:color="auto"/>
        <w:right w:val="none" w:sz="0" w:space="0" w:color="auto"/>
      </w:divBdr>
    </w:div>
    <w:div w:id="351610907">
      <w:bodyDiv w:val="1"/>
      <w:marLeft w:val="0"/>
      <w:marRight w:val="0"/>
      <w:marTop w:val="0"/>
      <w:marBottom w:val="0"/>
      <w:divBdr>
        <w:top w:val="none" w:sz="0" w:space="0" w:color="auto"/>
        <w:left w:val="none" w:sz="0" w:space="0" w:color="auto"/>
        <w:bottom w:val="none" w:sz="0" w:space="0" w:color="auto"/>
        <w:right w:val="none" w:sz="0" w:space="0" w:color="auto"/>
      </w:divBdr>
    </w:div>
    <w:div w:id="375083243">
      <w:bodyDiv w:val="1"/>
      <w:marLeft w:val="0"/>
      <w:marRight w:val="0"/>
      <w:marTop w:val="0"/>
      <w:marBottom w:val="0"/>
      <w:divBdr>
        <w:top w:val="none" w:sz="0" w:space="0" w:color="auto"/>
        <w:left w:val="none" w:sz="0" w:space="0" w:color="auto"/>
        <w:bottom w:val="none" w:sz="0" w:space="0" w:color="auto"/>
        <w:right w:val="none" w:sz="0" w:space="0" w:color="auto"/>
      </w:divBdr>
    </w:div>
    <w:div w:id="379130533">
      <w:bodyDiv w:val="1"/>
      <w:marLeft w:val="0"/>
      <w:marRight w:val="0"/>
      <w:marTop w:val="0"/>
      <w:marBottom w:val="0"/>
      <w:divBdr>
        <w:top w:val="none" w:sz="0" w:space="0" w:color="auto"/>
        <w:left w:val="none" w:sz="0" w:space="0" w:color="auto"/>
        <w:bottom w:val="none" w:sz="0" w:space="0" w:color="auto"/>
        <w:right w:val="none" w:sz="0" w:space="0" w:color="auto"/>
      </w:divBdr>
    </w:div>
    <w:div w:id="410665766">
      <w:bodyDiv w:val="1"/>
      <w:marLeft w:val="0"/>
      <w:marRight w:val="0"/>
      <w:marTop w:val="0"/>
      <w:marBottom w:val="0"/>
      <w:divBdr>
        <w:top w:val="none" w:sz="0" w:space="0" w:color="auto"/>
        <w:left w:val="none" w:sz="0" w:space="0" w:color="auto"/>
        <w:bottom w:val="none" w:sz="0" w:space="0" w:color="auto"/>
        <w:right w:val="none" w:sz="0" w:space="0" w:color="auto"/>
      </w:divBdr>
    </w:div>
    <w:div w:id="428937003">
      <w:bodyDiv w:val="1"/>
      <w:marLeft w:val="0"/>
      <w:marRight w:val="0"/>
      <w:marTop w:val="0"/>
      <w:marBottom w:val="0"/>
      <w:divBdr>
        <w:top w:val="none" w:sz="0" w:space="0" w:color="auto"/>
        <w:left w:val="none" w:sz="0" w:space="0" w:color="auto"/>
        <w:bottom w:val="none" w:sz="0" w:space="0" w:color="auto"/>
        <w:right w:val="none" w:sz="0" w:space="0" w:color="auto"/>
      </w:divBdr>
    </w:div>
    <w:div w:id="469713417">
      <w:bodyDiv w:val="1"/>
      <w:marLeft w:val="0"/>
      <w:marRight w:val="0"/>
      <w:marTop w:val="0"/>
      <w:marBottom w:val="0"/>
      <w:divBdr>
        <w:top w:val="none" w:sz="0" w:space="0" w:color="auto"/>
        <w:left w:val="none" w:sz="0" w:space="0" w:color="auto"/>
        <w:bottom w:val="none" w:sz="0" w:space="0" w:color="auto"/>
        <w:right w:val="none" w:sz="0" w:space="0" w:color="auto"/>
      </w:divBdr>
    </w:div>
    <w:div w:id="48563535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66842087">
      <w:bodyDiv w:val="1"/>
      <w:marLeft w:val="0"/>
      <w:marRight w:val="0"/>
      <w:marTop w:val="0"/>
      <w:marBottom w:val="0"/>
      <w:divBdr>
        <w:top w:val="none" w:sz="0" w:space="0" w:color="auto"/>
        <w:left w:val="none" w:sz="0" w:space="0" w:color="auto"/>
        <w:bottom w:val="none" w:sz="0" w:space="0" w:color="auto"/>
        <w:right w:val="none" w:sz="0" w:space="0" w:color="auto"/>
      </w:divBdr>
    </w:div>
    <w:div w:id="568421937">
      <w:bodyDiv w:val="1"/>
      <w:marLeft w:val="0"/>
      <w:marRight w:val="0"/>
      <w:marTop w:val="0"/>
      <w:marBottom w:val="0"/>
      <w:divBdr>
        <w:top w:val="none" w:sz="0" w:space="0" w:color="auto"/>
        <w:left w:val="none" w:sz="0" w:space="0" w:color="auto"/>
        <w:bottom w:val="none" w:sz="0" w:space="0" w:color="auto"/>
        <w:right w:val="none" w:sz="0" w:space="0" w:color="auto"/>
      </w:divBdr>
    </w:div>
    <w:div w:id="576018902">
      <w:bodyDiv w:val="1"/>
      <w:marLeft w:val="0"/>
      <w:marRight w:val="0"/>
      <w:marTop w:val="0"/>
      <w:marBottom w:val="0"/>
      <w:divBdr>
        <w:top w:val="none" w:sz="0" w:space="0" w:color="auto"/>
        <w:left w:val="none" w:sz="0" w:space="0" w:color="auto"/>
        <w:bottom w:val="none" w:sz="0" w:space="0" w:color="auto"/>
        <w:right w:val="none" w:sz="0" w:space="0" w:color="auto"/>
      </w:divBdr>
    </w:div>
    <w:div w:id="591858608">
      <w:bodyDiv w:val="1"/>
      <w:marLeft w:val="0"/>
      <w:marRight w:val="0"/>
      <w:marTop w:val="0"/>
      <w:marBottom w:val="0"/>
      <w:divBdr>
        <w:top w:val="none" w:sz="0" w:space="0" w:color="auto"/>
        <w:left w:val="none" w:sz="0" w:space="0" w:color="auto"/>
        <w:bottom w:val="none" w:sz="0" w:space="0" w:color="auto"/>
        <w:right w:val="none" w:sz="0" w:space="0" w:color="auto"/>
      </w:divBdr>
    </w:div>
    <w:div w:id="617689547">
      <w:bodyDiv w:val="1"/>
      <w:marLeft w:val="0"/>
      <w:marRight w:val="0"/>
      <w:marTop w:val="0"/>
      <w:marBottom w:val="0"/>
      <w:divBdr>
        <w:top w:val="none" w:sz="0" w:space="0" w:color="auto"/>
        <w:left w:val="none" w:sz="0" w:space="0" w:color="auto"/>
        <w:bottom w:val="none" w:sz="0" w:space="0" w:color="auto"/>
        <w:right w:val="none" w:sz="0" w:space="0" w:color="auto"/>
      </w:divBdr>
    </w:div>
    <w:div w:id="673145155">
      <w:bodyDiv w:val="1"/>
      <w:marLeft w:val="0"/>
      <w:marRight w:val="0"/>
      <w:marTop w:val="0"/>
      <w:marBottom w:val="0"/>
      <w:divBdr>
        <w:top w:val="none" w:sz="0" w:space="0" w:color="auto"/>
        <w:left w:val="none" w:sz="0" w:space="0" w:color="auto"/>
        <w:bottom w:val="none" w:sz="0" w:space="0" w:color="auto"/>
        <w:right w:val="none" w:sz="0" w:space="0" w:color="auto"/>
      </w:divBdr>
      <w:divsChild>
        <w:div w:id="1409615258">
          <w:marLeft w:val="0"/>
          <w:marRight w:val="0"/>
          <w:marTop w:val="0"/>
          <w:marBottom w:val="0"/>
          <w:divBdr>
            <w:top w:val="none" w:sz="0" w:space="0" w:color="auto"/>
            <w:left w:val="none" w:sz="0" w:space="0" w:color="auto"/>
            <w:bottom w:val="none" w:sz="0" w:space="0" w:color="auto"/>
            <w:right w:val="none" w:sz="0" w:space="0" w:color="auto"/>
          </w:divBdr>
        </w:div>
        <w:div w:id="1908957260">
          <w:marLeft w:val="0"/>
          <w:marRight w:val="0"/>
          <w:marTop w:val="0"/>
          <w:marBottom w:val="0"/>
          <w:divBdr>
            <w:top w:val="none" w:sz="0" w:space="0" w:color="auto"/>
            <w:left w:val="none" w:sz="0" w:space="0" w:color="auto"/>
            <w:bottom w:val="none" w:sz="0" w:space="0" w:color="auto"/>
            <w:right w:val="none" w:sz="0" w:space="0" w:color="auto"/>
          </w:divBdr>
        </w:div>
        <w:div w:id="1683893173">
          <w:marLeft w:val="0"/>
          <w:marRight w:val="0"/>
          <w:marTop w:val="0"/>
          <w:marBottom w:val="0"/>
          <w:divBdr>
            <w:top w:val="none" w:sz="0" w:space="0" w:color="auto"/>
            <w:left w:val="none" w:sz="0" w:space="0" w:color="auto"/>
            <w:bottom w:val="none" w:sz="0" w:space="0" w:color="auto"/>
            <w:right w:val="none" w:sz="0" w:space="0" w:color="auto"/>
          </w:divBdr>
        </w:div>
        <w:div w:id="1636134357">
          <w:marLeft w:val="0"/>
          <w:marRight w:val="0"/>
          <w:marTop w:val="0"/>
          <w:marBottom w:val="0"/>
          <w:divBdr>
            <w:top w:val="none" w:sz="0" w:space="0" w:color="auto"/>
            <w:left w:val="none" w:sz="0" w:space="0" w:color="auto"/>
            <w:bottom w:val="none" w:sz="0" w:space="0" w:color="auto"/>
            <w:right w:val="none" w:sz="0" w:space="0" w:color="auto"/>
          </w:divBdr>
        </w:div>
        <w:div w:id="1007710728">
          <w:marLeft w:val="0"/>
          <w:marRight w:val="0"/>
          <w:marTop w:val="0"/>
          <w:marBottom w:val="0"/>
          <w:divBdr>
            <w:top w:val="none" w:sz="0" w:space="0" w:color="auto"/>
            <w:left w:val="none" w:sz="0" w:space="0" w:color="auto"/>
            <w:bottom w:val="none" w:sz="0" w:space="0" w:color="auto"/>
            <w:right w:val="none" w:sz="0" w:space="0" w:color="auto"/>
          </w:divBdr>
        </w:div>
        <w:div w:id="871382429">
          <w:marLeft w:val="0"/>
          <w:marRight w:val="0"/>
          <w:marTop w:val="0"/>
          <w:marBottom w:val="0"/>
          <w:divBdr>
            <w:top w:val="none" w:sz="0" w:space="0" w:color="auto"/>
            <w:left w:val="none" w:sz="0" w:space="0" w:color="auto"/>
            <w:bottom w:val="none" w:sz="0" w:space="0" w:color="auto"/>
            <w:right w:val="none" w:sz="0" w:space="0" w:color="auto"/>
          </w:divBdr>
        </w:div>
        <w:div w:id="1035159271">
          <w:marLeft w:val="0"/>
          <w:marRight w:val="0"/>
          <w:marTop w:val="0"/>
          <w:marBottom w:val="0"/>
          <w:divBdr>
            <w:top w:val="none" w:sz="0" w:space="0" w:color="auto"/>
            <w:left w:val="none" w:sz="0" w:space="0" w:color="auto"/>
            <w:bottom w:val="none" w:sz="0" w:space="0" w:color="auto"/>
            <w:right w:val="none" w:sz="0" w:space="0" w:color="auto"/>
          </w:divBdr>
        </w:div>
        <w:div w:id="378474554">
          <w:marLeft w:val="0"/>
          <w:marRight w:val="0"/>
          <w:marTop w:val="0"/>
          <w:marBottom w:val="0"/>
          <w:divBdr>
            <w:top w:val="none" w:sz="0" w:space="0" w:color="auto"/>
            <w:left w:val="none" w:sz="0" w:space="0" w:color="auto"/>
            <w:bottom w:val="none" w:sz="0" w:space="0" w:color="auto"/>
            <w:right w:val="none" w:sz="0" w:space="0" w:color="auto"/>
          </w:divBdr>
        </w:div>
        <w:div w:id="458305026">
          <w:marLeft w:val="0"/>
          <w:marRight w:val="0"/>
          <w:marTop w:val="0"/>
          <w:marBottom w:val="0"/>
          <w:divBdr>
            <w:top w:val="none" w:sz="0" w:space="0" w:color="auto"/>
            <w:left w:val="none" w:sz="0" w:space="0" w:color="auto"/>
            <w:bottom w:val="none" w:sz="0" w:space="0" w:color="auto"/>
            <w:right w:val="none" w:sz="0" w:space="0" w:color="auto"/>
          </w:divBdr>
        </w:div>
        <w:div w:id="711462375">
          <w:marLeft w:val="0"/>
          <w:marRight w:val="0"/>
          <w:marTop w:val="0"/>
          <w:marBottom w:val="0"/>
          <w:divBdr>
            <w:top w:val="none" w:sz="0" w:space="0" w:color="auto"/>
            <w:left w:val="none" w:sz="0" w:space="0" w:color="auto"/>
            <w:bottom w:val="none" w:sz="0" w:space="0" w:color="auto"/>
            <w:right w:val="none" w:sz="0" w:space="0" w:color="auto"/>
          </w:divBdr>
        </w:div>
        <w:div w:id="1672028971">
          <w:marLeft w:val="0"/>
          <w:marRight w:val="0"/>
          <w:marTop w:val="0"/>
          <w:marBottom w:val="0"/>
          <w:divBdr>
            <w:top w:val="none" w:sz="0" w:space="0" w:color="auto"/>
            <w:left w:val="none" w:sz="0" w:space="0" w:color="auto"/>
            <w:bottom w:val="none" w:sz="0" w:space="0" w:color="auto"/>
            <w:right w:val="none" w:sz="0" w:space="0" w:color="auto"/>
          </w:divBdr>
        </w:div>
      </w:divsChild>
    </w:div>
    <w:div w:id="679360073">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05301535">
      <w:bodyDiv w:val="1"/>
      <w:marLeft w:val="0"/>
      <w:marRight w:val="0"/>
      <w:marTop w:val="0"/>
      <w:marBottom w:val="0"/>
      <w:divBdr>
        <w:top w:val="none" w:sz="0" w:space="0" w:color="auto"/>
        <w:left w:val="none" w:sz="0" w:space="0" w:color="auto"/>
        <w:bottom w:val="none" w:sz="0" w:space="0" w:color="auto"/>
        <w:right w:val="none" w:sz="0" w:space="0" w:color="auto"/>
      </w:divBdr>
    </w:div>
    <w:div w:id="741292858">
      <w:bodyDiv w:val="1"/>
      <w:marLeft w:val="0"/>
      <w:marRight w:val="0"/>
      <w:marTop w:val="0"/>
      <w:marBottom w:val="0"/>
      <w:divBdr>
        <w:top w:val="none" w:sz="0" w:space="0" w:color="auto"/>
        <w:left w:val="none" w:sz="0" w:space="0" w:color="auto"/>
        <w:bottom w:val="none" w:sz="0" w:space="0" w:color="auto"/>
        <w:right w:val="none" w:sz="0" w:space="0" w:color="auto"/>
      </w:divBdr>
      <w:divsChild>
        <w:div w:id="650251269">
          <w:marLeft w:val="0"/>
          <w:marRight w:val="0"/>
          <w:marTop w:val="0"/>
          <w:marBottom w:val="0"/>
          <w:divBdr>
            <w:top w:val="none" w:sz="0" w:space="0" w:color="auto"/>
            <w:left w:val="none" w:sz="0" w:space="0" w:color="auto"/>
            <w:bottom w:val="none" w:sz="0" w:space="0" w:color="auto"/>
            <w:right w:val="none" w:sz="0" w:space="0" w:color="auto"/>
          </w:divBdr>
        </w:div>
        <w:div w:id="553348636">
          <w:marLeft w:val="0"/>
          <w:marRight w:val="0"/>
          <w:marTop w:val="0"/>
          <w:marBottom w:val="0"/>
          <w:divBdr>
            <w:top w:val="none" w:sz="0" w:space="0" w:color="auto"/>
            <w:left w:val="none" w:sz="0" w:space="0" w:color="auto"/>
            <w:bottom w:val="none" w:sz="0" w:space="0" w:color="auto"/>
            <w:right w:val="none" w:sz="0" w:space="0" w:color="auto"/>
          </w:divBdr>
        </w:div>
        <w:div w:id="1533491497">
          <w:marLeft w:val="0"/>
          <w:marRight w:val="0"/>
          <w:marTop w:val="0"/>
          <w:marBottom w:val="0"/>
          <w:divBdr>
            <w:top w:val="none" w:sz="0" w:space="0" w:color="auto"/>
            <w:left w:val="none" w:sz="0" w:space="0" w:color="auto"/>
            <w:bottom w:val="none" w:sz="0" w:space="0" w:color="auto"/>
            <w:right w:val="none" w:sz="0" w:space="0" w:color="auto"/>
          </w:divBdr>
        </w:div>
        <w:div w:id="2139761394">
          <w:marLeft w:val="0"/>
          <w:marRight w:val="0"/>
          <w:marTop w:val="0"/>
          <w:marBottom w:val="0"/>
          <w:divBdr>
            <w:top w:val="none" w:sz="0" w:space="0" w:color="auto"/>
            <w:left w:val="none" w:sz="0" w:space="0" w:color="auto"/>
            <w:bottom w:val="none" w:sz="0" w:space="0" w:color="auto"/>
            <w:right w:val="none" w:sz="0" w:space="0" w:color="auto"/>
          </w:divBdr>
        </w:div>
        <w:div w:id="562637365">
          <w:marLeft w:val="0"/>
          <w:marRight w:val="0"/>
          <w:marTop w:val="0"/>
          <w:marBottom w:val="0"/>
          <w:divBdr>
            <w:top w:val="none" w:sz="0" w:space="0" w:color="auto"/>
            <w:left w:val="none" w:sz="0" w:space="0" w:color="auto"/>
            <w:bottom w:val="none" w:sz="0" w:space="0" w:color="auto"/>
            <w:right w:val="none" w:sz="0" w:space="0" w:color="auto"/>
          </w:divBdr>
        </w:div>
        <w:div w:id="1249534387">
          <w:marLeft w:val="0"/>
          <w:marRight w:val="0"/>
          <w:marTop w:val="0"/>
          <w:marBottom w:val="0"/>
          <w:divBdr>
            <w:top w:val="none" w:sz="0" w:space="0" w:color="auto"/>
            <w:left w:val="none" w:sz="0" w:space="0" w:color="auto"/>
            <w:bottom w:val="none" w:sz="0" w:space="0" w:color="auto"/>
            <w:right w:val="none" w:sz="0" w:space="0" w:color="auto"/>
          </w:divBdr>
        </w:div>
        <w:div w:id="924612931">
          <w:marLeft w:val="0"/>
          <w:marRight w:val="0"/>
          <w:marTop w:val="0"/>
          <w:marBottom w:val="0"/>
          <w:divBdr>
            <w:top w:val="none" w:sz="0" w:space="0" w:color="auto"/>
            <w:left w:val="none" w:sz="0" w:space="0" w:color="auto"/>
            <w:bottom w:val="none" w:sz="0" w:space="0" w:color="auto"/>
            <w:right w:val="none" w:sz="0" w:space="0" w:color="auto"/>
          </w:divBdr>
        </w:div>
        <w:div w:id="823014370">
          <w:marLeft w:val="0"/>
          <w:marRight w:val="0"/>
          <w:marTop w:val="0"/>
          <w:marBottom w:val="0"/>
          <w:divBdr>
            <w:top w:val="none" w:sz="0" w:space="0" w:color="auto"/>
            <w:left w:val="none" w:sz="0" w:space="0" w:color="auto"/>
            <w:bottom w:val="none" w:sz="0" w:space="0" w:color="auto"/>
            <w:right w:val="none" w:sz="0" w:space="0" w:color="auto"/>
          </w:divBdr>
        </w:div>
        <w:div w:id="70276268">
          <w:marLeft w:val="0"/>
          <w:marRight w:val="0"/>
          <w:marTop w:val="0"/>
          <w:marBottom w:val="0"/>
          <w:divBdr>
            <w:top w:val="none" w:sz="0" w:space="0" w:color="auto"/>
            <w:left w:val="none" w:sz="0" w:space="0" w:color="auto"/>
            <w:bottom w:val="none" w:sz="0" w:space="0" w:color="auto"/>
            <w:right w:val="none" w:sz="0" w:space="0" w:color="auto"/>
          </w:divBdr>
        </w:div>
        <w:div w:id="1624069232">
          <w:marLeft w:val="0"/>
          <w:marRight w:val="0"/>
          <w:marTop w:val="0"/>
          <w:marBottom w:val="0"/>
          <w:divBdr>
            <w:top w:val="none" w:sz="0" w:space="0" w:color="auto"/>
            <w:left w:val="none" w:sz="0" w:space="0" w:color="auto"/>
            <w:bottom w:val="none" w:sz="0" w:space="0" w:color="auto"/>
            <w:right w:val="none" w:sz="0" w:space="0" w:color="auto"/>
          </w:divBdr>
        </w:div>
        <w:div w:id="1684628923">
          <w:marLeft w:val="0"/>
          <w:marRight w:val="0"/>
          <w:marTop w:val="0"/>
          <w:marBottom w:val="0"/>
          <w:divBdr>
            <w:top w:val="none" w:sz="0" w:space="0" w:color="auto"/>
            <w:left w:val="none" w:sz="0" w:space="0" w:color="auto"/>
            <w:bottom w:val="none" w:sz="0" w:space="0" w:color="auto"/>
            <w:right w:val="none" w:sz="0" w:space="0" w:color="auto"/>
          </w:divBdr>
        </w:div>
        <w:div w:id="1473477983">
          <w:marLeft w:val="0"/>
          <w:marRight w:val="0"/>
          <w:marTop w:val="0"/>
          <w:marBottom w:val="0"/>
          <w:divBdr>
            <w:top w:val="none" w:sz="0" w:space="0" w:color="auto"/>
            <w:left w:val="none" w:sz="0" w:space="0" w:color="auto"/>
            <w:bottom w:val="none" w:sz="0" w:space="0" w:color="auto"/>
            <w:right w:val="none" w:sz="0" w:space="0" w:color="auto"/>
          </w:divBdr>
        </w:div>
        <w:div w:id="1594823511">
          <w:marLeft w:val="0"/>
          <w:marRight w:val="0"/>
          <w:marTop w:val="0"/>
          <w:marBottom w:val="0"/>
          <w:divBdr>
            <w:top w:val="none" w:sz="0" w:space="0" w:color="auto"/>
            <w:left w:val="none" w:sz="0" w:space="0" w:color="auto"/>
            <w:bottom w:val="none" w:sz="0" w:space="0" w:color="auto"/>
            <w:right w:val="none" w:sz="0" w:space="0" w:color="auto"/>
          </w:divBdr>
        </w:div>
        <w:div w:id="2002419252">
          <w:marLeft w:val="0"/>
          <w:marRight w:val="0"/>
          <w:marTop w:val="0"/>
          <w:marBottom w:val="0"/>
          <w:divBdr>
            <w:top w:val="none" w:sz="0" w:space="0" w:color="auto"/>
            <w:left w:val="none" w:sz="0" w:space="0" w:color="auto"/>
            <w:bottom w:val="none" w:sz="0" w:space="0" w:color="auto"/>
            <w:right w:val="none" w:sz="0" w:space="0" w:color="auto"/>
          </w:divBdr>
        </w:div>
      </w:divsChild>
    </w:div>
    <w:div w:id="768894666">
      <w:bodyDiv w:val="1"/>
      <w:marLeft w:val="0"/>
      <w:marRight w:val="0"/>
      <w:marTop w:val="0"/>
      <w:marBottom w:val="0"/>
      <w:divBdr>
        <w:top w:val="none" w:sz="0" w:space="0" w:color="auto"/>
        <w:left w:val="none" w:sz="0" w:space="0" w:color="auto"/>
        <w:bottom w:val="none" w:sz="0" w:space="0" w:color="auto"/>
        <w:right w:val="none" w:sz="0" w:space="0" w:color="auto"/>
      </w:divBdr>
    </w:div>
    <w:div w:id="829566665">
      <w:bodyDiv w:val="1"/>
      <w:marLeft w:val="0"/>
      <w:marRight w:val="0"/>
      <w:marTop w:val="0"/>
      <w:marBottom w:val="0"/>
      <w:divBdr>
        <w:top w:val="none" w:sz="0" w:space="0" w:color="auto"/>
        <w:left w:val="none" w:sz="0" w:space="0" w:color="auto"/>
        <w:bottom w:val="none" w:sz="0" w:space="0" w:color="auto"/>
        <w:right w:val="none" w:sz="0" w:space="0" w:color="auto"/>
      </w:divBdr>
    </w:div>
    <w:div w:id="833880607">
      <w:bodyDiv w:val="1"/>
      <w:marLeft w:val="0"/>
      <w:marRight w:val="0"/>
      <w:marTop w:val="0"/>
      <w:marBottom w:val="0"/>
      <w:divBdr>
        <w:top w:val="none" w:sz="0" w:space="0" w:color="auto"/>
        <w:left w:val="none" w:sz="0" w:space="0" w:color="auto"/>
        <w:bottom w:val="none" w:sz="0" w:space="0" w:color="auto"/>
        <w:right w:val="none" w:sz="0" w:space="0" w:color="auto"/>
      </w:divBdr>
    </w:div>
    <w:div w:id="843474905">
      <w:bodyDiv w:val="1"/>
      <w:marLeft w:val="0"/>
      <w:marRight w:val="0"/>
      <w:marTop w:val="0"/>
      <w:marBottom w:val="0"/>
      <w:divBdr>
        <w:top w:val="none" w:sz="0" w:space="0" w:color="auto"/>
        <w:left w:val="none" w:sz="0" w:space="0" w:color="auto"/>
        <w:bottom w:val="none" w:sz="0" w:space="0" w:color="auto"/>
        <w:right w:val="none" w:sz="0" w:space="0" w:color="auto"/>
      </w:divBdr>
    </w:div>
    <w:div w:id="882208350">
      <w:bodyDiv w:val="1"/>
      <w:marLeft w:val="0"/>
      <w:marRight w:val="0"/>
      <w:marTop w:val="0"/>
      <w:marBottom w:val="0"/>
      <w:divBdr>
        <w:top w:val="none" w:sz="0" w:space="0" w:color="auto"/>
        <w:left w:val="none" w:sz="0" w:space="0" w:color="auto"/>
        <w:bottom w:val="none" w:sz="0" w:space="0" w:color="auto"/>
        <w:right w:val="none" w:sz="0" w:space="0" w:color="auto"/>
      </w:divBdr>
    </w:div>
    <w:div w:id="914317487">
      <w:bodyDiv w:val="1"/>
      <w:marLeft w:val="0"/>
      <w:marRight w:val="0"/>
      <w:marTop w:val="0"/>
      <w:marBottom w:val="0"/>
      <w:divBdr>
        <w:top w:val="none" w:sz="0" w:space="0" w:color="auto"/>
        <w:left w:val="none" w:sz="0" w:space="0" w:color="auto"/>
        <w:bottom w:val="none" w:sz="0" w:space="0" w:color="auto"/>
        <w:right w:val="none" w:sz="0" w:space="0" w:color="auto"/>
      </w:divBdr>
    </w:div>
    <w:div w:id="931357500">
      <w:bodyDiv w:val="1"/>
      <w:marLeft w:val="0"/>
      <w:marRight w:val="0"/>
      <w:marTop w:val="0"/>
      <w:marBottom w:val="0"/>
      <w:divBdr>
        <w:top w:val="none" w:sz="0" w:space="0" w:color="auto"/>
        <w:left w:val="none" w:sz="0" w:space="0" w:color="auto"/>
        <w:bottom w:val="none" w:sz="0" w:space="0" w:color="auto"/>
        <w:right w:val="none" w:sz="0" w:space="0" w:color="auto"/>
      </w:divBdr>
    </w:div>
    <w:div w:id="954874471">
      <w:bodyDiv w:val="1"/>
      <w:marLeft w:val="0"/>
      <w:marRight w:val="0"/>
      <w:marTop w:val="0"/>
      <w:marBottom w:val="0"/>
      <w:divBdr>
        <w:top w:val="none" w:sz="0" w:space="0" w:color="auto"/>
        <w:left w:val="none" w:sz="0" w:space="0" w:color="auto"/>
        <w:bottom w:val="none" w:sz="0" w:space="0" w:color="auto"/>
        <w:right w:val="none" w:sz="0" w:space="0" w:color="auto"/>
      </w:divBdr>
    </w:div>
    <w:div w:id="987712593">
      <w:bodyDiv w:val="1"/>
      <w:marLeft w:val="0"/>
      <w:marRight w:val="0"/>
      <w:marTop w:val="0"/>
      <w:marBottom w:val="0"/>
      <w:divBdr>
        <w:top w:val="none" w:sz="0" w:space="0" w:color="auto"/>
        <w:left w:val="none" w:sz="0" w:space="0" w:color="auto"/>
        <w:bottom w:val="none" w:sz="0" w:space="0" w:color="auto"/>
        <w:right w:val="none" w:sz="0" w:space="0" w:color="auto"/>
      </w:divBdr>
    </w:div>
    <w:div w:id="1071776721">
      <w:bodyDiv w:val="1"/>
      <w:marLeft w:val="0"/>
      <w:marRight w:val="0"/>
      <w:marTop w:val="0"/>
      <w:marBottom w:val="0"/>
      <w:divBdr>
        <w:top w:val="none" w:sz="0" w:space="0" w:color="auto"/>
        <w:left w:val="none" w:sz="0" w:space="0" w:color="auto"/>
        <w:bottom w:val="none" w:sz="0" w:space="0" w:color="auto"/>
        <w:right w:val="none" w:sz="0" w:space="0" w:color="auto"/>
      </w:divBdr>
    </w:div>
    <w:div w:id="1091774926">
      <w:bodyDiv w:val="1"/>
      <w:marLeft w:val="0"/>
      <w:marRight w:val="0"/>
      <w:marTop w:val="0"/>
      <w:marBottom w:val="0"/>
      <w:divBdr>
        <w:top w:val="none" w:sz="0" w:space="0" w:color="auto"/>
        <w:left w:val="none" w:sz="0" w:space="0" w:color="auto"/>
        <w:bottom w:val="none" w:sz="0" w:space="0" w:color="auto"/>
        <w:right w:val="none" w:sz="0" w:space="0" w:color="auto"/>
      </w:divBdr>
    </w:div>
    <w:div w:id="1094782596">
      <w:bodyDiv w:val="1"/>
      <w:marLeft w:val="0"/>
      <w:marRight w:val="0"/>
      <w:marTop w:val="0"/>
      <w:marBottom w:val="0"/>
      <w:divBdr>
        <w:top w:val="none" w:sz="0" w:space="0" w:color="auto"/>
        <w:left w:val="none" w:sz="0" w:space="0" w:color="auto"/>
        <w:bottom w:val="none" w:sz="0" w:space="0" w:color="auto"/>
        <w:right w:val="none" w:sz="0" w:space="0" w:color="auto"/>
      </w:divBdr>
    </w:div>
    <w:div w:id="1102068720">
      <w:bodyDiv w:val="1"/>
      <w:marLeft w:val="0"/>
      <w:marRight w:val="0"/>
      <w:marTop w:val="0"/>
      <w:marBottom w:val="0"/>
      <w:divBdr>
        <w:top w:val="none" w:sz="0" w:space="0" w:color="auto"/>
        <w:left w:val="none" w:sz="0" w:space="0" w:color="auto"/>
        <w:bottom w:val="none" w:sz="0" w:space="0" w:color="auto"/>
        <w:right w:val="none" w:sz="0" w:space="0" w:color="auto"/>
      </w:divBdr>
    </w:div>
    <w:div w:id="1117674845">
      <w:bodyDiv w:val="1"/>
      <w:marLeft w:val="0"/>
      <w:marRight w:val="0"/>
      <w:marTop w:val="0"/>
      <w:marBottom w:val="0"/>
      <w:divBdr>
        <w:top w:val="none" w:sz="0" w:space="0" w:color="auto"/>
        <w:left w:val="none" w:sz="0" w:space="0" w:color="auto"/>
        <w:bottom w:val="none" w:sz="0" w:space="0" w:color="auto"/>
        <w:right w:val="none" w:sz="0" w:space="0" w:color="auto"/>
      </w:divBdr>
    </w:div>
    <w:div w:id="1143277490">
      <w:bodyDiv w:val="1"/>
      <w:marLeft w:val="0"/>
      <w:marRight w:val="0"/>
      <w:marTop w:val="0"/>
      <w:marBottom w:val="0"/>
      <w:divBdr>
        <w:top w:val="none" w:sz="0" w:space="0" w:color="auto"/>
        <w:left w:val="none" w:sz="0" w:space="0" w:color="auto"/>
        <w:bottom w:val="none" w:sz="0" w:space="0" w:color="auto"/>
        <w:right w:val="none" w:sz="0" w:space="0" w:color="auto"/>
      </w:divBdr>
    </w:div>
    <w:div w:id="1173111627">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18469129">
      <w:bodyDiv w:val="1"/>
      <w:marLeft w:val="0"/>
      <w:marRight w:val="0"/>
      <w:marTop w:val="0"/>
      <w:marBottom w:val="0"/>
      <w:divBdr>
        <w:top w:val="none" w:sz="0" w:space="0" w:color="auto"/>
        <w:left w:val="none" w:sz="0" w:space="0" w:color="auto"/>
        <w:bottom w:val="none" w:sz="0" w:space="0" w:color="auto"/>
        <w:right w:val="none" w:sz="0" w:space="0" w:color="auto"/>
      </w:divBdr>
    </w:div>
    <w:div w:id="1221477064">
      <w:bodyDiv w:val="1"/>
      <w:marLeft w:val="0"/>
      <w:marRight w:val="0"/>
      <w:marTop w:val="0"/>
      <w:marBottom w:val="0"/>
      <w:divBdr>
        <w:top w:val="none" w:sz="0" w:space="0" w:color="auto"/>
        <w:left w:val="none" w:sz="0" w:space="0" w:color="auto"/>
        <w:bottom w:val="none" w:sz="0" w:space="0" w:color="auto"/>
        <w:right w:val="none" w:sz="0" w:space="0" w:color="auto"/>
      </w:divBdr>
    </w:div>
    <w:div w:id="1263994177">
      <w:bodyDiv w:val="1"/>
      <w:marLeft w:val="0"/>
      <w:marRight w:val="0"/>
      <w:marTop w:val="0"/>
      <w:marBottom w:val="0"/>
      <w:divBdr>
        <w:top w:val="none" w:sz="0" w:space="0" w:color="auto"/>
        <w:left w:val="none" w:sz="0" w:space="0" w:color="auto"/>
        <w:bottom w:val="none" w:sz="0" w:space="0" w:color="auto"/>
        <w:right w:val="none" w:sz="0" w:space="0" w:color="auto"/>
      </w:divBdr>
    </w:div>
    <w:div w:id="1301577422">
      <w:bodyDiv w:val="1"/>
      <w:marLeft w:val="0"/>
      <w:marRight w:val="0"/>
      <w:marTop w:val="0"/>
      <w:marBottom w:val="0"/>
      <w:divBdr>
        <w:top w:val="none" w:sz="0" w:space="0" w:color="auto"/>
        <w:left w:val="none" w:sz="0" w:space="0" w:color="auto"/>
        <w:bottom w:val="none" w:sz="0" w:space="0" w:color="auto"/>
        <w:right w:val="none" w:sz="0" w:space="0" w:color="auto"/>
      </w:divBdr>
    </w:div>
    <w:div w:id="1313483403">
      <w:bodyDiv w:val="1"/>
      <w:marLeft w:val="0"/>
      <w:marRight w:val="0"/>
      <w:marTop w:val="0"/>
      <w:marBottom w:val="0"/>
      <w:divBdr>
        <w:top w:val="none" w:sz="0" w:space="0" w:color="auto"/>
        <w:left w:val="none" w:sz="0" w:space="0" w:color="auto"/>
        <w:bottom w:val="none" w:sz="0" w:space="0" w:color="auto"/>
        <w:right w:val="none" w:sz="0" w:space="0" w:color="auto"/>
      </w:divBdr>
    </w:div>
    <w:div w:id="1317302427">
      <w:bodyDiv w:val="1"/>
      <w:marLeft w:val="0"/>
      <w:marRight w:val="0"/>
      <w:marTop w:val="0"/>
      <w:marBottom w:val="0"/>
      <w:divBdr>
        <w:top w:val="none" w:sz="0" w:space="0" w:color="auto"/>
        <w:left w:val="none" w:sz="0" w:space="0" w:color="auto"/>
        <w:bottom w:val="none" w:sz="0" w:space="0" w:color="auto"/>
        <w:right w:val="none" w:sz="0" w:space="0" w:color="auto"/>
      </w:divBdr>
    </w:div>
    <w:div w:id="1323703808">
      <w:bodyDiv w:val="1"/>
      <w:marLeft w:val="0"/>
      <w:marRight w:val="0"/>
      <w:marTop w:val="0"/>
      <w:marBottom w:val="0"/>
      <w:divBdr>
        <w:top w:val="none" w:sz="0" w:space="0" w:color="auto"/>
        <w:left w:val="none" w:sz="0" w:space="0" w:color="auto"/>
        <w:bottom w:val="none" w:sz="0" w:space="0" w:color="auto"/>
        <w:right w:val="none" w:sz="0" w:space="0" w:color="auto"/>
      </w:divBdr>
    </w:div>
    <w:div w:id="1364675166">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25342958">
      <w:bodyDiv w:val="1"/>
      <w:marLeft w:val="0"/>
      <w:marRight w:val="0"/>
      <w:marTop w:val="0"/>
      <w:marBottom w:val="0"/>
      <w:divBdr>
        <w:top w:val="none" w:sz="0" w:space="0" w:color="auto"/>
        <w:left w:val="none" w:sz="0" w:space="0" w:color="auto"/>
        <w:bottom w:val="none" w:sz="0" w:space="0" w:color="auto"/>
        <w:right w:val="none" w:sz="0" w:space="0" w:color="auto"/>
      </w:divBdr>
    </w:div>
    <w:div w:id="1437363654">
      <w:bodyDiv w:val="1"/>
      <w:marLeft w:val="0"/>
      <w:marRight w:val="0"/>
      <w:marTop w:val="0"/>
      <w:marBottom w:val="0"/>
      <w:divBdr>
        <w:top w:val="none" w:sz="0" w:space="0" w:color="auto"/>
        <w:left w:val="none" w:sz="0" w:space="0" w:color="auto"/>
        <w:bottom w:val="none" w:sz="0" w:space="0" w:color="auto"/>
        <w:right w:val="none" w:sz="0" w:space="0" w:color="auto"/>
      </w:divBdr>
    </w:div>
    <w:div w:id="1454783330">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487429987">
      <w:bodyDiv w:val="1"/>
      <w:marLeft w:val="0"/>
      <w:marRight w:val="0"/>
      <w:marTop w:val="0"/>
      <w:marBottom w:val="0"/>
      <w:divBdr>
        <w:top w:val="none" w:sz="0" w:space="0" w:color="auto"/>
        <w:left w:val="none" w:sz="0" w:space="0" w:color="auto"/>
        <w:bottom w:val="none" w:sz="0" w:space="0" w:color="auto"/>
        <w:right w:val="none" w:sz="0" w:space="0" w:color="auto"/>
      </w:divBdr>
    </w:div>
    <w:div w:id="1487739600">
      <w:bodyDiv w:val="1"/>
      <w:marLeft w:val="0"/>
      <w:marRight w:val="0"/>
      <w:marTop w:val="0"/>
      <w:marBottom w:val="0"/>
      <w:divBdr>
        <w:top w:val="none" w:sz="0" w:space="0" w:color="auto"/>
        <w:left w:val="none" w:sz="0" w:space="0" w:color="auto"/>
        <w:bottom w:val="none" w:sz="0" w:space="0" w:color="auto"/>
        <w:right w:val="none" w:sz="0" w:space="0" w:color="auto"/>
      </w:divBdr>
    </w:div>
    <w:div w:id="1520660703">
      <w:bodyDiv w:val="1"/>
      <w:marLeft w:val="0"/>
      <w:marRight w:val="0"/>
      <w:marTop w:val="0"/>
      <w:marBottom w:val="0"/>
      <w:divBdr>
        <w:top w:val="none" w:sz="0" w:space="0" w:color="auto"/>
        <w:left w:val="none" w:sz="0" w:space="0" w:color="auto"/>
        <w:bottom w:val="none" w:sz="0" w:space="0" w:color="auto"/>
        <w:right w:val="none" w:sz="0" w:space="0" w:color="auto"/>
      </w:divBdr>
    </w:div>
    <w:div w:id="1526863542">
      <w:bodyDiv w:val="1"/>
      <w:marLeft w:val="0"/>
      <w:marRight w:val="0"/>
      <w:marTop w:val="0"/>
      <w:marBottom w:val="0"/>
      <w:divBdr>
        <w:top w:val="none" w:sz="0" w:space="0" w:color="auto"/>
        <w:left w:val="none" w:sz="0" w:space="0" w:color="auto"/>
        <w:bottom w:val="none" w:sz="0" w:space="0" w:color="auto"/>
        <w:right w:val="none" w:sz="0" w:space="0" w:color="auto"/>
      </w:divBdr>
    </w:div>
    <w:div w:id="1534415237">
      <w:bodyDiv w:val="1"/>
      <w:marLeft w:val="0"/>
      <w:marRight w:val="0"/>
      <w:marTop w:val="0"/>
      <w:marBottom w:val="0"/>
      <w:divBdr>
        <w:top w:val="none" w:sz="0" w:space="0" w:color="auto"/>
        <w:left w:val="none" w:sz="0" w:space="0" w:color="auto"/>
        <w:bottom w:val="none" w:sz="0" w:space="0" w:color="auto"/>
        <w:right w:val="none" w:sz="0" w:space="0" w:color="auto"/>
      </w:divBdr>
    </w:div>
    <w:div w:id="1572889789">
      <w:bodyDiv w:val="1"/>
      <w:marLeft w:val="0"/>
      <w:marRight w:val="0"/>
      <w:marTop w:val="0"/>
      <w:marBottom w:val="0"/>
      <w:divBdr>
        <w:top w:val="none" w:sz="0" w:space="0" w:color="auto"/>
        <w:left w:val="none" w:sz="0" w:space="0" w:color="auto"/>
        <w:bottom w:val="none" w:sz="0" w:space="0" w:color="auto"/>
        <w:right w:val="none" w:sz="0" w:space="0" w:color="auto"/>
      </w:divBdr>
    </w:div>
    <w:div w:id="1597245501">
      <w:bodyDiv w:val="1"/>
      <w:marLeft w:val="0"/>
      <w:marRight w:val="0"/>
      <w:marTop w:val="0"/>
      <w:marBottom w:val="0"/>
      <w:divBdr>
        <w:top w:val="none" w:sz="0" w:space="0" w:color="auto"/>
        <w:left w:val="none" w:sz="0" w:space="0" w:color="auto"/>
        <w:bottom w:val="none" w:sz="0" w:space="0" w:color="auto"/>
        <w:right w:val="none" w:sz="0" w:space="0" w:color="auto"/>
      </w:divBdr>
    </w:div>
    <w:div w:id="1663116825">
      <w:bodyDiv w:val="1"/>
      <w:marLeft w:val="0"/>
      <w:marRight w:val="0"/>
      <w:marTop w:val="0"/>
      <w:marBottom w:val="0"/>
      <w:divBdr>
        <w:top w:val="none" w:sz="0" w:space="0" w:color="auto"/>
        <w:left w:val="none" w:sz="0" w:space="0" w:color="auto"/>
        <w:bottom w:val="none" w:sz="0" w:space="0" w:color="auto"/>
        <w:right w:val="none" w:sz="0" w:space="0" w:color="auto"/>
      </w:divBdr>
    </w:div>
    <w:div w:id="1666011627">
      <w:bodyDiv w:val="1"/>
      <w:marLeft w:val="0"/>
      <w:marRight w:val="0"/>
      <w:marTop w:val="0"/>
      <w:marBottom w:val="0"/>
      <w:divBdr>
        <w:top w:val="none" w:sz="0" w:space="0" w:color="auto"/>
        <w:left w:val="none" w:sz="0" w:space="0" w:color="auto"/>
        <w:bottom w:val="none" w:sz="0" w:space="0" w:color="auto"/>
        <w:right w:val="none" w:sz="0" w:space="0" w:color="auto"/>
      </w:divBdr>
    </w:div>
    <w:div w:id="1692103959">
      <w:bodyDiv w:val="1"/>
      <w:marLeft w:val="0"/>
      <w:marRight w:val="0"/>
      <w:marTop w:val="0"/>
      <w:marBottom w:val="0"/>
      <w:divBdr>
        <w:top w:val="none" w:sz="0" w:space="0" w:color="auto"/>
        <w:left w:val="none" w:sz="0" w:space="0" w:color="auto"/>
        <w:bottom w:val="none" w:sz="0" w:space="0" w:color="auto"/>
        <w:right w:val="none" w:sz="0" w:space="0" w:color="auto"/>
      </w:divBdr>
    </w:div>
    <w:div w:id="1718577758">
      <w:bodyDiv w:val="1"/>
      <w:marLeft w:val="0"/>
      <w:marRight w:val="0"/>
      <w:marTop w:val="0"/>
      <w:marBottom w:val="0"/>
      <w:divBdr>
        <w:top w:val="none" w:sz="0" w:space="0" w:color="auto"/>
        <w:left w:val="none" w:sz="0" w:space="0" w:color="auto"/>
        <w:bottom w:val="none" w:sz="0" w:space="0" w:color="auto"/>
        <w:right w:val="none" w:sz="0" w:space="0" w:color="auto"/>
      </w:divBdr>
    </w:div>
    <w:div w:id="1748769664">
      <w:bodyDiv w:val="1"/>
      <w:marLeft w:val="0"/>
      <w:marRight w:val="0"/>
      <w:marTop w:val="0"/>
      <w:marBottom w:val="0"/>
      <w:divBdr>
        <w:top w:val="none" w:sz="0" w:space="0" w:color="auto"/>
        <w:left w:val="none" w:sz="0" w:space="0" w:color="auto"/>
        <w:bottom w:val="none" w:sz="0" w:space="0" w:color="auto"/>
        <w:right w:val="none" w:sz="0" w:space="0" w:color="auto"/>
      </w:divBdr>
    </w:div>
    <w:div w:id="1764254837">
      <w:bodyDiv w:val="1"/>
      <w:marLeft w:val="0"/>
      <w:marRight w:val="0"/>
      <w:marTop w:val="0"/>
      <w:marBottom w:val="0"/>
      <w:divBdr>
        <w:top w:val="none" w:sz="0" w:space="0" w:color="auto"/>
        <w:left w:val="none" w:sz="0" w:space="0" w:color="auto"/>
        <w:bottom w:val="none" w:sz="0" w:space="0" w:color="auto"/>
        <w:right w:val="none" w:sz="0" w:space="0" w:color="auto"/>
      </w:divBdr>
    </w:div>
    <w:div w:id="1796674694">
      <w:bodyDiv w:val="1"/>
      <w:marLeft w:val="0"/>
      <w:marRight w:val="0"/>
      <w:marTop w:val="0"/>
      <w:marBottom w:val="0"/>
      <w:divBdr>
        <w:top w:val="none" w:sz="0" w:space="0" w:color="auto"/>
        <w:left w:val="none" w:sz="0" w:space="0" w:color="auto"/>
        <w:bottom w:val="none" w:sz="0" w:space="0" w:color="auto"/>
        <w:right w:val="none" w:sz="0" w:space="0" w:color="auto"/>
      </w:divBdr>
    </w:div>
    <w:div w:id="1798982984">
      <w:bodyDiv w:val="1"/>
      <w:marLeft w:val="0"/>
      <w:marRight w:val="0"/>
      <w:marTop w:val="0"/>
      <w:marBottom w:val="0"/>
      <w:divBdr>
        <w:top w:val="none" w:sz="0" w:space="0" w:color="auto"/>
        <w:left w:val="none" w:sz="0" w:space="0" w:color="auto"/>
        <w:bottom w:val="none" w:sz="0" w:space="0" w:color="auto"/>
        <w:right w:val="none" w:sz="0" w:space="0" w:color="auto"/>
      </w:divBdr>
      <w:divsChild>
        <w:div w:id="381561080">
          <w:marLeft w:val="0"/>
          <w:marRight w:val="0"/>
          <w:marTop w:val="0"/>
          <w:marBottom w:val="0"/>
          <w:divBdr>
            <w:top w:val="none" w:sz="0" w:space="0" w:color="auto"/>
            <w:left w:val="none" w:sz="0" w:space="0" w:color="auto"/>
            <w:bottom w:val="none" w:sz="0" w:space="0" w:color="auto"/>
            <w:right w:val="none" w:sz="0" w:space="0" w:color="auto"/>
          </w:divBdr>
        </w:div>
        <w:div w:id="1380861978">
          <w:marLeft w:val="0"/>
          <w:marRight w:val="0"/>
          <w:marTop w:val="0"/>
          <w:marBottom w:val="0"/>
          <w:divBdr>
            <w:top w:val="none" w:sz="0" w:space="0" w:color="auto"/>
            <w:left w:val="none" w:sz="0" w:space="0" w:color="auto"/>
            <w:bottom w:val="none" w:sz="0" w:space="0" w:color="auto"/>
            <w:right w:val="none" w:sz="0" w:space="0" w:color="auto"/>
          </w:divBdr>
        </w:div>
        <w:div w:id="625549179">
          <w:marLeft w:val="0"/>
          <w:marRight w:val="0"/>
          <w:marTop w:val="0"/>
          <w:marBottom w:val="0"/>
          <w:divBdr>
            <w:top w:val="none" w:sz="0" w:space="0" w:color="auto"/>
            <w:left w:val="none" w:sz="0" w:space="0" w:color="auto"/>
            <w:bottom w:val="none" w:sz="0" w:space="0" w:color="auto"/>
            <w:right w:val="none" w:sz="0" w:space="0" w:color="auto"/>
          </w:divBdr>
        </w:div>
        <w:div w:id="1406613119">
          <w:marLeft w:val="0"/>
          <w:marRight w:val="0"/>
          <w:marTop w:val="0"/>
          <w:marBottom w:val="0"/>
          <w:divBdr>
            <w:top w:val="none" w:sz="0" w:space="0" w:color="auto"/>
            <w:left w:val="none" w:sz="0" w:space="0" w:color="auto"/>
            <w:bottom w:val="none" w:sz="0" w:space="0" w:color="auto"/>
            <w:right w:val="none" w:sz="0" w:space="0" w:color="auto"/>
          </w:divBdr>
        </w:div>
        <w:div w:id="731805226">
          <w:marLeft w:val="0"/>
          <w:marRight w:val="0"/>
          <w:marTop w:val="0"/>
          <w:marBottom w:val="0"/>
          <w:divBdr>
            <w:top w:val="none" w:sz="0" w:space="0" w:color="auto"/>
            <w:left w:val="none" w:sz="0" w:space="0" w:color="auto"/>
            <w:bottom w:val="none" w:sz="0" w:space="0" w:color="auto"/>
            <w:right w:val="none" w:sz="0" w:space="0" w:color="auto"/>
          </w:divBdr>
        </w:div>
        <w:div w:id="1642733806">
          <w:marLeft w:val="0"/>
          <w:marRight w:val="0"/>
          <w:marTop w:val="0"/>
          <w:marBottom w:val="0"/>
          <w:divBdr>
            <w:top w:val="none" w:sz="0" w:space="0" w:color="auto"/>
            <w:left w:val="none" w:sz="0" w:space="0" w:color="auto"/>
            <w:bottom w:val="none" w:sz="0" w:space="0" w:color="auto"/>
            <w:right w:val="none" w:sz="0" w:space="0" w:color="auto"/>
          </w:divBdr>
        </w:div>
        <w:div w:id="1320963174">
          <w:marLeft w:val="0"/>
          <w:marRight w:val="0"/>
          <w:marTop w:val="0"/>
          <w:marBottom w:val="0"/>
          <w:divBdr>
            <w:top w:val="none" w:sz="0" w:space="0" w:color="auto"/>
            <w:left w:val="none" w:sz="0" w:space="0" w:color="auto"/>
            <w:bottom w:val="none" w:sz="0" w:space="0" w:color="auto"/>
            <w:right w:val="none" w:sz="0" w:space="0" w:color="auto"/>
          </w:divBdr>
        </w:div>
        <w:div w:id="2084641595">
          <w:marLeft w:val="0"/>
          <w:marRight w:val="0"/>
          <w:marTop w:val="0"/>
          <w:marBottom w:val="0"/>
          <w:divBdr>
            <w:top w:val="none" w:sz="0" w:space="0" w:color="auto"/>
            <w:left w:val="none" w:sz="0" w:space="0" w:color="auto"/>
            <w:bottom w:val="none" w:sz="0" w:space="0" w:color="auto"/>
            <w:right w:val="none" w:sz="0" w:space="0" w:color="auto"/>
          </w:divBdr>
        </w:div>
        <w:div w:id="1011227369">
          <w:marLeft w:val="0"/>
          <w:marRight w:val="0"/>
          <w:marTop w:val="0"/>
          <w:marBottom w:val="0"/>
          <w:divBdr>
            <w:top w:val="none" w:sz="0" w:space="0" w:color="auto"/>
            <w:left w:val="none" w:sz="0" w:space="0" w:color="auto"/>
            <w:bottom w:val="none" w:sz="0" w:space="0" w:color="auto"/>
            <w:right w:val="none" w:sz="0" w:space="0" w:color="auto"/>
          </w:divBdr>
        </w:div>
        <w:div w:id="2099326619">
          <w:marLeft w:val="0"/>
          <w:marRight w:val="0"/>
          <w:marTop w:val="0"/>
          <w:marBottom w:val="0"/>
          <w:divBdr>
            <w:top w:val="none" w:sz="0" w:space="0" w:color="auto"/>
            <w:left w:val="none" w:sz="0" w:space="0" w:color="auto"/>
            <w:bottom w:val="none" w:sz="0" w:space="0" w:color="auto"/>
            <w:right w:val="none" w:sz="0" w:space="0" w:color="auto"/>
          </w:divBdr>
        </w:div>
        <w:div w:id="1989508722">
          <w:marLeft w:val="0"/>
          <w:marRight w:val="0"/>
          <w:marTop w:val="0"/>
          <w:marBottom w:val="0"/>
          <w:divBdr>
            <w:top w:val="none" w:sz="0" w:space="0" w:color="auto"/>
            <w:left w:val="none" w:sz="0" w:space="0" w:color="auto"/>
            <w:bottom w:val="none" w:sz="0" w:space="0" w:color="auto"/>
            <w:right w:val="none" w:sz="0" w:space="0" w:color="auto"/>
          </w:divBdr>
        </w:div>
        <w:div w:id="461340273">
          <w:marLeft w:val="0"/>
          <w:marRight w:val="0"/>
          <w:marTop w:val="0"/>
          <w:marBottom w:val="0"/>
          <w:divBdr>
            <w:top w:val="none" w:sz="0" w:space="0" w:color="auto"/>
            <w:left w:val="none" w:sz="0" w:space="0" w:color="auto"/>
            <w:bottom w:val="none" w:sz="0" w:space="0" w:color="auto"/>
            <w:right w:val="none" w:sz="0" w:space="0" w:color="auto"/>
          </w:divBdr>
        </w:div>
        <w:div w:id="1425105141">
          <w:marLeft w:val="0"/>
          <w:marRight w:val="0"/>
          <w:marTop w:val="0"/>
          <w:marBottom w:val="0"/>
          <w:divBdr>
            <w:top w:val="none" w:sz="0" w:space="0" w:color="auto"/>
            <w:left w:val="none" w:sz="0" w:space="0" w:color="auto"/>
            <w:bottom w:val="none" w:sz="0" w:space="0" w:color="auto"/>
            <w:right w:val="none" w:sz="0" w:space="0" w:color="auto"/>
          </w:divBdr>
        </w:div>
        <w:div w:id="900602340">
          <w:marLeft w:val="0"/>
          <w:marRight w:val="0"/>
          <w:marTop w:val="0"/>
          <w:marBottom w:val="0"/>
          <w:divBdr>
            <w:top w:val="none" w:sz="0" w:space="0" w:color="auto"/>
            <w:left w:val="none" w:sz="0" w:space="0" w:color="auto"/>
            <w:bottom w:val="none" w:sz="0" w:space="0" w:color="auto"/>
            <w:right w:val="none" w:sz="0" w:space="0" w:color="auto"/>
          </w:divBdr>
        </w:div>
        <w:div w:id="1586644222">
          <w:marLeft w:val="0"/>
          <w:marRight w:val="0"/>
          <w:marTop w:val="0"/>
          <w:marBottom w:val="0"/>
          <w:divBdr>
            <w:top w:val="none" w:sz="0" w:space="0" w:color="auto"/>
            <w:left w:val="none" w:sz="0" w:space="0" w:color="auto"/>
            <w:bottom w:val="none" w:sz="0" w:space="0" w:color="auto"/>
            <w:right w:val="none" w:sz="0" w:space="0" w:color="auto"/>
          </w:divBdr>
        </w:div>
        <w:div w:id="1504007218">
          <w:marLeft w:val="0"/>
          <w:marRight w:val="0"/>
          <w:marTop w:val="0"/>
          <w:marBottom w:val="0"/>
          <w:divBdr>
            <w:top w:val="none" w:sz="0" w:space="0" w:color="auto"/>
            <w:left w:val="none" w:sz="0" w:space="0" w:color="auto"/>
            <w:bottom w:val="none" w:sz="0" w:space="0" w:color="auto"/>
            <w:right w:val="none" w:sz="0" w:space="0" w:color="auto"/>
          </w:divBdr>
        </w:div>
        <w:div w:id="449131021">
          <w:marLeft w:val="0"/>
          <w:marRight w:val="0"/>
          <w:marTop w:val="0"/>
          <w:marBottom w:val="0"/>
          <w:divBdr>
            <w:top w:val="none" w:sz="0" w:space="0" w:color="auto"/>
            <w:left w:val="none" w:sz="0" w:space="0" w:color="auto"/>
            <w:bottom w:val="none" w:sz="0" w:space="0" w:color="auto"/>
            <w:right w:val="none" w:sz="0" w:space="0" w:color="auto"/>
          </w:divBdr>
        </w:div>
        <w:div w:id="965740731">
          <w:marLeft w:val="0"/>
          <w:marRight w:val="0"/>
          <w:marTop w:val="0"/>
          <w:marBottom w:val="0"/>
          <w:divBdr>
            <w:top w:val="none" w:sz="0" w:space="0" w:color="auto"/>
            <w:left w:val="none" w:sz="0" w:space="0" w:color="auto"/>
            <w:bottom w:val="none" w:sz="0" w:space="0" w:color="auto"/>
            <w:right w:val="none" w:sz="0" w:space="0" w:color="auto"/>
          </w:divBdr>
        </w:div>
        <w:div w:id="2038043546">
          <w:marLeft w:val="0"/>
          <w:marRight w:val="0"/>
          <w:marTop w:val="0"/>
          <w:marBottom w:val="0"/>
          <w:divBdr>
            <w:top w:val="none" w:sz="0" w:space="0" w:color="auto"/>
            <w:left w:val="none" w:sz="0" w:space="0" w:color="auto"/>
            <w:bottom w:val="none" w:sz="0" w:space="0" w:color="auto"/>
            <w:right w:val="none" w:sz="0" w:space="0" w:color="auto"/>
          </w:divBdr>
        </w:div>
        <w:div w:id="384791945">
          <w:marLeft w:val="0"/>
          <w:marRight w:val="0"/>
          <w:marTop w:val="0"/>
          <w:marBottom w:val="0"/>
          <w:divBdr>
            <w:top w:val="none" w:sz="0" w:space="0" w:color="auto"/>
            <w:left w:val="none" w:sz="0" w:space="0" w:color="auto"/>
            <w:bottom w:val="none" w:sz="0" w:space="0" w:color="auto"/>
            <w:right w:val="none" w:sz="0" w:space="0" w:color="auto"/>
          </w:divBdr>
        </w:div>
        <w:div w:id="825783359">
          <w:marLeft w:val="0"/>
          <w:marRight w:val="0"/>
          <w:marTop w:val="0"/>
          <w:marBottom w:val="0"/>
          <w:divBdr>
            <w:top w:val="none" w:sz="0" w:space="0" w:color="auto"/>
            <w:left w:val="none" w:sz="0" w:space="0" w:color="auto"/>
            <w:bottom w:val="none" w:sz="0" w:space="0" w:color="auto"/>
            <w:right w:val="none" w:sz="0" w:space="0" w:color="auto"/>
          </w:divBdr>
        </w:div>
        <w:div w:id="1387413388">
          <w:marLeft w:val="0"/>
          <w:marRight w:val="0"/>
          <w:marTop w:val="0"/>
          <w:marBottom w:val="0"/>
          <w:divBdr>
            <w:top w:val="none" w:sz="0" w:space="0" w:color="auto"/>
            <w:left w:val="none" w:sz="0" w:space="0" w:color="auto"/>
            <w:bottom w:val="none" w:sz="0" w:space="0" w:color="auto"/>
            <w:right w:val="none" w:sz="0" w:space="0" w:color="auto"/>
          </w:divBdr>
        </w:div>
        <w:div w:id="2041078407">
          <w:marLeft w:val="0"/>
          <w:marRight w:val="0"/>
          <w:marTop w:val="0"/>
          <w:marBottom w:val="0"/>
          <w:divBdr>
            <w:top w:val="none" w:sz="0" w:space="0" w:color="auto"/>
            <w:left w:val="none" w:sz="0" w:space="0" w:color="auto"/>
            <w:bottom w:val="none" w:sz="0" w:space="0" w:color="auto"/>
            <w:right w:val="none" w:sz="0" w:space="0" w:color="auto"/>
          </w:divBdr>
        </w:div>
        <w:div w:id="2130278055">
          <w:marLeft w:val="0"/>
          <w:marRight w:val="0"/>
          <w:marTop w:val="0"/>
          <w:marBottom w:val="0"/>
          <w:divBdr>
            <w:top w:val="none" w:sz="0" w:space="0" w:color="auto"/>
            <w:left w:val="none" w:sz="0" w:space="0" w:color="auto"/>
            <w:bottom w:val="none" w:sz="0" w:space="0" w:color="auto"/>
            <w:right w:val="none" w:sz="0" w:space="0" w:color="auto"/>
          </w:divBdr>
        </w:div>
        <w:div w:id="2101440980">
          <w:marLeft w:val="0"/>
          <w:marRight w:val="0"/>
          <w:marTop w:val="0"/>
          <w:marBottom w:val="0"/>
          <w:divBdr>
            <w:top w:val="none" w:sz="0" w:space="0" w:color="auto"/>
            <w:left w:val="none" w:sz="0" w:space="0" w:color="auto"/>
            <w:bottom w:val="none" w:sz="0" w:space="0" w:color="auto"/>
            <w:right w:val="none" w:sz="0" w:space="0" w:color="auto"/>
          </w:divBdr>
        </w:div>
        <w:div w:id="1861503048">
          <w:marLeft w:val="0"/>
          <w:marRight w:val="0"/>
          <w:marTop w:val="0"/>
          <w:marBottom w:val="0"/>
          <w:divBdr>
            <w:top w:val="none" w:sz="0" w:space="0" w:color="auto"/>
            <w:left w:val="none" w:sz="0" w:space="0" w:color="auto"/>
            <w:bottom w:val="none" w:sz="0" w:space="0" w:color="auto"/>
            <w:right w:val="none" w:sz="0" w:space="0" w:color="auto"/>
          </w:divBdr>
        </w:div>
        <w:div w:id="42146940">
          <w:marLeft w:val="0"/>
          <w:marRight w:val="0"/>
          <w:marTop w:val="0"/>
          <w:marBottom w:val="0"/>
          <w:divBdr>
            <w:top w:val="none" w:sz="0" w:space="0" w:color="auto"/>
            <w:left w:val="none" w:sz="0" w:space="0" w:color="auto"/>
            <w:bottom w:val="none" w:sz="0" w:space="0" w:color="auto"/>
            <w:right w:val="none" w:sz="0" w:space="0" w:color="auto"/>
          </w:divBdr>
        </w:div>
        <w:div w:id="1664428216">
          <w:marLeft w:val="0"/>
          <w:marRight w:val="0"/>
          <w:marTop w:val="0"/>
          <w:marBottom w:val="0"/>
          <w:divBdr>
            <w:top w:val="none" w:sz="0" w:space="0" w:color="auto"/>
            <w:left w:val="none" w:sz="0" w:space="0" w:color="auto"/>
            <w:bottom w:val="none" w:sz="0" w:space="0" w:color="auto"/>
            <w:right w:val="none" w:sz="0" w:space="0" w:color="auto"/>
          </w:divBdr>
        </w:div>
        <w:div w:id="877158479">
          <w:marLeft w:val="0"/>
          <w:marRight w:val="0"/>
          <w:marTop w:val="0"/>
          <w:marBottom w:val="0"/>
          <w:divBdr>
            <w:top w:val="none" w:sz="0" w:space="0" w:color="auto"/>
            <w:left w:val="none" w:sz="0" w:space="0" w:color="auto"/>
            <w:bottom w:val="none" w:sz="0" w:space="0" w:color="auto"/>
            <w:right w:val="none" w:sz="0" w:space="0" w:color="auto"/>
          </w:divBdr>
        </w:div>
        <w:div w:id="1715500586">
          <w:marLeft w:val="0"/>
          <w:marRight w:val="0"/>
          <w:marTop w:val="0"/>
          <w:marBottom w:val="0"/>
          <w:divBdr>
            <w:top w:val="none" w:sz="0" w:space="0" w:color="auto"/>
            <w:left w:val="none" w:sz="0" w:space="0" w:color="auto"/>
            <w:bottom w:val="none" w:sz="0" w:space="0" w:color="auto"/>
            <w:right w:val="none" w:sz="0" w:space="0" w:color="auto"/>
          </w:divBdr>
        </w:div>
        <w:div w:id="1172449422">
          <w:marLeft w:val="0"/>
          <w:marRight w:val="0"/>
          <w:marTop w:val="0"/>
          <w:marBottom w:val="0"/>
          <w:divBdr>
            <w:top w:val="none" w:sz="0" w:space="0" w:color="auto"/>
            <w:left w:val="none" w:sz="0" w:space="0" w:color="auto"/>
            <w:bottom w:val="none" w:sz="0" w:space="0" w:color="auto"/>
            <w:right w:val="none" w:sz="0" w:space="0" w:color="auto"/>
          </w:divBdr>
        </w:div>
        <w:div w:id="1978561509">
          <w:marLeft w:val="0"/>
          <w:marRight w:val="0"/>
          <w:marTop w:val="0"/>
          <w:marBottom w:val="0"/>
          <w:divBdr>
            <w:top w:val="none" w:sz="0" w:space="0" w:color="auto"/>
            <w:left w:val="none" w:sz="0" w:space="0" w:color="auto"/>
            <w:bottom w:val="none" w:sz="0" w:space="0" w:color="auto"/>
            <w:right w:val="none" w:sz="0" w:space="0" w:color="auto"/>
          </w:divBdr>
        </w:div>
        <w:div w:id="1402555925">
          <w:marLeft w:val="0"/>
          <w:marRight w:val="0"/>
          <w:marTop w:val="0"/>
          <w:marBottom w:val="0"/>
          <w:divBdr>
            <w:top w:val="none" w:sz="0" w:space="0" w:color="auto"/>
            <w:left w:val="none" w:sz="0" w:space="0" w:color="auto"/>
            <w:bottom w:val="none" w:sz="0" w:space="0" w:color="auto"/>
            <w:right w:val="none" w:sz="0" w:space="0" w:color="auto"/>
          </w:divBdr>
        </w:div>
        <w:div w:id="749887502">
          <w:marLeft w:val="0"/>
          <w:marRight w:val="0"/>
          <w:marTop w:val="0"/>
          <w:marBottom w:val="0"/>
          <w:divBdr>
            <w:top w:val="none" w:sz="0" w:space="0" w:color="auto"/>
            <w:left w:val="none" w:sz="0" w:space="0" w:color="auto"/>
            <w:bottom w:val="none" w:sz="0" w:space="0" w:color="auto"/>
            <w:right w:val="none" w:sz="0" w:space="0" w:color="auto"/>
          </w:divBdr>
        </w:div>
        <w:div w:id="661661597">
          <w:marLeft w:val="0"/>
          <w:marRight w:val="0"/>
          <w:marTop w:val="0"/>
          <w:marBottom w:val="0"/>
          <w:divBdr>
            <w:top w:val="none" w:sz="0" w:space="0" w:color="auto"/>
            <w:left w:val="none" w:sz="0" w:space="0" w:color="auto"/>
            <w:bottom w:val="none" w:sz="0" w:space="0" w:color="auto"/>
            <w:right w:val="none" w:sz="0" w:space="0" w:color="auto"/>
          </w:divBdr>
        </w:div>
        <w:div w:id="1277716009">
          <w:marLeft w:val="0"/>
          <w:marRight w:val="0"/>
          <w:marTop w:val="0"/>
          <w:marBottom w:val="0"/>
          <w:divBdr>
            <w:top w:val="none" w:sz="0" w:space="0" w:color="auto"/>
            <w:left w:val="none" w:sz="0" w:space="0" w:color="auto"/>
            <w:bottom w:val="none" w:sz="0" w:space="0" w:color="auto"/>
            <w:right w:val="none" w:sz="0" w:space="0" w:color="auto"/>
          </w:divBdr>
        </w:div>
        <w:div w:id="1686788933">
          <w:marLeft w:val="0"/>
          <w:marRight w:val="0"/>
          <w:marTop w:val="0"/>
          <w:marBottom w:val="0"/>
          <w:divBdr>
            <w:top w:val="none" w:sz="0" w:space="0" w:color="auto"/>
            <w:left w:val="none" w:sz="0" w:space="0" w:color="auto"/>
            <w:bottom w:val="none" w:sz="0" w:space="0" w:color="auto"/>
            <w:right w:val="none" w:sz="0" w:space="0" w:color="auto"/>
          </w:divBdr>
        </w:div>
        <w:div w:id="2029522297">
          <w:marLeft w:val="0"/>
          <w:marRight w:val="0"/>
          <w:marTop w:val="0"/>
          <w:marBottom w:val="0"/>
          <w:divBdr>
            <w:top w:val="none" w:sz="0" w:space="0" w:color="auto"/>
            <w:left w:val="none" w:sz="0" w:space="0" w:color="auto"/>
            <w:bottom w:val="none" w:sz="0" w:space="0" w:color="auto"/>
            <w:right w:val="none" w:sz="0" w:space="0" w:color="auto"/>
          </w:divBdr>
        </w:div>
        <w:div w:id="1812358513">
          <w:marLeft w:val="0"/>
          <w:marRight w:val="0"/>
          <w:marTop w:val="0"/>
          <w:marBottom w:val="0"/>
          <w:divBdr>
            <w:top w:val="none" w:sz="0" w:space="0" w:color="auto"/>
            <w:left w:val="none" w:sz="0" w:space="0" w:color="auto"/>
            <w:bottom w:val="none" w:sz="0" w:space="0" w:color="auto"/>
            <w:right w:val="none" w:sz="0" w:space="0" w:color="auto"/>
          </w:divBdr>
        </w:div>
        <w:div w:id="957882301">
          <w:marLeft w:val="0"/>
          <w:marRight w:val="0"/>
          <w:marTop w:val="0"/>
          <w:marBottom w:val="0"/>
          <w:divBdr>
            <w:top w:val="none" w:sz="0" w:space="0" w:color="auto"/>
            <w:left w:val="none" w:sz="0" w:space="0" w:color="auto"/>
            <w:bottom w:val="none" w:sz="0" w:space="0" w:color="auto"/>
            <w:right w:val="none" w:sz="0" w:space="0" w:color="auto"/>
          </w:divBdr>
        </w:div>
        <w:div w:id="367679018">
          <w:marLeft w:val="0"/>
          <w:marRight w:val="0"/>
          <w:marTop w:val="0"/>
          <w:marBottom w:val="0"/>
          <w:divBdr>
            <w:top w:val="none" w:sz="0" w:space="0" w:color="auto"/>
            <w:left w:val="none" w:sz="0" w:space="0" w:color="auto"/>
            <w:bottom w:val="none" w:sz="0" w:space="0" w:color="auto"/>
            <w:right w:val="none" w:sz="0" w:space="0" w:color="auto"/>
          </w:divBdr>
        </w:div>
        <w:div w:id="789981280">
          <w:marLeft w:val="0"/>
          <w:marRight w:val="0"/>
          <w:marTop w:val="0"/>
          <w:marBottom w:val="0"/>
          <w:divBdr>
            <w:top w:val="none" w:sz="0" w:space="0" w:color="auto"/>
            <w:left w:val="none" w:sz="0" w:space="0" w:color="auto"/>
            <w:bottom w:val="none" w:sz="0" w:space="0" w:color="auto"/>
            <w:right w:val="none" w:sz="0" w:space="0" w:color="auto"/>
          </w:divBdr>
        </w:div>
        <w:div w:id="104083097">
          <w:marLeft w:val="0"/>
          <w:marRight w:val="0"/>
          <w:marTop w:val="0"/>
          <w:marBottom w:val="0"/>
          <w:divBdr>
            <w:top w:val="none" w:sz="0" w:space="0" w:color="auto"/>
            <w:left w:val="none" w:sz="0" w:space="0" w:color="auto"/>
            <w:bottom w:val="none" w:sz="0" w:space="0" w:color="auto"/>
            <w:right w:val="none" w:sz="0" w:space="0" w:color="auto"/>
          </w:divBdr>
        </w:div>
        <w:div w:id="1126659103">
          <w:marLeft w:val="0"/>
          <w:marRight w:val="0"/>
          <w:marTop w:val="0"/>
          <w:marBottom w:val="0"/>
          <w:divBdr>
            <w:top w:val="none" w:sz="0" w:space="0" w:color="auto"/>
            <w:left w:val="none" w:sz="0" w:space="0" w:color="auto"/>
            <w:bottom w:val="none" w:sz="0" w:space="0" w:color="auto"/>
            <w:right w:val="none" w:sz="0" w:space="0" w:color="auto"/>
          </w:divBdr>
        </w:div>
        <w:div w:id="18818202">
          <w:marLeft w:val="0"/>
          <w:marRight w:val="0"/>
          <w:marTop w:val="0"/>
          <w:marBottom w:val="0"/>
          <w:divBdr>
            <w:top w:val="none" w:sz="0" w:space="0" w:color="auto"/>
            <w:left w:val="none" w:sz="0" w:space="0" w:color="auto"/>
            <w:bottom w:val="none" w:sz="0" w:space="0" w:color="auto"/>
            <w:right w:val="none" w:sz="0" w:space="0" w:color="auto"/>
          </w:divBdr>
        </w:div>
        <w:div w:id="1007951509">
          <w:marLeft w:val="0"/>
          <w:marRight w:val="0"/>
          <w:marTop w:val="0"/>
          <w:marBottom w:val="0"/>
          <w:divBdr>
            <w:top w:val="none" w:sz="0" w:space="0" w:color="auto"/>
            <w:left w:val="none" w:sz="0" w:space="0" w:color="auto"/>
            <w:bottom w:val="none" w:sz="0" w:space="0" w:color="auto"/>
            <w:right w:val="none" w:sz="0" w:space="0" w:color="auto"/>
          </w:divBdr>
        </w:div>
        <w:div w:id="1261139808">
          <w:marLeft w:val="0"/>
          <w:marRight w:val="0"/>
          <w:marTop w:val="0"/>
          <w:marBottom w:val="0"/>
          <w:divBdr>
            <w:top w:val="none" w:sz="0" w:space="0" w:color="auto"/>
            <w:left w:val="none" w:sz="0" w:space="0" w:color="auto"/>
            <w:bottom w:val="none" w:sz="0" w:space="0" w:color="auto"/>
            <w:right w:val="none" w:sz="0" w:space="0" w:color="auto"/>
          </w:divBdr>
        </w:div>
        <w:div w:id="1275215859">
          <w:marLeft w:val="0"/>
          <w:marRight w:val="0"/>
          <w:marTop w:val="0"/>
          <w:marBottom w:val="0"/>
          <w:divBdr>
            <w:top w:val="none" w:sz="0" w:space="0" w:color="auto"/>
            <w:left w:val="none" w:sz="0" w:space="0" w:color="auto"/>
            <w:bottom w:val="none" w:sz="0" w:space="0" w:color="auto"/>
            <w:right w:val="none" w:sz="0" w:space="0" w:color="auto"/>
          </w:divBdr>
        </w:div>
        <w:div w:id="1939176982">
          <w:marLeft w:val="0"/>
          <w:marRight w:val="0"/>
          <w:marTop w:val="0"/>
          <w:marBottom w:val="0"/>
          <w:divBdr>
            <w:top w:val="none" w:sz="0" w:space="0" w:color="auto"/>
            <w:left w:val="none" w:sz="0" w:space="0" w:color="auto"/>
            <w:bottom w:val="none" w:sz="0" w:space="0" w:color="auto"/>
            <w:right w:val="none" w:sz="0" w:space="0" w:color="auto"/>
          </w:divBdr>
        </w:div>
        <w:div w:id="1019694543">
          <w:marLeft w:val="0"/>
          <w:marRight w:val="0"/>
          <w:marTop w:val="0"/>
          <w:marBottom w:val="0"/>
          <w:divBdr>
            <w:top w:val="none" w:sz="0" w:space="0" w:color="auto"/>
            <w:left w:val="none" w:sz="0" w:space="0" w:color="auto"/>
            <w:bottom w:val="none" w:sz="0" w:space="0" w:color="auto"/>
            <w:right w:val="none" w:sz="0" w:space="0" w:color="auto"/>
          </w:divBdr>
        </w:div>
        <w:div w:id="187644043">
          <w:marLeft w:val="0"/>
          <w:marRight w:val="0"/>
          <w:marTop w:val="0"/>
          <w:marBottom w:val="0"/>
          <w:divBdr>
            <w:top w:val="none" w:sz="0" w:space="0" w:color="auto"/>
            <w:left w:val="none" w:sz="0" w:space="0" w:color="auto"/>
            <w:bottom w:val="none" w:sz="0" w:space="0" w:color="auto"/>
            <w:right w:val="none" w:sz="0" w:space="0" w:color="auto"/>
          </w:divBdr>
        </w:div>
        <w:div w:id="1472751283">
          <w:marLeft w:val="0"/>
          <w:marRight w:val="0"/>
          <w:marTop w:val="0"/>
          <w:marBottom w:val="0"/>
          <w:divBdr>
            <w:top w:val="none" w:sz="0" w:space="0" w:color="auto"/>
            <w:left w:val="none" w:sz="0" w:space="0" w:color="auto"/>
            <w:bottom w:val="none" w:sz="0" w:space="0" w:color="auto"/>
            <w:right w:val="none" w:sz="0" w:space="0" w:color="auto"/>
          </w:divBdr>
        </w:div>
        <w:div w:id="2070183687">
          <w:marLeft w:val="0"/>
          <w:marRight w:val="0"/>
          <w:marTop w:val="0"/>
          <w:marBottom w:val="0"/>
          <w:divBdr>
            <w:top w:val="none" w:sz="0" w:space="0" w:color="auto"/>
            <w:left w:val="none" w:sz="0" w:space="0" w:color="auto"/>
            <w:bottom w:val="none" w:sz="0" w:space="0" w:color="auto"/>
            <w:right w:val="none" w:sz="0" w:space="0" w:color="auto"/>
          </w:divBdr>
        </w:div>
        <w:div w:id="1711145612">
          <w:marLeft w:val="0"/>
          <w:marRight w:val="0"/>
          <w:marTop w:val="0"/>
          <w:marBottom w:val="0"/>
          <w:divBdr>
            <w:top w:val="none" w:sz="0" w:space="0" w:color="auto"/>
            <w:left w:val="none" w:sz="0" w:space="0" w:color="auto"/>
            <w:bottom w:val="none" w:sz="0" w:space="0" w:color="auto"/>
            <w:right w:val="none" w:sz="0" w:space="0" w:color="auto"/>
          </w:divBdr>
        </w:div>
        <w:div w:id="865947719">
          <w:marLeft w:val="0"/>
          <w:marRight w:val="0"/>
          <w:marTop w:val="0"/>
          <w:marBottom w:val="0"/>
          <w:divBdr>
            <w:top w:val="none" w:sz="0" w:space="0" w:color="auto"/>
            <w:left w:val="none" w:sz="0" w:space="0" w:color="auto"/>
            <w:bottom w:val="none" w:sz="0" w:space="0" w:color="auto"/>
            <w:right w:val="none" w:sz="0" w:space="0" w:color="auto"/>
          </w:divBdr>
        </w:div>
        <w:div w:id="1698969486">
          <w:marLeft w:val="0"/>
          <w:marRight w:val="0"/>
          <w:marTop w:val="0"/>
          <w:marBottom w:val="0"/>
          <w:divBdr>
            <w:top w:val="none" w:sz="0" w:space="0" w:color="auto"/>
            <w:left w:val="none" w:sz="0" w:space="0" w:color="auto"/>
            <w:bottom w:val="none" w:sz="0" w:space="0" w:color="auto"/>
            <w:right w:val="none" w:sz="0" w:space="0" w:color="auto"/>
          </w:divBdr>
        </w:div>
        <w:div w:id="1412776046">
          <w:marLeft w:val="0"/>
          <w:marRight w:val="0"/>
          <w:marTop w:val="0"/>
          <w:marBottom w:val="0"/>
          <w:divBdr>
            <w:top w:val="none" w:sz="0" w:space="0" w:color="auto"/>
            <w:left w:val="none" w:sz="0" w:space="0" w:color="auto"/>
            <w:bottom w:val="none" w:sz="0" w:space="0" w:color="auto"/>
            <w:right w:val="none" w:sz="0" w:space="0" w:color="auto"/>
          </w:divBdr>
        </w:div>
        <w:div w:id="1299145404">
          <w:marLeft w:val="0"/>
          <w:marRight w:val="0"/>
          <w:marTop w:val="0"/>
          <w:marBottom w:val="0"/>
          <w:divBdr>
            <w:top w:val="none" w:sz="0" w:space="0" w:color="auto"/>
            <w:left w:val="none" w:sz="0" w:space="0" w:color="auto"/>
            <w:bottom w:val="none" w:sz="0" w:space="0" w:color="auto"/>
            <w:right w:val="none" w:sz="0" w:space="0" w:color="auto"/>
          </w:divBdr>
        </w:div>
      </w:divsChild>
    </w:div>
    <w:div w:id="1811173687">
      <w:bodyDiv w:val="1"/>
      <w:marLeft w:val="0"/>
      <w:marRight w:val="0"/>
      <w:marTop w:val="0"/>
      <w:marBottom w:val="0"/>
      <w:divBdr>
        <w:top w:val="none" w:sz="0" w:space="0" w:color="auto"/>
        <w:left w:val="none" w:sz="0" w:space="0" w:color="auto"/>
        <w:bottom w:val="none" w:sz="0" w:space="0" w:color="auto"/>
        <w:right w:val="none" w:sz="0" w:space="0" w:color="auto"/>
      </w:divBdr>
    </w:div>
    <w:div w:id="1826780327">
      <w:bodyDiv w:val="1"/>
      <w:marLeft w:val="0"/>
      <w:marRight w:val="0"/>
      <w:marTop w:val="0"/>
      <w:marBottom w:val="0"/>
      <w:divBdr>
        <w:top w:val="none" w:sz="0" w:space="0" w:color="auto"/>
        <w:left w:val="none" w:sz="0" w:space="0" w:color="auto"/>
        <w:bottom w:val="none" w:sz="0" w:space="0" w:color="auto"/>
        <w:right w:val="none" w:sz="0" w:space="0" w:color="auto"/>
      </w:divBdr>
    </w:div>
    <w:div w:id="1829127012">
      <w:bodyDiv w:val="1"/>
      <w:marLeft w:val="0"/>
      <w:marRight w:val="0"/>
      <w:marTop w:val="0"/>
      <w:marBottom w:val="0"/>
      <w:divBdr>
        <w:top w:val="none" w:sz="0" w:space="0" w:color="auto"/>
        <w:left w:val="none" w:sz="0" w:space="0" w:color="auto"/>
        <w:bottom w:val="none" w:sz="0" w:space="0" w:color="auto"/>
        <w:right w:val="none" w:sz="0" w:space="0" w:color="auto"/>
      </w:divBdr>
    </w:div>
    <w:div w:id="1842313707">
      <w:bodyDiv w:val="1"/>
      <w:marLeft w:val="0"/>
      <w:marRight w:val="0"/>
      <w:marTop w:val="0"/>
      <w:marBottom w:val="0"/>
      <w:divBdr>
        <w:top w:val="none" w:sz="0" w:space="0" w:color="auto"/>
        <w:left w:val="none" w:sz="0" w:space="0" w:color="auto"/>
        <w:bottom w:val="none" w:sz="0" w:space="0" w:color="auto"/>
        <w:right w:val="none" w:sz="0" w:space="0" w:color="auto"/>
      </w:divBdr>
    </w:div>
    <w:div w:id="1875842551">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896695270">
      <w:bodyDiv w:val="1"/>
      <w:marLeft w:val="0"/>
      <w:marRight w:val="0"/>
      <w:marTop w:val="0"/>
      <w:marBottom w:val="0"/>
      <w:divBdr>
        <w:top w:val="none" w:sz="0" w:space="0" w:color="auto"/>
        <w:left w:val="none" w:sz="0" w:space="0" w:color="auto"/>
        <w:bottom w:val="none" w:sz="0" w:space="0" w:color="auto"/>
        <w:right w:val="none" w:sz="0" w:space="0" w:color="auto"/>
      </w:divBdr>
    </w:div>
    <w:div w:id="1906180898">
      <w:bodyDiv w:val="1"/>
      <w:marLeft w:val="0"/>
      <w:marRight w:val="0"/>
      <w:marTop w:val="0"/>
      <w:marBottom w:val="0"/>
      <w:divBdr>
        <w:top w:val="none" w:sz="0" w:space="0" w:color="auto"/>
        <w:left w:val="none" w:sz="0" w:space="0" w:color="auto"/>
        <w:bottom w:val="none" w:sz="0" w:space="0" w:color="auto"/>
        <w:right w:val="none" w:sz="0" w:space="0" w:color="auto"/>
      </w:divBdr>
    </w:div>
    <w:div w:id="1917474826">
      <w:bodyDiv w:val="1"/>
      <w:marLeft w:val="0"/>
      <w:marRight w:val="0"/>
      <w:marTop w:val="0"/>
      <w:marBottom w:val="0"/>
      <w:divBdr>
        <w:top w:val="none" w:sz="0" w:space="0" w:color="auto"/>
        <w:left w:val="none" w:sz="0" w:space="0" w:color="auto"/>
        <w:bottom w:val="none" w:sz="0" w:space="0" w:color="auto"/>
        <w:right w:val="none" w:sz="0" w:space="0" w:color="auto"/>
      </w:divBdr>
    </w:div>
    <w:div w:id="1926720070">
      <w:bodyDiv w:val="1"/>
      <w:marLeft w:val="0"/>
      <w:marRight w:val="0"/>
      <w:marTop w:val="0"/>
      <w:marBottom w:val="0"/>
      <w:divBdr>
        <w:top w:val="none" w:sz="0" w:space="0" w:color="auto"/>
        <w:left w:val="none" w:sz="0" w:space="0" w:color="auto"/>
        <w:bottom w:val="none" w:sz="0" w:space="0" w:color="auto"/>
        <w:right w:val="none" w:sz="0" w:space="0" w:color="auto"/>
      </w:divBdr>
    </w:div>
    <w:div w:id="1937899950">
      <w:bodyDiv w:val="1"/>
      <w:marLeft w:val="0"/>
      <w:marRight w:val="0"/>
      <w:marTop w:val="0"/>
      <w:marBottom w:val="0"/>
      <w:divBdr>
        <w:top w:val="none" w:sz="0" w:space="0" w:color="auto"/>
        <w:left w:val="none" w:sz="0" w:space="0" w:color="auto"/>
        <w:bottom w:val="none" w:sz="0" w:space="0" w:color="auto"/>
        <w:right w:val="none" w:sz="0" w:space="0" w:color="auto"/>
      </w:divBdr>
    </w:div>
    <w:div w:id="1948200117">
      <w:bodyDiv w:val="1"/>
      <w:marLeft w:val="0"/>
      <w:marRight w:val="0"/>
      <w:marTop w:val="0"/>
      <w:marBottom w:val="0"/>
      <w:divBdr>
        <w:top w:val="none" w:sz="0" w:space="0" w:color="auto"/>
        <w:left w:val="none" w:sz="0" w:space="0" w:color="auto"/>
        <w:bottom w:val="none" w:sz="0" w:space="0" w:color="auto"/>
        <w:right w:val="none" w:sz="0" w:space="0" w:color="auto"/>
      </w:divBdr>
    </w:div>
    <w:div w:id="1952936011">
      <w:bodyDiv w:val="1"/>
      <w:marLeft w:val="0"/>
      <w:marRight w:val="0"/>
      <w:marTop w:val="0"/>
      <w:marBottom w:val="0"/>
      <w:divBdr>
        <w:top w:val="none" w:sz="0" w:space="0" w:color="auto"/>
        <w:left w:val="none" w:sz="0" w:space="0" w:color="auto"/>
        <w:bottom w:val="none" w:sz="0" w:space="0" w:color="auto"/>
        <w:right w:val="none" w:sz="0" w:space="0" w:color="auto"/>
      </w:divBdr>
    </w:div>
    <w:div w:id="1960798363">
      <w:bodyDiv w:val="1"/>
      <w:marLeft w:val="0"/>
      <w:marRight w:val="0"/>
      <w:marTop w:val="0"/>
      <w:marBottom w:val="0"/>
      <w:divBdr>
        <w:top w:val="none" w:sz="0" w:space="0" w:color="auto"/>
        <w:left w:val="none" w:sz="0" w:space="0" w:color="auto"/>
        <w:bottom w:val="none" w:sz="0" w:space="0" w:color="auto"/>
        <w:right w:val="none" w:sz="0" w:space="0" w:color="auto"/>
      </w:divBdr>
    </w:div>
    <w:div w:id="1994140115">
      <w:bodyDiv w:val="1"/>
      <w:marLeft w:val="0"/>
      <w:marRight w:val="0"/>
      <w:marTop w:val="0"/>
      <w:marBottom w:val="0"/>
      <w:divBdr>
        <w:top w:val="none" w:sz="0" w:space="0" w:color="auto"/>
        <w:left w:val="none" w:sz="0" w:space="0" w:color="auto"/>
        <w:bottom w:val="none" w:sz="0" w:space="0" w:color="auto"/>
        <w:right w:val="none" w:sz="0" w:space="0" w:color="auto"/>
      </w:divBdr>
    </w:div>
    <w:div w:id="2014916526">
      <w:bodyDiv w:val="1"/>
      <w:marLeft w:val="0"/>
      <w:marRight w:val="0"/>
      <w:marTop w:val="0"/>
      <w:marBottom w:val="0"/>
      <w:divBdr>
        <w:top w:val="none" w:sz="0" w:space="0" w:color="auto"/>
        <w:left w:val="none" w:sz="0" w:space="0" w:color="auto"/>
        <w:bottom w:val="none" w:sz="0" w:space="0" w:color="auto"/>
        <w:right w:val="none" w:sz="0" w:space="0" w:color="auto"/>
      </w:divBdr>
    </w:div>
    <w:div w:id="2023314035">
      <w:bodyDiv w:val="1"/>
      <w:marLeft w:val="0"/>
      <w:marRight w:val="0"/>
      <w:marTop w:val="0"/>
      <w:marBottom w:val="0"/>
      <w:divBdr>
        <w:top w:val="none" w:sz="0" w:space="0" w:color="auto"/>
        <w:left w:val="none" w:sz="0" w:space="0" w:color="auto"/>
        <w:bottom w:val="none" w:sz="0" w:space="0" w:color="auto"/>
        <w:right w:val="none" w:sz="0" w:space="0" w:color="auto"/>
      </w:divBdr>
    </w:div>
    <w:div w:id="2029796405">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099787134">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15442257">
      <w:bodyDiv w:val="1"/>
      <w:marLeft w:val="0"/>
      <w:marRight w:val="0"/>
      <w:marTop w:val="0"/>
      <w:marBottom w:val="0"/>
      <w:divBdr>
        <w:top w:val="none" w:sz="0" w:space="0" w:color="auto"/>
        <w:left w:val="none" w:sz="0" w:space="0" w:color="auto"/>
        <w:bottom w:val="none" w:sz="0" w:space="0" w:color="auto"/>
        <w:right w:val="none" w:sz="0" w:space="0" w:color="auto"/>
      </w:divBdr>
    </w:div>
    <w:div w:id="2128429675">
      <w:bodyDiv w:val="1"/>
      <w:marLeft w:val="0"/>
      <w:marRight w:val="0"/>
      <w:marTop w:val="0"/>
      <w:marBottom w:val="0"/>
      <w:divBdr>
        <w:top w:val="none" w:sz="0" w:space="0" w:color="auto"/>
        <w:left w:val="none" w:sz="0" w:space="0" w:color="auto"/>
        <w:bottom w:val="none" w:sz="0" w:space="0" w:color="auto"/>
        <w:right w:val="none" w:sz="0" w:space="0" w:color="auto"/>
      </w:divBdr>
    </w:div>
    <w:div w:id="2137486661">
      <w:bodyDiv w:val="1"/>
      <w:marLeft w:val="0"/>
      <w:marRight w:val="0"/>
      <w:marTop w:val="0"/>
      <w:marBottom w:val="0"/>
      <w:divBdr>
        <w:top w:val="none" w:sz="0" w:space="0" w:color="auto"/>
        <w:left w:val="none" w:sz="0" w:space="0" w:color="auto"/>
        <w:bottom w:val="none" w:sz="0" w:space="0" w:color="auto"/>
        <w:right w:val="none" w:sz="0" w:space="0" w:color="auto"/>
      </w:divBdr>
    </w:div>
    <w:div w:id="2137941799">
      <w:bodyDiv w:val="1"/>
      <w:marLeft w:val="0"/>
      <w:marRight w:val="0"/>
      <w:marTop w:val="0"/>
      <w:marBottom w:val="0"/>
      <w:divBdr>
        <w:top w:val="none" w:sz="0" w:space="0" w:color="auto"/>
        <w:left w:val="none" w:sz="0" w:space="0" w:color="auto"/>
        <w:bottom w:val="none" w:sz="0" w:space="0" w:color="auto"/>
        <w:right w:val="none" w:sz="0" w:space="0" w:color="auto"/>
      </w:divBdr>
    </w:div>
    <w:div w:id="2141652035">
      <w:bodyDiv w:val="1"/>
      <w:marLeft w:val="0"/>
      <w:marRight w:val="0"/>
      <w:marTop w:val="0"/>
      <w:marBottom w:val="0"/>
      <w:divBdr>
        <w:top w:val="none" w:sz="0" w:space="0" w:color="auto"/>
        <w:left w:val="none" w:sz="0" w:space="0" w:color="auto"/>
        <w:bottom w:val="none" w:sz="0" w:space="0" w:color="auto"/>
        <w:right w:val="none" w:sz="0" w:space="0" w:color="auto"/>
      </w:divBdr>
    </w:div>
    <w:div w:id="2144731964">
      <w:bodyDiv w:val="1"/>
      <w:marLeft w:val="0"/>
      <w:marRight w:val="0"/>
      <w:marTop w:val="0"/>
      <w:marBottom w:val="0"/>
      <w:divBdr>
        <w:top w:val="none" w:sz="0" w:space="0" w:color="auto"/>
        <w:left w:val="none" w:sz="0" w:space="0" w:color="auto"/>
        <w:bottom w:val="none" w:sz="0" w:space="0" w:color="auto"/>
        <w:right w:val="none" w:sz="0" w:space="0" w:color="auto"/>
      </w:divBdr>
    </w:div>
    <w:div w:id="2146239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sz.cz/cz/nemocenske-pojisteni/davky/nemocenske.htm"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2.xml"/><Relationship Id="rId21" Type="http://schemas.openxmlformats.org/officeDocument/2006/relationships/chart" Target="charts/chart6.xml"/><Relationship Id="rId34" Type="http://schemas.openxmlformats.org/officeDocument/2006/relationships/chart" Target="charts/chart17.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ssz.cz/cz/pojisteni-osvc/ucast-na-pojisteni/nemocenske-pojisteni-osvc.htm" TargetMode="External"/><Relationship Id="rId24" Type="http://schemas.openxmlformats.org/officeDocument/2006/relationships/chart" Target="charts/chart9.xml"/><Relationship Id="rId32" Type="http://schemas.openxmlformats.org/officeDocument/2006/relationships/hyperlink" Target="https://www.mpsv.cz/files/clanky/34988/Informace_o_vyplacenych_davkach_v_prosinci_2018.pdf" TargetMode="External"/><Relationship Id="rId37" Type="http://schemas.openxmlformats.org/officeDocument/2006/relationships/chart" Target="charts/chart20.xm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ssz.cz/cz/o-cssz/informace/statistiky/nemocenska-statistika/"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9.xml"/><Relationship Id="rId10" Type="http://schemas.openxmlformats.org/officeDocument/2006/relationships/hyperlink" Target="http://www.cssz.cz/cz/nemocenske-pojisteni/ucast-na-pojisteni/" TargetMode="External"/><Relationship Id="rId19" Type="http://schemas.openxmlformats.org/officeDocument/2006/relationships/chart" Target="charts/chart4.xml"/><Relationship Id="rId31" Type="http://schemas.openxmlformats.org/officeDocument/2006/relationships/chart" Target="charts/chart1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ena.hykysova@czso.cz" TargetMode="External"/><Relationship Id="rId14" Type="http://schemas.openxmlformats.org/officeDocument/2006/relationships/hyperlink" Target="http://www.uzis.cz/category/tematicke-rady/zdravotnicka-statistika/pracovni-neschopnost"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chart" Target="charts/chart18.xml"/><Relationship Id="rId43" Type="http://schemas.openxmlformats.org/officeDocument/2006/relationships/footer" Target="footer2.xml"/><Relationship Id="rId8" Type="http://schemas.openxmlformats.org/officeDocument/2006/relationships/hyperlink" Target="mailto:alena.hykysova@czso.cz" TargetMode="External"/><Relationship Id="rId3" Type="http://schemas.openxmlformats.org/officeDocument/2006/relationships/styles" Target="styles.xml"/><Relationship Id="rId12" Type="http://schemas.openxmlformats.org/officeDocument/2006/relationships/hyperlink" Target="https://www.mpsv.cz/cs/7"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6.xml"/><Relationship Id="rId38" Type="http://schemas.openxmlformats.org/officeDocument/2006/relationships/chart" Target="charts/chart21.xml"/><Relationship Id="rId20" Type="http://schemas.openxmlformats.org/officeDocument/2006/relationships/chart" Target="charts/chart5.xml"/><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cssz.cz/cz/nemocenske-pojisteni/davky/uplatnovani-naroku-a-vyplata-davek-nemocenskeho-pojisteni.htm" TargetMode="External"/><Relationship Id="rId2" Type="http://schemas.openxmlformats.org/officeDocument/2006/relationships/hyperlink" Target="https://www.cssz.cz/cz/nemocenske-pojisteni/davky/uplatnovani-naroku-a-vyplata-davek-nemocenskeho-pojisteni.htm" TargetMode="External"/><Relationship Id="rId1" Type="http://schemas.openxmlformats.org/officeDocument/2006/relationships/hyperlink" Target="https://www.czso.cz/csu/czso/pracovni-neschopnost-pro-nemoc-a-uraz-v-ceske-republice-za-rok-2017" TargetMode="External"/><Relationship Id="rId5" Type="http://schemas.openxmlformats.org/officeDocument/2006/relationships/hyperlink" Target="http://ec.europa.eu/eurostat/web/health/health-safety-work/data/database" TargetMode="External"/><Relationship Id="rId4" Type="http://schemas.openxmlformats.org/officeDocument/2006/relationships/hyperlink" Target="https://www.czso.cz/csu/czso/klasifikace-institucionalnich-sektoru-a-subsektoru-cz-cis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Odbor%2063\NEM_UR\tabulky_moje\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BFS2\DATA\DATA\ZPRAC\TECHNOL\oddeleni_6301\1_Zdravotnictv&#237;\ADMNEMUR_Statistika%20pracovn&#237;%20neschopnosti%20pro%20nemoc%20a%20&#250;raz_Hriv&#237;kov&#225;\E-PUBLIKACE_PRACOVN&#205;%20NESCHOPNOST%20PRO%20NEMOC%20A%20&#218;RAZ%20V%20&#268;R\ADMNEMUR_ROK%202018\nov&#233;\podklady_tabulky%20do%20textov&#233;%20&#269;&#225;sti_nov&#23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18\publikace\podklady_tabulky%20do%20textov&#233;%20&#269;&#225;sti_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hykysova23070\Documents\PN\2018\publikace\podklady_tabulky%20do%20textov&#233;%20&#269;&#225;sti_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1" Type="http://schemas.openxmlformats.org/officeDocument/2006/relationships/oleObject" Target="file:///D:\PN\2018\publikace\podklady_tabulky%20do%20textov&#233;%20&#269;&#225;sti_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D:\PN\2018\publikace\dodate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PN\2018\publikace\dodate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PN\2018\publikace\podklady_tabulky%20do%20textov&#233;%20&#269;&#225;sti_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List2!$A$53</c:f>
              <c:strCache>
                <c:ptCount val="1"/>
                <c:pt idx="0">
                  <c:v> OSVČ</c:v>
                </c:pt>
              </c:strCache>
            </c:strRef>
          </c:tx>
          <c:spPr>
            <a:solidFill>
              <a:srgbClr val="632827"/>
            </a:solidFill>
            <a:ln>
              <a:noFill/>
            </a:ln>
            <a:effectLst/>
          </c:spPr>
          <c:invertIfNegative val="0"/>
          <c:dLbls>
            <c:dLbl>
              <c:idx val="1"/>
              <c:layout>
                <c:manualLayout>
                  <c:x val="-2.7778118998775699E-3"/>
                  <c:y val="-2.3148127610809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10-4F04-9286-85D2791364D1}"/>
                </c:ext>
              </c:extLst>
            </c:dLbl>
            <c:dLbl>
              <c:idx val="2"/>
              <c:layout>
                <c:manualLayout>
                  <c:x val="2.777777777777676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10-4F04-9286-85D2791364D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List2!$B$52:$D$52</c:f>
              <c:numCache>
                <c:formatCode>General</c:formatCode>
                <c:ptCount val="3"/>
                <c:pt idx="0">
                  <c:v>2008</c:v>
                </c:pt>
                <c:pt idx="1">
                  <c:v>2013</c:v>
                </c:pt>
                <c:pt idx="2">
                  <c:v>2018</c:v>
                </c:pt>
              </c:numCache>
            </c:numRef>
          </c:cat>
          <c:val>
            <c:numRef>
              <c:f>List2!$B$53:$D$53</c:f>
              <c:numCache>
                <c:formatCode>0.00</c:formatCode>
                <c:ptCount val="3"/>
                <c:pt idx="0">
                  <c:v>4.1866678272424608E-2</c:v>
                </c:pt>
                <c:pt idx="1">
                  <c:v>2.4585807438462851E-2</c:v>
                </c:pt>
                <c:pt idx="2">
                  <c:v>1.9286573082186852E-2</c:v>
                </c:pt>
              </c:numCache>
            </c:numRef>
          </c:val>
          <c:extLst>
            <c:ext xmlns:c16="http://schemas.microsoft.com/office/drawing/2014/chart" uri="{C3380CC4-5D6E-409C-BE32-E72D297353CC}">
              <c16:uniqueId val="{00000002-7810-4F04-9286-85D2791364D1}"/>
            </c:ext>
          </c:extLst>
        </c:ser>
        <c:ser>
          <c:idx val="1"/>
          <c:order val="1"/>
          <c:tx>
            <c:strRef>
              <c:f>List2!$A$54</c:f>
              <c:strCache>
                <c:ptCount val="1"/>
                <c:pt idx="0">
                  <c:v> 1–49 zaměstnanců</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List2!$B$52:$D$52</c:f>
              <c:numCache>
                <c:formatCode>General</c:formatCode>
                <c:ptCount val="3"/>
                <c:pt idx="0">
                  <c:v>2008</c:v>
                </c:pt>
                <c:pt idx="1">
                  <c:v>2013</c:v>
                </c:pt>
                <c:pt idx="2">
                  <c:v>2018</c:v>
                </c:pt>
              </c:numCache>
            </c:numRef>
          </c:cat>
          <c:val>
            <c:numRef>
              <c:f>List2!$B$54:$D$54</c:f>
              <c:numCache>
                <c:formatCode>0.00</c:formatCode>
                <c:ptCount val="3"/>
                <c:pt idx="0">
                  <c:v>0.32362394222243901</c:v>
                </c:pt>
                <c:pt idx="1">
                  <c:v>0.3310133084823052</c:v>
                </c:pt>
                <c:pt idx="2">
                  <c:v>0.31648748323638221</c:v>
                </c:pt>
              </c:numCache>
            </c:numRef>
          </c:val>
          <c:extLst>
            <c:ext xmlns:c16="http://schemas.microsoft.com/office/drawing/2014/chart" uri="{C3380CC4-5D6E-409C-BE32-E72D297353CC}">
              <c16:uniqueId val="{00000003-7810-4F04-9286-85D2791364D1}"/>
            </c:ext>
          </c:extLst>
        </c:ser>
        <c:ser>
          <c:idx val="2"/>
          <c:order val="2"/>
          <c:tx>
            <c:strRef>
              <c:f>List2!$A$55</c:f>
              <c:strCache>
                <c:ptCount val="1"/>
                <c:pt idx="0">
                  <c:v> 50–249 zaměstnanců</c:v>
                </c:pt>
              </c:strCache>
            </c:strRef>
          </c:tx>
          <c:spPr>
            <a:solidFill>
              <a:srgbClr val="C46A68"/>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List2!$B$52:$D$52</c:f>
              <c:numCache>
                <c:formatCode>General</c:formatCode>
                <c:ptCount val="3"/>
                <c:pt idx="0">
                  <c:v>2008</c:v>
                </c:pt>
                <c:pt idx="1">
                  <c:v>2013</c:v>
                </c:pt>
                <c:pt idx="2">
                  <c:v>2018</c:v>
                </c:pt>
              </c:numCache>
            </c:numRef>
          </c:cat>
          <c:val>
            <c:numRef>
              <c:f>List2!$B$55:$D$55</c:f>
              <c:numCache>
                <c:formatCode>0.00</c:formatCode>
                <c:ptCount val="3"/>
                <c:pt idx="0">
                  <c:v>0.24148884961496514</c:v>
                </c:pt>
                <c:pt idx="1">
                  <c:v>0.23424226059077644</c:v>
                </c:pt>
                <c:pt idx="2">
                  <c:v>0.23368736284066025</c:v>
                </c:pt>
              </c:numCache>
            </c:numRef>
          </c:val>
          <c:extLst>
            <c:ext xmlns:c16="http://schemas.microsoft.com/office/drawing/2014/chart" uri="{C3380CC4-5D6E-409C-BE32-E72D297353CC}">
              <c16:uniqueId val="{00000004-7810-4F04-9286-85D2791364D1}"/>
            </c:ext>
          </c:extLst>
        </c:ser>
        <c:ser>
          <c:idx val="3"/>
          <c:order val="3"/>
          <c:tx>
            <c:strRef>
              <c:f>List2!$A$56</c:f>
              <c:strCache>
                <c:ptCount val="1"/>
                <c:pt idx="0">
                  <c:v> 250 a více zaměstnanců</c:v>
                </c:pt>
              </c:strCache>
            </c:strRef>
          </c:tx>
          <c:spPr>
            <a:solidFill>
              <a:srgbClr val="EEDADA"/>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List2!$B$52:$D$52</c:f>
              <c:numCache>
                <c:formatCode>General</c:formatCode>
                <c:ptCount val="3"/>
                <c:pt idx="0">
                  <c:v>2008</c:v>
                </c:pt>
                <c:pt idx="1">
                  <c:v>2013</c:v>
                </c:pt>
                <c:pt idx="2">
                  <c:v>2018</c:v>
                </c:pt>
              </c:numCache>
            </c:numRef>
          </c:cat>
          <c:val>
            <c:numRef>
              <c:f>List2!$B$56:$D$56</c:f>
              <c:numCache>
                <c:formatCode>0.00</c:formatCode>
                <c:ptCount val="3"/>
                <c:pt idx="0">
                  <c:v>0.3817256989316215</c:v>
                </c:pt>
                <c:pt idx="1">
                  <c:v>0.41015862348845561</c:v>
                </c:pt>
                <c:pt idx="2">
                  <c:v>0.43053858084077062</c:v>
                </c:pt>
              </c:numCache>
            </c:numRef>
          </c:val>
          <c:extLst>
            <c:ext xmlns:c16="http://schemas.microsoft.com/office/drawing/2014/chart" uri="{C3380CC4-5D6E-409C-BE32-E72D297353CC}">
              <c16:uniqueId val="{00000005-7810-4F04-9286-85D2791364D1}"/>
            </c:ext>
          </c:extLst>
        </c:ser>
        <c:dLbls>
          <c:showLegendKey val="0"/>
          <c:showVal val="0"/>
          <c:showCatName val="0"/>
          <c:showSerName val="0"/>
          <c:showPercent val="0"/>
          <c:showBubbleSize val="0"/>
        </c:dLbls>
        <c:gapWidth val="150"/>
        <c:overlap val="100"/>
        <c:axId val="946128928"/>
        <c:axId val="946129760"/>
      </c:barChart>
      <c:catAx>
        <c:axId val="94612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46129760"/>
        <c:crosses val="autoZero"/>
        <c:auto val="1"/>
        <c:lblAlgn val="ctr"/>
        <c:lblOffset val="100"/>
        <c:noMultiLvlLbl val="0"/>
      </c:catAx>
      <c:valAx>
        <c:axId val="946129760"/>
        <c:scaling>
          <c:orientation val="minMax"/>
        </c:scaling>
        <c:delete val="1"/>
        <c:axPos val="l"/>
        <c:numFmt formatCode="0%" sourceLinked="1"/>
        <c:majorTickMark val="none"/>
        <c:minorTickMark val="none"/>
        <c:tickLblPos val="nextTo"/>
        <c:crossAx val="946128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List18!$B$2</c:f>
              <c:strCache>
                <c:ptCount val="1"/>
                <c:pt idx="0">
                  <c:v>Počet kalendářních dnů pracovní neschopnosti na 1 nově hlášený případ</c:v>
                </c:pt>
              </c:strCache>
            </c:strRef>
          </c:tx>
          <c:spPr>
            <a:solidFill>
              <a:srgbClr val="D28684"/>
            </a:solidFill>
            <a:ln>
              <a:noFill/>
            </a:ln>
            <a:effectLst/>
          </c:spPr>
          <c:invertIfNegative val="0"/>
          <c:dPt>
            <c:idx val="7"/>
            <c:invertIfNegative val="0"/>
            <c:bubble3D val="0"/>
            <c:spPr>
              <a:solidFill>
                <a:srgbClr val="B44946"/>
              </a:solidFill>
              <a:ln>
                <a:noFill/>
              </a:ln>
              <a:effectLst/>
            </c:spPr>
            <c:extLst>
              <c:ext xmlns:c16="http://schemas.microsoft.com/office/drawing/2014/chart" uri="{C3380CC4-5D6E-409C-BE32-E72D297353CC}">
                <c16:uniqueId val="{00000001-2FDB-48BB-874E-5108AF5EF840}"/>
              </c:ext>
            </c:extLst>
          </c:dPt>
          <c:cat>
            <c:strRef>
              <c:f>List18!$A$3:$A$17</c:f>
              <c:strCache>
                <c:ptCount val="15"/>
                <c:pt idx="0">
                  <c:v>Liberecký kraj</c:v>
                </c:pt>
                <c:pt idx="1">
                  <c:v>Plzeňský kraj</c:v>
                </c:pt>
                <c:pt idx="2">
                  <c:v>Hlavní město Praha</c:v>
                </c:pt>
                <c:pt idx="3">
                  <c:v>Královéhradecký kraj</c:v>
                </c:pt>
                <c:pt idx="4">
                  <c:v>Karlovarský kraj</c:v>
                </c:pt>
                <c:pt idx="5">
                  <c:v>Středočeský kraj</c:v>
                </c:pt>
                <c:pt idx="6">
                  <c:v>Pardubický kraj</c:v>
                </c:pt>
                <c:pt idx="7">
                  <c:v>ČR CELKEM</c:v>
                </c:pt>
                <c:pt idx="8">
                  <c:v>Ústecký kraj</c:v>
                </c:pt>
                <c:pt idx="9">
                  <c:v>Jihomoravský kraj</c:v>
                </c:pt>
                <c:pt idx="10">
                  <c:v>Jihočeský kraj</c:v>
                </c:pt>
                <c:pt idx="11">
                  <c:v>Kraj Vysočina</c:v>
                </c:pt>
                <c:pt idx="12">
                  <c:v>Olomoucký kraj</c:v>
                </c:pt>
                <c:pt idx="13">
                  <c:v>Moravskoslezský kraj</c:v>
                </c:pt>
                <c:pt idx="14">
                  <c:v>Zlínský kraj</c:v>
                </c:pt>
              </c:strCache>
            </c:strRef>
          </c:cat>
          <c:val>
            <c:numRef>
              <c:f>List18!$B$3:$B$17</c:f>
              <c:numCache>
                <c:formatCode>General</c:formatCode>
                <c:ptCount val="15"/>
                <c:pt idx="0">
                  <c:v>37.689770784399997</c:v>
                </c:pt>
                <c:pt idx="1">
                  <c:v>38.379731880000001</c:v>
                </c:pt>
                <c:pt idx="2">
                  <c:v>38.642775369699997</c:v>
                </c:pt>
                <c:pt idx="3">
                  <c:v>38.807185913700003</c:v>
                </c:pt>
                <c:pt idx="4">
                  <c:v>39.256324779700002</c:v>
                </c:pt>
                <c:pt idx="5">
                  <c:v>39.649702402999999</c:v>
                </c:pt>
                <c:pt idx="6">
                  <c:v>40.898470423900001</c:v>
                </c:pt>
                <c:pt idx="7">
                  <c:v>41.719130771000003</c:v>
                </c:pt>
                <c:pt idx="8">
                  <c:v>42.037817413799999</c:v>
                </c:pt>
                <c:pt idx="9">
                  <c:v>42.624897538799999</c:v>
                </c:pt>
                <c:pt idx="10">
                  <c:v>43.694863838700002</c:v>
                </c:pt>
                <c:pt idx="11">
                  <c:v>44.187541330499997</c:v>
                </c:pt>
                <c:pt idx="12">
                  <c:v>45.682107985199998</c:v>
                </c:pt>
                <c:pt idx="13">
                  <c:v>47.263749741300003</c:v>
                </c:pt>
                <c:pt idx="14">
                  <c:v>49.2050166426</c:v>
                </c:pt>
              </c:numCache>
            </c:numRef>
          </c:val>
          <c:extLst>
            <c:ext xmlns:c16="http://schemas.microsoft.com/office/drawing/2014/chart" uri="{C3380CC4-5D6E-409C-BE32-E72D297353CC}">
              <c16:uniqueId val="{00000002-2FDB-48BB-874E-5108AF5EF840}"/>
            </c:ext>
          </c:extLst>
        </c:ser>
        <c:dLbls>
          <c:showLegendKey val="0"/>
          <c:showVal val="0"/>
          <c:showCatName val="0"/>
          <c:showSerName val="0"/>
          <c:showPercent val="0"/>
          <c:showBubbleSize val="0"/>
        </c:dLbls>
        <c:gapWidth val="182"/>
        <c:axId val="1082917216"/>
        <c:axId val="1082916800"/>
      </c:barChart>
      <c:catAx>
        <c:axId val="1082917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82916800"/>
        <c:crosses val="autoZero"/>
        <c:auto val="1"/>
        <c:lblAlgn val="ctr"/>
        <c:lblOffset val="100"/>
        <c:noMultiLvlLbl val="0"/>
      </c:catAx>
      <c:valAx>
        <c:axId val="1082916800"/>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8291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List20!$C$2</c:f>
              <c:strCache>
                <c:ptCount val="1"/>
                <c:pt idx="0">
                  <c:v> nemoc</c:v>
                </c:pt>
              </c:strCache>
            </c:strRef>
          </c:tx>
          <c:spPr>
            <a:solidFill>
              <a:srgbClr val="813532"/>
            </a:solidFill>
            <a:ln>
              <a:noFill/>
            </a:ln>
            <a:effectLst/>
          </c:spPr>
          <c:invertIfNegative val="0"/>
          <c:cat>
            <c:multiLvlStrRef>
              <c:f>List20!$A$3:$B$9</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List20!$C$3:$C$9</c:f>
              <c:numCache>
                <c:formatCode>General</c:formatCode>
                <c:ptCount val="7"/>
                <c:pt idx="0">
                  <c:v>40.128831723799998</c:v>
                </c:pt>
                <c:pt idx="1">
                  <c:v>104.11738342709999</c:v>
                </c:pt>
                <c:pt idx="2">
                  <c:v>45.161010177999998</c:v>
                </c:pt>
                <c:pt idx="3">
                  <c:v>37.273126089599998</c:v>
                </c:pt>
                <c:pt idx="4">
                  <c:v>39.011830464600003</c:v>
                </c:pt>
                <c:pt idx="5">
                  <c:v>38.241565489199999</c:v>
                </c:pt>
                <c:pt idx="6">
                  <c:v>37.5488209767</c:v>
                </c:pt>
              </c:numCache>
            </c:numRef>
          </c:val>
          <c:extLst>
            <c:ext xmlns:c16="http://schemas.microsoft.com/office/drawing/2014/chart" uri="{C3380CC4-5D6E-409C-BE32-E72D297353CC}">
              <c16:uniqueId val="{00000000-C623-4785-AAEC-E91D64BFEBD3}"/>
            </c:ext>
          </c:extLst>
        </c:ser>
        <c:ser>
          <c:idx val="1"/>
          <c:order val="1"/>
          <c:tx>
            <c:strRef>
              <c:f>List20!$D$2</c:f>
              <c:strCache>
                <c:ptCount val="1"/>
                <c:pt idx="0">
                  <c:v> pracovní úraz</c:v>
                </c:pt>
              </c:strCache>
            </c:strRef>
          </c:tx>
          <c:spPr>
            <a:solidFill>
              <a:srgbClr val="B44946"/>
            </a:solidFill>
            <a:ln>
              <a:noFill/>
            </a:ln>
            <a:effectLst/>
          </c:spPr>
          <c:invertIfNegative val="0"/>
          <c:cat>
            <c:multiLvlStrRef>
              <c:f>List20!$A$3:$B$9</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List20!$D$3:$D$9</c:f>
              <c:numCache>
                <c:formatCode>General</c:formatCode>
                <c:ptCount val="7"/>
                <c:pt idx="0">
                  <c:v>55.618847759799998</c:v>
                </c:pt>
                <c:pt idx="1">
                  <c:v>101.3097826087</c:v>
                </c:pt>
                <c:pt idx="2">
                  <c:v>58.059863220499999</c:v>
                </c:pt>
                <c:pt idx="3">
                  <c:v>53.713987808799999</c:v>
                </c:pt>
                <c:pt idx="4">
                  <c:v>53.272981858000001</c:v>
                </c:pt>
                <c:pt idx="5">
                  <c:v>51.9161370056</c:v>
                </c:pt>
                <c:pt idx="6">
                  <c:v>56.724793782799999</c:v>
                </c:pt>
              </c:numCache>
            </c:numRef>
          </c:val>
          <c:extLst>
            <c:ext xmlns:c16="http://schemas.microsoft.com/office/drawing/2014/chart" uri="{C3380CC4-5D6E-409C-BE32-E72D297353CC}">
              <c16:uniqueId val="{00000001-C623-4785-AAEC-E91D64BFEBD3}"/>
            </c:ext>
          </c:extLst>
        </c:ser>
        <c:ser>
          <c:idx val="2"/>
          <c:order val="2"/>
          <c:tx>
            <c:strRef>
              <c:f>List20!$E$2</c:f>
              <c:strCache>
                <c:ptCount val="1"/>
                <c:pt idx="0">
                  <c:v> ostatní úraz</c:v>
                </c:pt>
              </c:strCache>
            </c:strRef>
          </c:tx>
          <c:spPr>
            <a:solidFill>
              <a:srgbClr val="D28684"/>
            </a:solidFill>
            <a:ln>
              <a:noFill/>
            </a:ln>
            <a:effectLst/>
          </c:spPr>
          <c:invertIfNegative val="0"/>
          <c:cat>
            <c:multiLvlStrRef>
              <c:f>List20!$A$3:$B$9</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List20!$E$3:$E$9</c:f>
              <c:numCache>
                <c:formatCode>General</c:formatCode>
                <c:ptCount val="7"/>
                <c:pt idx="0">
                  <c:v>54.676085066299997</c:v>
                </c:pt>
                <c:pt idx="1">
                  <c:v>97.857669276799996</c:v>
                </c:pt>
                <c:pt idx="2">
                  <c:v>59.670040620599998</c:v>
                </c:pt>
                <c:pt idx="3">
                  <c:v>51.873897975299997</c:v>
                </c:pt>
                <c:pt idx="4">
                  <c:v>52.117748634900003</c:v>
                </c:pt>
                <c:pt idx="5">
                  <c:v>51.888129961200001</c:v>
                </c:pt>
                <c:pt idx="6">
                  <c:v>51.333753099799999</c:v>
                </c:pt>
              </c:numCache>
            </c:numRef>
          </c:val>
          <c:extLst>
            <c:ext xmlns:c16="http://schemas.microsoft.com/office/drawing/2014/chart" uri="{C3380CC4-5D6E-409C-BE32-E72D297353CC}">
              <c16:uniqueId val="{00000002-C623-4785-AAEC-E91D64BFEBD3}"/>
            </c:ext>
          </c:extLst>
        </c:ser>
        <c:dLbls>
          <c:showLegendKey val="0"/>
          <c:showVal val="0"/>
          <c:showCatName val="0"/>
          <c:showSerName val="0"/>
          <c:showPercent val="0"/>
          <c:showBubbleSize val="0"/>
        </c:dLbls>
        <c:gapWidth val="219"/>
        <c:axId val="848230656"/>
        <c:axId val="848230240"/>
      </c:barChart>
      <c:catAx>
        <c:axId val="84823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848230240"/>
        <c:crosses val="autoZero"/>
        <c:auto val="1"/>
        <c:lblAlgn val="ctr"/>
        <c:lblOffset val="100"/>
        <c:noMultiLvlLbl val="0"/>
      </c:catAx>
      <c:valAx>
        <c:axId val="84823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848230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660717991284491"/>
          <c:y val="3.703704685623873E-2"/>
          <c:w val="0.4357698284186774"/>
          <c:h val="0.8134568290402262"/>
        </c:manualLayout>
      </c:layout>
      <c:barChart>
        <c:barDir val="bar"/>
        <c:grouping val="clustered"/>
        <c:varyColors val="0"/>
        <c:ser>
          <c:idx val="0"/>
          <c:order val="0"/>
          <c:tx>
            <c:strRef>
              <c:f>List25!$O$30</c:f>
              <c:strCache>
                <c:ptCount val="1"/>
                <c:pt idx="0">
                  <c:v>Průměrné procento dočasné pracovní neschopnosti</c:v>
                </c:pt>
              </c:strCache>
            </c:strRef>
          </c:tx>
          <c:spPr>
            <a:solidFill>
              <a:srgbClr val="D28684"/>
            </a:solidFill>
            <a:ln>
              <a:noFill/>
            </a:ln>
            <a:effectLst/>
          </c:spPr>
          <c:invertIfNegative val="0"/>
          <c:dPt>
            <c:idx val="11"/>
            <c:invertIfNegative val="0"/>
            <c:bubble3D val="0"/>
            <c:spPr>
              <a:solidFill>
                <a:srgbClr val="B44946"/>
              </a:solidFill>
              <a:ln>
                <a:noFill/>
              </a:ln>
              <a:effectLst/>
            </c:spPr>
            <c:extLst>
              <c:ext xmlns:c16="http://schemas.microsoft.com/office/drawing/2014/chart" uri="{C3380CC4-5D6E-409C-BE32-E72D297353CC}">
                <c16:uniqueId val="{00000001-0B21-41E4-9B54-596E56A3257A}"/>
              </c:ext>
            </c:extLst>
          </c:dPt>
          <c:cat>
            <c:strRef>
              <c:f>List25!$N$31:$N$51</c:f>
              <c:strCache>
                <c:ptCount val="20"/>
                <c:pt idx="0">
                  <c:v>J – Informační a komunikační činnosti</c:v>
                </c:pt>
                <c:pt idx="1">
                  <c:v>L – Činnosti v oblasti nemovitostí</c:v>
                </c:pt>
                <c:pt idx="2">
                  <c:v>M – Profesní, vědecké a technické činnosti</c:v>
                </c:pt>
                <c:pt idx="3">
                  <c:v>K – Peněžnictví a pojišťovnictví</c:v>
                </c:pt>
                <c:pt idx="4">
                  <c:v>D – Výroba a rozvod elektřiny, plynu, tepla a klimatiz. vzduchu</c:v>
                </c:pt>
                <c:pt idx="5">
                  <c:v>P – Vzdělávání</c:v>
                </c:pt>
                <c:pt idx="6">
                  <c:v>R – Kulturní, zábavní a rekreační činnosti</c:v>
                </c:pt>
                <c:pt idx="7">
                  <c:v>O – Veřejná správa a obrana; povinné sociální zabezpečení</c:v>
                </c:pt>
                <c:pt idx="8">
                  <c:v>S – Ostatní činnosti</c:v>
                </c:pt>
                <c:pt idx="9">
                  <c:v>Q – Zdravotní a sociální péče</c:v>
                </c:pt>
                <c:pt idx="10">
                  <c:v>I – Ubytování, stravování a pohostinství</c:v>
                </c:pt>
                <c:pt idx="11">
                  <c:v>CELKEM</c:v>
                </c:pt>
                <c:pt idx="12">
                  <c:v>G – Velkoobchod a maloobchod; opravy a údržba motor. vozidel</c:v>
                </c:pt>
                <c:pt idx="13">
                  <c:v>F – Stavebnictví</c:v>
                </c:pt>
                <c:pt idx="14">
                  <c:v>H – Doprava a skladování</c:v>
                </c:pt>
                <c:pt idx="15">
                  <c:v>E – Zásob. vodou; činn. souvis. s odp. vodami, odp. a sanacemi</c:v>
                </c:pt>
                <c:pt idx="16">
                  <c:v>A – Zemědělství, lesnictví a rybářství</c:v>
                </c:pt>
                <c:pt idx="17">
                  <c:v>N – Administrativní a podpůrné činnosti</c:v>
                </c:pt>
                <c:pt idx="18">
                  <c:v>B – Těžba a dobývání</c:v>
                </c:pt>
                <c:pt idx="19">
                  <c:v>C – Zpracovatelský průmysl</c:v>
                </c:pt>
              </c:strCache>
            </c:strRef>
          </c:cat>
          <c:val>
            <c:numRef>
              <c:f>List25!$O$31:$O$51</c:f>
              <c:numCache>
                <c:formatCode>0.00</c:formatCode>
                <c:ptCount val="20"/>
                <c:pt idx="0">
                  <c:v>1.8618294414000001</c:v>
                </c:pt>
                <c:pt idx="1">
                  <c:v>2.4314833733999999</c:v>
                </c:pt>
                <c:pt idx="2">
                  <c:v>2.4444935388000002</c:v>
                </c:pt>
                <c:pt idx="3">
                  <c:v>2.5651717525</c:v>
                </c:pt>
                <c:pt idx="4">
                  <c:v>2.9365991955999999</c:v>
                </c:pt>
                <c:pt idx="5">
                  <c:v>3.0063479377000002</c:v>
                </c:pt>
                <c:pt idx="6">
                  <c:v>3.0255009658000001</c:v>
                </c:pt>
                <c:pt idx="7">
                  <c:v>3.2532347876999999</c:v>
                </c:pt>
                <c:pt idx="8">
                  <c:v>3.7455044710999998</c:v>
                </c:pt>
                <c:pt idx="9">
                  <c:v>4.2456971864000002</c:v>
                </c:pt>
                <c:pt idx="10">
                  <c:v>4.4090020230000002</c:v>
                </c:pt>
                <c:pt idx="11">
                  <c:v>4.4665660408000001</c:v>
                </c:pt>
                <c:pt idx="12">
                  <c:v>4.5537551372999996</c:v>
                </c:pt>
                <c:pt idx="13">
                  <c:v>4.6714833222000003</c:v>
                </c:pt>
                <c:pt idx="14">
                  <c:v>4.7472846303000003</c:v>
                </c:pt>
                <c:pt idx="15">
                  <c:v>4.9263240945</c:v>
                </c:pt>
                <c:pt idx="16">
                  <c:v>5.268970425</c:v>
                </c:pt>
                <c:pt idx="17">
                  <c:v>5.3877496209000002</c:v>
                </c:pt>
                <c:pt idx="18">
                  <c:v>5.5965737107000004</c:v>
                </c:pt>
                <c:pt idx="19">
                  <c:v>5.8454876509</c:v>
                </c:pt>
              </c:numCache>
            </c:numRef>
          </c:val>
          <c:extLst>
            <c:ext xmlns:c16="http://schemas.microsoft.com/office/drawing/2014/chart" uri="{C3380CC4-5D6E-409C-BE32-E72D297353CC}">
              <c16:uniqueId val="{00000002-0B21-41E4-9B54-596E56A3257A}"/>
            </c:ext>
          </c:extLst>
        </c:ser>
        <c:dLbls>
          <c:showLegendKey val="0"/>
          <c:showVal val="0"/>
          <c:showCatName val="0"/>
          <c:showSerName val="0"/>
          <c:showPercent val="0"/>
          <c:showBubbleSize val="0"/>
        </c:dLbls>
        <c:gapWidth val="182"/>
        <c:axId val="1124319200"/>
        <c:axId val="1124318784"/>
      </c:barChart>
      <c:catAx>
        <c:axId val="112431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24318784"/>
        <c:crosses val="autoZero"/>
        <c:auto val="1"/>
        <c:lblAlgn val="ctr"/>
        <c:lblOffset val="100"/>
        <c:noMultiLvlLbl val="0"/>
      </c:catAx>
      <c:valAx>
        <c:axId val="1124318784"/>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24319200"/>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List27!$I$6</c:f>
              <c:strCache>
                <c:ptCount val="1"/>
                <c:pt idx="0">
                  <c:v>Průměrné procento pracovní neschopnosti </c:v>
                </c:pt>
              </c:strCache>
            </c:strRef>
          </c:tx>
          <c:spPr>
            <a:solidFill>
              <a:srgbClr val="D28684"/>
            </a:solidFill>
            <a:ln>
              <a:noFill/>
            </a:ln>
            <a:effectLst/>
          </c:spPr>
          <c:invertIfNegative val="0"/>
          <c:dPt>
            <c:idx val="2"/>
            <c:invertIfNegative val="0"/>
            <c:bubble3D val="0"/>
            <c:spPr>
              <a:solidFill>
                <a:srgbClr val="B44946"/>
              </a:solidFill>
              <a:ln>
                <a:noFill/>
              </a:ln>
              <a:effectLst/>
            </c:spPr>
            <c:extLst>
              <c:ext xmlns:c16="http://schemas.microsoft.com/office/drawing/2014/chart" uri="{C3380CC4-5D6E-409C-BE32-E72D297353CC}">
                <c16:uniqueId val="{00000001-A214-4BF5-BE11-344E9205AF88}"/>
              </c:ext>
            </c:extLst>
          </c:dPt>
          <c:cat>
            <c:strRef>
              <c:f>List27!$H$7:$H$21</c:f>
              <c:strCache>
                <c:ptCount val="15"/>
                <c:pt idx="0">
                  <c:v>Hlavní město Praha</c:v>
                </c:pt>
                <c:pt idx="1">
                  <c:v>Jihomoravský kraj</c:v>
                </c:pt>
                <c:pt idx="2">
                  <c:v>ČR CELKEM</c:v>
                </c:pt>
                <c:pt idx="3">
                  <c:v>Středočeský kraj</c:v>
                </c:pt>
                <c:pt idx="4">
                  <c:v>Královéhradecký kraj</c:v>
                </c:pt>
                <c:pt idx="5">
                  <c:v>Pardubický kraj</c:v>
                </c:pt>
                <c:pt idx="6">
                  <c:v>Olomoucký kraj</c:v>
                </c:pt>
                <c:pt idx="7">
                  <c:v>Karlovarský kraj</c:v>
                </c:pt>
                <c:pt idx="8">
                  <c:v>Plzeňský kraj</c:v>
                </c:pt>
                <c:pt idx="9">
                  <c:v>Ústecký kraj</c:v>
                </c:pt>
                <c:pt idx="10">
                  <c:v>Liberecký kraj</c:v>
                </c:pt>
                <c:pt idx="11">
                  <c:v>Kraj Vysočina</c:v>
                </c:pt>
                <c:pt idx="12">
                  <c:v>Jihočeský kraj</c:v>
                </c:pt>
                <c:pt idx="13">
                  <c:v>Zlínský kraj</c:v>
                </c:pt>
                <c:pt idx="14">
                  <c:v>Moravskoslezský kraj</c:v>
                </c:pt>
              </c:strCache>
            </c:strRef>
          </c:cat>
          <c:val>
            <c:numRef>
              <c:f>List27!$I$7:$I$21</c:f>
              <c:numCache>
                <c:formatCode>General</c:formatCode>
                <c:ptCount val="15"/>
                <c:pt idx="0">
                  <c:v>3.3781243895999999</c:v>
                </c:pt>
                <c:pt idx="1">
                  <c:v>4.4180904112999997</c:v>
                </c:pt>
                <c:pt idx="2">
                  <c:v>4.4665660408000001</c:v>
                </c:pt>
                <c:pt idx="3">
                  <c:v>4.5733617726000002</c:v>
                </c:pt>
                <c:pt idx="4">
                  <c:v>4.6779626909000003</c:v>
                </c:pt>
                <c:pt idx="5">
                  <c:v>4.6884235608999996</c:v>
                </c:pt>
                <c:pt idx="6">
                  <c:v>4.6970485986000003</c:v>
                </c:pt>
                <c:pt idx="7">
                  <c:v>4.8023980470999996</c:v>
                </c:pt>
                <c:pt idx="8">
                  <c:v>4.8430661795000001</c:v>
                </c:pt>
                <c:pt idx="9">
                  <c:v>4.9233756225</c:v>
                </c:pt>
                <c:pt idx="10">
                  <c:v>4.9655965562000004</c:v>
                </c:pt>
                <c:pt idx="11">
                  <c:v>5.1076102446</c:v>
                </c:pt>
                <c:pt idx="12">
                  <c:v>5.1855712709999997</c:v>
                </c:pt>
                <c:pt idx="13">
                  <c:v>5.2721946515999996</c:v>
                </c:pt>
                <c:pt idx="14">
                  <c:v>5.3597305065</c:v>
                </c:pt>
              </c:numCache>
            </c:numRef>
          </c:val>
          <c:extLst>
            <c:ext xmlns:c16="http://schemas.microsoft.com/office/drawing/2014/chart" uri="{C3380CC4-5D6E-409C-BE32-E72D297353CC}">
              <c16:uniqueId val="{00000002-A214-4BF5-BE11-344E9205AF88}"/>
            </c:ext>
          </c:extLst>
        </c:ser>
        <c:dLbls>
          <c:showLegendKey val="0"/>
          <c:showVal val="0"/>
          <c:showCatName val="0"/>
          <c:showSerName val="0"/>
          <c:showPercent val="0"/>
          <c:showBubbleSize val="0"/>
        </c:dLbls>
        <c:gapWidth val="182"/>
        <c:axId val="1099013456"/>
        <c:axId val="1099008880"/>
      </c:barChart>
      <c:catAx>
        <c:axId val="109901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99008880"/>
        <c:crosses val="autoZero"/>
        <c:auto val="1"/>
        <c:lblAlgn val="ctr"/>
        <c:lblOffset val="100"/>
        <c:noMultiLvlLbl val="0"/>
      </c:catAx>
      <c:valAx>
        <c:axId val="1099008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99013456"/>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52079057128168"/>
          <c:y val="5.9829059829059832E-2"/>
          <c:w val="0.84042406763108102"/>
          <c:h val="0.73982481840932679"/>
        </c:manualLayout>
      </c:layout>
      <c:barChart>
        <c:barDir val="col"/>
        <c:grouping val="clustered"/>
        <c:varyColors val="0"/>
        <c:ser>
          <c:idx val="0"/>
          <c:order val="0"/>
          <c:tx>
            <c:strRef>
              <c:f>List32!$K$25</c:f>
              <c:strCache>
                <c:ptCount val="1"/>
                <c:pt idx="0">
                  <c:v> muži</c:v>
                </c:pt>
              </c:strCache>
            </c:strRef>
          </c:tx>
          <c:spPr>
            <a:solidFill>
              <a:srgbClr val="B44946"/>
            </a:solidFill>
            <a:ln>
              <a:noFill/>
            </a:ln>
            <a:effectLst/>
          </c:spPr>
          <c:invertIfNegative val="0"/>
          <c:cat>
            <c:strRef>
              <c:f>List32!$J$26:$J$36</c:f>
              <c:strCache>
                <c:ptCount val="11"/>
                <c:pt idx="0">
                  <c:v>mladší 20  let</c:v>
                </c:pt>
                <c:pt idx="1">
                  <c:v>20–24 </c:v>
                </c:pt>
                <c:pt idx="2">
                  <c:v>25–29 </c:v>
                </c:pt>
                <c:pt idx="3">
                  <c:v>30–34 </c:v>
                </c:pt>
                <c:pt idx="4">
                  <c:v>35–39 </c:v>
                </c:pt>
                <c:pt idx="5">
                  <c:v>40–44 </c:v>
                </c:pt>
                <c:pt idx="6">
                  <c:v>45–49 </c:v>
                </c:pt>
                <c:pt idx="7">
                  <c:v>50–54 </c:v>
                </c:pt>
                <c:pt idx="8">
                  <c:v>55–59 </c:v>
                </c:pt>
                <c:pt idx="9">
                  <c:v>60–64 </c:v>
                </c:pt>
                <c:pt idx="10">
                  <c:v>65 a více let</c:v>
                </c:pt>
              </c:strCache>
            </c:strRef>
          </c:cat>
          <c:val>
            <c:numRef>
              <c:f>List32!$K$26:$K$36</c:f>
              <c:numCache>
                <c:formatCode>#,##0</c:formatCode>
                <c:ptCount val="11"/>
                <c:pt idx="0">
                  <c:v>13441</c:v>
                </c:pt>
                <c:pt idx="1">
                  <c:v>98604</c:v>
                </c:pt>
                <c:pt idx="2">
                  <c:v>107957</c:v>
                </c:pt>
                <c:pt idx="3">
                  <c:v>94324</c:v>
                </c:pt>
                <c:pt idx="4">
                  <c:v>91972</c:v>
                </c:pt>
                <c:pt idx="5">
                  <c:v>94740</c:v>
                </c:pt>
                <c:pt idx="6">
                  <c:v>75715</c:v>
                </c:pt>
                <c:pt idx="7">
                  <c:v>78487</c:v>
                </c:pt>
                <c:pt idx="8">
                  <c:v>72763</c:v>
                </c:pt>
                <c:pt idx="9">
                  <c:v>55215</c:v>
                </c:pt>
                <c:pt idx="10">
                  <c:v>10144</c:v>
                </c:pt>
              </c:numCache>
            </c:numRef>
          </c:val>
          <c:extLst>
            <c:ext xmlns:c16="http://schemas.microsoft.com/office/drawing/2014/chart" uri="{C3380CC4-5D6E-409C-BE32-E72D297353CC}">
              <c16:uniqueId val="{00000000-09C1-4A8E-9F30-B22850A2F69C}"/>
            </c:ext>
          </c:extLst>
        </c:ser>
        <c:ser>
          <c:idx val="1"/>
          <c:order val="1"/>
          <c:tx>
            <c:strRef>
              <c:f>List32!$L$25</c:f>
              <c:strCache>
                <c:ptCount val="1"/>
                <c:pt idx="0">
                  <c:v> ženy</c:v>
                </c:pt>
              </c:strCache>
            </c:strRef>
          </c:tx>
          <c:spPr>
            <a:solidFill>
              <a:srgbClr val="D28684"/>
            </a:solidFill>
            <a:ln>
              <a:noFill/>
            </a:ln>
            <a:effectLst/>
          </c:spPr>
          <c:invertIfNegative val="0"/>
          <c:cat>
            <c:strRef>
              <c:f>List32!$J$26:$J$36</c:f>
              <c:strCache>
                <c:ptCount val="11"/>
                <c:pt idx="0">
                  <c:v>mladší 20  let</c:v>
                </c:pt>
                <c:pt idx="1">
                  <c:v>20–24 </c:v>
                </c:pt>
                <c:pt idx="2">
                  <c:v>25–29 </c:v>
                </c:pt>
                <c:pt idx="3">
                  <c:v>30–34 </c:v>
                </c:pt>
                <c:pt idx="4">
                  <c:v>35–39 </c:v>
                </c:pt>
                <c:pt idx="5">
                  <c:v>40–44 </c:v>
                </c:pt>
                <c:pt idx="6">
                  <c:v>45–49 </c:v>
                </c:pt>
                <c:pt idx="7">
                  <c:v>50–54 </c:v>
                </c:pt>
                <c:pt idx="8">
                  <c:v>55–59 </c:v>
                </c:pt>
                <c:pt idx="9">
                  <c:v>60–64 </c:v>
                </c:pt>
                <c:pt idx="10">
                  <c:v>65 a více let</c:v>
                </c:pt>
              </c:strCache>
            </c:strRef>
          </c:cat>
          <c:val>
            <c:numRef>
              <c:f>List32!$L$26:$L$36</c:f>
              <c:numCache>
                <c:formatCode>#,##0</c:formatCode>
                <c:ptCount val="11"/>
                <c:pt idx="0">
                  <c:v>10605</c:v>
                </c:pt>
                <c:pt idx="1">
                  <c:v>79917</c:v>
                </c:pt>
                <c:pt idx="2">
                  <c:v>100244</c:v>
                </c:pt>
                <c:pt idx="3">
                  <c:v>86093</c:v>
                </c:pt>
                <c:pt idx="4">
                  <c:v>99796</c:v>
                </c:pt>
                <c:pt idx="5">
                  <c:v>125725</c:v>
                </c:pt>
                <c:pt idx="6">
                  <c:v>111091</c:v>
                </c:pt>
                <c:pt idx="7">
                  <c:v>116013</c:v>
                </c:pt>
                <c:pt idx="8">
                  <c:v>100134</c:v>
                </c:pt>
                <c:pt idx="9">
                  <c:v>29931</c:v>
                </c:pt>
                <c:pt idx="10">
                  <c:v>8263</c:v>
                </c:pt>
              </c:numCache>
            </c:numRef>
          </c:val>
          <c:extLst>
            <c:ext xmlns:c16="http://schemas.microsoft.com/office/drawing/2014/chart" uri="{C3380CC4-5D6E-409C-BE32-E72D297353CC}">
              <c16:uniqueId val="{00000001-09C1-4A8E-9F30-B22850A2F69C}"/>
            </c:ext>
          </c:extLst>
        </c:ser>
        <c:dLbls>
          <c:showLegendKey val="0"/>
          <c:showVal val="0"/>
          <c:showCatName val="0"/>
          <c:showSerName val="0"/>
          <c:showPercent val="0"/>
          <c:showBubbleSize val="0"/>
        </c:dLbls>
        <c:gapWidth val="69"/>
        <c:axId val="682374368"/>
        <c:axId val="682373952"/>
      </c:barChart>
      <c:catAx>
        <c:axId val="6823743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věk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682373952"/>
        <c:crosses val="autoZero"/>
        <c:auto val="1"/>
        <c:lblAlgn val="ctr"/>
        <c:lblOffset val="100"/>
        <c:noMultiLvlLbl val="0"/>
      </c:catAx>
      <c:valAx>
        <c:axId val="68237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počet případů</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682374368"/>
        <c:crosses val="autoZero"/>
        <c:crossBetween val="between"/>
      </c:valAx>
      <c:spPr>
        <a:noFill/>
        <a:ln>
          <a:noFill/>
        </a:ln>
        <a:effectLst/>
      </c:spPr>
    </c:plotArea>
    <c:legend>
      <c:legendPos val="r"/>
      <c:layout>
        <c:manualLayout>
          <c:xMode val="edge"/>
          <c:yMode val="edge"/>
          <c:x val="0.89251617530366845"/>
          <c:y val="9.3690703916247772E-2"/>
          <c:w val="6.8724134773850948E-2"/>
          <c:h val="0.12711953378709018"/>
        </c:manualLayout>
      </c:layout>
      <c:overlay val="0"/>
      <c:spPr>
        <a:solidFill>
          <a:schemeClr val="bg1"/>
        </a:solidFill>
        <a:ln>
          <a:solidFill>
            <a:schemeClr val="bg2">
              <a:lumMod val="90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122159148711061E-2"/>
          <c:y val="6.5023973619925679E-2"/>
          <c:w val="0.54680485869498874"/>
          <c:h val="0.81452455856412864"/>
        </c:manualLayout>
      </c:layout>
      <c:doughnutChart>
        <c:varyColors val="1"/>
        <c:ser>
          <c:idx val="0"/>
          <c:order val="0"/>
          <c:spPr>
            <a:solidFill>
              <a:srgbClr val="4E201E"/>
            </a:solidFill>
          </c:spPr>
          <c:dPt>
            <c:idx val="0"/>
            <c:bubble3D val="0"/>
            <c:spPr>
              <a:solidFill>
                <a:srgbClr val="4E201E"/>
              </a:solidFill>
              <a:ln w="19050">
                <a:solidFill>
                  <a:schemeClr val="lt1"/>
                </a:solidFill>
              </a:ln>
              <a:effectLst/>
            </c:spPr>
            <c:extLst>
              <c:ext xmlns:c16="http://schemas.microsoft.com/office/drawing/2014/chart" uri="{C3380CC4-5D6E-409C-BE32-E72D297353CC}">
                <c16:uniqueId val="{00000001-5FC0-4256-BE15-1E303C93BD3E}"/>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5FC0-4256-BE15-1E303C93BD3E}"/>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5FC0-4256-BE15-1E303C93BD3E}"/>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5FC0-4256-BE15-1E303C93BD3E}"/>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5FC0-4256-BE15-1E303C93BD3E}"/>
              </c:ext>
            </c:extLst>
          </c:dPt>
          <c:dPt>
            <c:idx val="5"/>
            <c:bubble3D val="0"/>
            <c:spPr>
              <a:solidFill>
                <a:srgbClr val="D79895"/>
              </a:solidFill>
              <a:ln w="19050">
                <a:solidFill>
                  <a:schemeClr val="lt1"/>
                </a:solidFill>
              </a:ln>
              <a:effectLst/>
            </c:spPr>
            <c:extLst>
              <c:ext xmlns:c16="http://schemas.microsoft.com/office/drawing/2014/chart" uri="{C3380CC4-5D6E-409C-BE32-E72D297353CC}">
                <c16:uniqueId val="{0000000B-5FC0-4256-BE15-1E303C93BD3E}"/>
              </c:ext>
            </c:extLst>
          </c:dPt>
          <c:dPt>
            <c:idx val="6"/>
            <c:bubble3D val="0"/>
            <c:spPr>
              <a:solidFill>
                <a:srgbClr val="FA9696"/>
              </a:solidFill>
              <a:ln w="19050">
                <a:solidFill>
                  <a:schemeClr val="lt1"/>
                </a:solidFill>
              </a:ln>
              <a:effectLst/>
            </c:spPr>
            <c:extLst>
              <c:ext xmlns:c16="http://schemas.microsoft.com/office/drawing/2014/chart" uri="{C3380CC4-5D6E-409C-BE32-E72D297353CC}">
                <c16:uniqueId val="{0000000D-5FC0-4256-BE15-1E303C93BD3E}"/>
              </c:ext>
            </c:extLst>
          </c:dPt>
          <c:dPt>
            <c:idx val="7"/>
            <c:bubble3D val="0"/>
            <c:spPr>
              <a:solidFill>
                <a:srgbClr val="E2B6B4"/>
              </a:solidFill>
              <a:ln w="19050">
                <a:solidFill>
                  <a:schemeClr val="lt1"/>
                </a:solidFill>
              </a:ln>
              <a:effectLst/>
            </c:spPr>
            <c:extLst>
              <c:ext xmlns:c16="http://schemas.microsoft.com/office/drawing/2014/chart" uri="{C3380CC4-5D6E-409C-BE32-E72D297353CC}">
                <c16:uniqueId val="{0000000F-5FC0-4256-BE15-1E303C93BD3E}"/>
              </c:ext>
            </c:extLst>
          </c:dPt>
          <c:dPt>
            <c:idx val="8"/>
            <c:bubble3D val="0"/>
            <c:spPr>
              <a:solidFill>
                <a:srgbClr val="EBCDCB"/>
              </a:solidFill>
              <a:ln w="19050">
                <a:solidFill>
                  <a:schemeClr val="lt1"/>
                </a:solidFill>
              </a:ln>
              <a:effectLst/>
            </c:spPr>
            <c:extLst>
              <c:ext xmlns:c16="http://schemas.microsoft.com/office/drawing/2014/chart" uri="{C3380CC4-5D6E-409C-BE32-E72D297353CC}">
                <c16:uniqueId val="{00000011-5FC0-4256-BE15-1E303C93BD3E}"/>
              </c:ext>
            </c:extLst>
          </c:dPt>
          <c:dPt>
            <c:idx val="9"/>
            <c:bubble3D val="0"/>
            <c:spPr>
              <a:solidFill>
                <a:srgbClr val="F6E7E6"/>
              </a:solidFill>
              <a:ln w="19050">
                <a:solidFill>
                  <a:schemeClr val="lt1"/>
                </a:solidFill>
              </a:ln>
              <a:effectLst/>
            </c:spPr>
            <c:extLst>
              <c:ext xmlns:c16="http://schemas.microsoft.com/office/drawing/2014/chart" uri="{C3380CC4-5D6E-409C-BE32-E72D297353CC}">
                <c16:uniqueId val="{00000013-5FC0-4256-BE15-1E303C93BD3E}"/>
              </c:ext>
            </c:extLst>
          </c:dPt>
          <c:dPt>
            <c:idx val="1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15-5FC0-4256-BE15-1E303C93BD3E}"/>
              </c:ext>
            </c:extLst>
          </c:dPt>
          <c:dPt>
            <c:idx val="1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17-5FC0-4256-BE15-1E303C93BD3E}"/>
              </c:ext>
            </c:extLst>
          </c:dPt>
          <c:dLbls>
            <c:dLbl>
              <c:idx val="0"/>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5FC0-4256-BE15-1E303C93BD3E}"/>
                </c:ext>
              </c:extLst>
            </c:dLbl>
            <c:dLbl>
              <c:idx val="1"/>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5FC0-4256-BE15-1E303C93BD3E}"/>
                </c:ext>
              </c:extLst>
            </c:dLbl>
            <c:dLbl>
              <c:idx val="2"/>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5FC0-4256-BE15-1E303C93BD3E}"/>
                </c:ext>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List33!$A$37:$A$48</c:f>
              <c:strCache>
                <c:ptCount val="12"/>
                <c:pt idx="0">
                  <c:v> některé infekční a parazitární nemoci</c:v>
                </c:pt>
                <c:pt idx="1">
                  <c:v> novotvary</c:v>
                </c:pt>
                <c:pt idx="2">
                  <c:v> poruchy duševní a poruchy chování</c:v>
                </c:pt>
                <c:pt idx="3">
                  <c:v> nemoci nervové soustavy</c:v>
                </c:pt>
                <c:pt idx="4">
                  <c:v> nemoci oběhové soustavy</c:v>
                </c:pt>
                <c:pt idx="5">
                  <c:v> nemoci dýchací soustavy</c:v>
                </c:pt>
                <c:pt idx="6">
                  <c:v> nemoci trávicí soustavy</c:v>
                </c:pt>
                <c:pt idx="7">
                  <c:v> nemoci svalové a kosterní soustavy a pojivové tkáně</c:v>
                </c:pt>
                <c:pt idx="8">
                  <c:v> nemoci močové a pohlavní soustavy</c:v>
                </c:pt>
                <c:pt idx="9">
                  <c:v> těhotenství, porod a šestinedělí</c:v>
                </c:pt>
                <c:pt idx="10">
                  <c:v> poranění, otravy a jiné následky vnějších příčin</c:v>
                </c:pt>
                <c:pt idx="11">
                  <c:v> ostatní (výše neuvedené)</c:v>
                </c:pt>
              </c:strCache>
            </c:strRef>
          </c:cat>
          <c:val>
            <c:numRef>
              <c:f>List33!$D$37:$D$48</c:f>
              <c:numCache>
                <c:formatCode>#\ ##0" "</c:formatCode>
                <c:ptCount val="12"/>
                <c:pt idx="0">
                  <c:v>58974</c:v>
                </c:pt>
                <c:pt idx="1">
                  <c:v>26036</c:v>
                </c:pt>
                <c:pt idx="2">
                  <c:v>44034</c:v>
                </c:pt>
                <c:pt idx="3">
                  <c:v>25165</c:v>
                </c:pt>
                <c:pt idx="4">
                  <c:v>47275</c:v>
                </c:pt>
                <c:pt idx="5">
                  <c:v>615070</c:v>
                </c:pt>
                <c:pt idx="6">
                  <c:v>120188</c:v>
                </c:pt>
                <c:pt idx="7">
                  <c:v>320276</c:v>
                </c:pt>
                <c:pt idx="8">
                  <c:v>67696</c:v>
                </c:pt>
                <c:pt idx="9">
                  <c:v>36341</c:v>
                </c:pt>
                <c:pt idx="10">
                  <c:v>191430</c:v>
                </c:pt>
                <c:pt idx="11">
                  <c:v>108689</c:v>
                </c:pt>
              </c:numCache>
            </c:numRef>
          </c:val>
          <c:extLst>
            <c:ext xmlns:c16="http://schemas.microsoft.com/office/drawing/2014/chart" uri="{C3380CC4-5D6E-409C-BE32-E72D297353CC}">
              <c16:uniqueId val="{00000018-5FC0-4256-BE15-1E303C93BD3E}"/>
            </c:ext>
          </c:extLst>
        </c:ser>
        <c:dLbls>
          <c:showLegendKey val="0"/>
          <c:showVal val="0"/>
          <c:showCatName val="0"/>
          <c:showSerName val="0"/>
          <c:showPercent val="0"/>
          <c:showBubbleSize val="0"/>
          <c:showLeaderLines val="0"/>
        </c:dLbls>
        <c:firstSliceAng val="0"/>
        <c:holeSize val="52"/>
      </c:doughnutChart>
      <c:spPr>
        <a:noFill/>
        <a:ln>
          <a:noFill/>
        </a:ln>
        <a:effectLst/>
      </c:spPr>
    </c:plotArea>
    <c:legend>
      <c:legendPos val="r"/>
      <c:layout>
        <c:manualLayout>
          <c:xMode val="edge"/>
          <c:yMode val="edge"/>
          <c:x val="0.59600523264873118"/>
          <c:y val="4.6762803610287743E-2"/>
          <c:w val="0.39365216947527465"/>
          <c:h val="0.906474150315506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List36!$P$15</c:f>
              <c:strCache>
                <c:ptCount val="1"/>
                <c:pt idx="0">
                  <c:v> nemocenské </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List36!$Q$14:$AB$14</c:f>
              <c:numCache>
                <c:formatCode>0</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List36!$Q$15:$AB$15</c:f>
              <c:numCache>
                <c:formatCode>#,##0.00</c:formatCode>
                <c:ptCount val="11"/>
                <c:pt idx="0">
                  <c:v>24.768999999999998</c:v>
                </c:pt>
                <c:pt idx="1">
                  <c:v>18.215</c:v>
                </c:pt>
                <c:pt idx="2">
                  <c:v>14.944000000000001</c:v>
                </c:pt>
                <c:pt idx="3">
                  <c:v>13.353999999999999</c:v>
                </c:pt>
                <c:pt idx="4">
                  <c:v>11.465</c:v>
                </c:pt>
                <c:pt idx="5">
                  <c:v>12.035</c:v>
                </c:pt>
                <c:pt idx="6">
                  <c:v>13.881</c:v>
                </c:pt>
                <c:pt idx="7">
                  <c:v>15.428000000000001</c:v>
                </c:pt>
                <c:pt idx="8">
                  <c:v>16.984999999999999</c:v>
                </c:pt>
                <c:pt idx="9">
                  <c:v>18.29</c:v>
                </c:pt>
                <c:pt idx="10">
                  <c:v>22.68</c:v>
                </c:pt>
              </c:numCache>
            </c:numRef>
          </c:val>
          <c:extLst>
            <c:ext xmlns:c16="http://schemas.microsoft.com/office/drawing/2014/chart" uri="{C3380CC4-5D6E-409C-BE32-E72D297353CC}">
              <c16:uniqueId val="{00000000-6428-48DE-852C-F591C316EB80}"/>
            </c:ext>
          </c:extLst>
        </c:ser>
        <c:dLbls>
          <c:showLegendKey val="0"/>
          <c:showVal val="0"/>
          <c:showCatName val="0"/>
          <c:showSerName val="0"/>
          <c:showPercent val="0"/>
          <c:showBubbleSize val="0"/>
        </c:dLbls>
        <c:gapWidth val="47"/>
        <c:overlap val="-27"/>
        <c:axId val="689777344"/>
        <c:axId val="689776096"/>
      </c:barChart>
      <c:lineChart>
        <c:grouping val="stacked"/>
        <c:varyColors val="0"/>
        <c:ser>
          <c:idx val="1"/>
          <c:order val="1"/>
          <c:tx>
            <c:strRef>
              <c:f>List36!$P$16</c:f>
              <c:strCache>
                <c:ptCount val="1"/>
                <c:pt idx="0">
                  <c:v> průměrné procento DPN</c:v>
                </c:pt>
              </c:strCache>
            </c:strRef>
          </c:tx>
          <c:spPr>
            <a:ln w="28575" cap="rnd">
              <a:solidFill>
                <a:srgbClr val="D28684"/>
              </a:solidFill>
              <a:round/>
            </a:ln>
            <a:effectLst/>
          </c:spPr>
          <c:marker>
            <c:symbol val="circle"/>
            <c:size val="5"/>
            <c:spPr>
              <a:solidFill>
                <a:srgbClr val="D28684"/>
              </a:solidFill>
              <a:ln w="9525">
                <a:solidFill>
                  <a:srgbClr val="D28684"/>
                </a:solidFill>
              </a:ln>
              <a:effectLst/>
            </c:spPr>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List36!$Q$14:$AB$14</c:f>
              <c:numCache>
                <c:formatCode>0</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List36!$Q$16:$AB$16</c:f>
              <c:numCache>
                <c:formatCode>0.00</c:formatCode>
                <c:ptCount val="11"/>
                <c:pt idx="0">
                  <c:v>5.1840000000000004E-2</c:v>
                </c:pt>
                <c:pt idx="1">
                  <c:v>4.1840000000000002E-2</c:v>
                </c:pt>
                <c:pt idx="2">
                  <c:v>3.7629999999999997E-2</c:v>
                </c:pt>
                <c:pt idx="3">
                  <c:v>3.6379999999999996E-2</c:v>
                </c:pt>
                <c:pt idx="4">
                  <c:v>3.4520000000000002E-2</c:v>
                </c:pt>
                <c:pt idx="5">
                  <c:v>3.6150000000000002E-2</c:v>
                </c:pt>
                <c:pt idx="6">
                  <c:v>3.6970000000000003E-2</c:v>
                </c:pt>
                <c:pt idx="7">
                  <c:v>4.0620000000000003E-2</c:v>
                </c:pt>
                <c:pt idx="8">
                  <c:v>4.1989157572000002E-2</c:v>
                </c:pt>
                <c:pt idx="9">
                  <c:v>4.2620680985000006E-2</c:v>
                </c:pt>
                <c:pt idx="10">
                  <c:v>4.4665660407999998E-2</c:v>
                </c:pt>
              </c:numCache>
            </c:numRef>
          </c:val>
          <c:smooth val="0"/>
          <c:extLst>
            <c:ext xmlns:c16="http://schemas.microsoft.com/office/drawing/2014/chart" uri="{C3380CC4-5D6E-409C-BE32-E72D297353CC}">
              <c16:uniqueId val="{00000001-6428-48DE-852C-F591C316EB80}"/>
            </c:ext>
          </c:extLst>
        </c:ser>
        <c:dLbls>
          <c:showLegendKey val="0"/>
          <c:showVal val="0"/>
          <c:showCatName val="0"/>
          <c:showSerName val="0"/>
          <c:showPercent val="0"/>
          <c:showBubbleSize val="0"/>
        </c:dLbls>
        <c:marker val="1"/>
        <c:smooth val="0"/>
        <c:axId val="968278240"/>
        <c:axId val="968274496"/>
      </c:lineChart>
      <c:catAx>
        <c:axId val="68977734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689776096"/>
        <c:crosses val="autoZero"/>
        <c:auto val="1"/>
        <c:lblAlgn val="ctr"/>
        <c:lblOffset val="100"/>
        <c:noMultiLvlLbl val="0"/>
      </c:catAx>
      <c:valAx>
        <c:axId val="68977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mld. Kč</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689777344"/>
        <c:crosses val="autoZero"/>
        <c:crossBetween val="between"/>
      </c:valAx>
      <c:valAx>
        <c:axId val="96827449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68278240"/>
        <c:crosses val="max"/>
        <c:crossBetween val="between"/>
      </c:valAx>
      <c:catAx>
        <c:axId val="968278240"/>
        <c:scaling>
          <c:orientation val="minMax"/>
        </c:scaling>
        <c:delete val="1"/>
        <c:axPos val="b"/>
        <c:numFmt formatCode="0" sourceLinked="1"/>
        <c:majorTickMark val="out"/>
        <c:minorTickMark val="none"/>
        <c:tickLblPos val="nextTo"/>
        <c:crossAx val="9682744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List34!$M$35</c:f>
              <c:strCache>
                <c:ptCount val="1"/>
                <c:pt idx="0">
                  <c:v> muži</c:v>
                </c:pt>
              </c:strCache>
            </c:strRef>
          </c:tx>
          <c:spPr>
            <a:solidFill>
              <a:srgbClr val="B44946"/>
            </a:solidFill>
            <a:ln>
              <a:noFill/>
            </a:ln>
            <a:effectLst/>
          </c:spPr>
          <c:invertIfNegative val="0"/>
          <c:cat>
            <c:numRef>
              <c:f>List34!$K$36:$K$46</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List34!$M$36:$M$46</c:f>
              <c:numCache>
                <c:formatCode>#,##0</c:formatCode>
                <c:ptCount val="11"/>
                <c:pt idx="0">
                  <c:v>2091.6329730175753</c:v>
                </c:pt>
                <c:pt idx="1">
                  <c:v>1556.0180833445236</c:v>
                </c:pt>
                <c:pt idx="2">
                  <c:v>1587.2163287229757</c:v>
                </c:pt>
                <c:pt idx="3">
                  <c:v>1505.9579221746417</c:v>
                </c:pt>
                <c:pt idx="4">
                  <c:v>1359.6475848163409</c:v>
                </c:pt>
                <c:pt idx="5">
                  <c:v>1325.0320697129207</c:v>
                </c:pt>
                <c:pt idx="6">
                  <c:v>1372.1677152536406</c:v>
                </c:pt>
                <c:pt idx="7">
                  <c:v>1373.354191109373</c:v>
                </c:pt>
                <c:pt idx="8">
                  <c:v>1378.6557869873309</c:v>
                </c:pt>
                <c:pt idx="9">
                  <c:v>1355.2742616033756</c:v>
                </c:pt>
                <c:pt idx="10">
                  <c:v>1294.0989767393464</c:v>
                </c:pt>
              </c:numCache>
            </c:numRef>
          </c:val>
          <c:extLst>
            <c:ext xmlns:c16="http://schemas.microsoft.com/office/drawing/2014/chart" uri="{C3380CC4-5D6E-409C-BE32-E72D297353CC}">
              <c16:uniqueId val="{00000000-61C3-48D5-BA5F-6206915BE624}"/>
            </c:ext>
          </c:extLst>
        </c:ser>
        <c:ser>
          <c:idx val="2"/>
          <c:order val="2"/>
          <c:tx>
            <c:strRef>
              <c:f>List34!$N$35</c:f>
              <c:strCache>
                <c:ptCount val="1"/>
                <c:pt idx="0">
                  <c:v> ženy</c:v>
                </c:pt>
              </c:strCache>
            </c:strRef>
          </c:tx>
          <c:spPr>
            <a:solidFill>
              <a:srgbClr val="D08886"/>
            </a:solidFill>
            <a:ln>
              <a:noFill/>
            </a:ln>
            <a:effectLst/>
          </c:spPr>
          <c:invertIfNegative val="0"/>
          <c:cat>
            <c:numRef>
              <c:f>List34!$K$36:$K$46</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List34!$N$36:$N$46</c:f>
              <c:numCache>
                <c:formatCode>#,##0</c:formatCode>
                <c:ptCount val="11"/>
                <c:pt idx="0">
                  <c:v>863.16671320860098</c:v>
                </c:pt>
                <c:pt idx="1">
                  <c:v>683.75433382862798</c:v>
                </c:pt>
                <c:pt idx="2">
                  <c:v>702.37865947611704</c:v>
                </c:pt>
                <c:pt idx="3">
                  <c:v>636.29313687475769</c:v>
                </c:pt>
                <c:pt idx="4">
                  <c:v>571.74161150422287</c:v>
                </c:pt>
                <c:pt idx="5">
                  <c:v>568.91172692237114</c:v>
                </c:pt>
                <c:pt idx="6">
                  <c:v>598.43921139101872</c:v>
                </c:pt>
                <c:pt idx="7">
                  <c:v>635.4445300811534</c:v>
                </c:pt>
                <c:pt idx="8">
                  <c:v>651.46245764223295</c:v>
                </c:pt>
                <c:pt idx="9">
                  <c:v>640.80284994352235</c:v>
                </c:pt>
                <c:pt idx="10">
                  <c:v>628.65610667766714</c:v>
                </c:pt>
              </c:numCache>
            </c:numRef>
          </c:val>
          <c:extLst>
            <c:ext xmlns:c16="http://schemas.microsoft.com/office/drawing/2014/chart" uri="{C3380CC4-5D6E-409C-BE32-E72D297353CC}">
              <c16:uniqueId val="{00000001-61C3-48D5-BA5F-6206915BE624}"/>
            </c:ext>
          </c:extLst>
        </c:ser>
        <c:dLbls>
          <c:showLegendKey val="0"/>
          <c:showVal val="0"/>
          <c:showCatName val="0"/>
          <c:showSerName val="0"/>
          <c:showPercent val="0"/>
          <c:showBubbleSize val="0"/>
        </c:dLbls>
        <c:gapWidth val="184"/>
        <c:axId val="1060244848"/>
        <c:axId val="1060241104"/>
      </c:barChart>
      <c:lineChart>
        <c:grouping val="stacked"/>
        <c:varyColors val="0"/>
        <c:ser>
          <c:idx val="0"/>
          <c:order val="0"/>
          <c:tx>
            <c:strRef>
              <c:f>List34!$L$35</c:f>
              <c:strCache>
                <c:ptCount val="1"/>
                <c:pt idx="0">
                  <c:v> celkem</c:v>
                </c:pt>
              </c:strCache>
            </c:strRef>
          </c:tx>
          <c:spPr>
            <a:ln w="28575" cap="rnd">
              <a:solidFill>
                <a:srgbClr val="632827"/>
              </a:solidFill>
              <a:round/>
            </a:ln>
            <a:effectLst/>
          </c:spPr>
          <c:marker>
            <c:symbol val="circle"/>
            <c:size val="5"/>
            <c:spPr>
              <a:solidFill>
                <a:srgbClr val="632827"/>
              </a:solidFill>
              <a:ln w="9525">
                <a:solidFill>
                  <a:srgbClr val="632827"/>
                </a:solidFill>
              </a:ln>
              <a:effectLst/>
            </c:spPr>
          </c:marker>
          <c:cat>
            <c:numRef>
              <c:f>List34!$K$36:$K$46</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List34!$L$36:$L$46</c:f>
              <c:numCache>
                <c:formatCode>#,##0</c:formatCode>
                <c:ptCount val="11"/>
                <c:pt idx="0">
                  <c:v>1514.3688216254047</c:v>
                </c:pt>
                <c:pt idx="1">
                  <c:v>1141.94352354753</c:v>
                </c:pt>
                <c:pt idx="2">
                  <c:v>1160.9139410809557</c:v>
                </c:pt>
                <c:pt idx="3">
                  <c:v>1079.9477620800189</c:v>
                </c:pt>
                <c:pt idx="4">
                  <c:v>973.70245309599954</c:v>
                </c:pt>
                <c:pt idx="5">
                  <c:v>953.87699029344867</c:v>
                </c:pt>
                <c:pt idx="6">
                  <c:v>992.38368316121944</c:v>
                </c:pt>
                <c:pt idx="7">
                  <c:v>1012.2254271133793</c:v>
                </c:pt>
                <c:pt idx="8">
                  <c:v>1021.8756152516789</c:v>
                </c:pt>
                <c:pt idx="9">
                  <c:v>1003.2535639368124</c:v>
                </c:pt>
                <c:pt idx="10">
                  <c:v>964.89615656043009</c:v>
                </c:pt>
              </c:numCache>
            </c:numRef>
          </c:val>
          <c:smooth val="0"/>
          <c:extLst>
            <c:ext xmlns:c16="http://schemas.microsoft.com/office/drawing/2014/chart" uri="{C3380CC4-5D6E-409C-BE32-E72D297353CC}">
              <c16:uniqueId val="{00000002-61C3-48D5-BA5F-6206915BE624}"/>
            </c:ext>
          </c:extLst>
        </c:ser>
        <c:dLbls>
          <c:showLegendKey val="0"/>
          <c:showVal val="0"/>
          <c:showCatName val="0"/>
          <c:showSerName val="0"/>
          <c:showPercent val="0"/>
          <c:showBubbleSize val="0"/>
        </c:dLbls>
        <c:marker val="1"/>
        <c:smooth val="0"/>
        <c:axId val="1060244848"/>
        <c:axId val="1060241104"/>
      </c:lineChart>
      <c:catAx>
        <c:axId val="106024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0241104"/>
        <c:crosses val="autoZero"/>
        <c:auto val="1"/>
        <c:lblAlgn val="ctr"/>
        <c:lblOffset val="100"/>
        <c:noMultiLvlLbl val="0"/>
      </c:catAx>
      <c:valAx>
        <c:axId val="1060241104"/>
        <c:scaling>
          <c:orientation val="minMax"/>
          <c:max val="2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0244848"/>
        <c:crosses val="autoZero"/>
        <c:crossBetween val="between"/>
        <c:majorUnit val="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622040708285599"/>
          <c:y val="2.9632422387714439E-2"/>
          <c:w val="0.45055170396707261"/>
          <c:h val="0.89418299258607936"/>
        </c:manualLayout>
      </c:layout>
      <c:barChart>
        <c:barDir val="bar"/>
        <c:grouping val="clustered"/>
        <c:varyColors val="0"/>
        <c:ser>
          <c:idx val="0"/>
          <c:order val="0"/>
          <c:spPr>
            <a:solidFill>
              <a:srgbClr val="D08886"/>
            </a:solidFill>
            <a:ln>
              <a:noFill/>
            </a:ln>
            <a:effectLst/>
          </c:spPr>
          <c:invertIfNegative val="0"/>
          <c:dPt>
            <c:idx val="13"/>
            <c:invertIfNegative val="0"/>
            <c:bubble3D val="0"/>
            <c:spPr>
              <a:solidFill>
                <a:srgbClr val="B44946"/>
              </a:solidFill>
              <a:ln>
                <a:noFill/>
              </a:ln>
              <a:effectLst/>
            </c:spPr>
            <c:extLst>
              <c:ext xmlns:c16="http://schemas.microsoft.com/office/drawing/2014/chart" uri="{C3380CC4-5D6E-409C-BE32-E72D297353CC}">
                <c16:uniqueId val="{00000001-1ABA-446E-8363-210B64CDD668}"/>
              </c:ext>
            </c:extLst>
          </c:dPt>
          <c:cat>
            <c:strRef>
              <c:f>List35!$H$3:$H$22</c:f>
              <c:strCache>
                <c:ptCount val="20"/>
                <c:pt idx="0">
                  <c:v>J – Informační a komunikační činnosti</c:v>
                </c:pt>
                <c:pt idx="1">
                  <c:v>K – Peněžnictví a pojišťovnictví</c:v>
                </c:pt>
                <c:pt idx="2">
                  <c:v>M – Profesní, vědecké a technické činnosti</c:v>
                </c:pt>
                <c:pt idx="3">
                  <c:v>L – Činnosti v oblasti nemovitostí</c:v>
                </c:pt>
                <c:pt idx="4">
                  <c:v>S – Ostatní činnosti</c:v>
                </c:pt>
                <c:pt idx="5">
                  <c:v>P – Vzdělávání</c:v>
                </c:pt>
                <c:pt idx="6">
                  <c:v>D – Výroba a rozvod elektřiny, plynu, tepla a klimatiz. vzduchu</c:v>
                </c:pt>
                <c:pt idx="7">
                  <c:v>O – Veřejná správa a obrana; povinné sociální zabezpečení</c:v>
                </c:pt>
                <c:pt idx="8">
                  <c:v>R – Kulturní, zábavní a rekreační činnosti</c:v>
                </c:pt>
                <c:pt idx="9">
                  <c:v>Q – Zdravotní a sociální péče</c:v>
                </c:pt>
                <c:pt idx="10">
                  <c:v>I – Ubytování, stravování a pohostinství</c:v>
                </c:pt>
                <c:pt idx="11">
                  <c:v>G – Velkoobchod a maloobchod; opravy a údržba motor. vozidel</c:v>
                </c:pt>
                <c:pt idx="12">
                  <c:v>N – Administrativní a podpůrné činnosti</c:v>
                </c:pt>
                <c:pt idx="13">
                  <c:v>CELKEM</c:v>
                </c:pt>
                <c:pt idx="14">
                  <c:v>F – Stavebnictví</c:v>
                </c:pt>
                <c:pt idx="15">
                  <c:v>H – Doprava a skladování</c:v>
                </c:pt>
                <c:pt idx="16">
                  <c:v>C – Zpracovatelský průmysl</c:v>
                </c:pt>
                <c:pt idx="17">
                  <c:v>B – Těžba a dobývání</c:v>
                </c:pt>
                <c:pt idx="18">
                  <c:v>E – Zásobování vodou; činnosti související s odpady a sanacemi</c:v>
                </c:pt>
                <c:pt idx="19">
                  <c:v>A – Zemědělství, lesnictví, rybářství</c:v>
                </c:pt>
              </c:strCache>
            </c:strRef>
          </c:cat>
          <c:val>
            <c:numRef>
              <c:f>List35!$I$3:$I$22</c:f>
              <c:numCache>
                <c:formatCode>General</c:formatCode>
                <c:ptCount val="20"/>
                <c:pt idx="0">
                  <c:v>93.0917709514503</c:v>
                </c:pt>
                <c:pt idx="1">
                  <c:v>102.20593254335448</c:v>
                </c:pt>
                <c:pt idx="2">
                  <c:v>221.69526526039027</c:v>
                </c:pt>
                <c:pt idx="3">
                  <c:v>271.01972726599001</c:v>
                </c:pt>
                <c:pt idx="4">
                  <c:v>284.92718616662671</c:v>
                </c:pt>
                <c:pt idx="5">
                  <c:v>368.78707726300547</c:v>
                </c:pt>
                <c:pt idx="6">
                  <c:v>386.17477165971798</c:v>
                </c:pt>
                <c:pt idx="7">
                  <c:v>397.07030801452947</c:v>
                </c:pt>
                <c:pt idx="8">
                  <c:v>507.54686372775296</c:v>
                </c:pt>
                <c:pt idx="9">
                  <c:v>595.36567081856504</c:v>
                </c:pt>
                <c:pt idx="10">
                  <c:v>659.02757662084218</c:v>
                </c:pt>
                <c:pt idx="11">
                  <c:v>834.08360800055857</c:v>
                </c:pt>
                <c:pt idx="12">
                  <c:v>859.43896957424158</c:v>
                </c:pt>
                <c:pt idx="13">
                  <c:v>964.89615656043009</c:v>
                </c:pt>
                <c:pt idx="14">
                  <c:v>1189.5769213806982</c:v>
                </c:pt>
                <c:pt idx="15">
                  <c:v>1519.2966986189392</c:v>
                </c:pt>
                <c:pt idx="16">
                  <c:v>1567.4370275487574</c:v>
                </c:pt>
                <c:pt idx="17">
                  <c:v>1646.4658987394464</c:v>
                </c:pt>
                <c:pt idx="18">
                  <c:v>1771.9296301422296</c:v>
                </c:pt>
                <c:pt idx="19">
                  <c:v>2341.1563545242489</c:v>
                </c:pt>
              </c:numCache>
            </c:numRef>
          </c:val>
          <c:extLst>
            <c:ext xmlns:c16="http://schemas.microsoft.com/office/drawing/2014/chart" uri="{C3380CC4-5D6E-409C-BE32-E72D297353CC}">
              <c16:uniqueId val="{00000002-1ABA-446E-8363-210B64CDD668}"/>
            </c:ext>
          </c:extLst>
        </c:ser>
        <c:dLbls>
          <c:showLegendKey val="0"/>
          <c:showVal val="0"/>
          <c:showCatName val="0"/>
          <c:showSerName val="0"/>
          <c:showPercent val="0"/>
          <c:showBubbleSize val="0"/>
        </c:dLbls>
        <c:gapWidth val="182"/>
        <c:axId val="999208016"/>
        <c:axId val="1060236976"/>
      </c:barChart>
      <c:catAx>
        <c:axId val="99920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0236976"/>
        <c:crosses val="autoZero"/>
        <c:auto val="1"/>
        <c:lblAlgn val="ctr"/>
        <c:lblOffset val="100"/>
        <c:noMultiLvlLbl val="0"/>
      </c:catAx>
      <c:valAx>
        <c:axId val="1060236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9920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List37!$I$9</c:f>
              <c:strCache>
                <c:ptCount val="1"/>
                <c:pt idx="0">
                  <c:v>na 100 000 pojištěnců</c:v>
                </c:pt>
              </c:strCache>
            </c:strRef>
          </c:tx>
          <c:spPr>
            <a:solidFill>
              <a:srgbClr val="D08886"/>
            </a:solidFill>
            <a:ln>
              <a:noFill/>
            </a:ln>
            <a:effectLst/>
          </c:spPr>
          <c:invertIfNegative val="0"/>
          <c:dPt>
            <c:idx val="3"/>
            <c:invertIfNegative val="0"/>
            <c:bubble3D val="0"/>
            <c:spPr>
              <a:solidFill>
                <a:srgbClr val="B44946"/>
              </a:solidFill>
              <a:ln>
                <a:noFill/>
              </a:ln>
              <a:effectLst/>
            </c:spPr>
            <c:extLst>
              <c:ext xmlns:c16="http://schemas.microsoft.com/office/drawing/2014/chart" uri="{C3380CC4-5D6E-409C-BE32-E72D297353CC}">
                <c16:uniqueId val="{00000001-17EB-4802-A9BB-F12EF47EE9AC}"/>
              </c:ext>
            </c:extLst>
          </c:dPt>
          <c:cat>
            <c:strRef>
              <c:f>List37!$H$10:$H$24</c:f>
              <c:strCache>
                <c:ptCount val="15"/>
                <c:pt idx="0">
                  <c:v>Hlavní město Praha</c:v>
                </c:pt>
                <c:pt idx="1">
                  <c:v>Jihomoravský kraj</c:v>
                </c:pt>
                <c:pt idx="2">
                  <c:v>Středočeský kraj</c:v>
                </c:pt>
                <c:pt idx="3">
                  <c:v>ČR CELKEM</c:v>
                </c:pt>
                <c:pt idx="4">
                  <c:v>Moravskoslezský kraj</c:v>
                </c:pt>
                <c:pt idx="5">
                  <c:v>Olomoucký kraj</c:v>
                </c:pt>
                <c:pt idx="6">
                  <c:v>Zlínský kraj</c:v>
                </c:pt>
                <c:pt idx="7">
                  <c:v>Liberecký kraj</c:v>
                </c:pt>
                <c:pt idx="8">
                  <c:v>Karlovarský kraj</c:v>
                </c:pt>
                <c:pt idx="9">
                  <c:v>Pardubický kraj</c:v>
                </c:pt>
                <c:pt idx="10">
                  <c:v>Královéhradecký kraj</c:v>
                </c:pt>
                <c:pt idx="11">
                  <c:v>Ústecký kraj</c:v>
                </c:pt>
                <c:pt idx="12">
                  <c:v>Plzeňský kraj</c:v>
                </c:pt>
                <c:pt idx="13">
                  <c:v>Jihočeský kraj</c:v>
                </c:pt>
                <c:pt idx="14">
                  <c:v>Kraj Vysočina</c:v>
                </c:pt>
              </c:strCache>
            </c:strRef>
          </c:cat>
          <c:val>
            <c:numRef>
              <c:f>List37!$I$10:$I$24</c:f>
              <c:numCache>
                <c:formatCode>General</c:formatCode>
                <c:ptCount val="15"/>
                <c:pt idx="0">
                  <c:v>557.48287969721412</c:v>
                </c:pt>
                <c:pt idx="1">
                  <c:v>900.7056277574751</c:v>
                </c:pt>
                <c:pt idx="2">
                  <c:v>949.35693760063805</c:v>
                </c:pt>
                <c:pt idx="3">
                  <c:v>964.89615656043009</c:v>
                </c:pt>
                <c:pt idx="4">
                  <c:v>965.5730893925969</c:v>
                </c:pt>
                <c:pt idx="5">
                  <c:v>996.42275529926769</c:v>
                </c:pt>
                <c:pt idx="6">
                  <c:v>1023.1821486410161</c:v>
                </c:pt>
                <c:pt idx="7">
                  <c:v>1031.6047008926116</c:v>
                </c:pt>
                <c:pt idx="8">
                  <c:v>1125.0419030510959</c:v>
                </c:pt>
                <c:pt idx="9">
                  <c:v>1171.4606297626074</c:v>
                </c:pt>
                <c:pt idx="10">
                  <c:v>1265.7732919202158</c:v>
                </c:pt>
                <c:pt idx="11">
                  <c:v>1313.6787353412801</c:v>
                </c:pt>
                <c:pt idx="12">
                  <c:v>1405.6377536693958</c:v>
                </c:pt>
                <c:pt idx="13">
                  <c:v>1437.7043738313964</c:v>
                </c:pt>
                <c:pt idx="14">
                  <c:v>1514.9607192112576</c:v>
                </c:pt>
              </c:numCache>
            </c:numRef>
          </c:val>
          <c:extLst>
            <c:ext xmlns:c16="http://schemas.microsoft.com/office/drawing/2014/chart" uri="{C3380CC4-5D6E-409C-BE32-E72D297353CC}">
              <c16:uniqueId val="{00000002-17EB-4802-A9BB-F12EF47EE9AC}"/>
            </c:ext>
          </c:extLst>
        </c:ser>
        <c:dLbls>
          <c:showLegendKey val="0"/>
          <c:showVal val="0"/>
          <c:showCatName val="0"/>
          <c:showSerName val="0"/>
          <c:showPercent val="0"/>
          <c:showBubbleSize val="0"/>
        </c:dLbls>
        <c:gapWidth val="182"/>
        <c:axId val="1067834080"/>
        <c:axId val="1067834912"/>
      </c:barChart>
      <c:catAx>
        <c:axId val="1067834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7834912"/>
        <c:crosses val="autoZero"/>
        <c:auto val="1"/>
        <c:lblAlgn val="ctr"/>
        <c:lblOffset val="100"/>
        <c:noMultiLvlLbl val="0"/>
      </c:catAx>
      <c:valAx>
        <c:axId val="1067834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783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autoTitleDeleted val="0"/>
    <c:plotArea>
      <c:layout/>
      <c:doughnutChart>
        <c:varyColors val="1"/>
        <c:ser>
          <c:idx val="0"/>
          <c:order val="0"/>
          <c:tx>
            <c:strRef>
              <c:f>List5!$A$17</c:f>
              <c:strCache>
                <c:ptCount val="1"/>
                <c:pt idx="0">
                  <c:v>muži</c:v>
                </c:pt>
              </c:strCache>
            </c:strRef>
          </c:tx>
          <c:spPr>
            <a:solidFill>
              <a:srgbClr val="813533"/>
            </a:solidFill>
          </c:spPr>
          <c:dPt>
            <c:idx val="0"/>
            <c:bubble3D val="0"/>
            <c:spPr>
              <a:solidFill>
                <a:srgbClr val="813533"/>
              </a:solidFill>
              <a:ln w="19050">
                <a:solidFill>
                  <a:schemeClr val="lt1"/>
                </a:solidFill>
              </a:ln>
              <a:effectLst/>
            </c:spPr>
            <c:extLst>
              <c:ext xmlns:c16="http://schemas.microsoft.com/office/drawing/2014/chart" uri="{C3380CC4-5D6E-409C-BE32-E72D297353CC}">
                <c16:uniqueId val="{00000001-4A96-4744-B668-E647388C6E0B}"/>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4A96-4744-B668-E647388C6E0B}"/>
              </c:ext>
            </c:extLst>
          </c:dPt>
          <c:dPt>
            <c:idx val="2"/>
            <c:bubble3D val="0"/>
            <c:spPr>
              <a:solidFill>
                <a:srgbClr val="D28684"/>
              </a:solidFill>
              <a:ln w="19050">
                <a:solidFill>
                  <a:schemeClr val="lt1"/>
                </a:solidFill>
              </a:ln>
              <a:effectLst/>
            </c:spPr>
            <c:extLst>
              <c:ext xmlns:c16="http://schemas.microsoft.com/office/drawing/2014/chart" uri="{C3380CC4-5D6E-409C-BE32-E72D297353CC}">
                <c16:uniqueId val="{00000005-4A96-4744-B668-E647388C6E0B}"/>
              </c:ext>
            </c:extLst>
          </c:dPt>
          <c:dLbls>
            <c:dLbl>
              <c:idx val="0"/>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6="http://schemas.microsoft.com/office/drawing/2014/chart" uri="{C3380CC4-5D6E-409C-BE32-E72D297353CC}">
                  <c16:uniqueId val="{00000001-4A96-4744-B668-E647388C6E0B}"/>
                </c:ext>
              </c:extLst>
            </c:dLbl>
            <c:dLbl>
              <c:idx val="1"/>
              <c:layout>
                <c:manualLayout>
                  <c:x val="-6.5146579804560262E-2"/>
                  <c:y val="-9.8765432098765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96-4744-B668-E647388C6E0B}"/>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List5!$B$16:$D$16</c:f>
              <c:strCache>
                <c:ptCount val="3"/>
                <c:pt idx="0">
                  <c:v>nemoc</c:v>
                </c:pt>
                <c:pt idx="1">
                  <c:v>pracovní úrazy</c:v>
                </c:pt>
                <c:pt idx="2">
                  <c:v>ostatní úrazy</c:v>
                </c:pt>
              </c:strCache>
            </c:strRef>
          </c:cat>
          <c:val>
            <c:numRef>
              <c:f>List5!$B$17:$D$17</c:f>
              <c:numCache>
                <c:formatCode>General</c:formatCode>
                <c:ptCount val="3"/>
                <c:pt idx="0">
                  <c:v>0.85421072799126119</c:v>
                </c:pt>
                <c:pt idx="1">
                  <c:v>3.5847664582987798E-2</c:v>
                </c:pt>
                <c:pt idx="2">
                  <c:v>0.10994160742575106</c:v>
                </c:pt>
              </c:numCache>
            </c:numRef>
          </c:val>
          <c:extLst>
            <c:ext xmlns:c16="http://schemas.microsoft.com/office/drawing/2014/chart" uri="{C3380CC4-5D6E-409C-BE32-E72D297353CC}">
              <c16:uniqueId val="{00000006-4A96-4744-B668-E647388C6E0B}"/>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List38!$L$2</c:f>
              <c:strCache>
                <c:ptCount val="1"/>
                <c:pt idx="0">
                  <c:v>2016</c:v>
                </c:pt>
              </c:strCache>
            </c:strRef>
          </c:tx>
          <c:spPr>
            <a:solidFill>
              <a:srgbClr val="D08886"/>
            </a:solidFill>
            <a:ln>
              <a:noFill/>
            </a:ln>
            <a:effectLst/>
          </c:spPr>
          <c:invertIfNegative val="0"/>
          <c:dPt>
            <c:idx val="12"/>
            <c:invertIfNegative val="0"/>
            <c:bubble3D val="0"/>
            <c:spPr>
              <a:solidFill>
                <a:srgbClr val="B44946"/>
              </a:solidFill>
              <a:ln>
                <a:noFill/>
              </a:ln>
              <a:effectLst/>
            </c:spPr>
            <c:extLst>
              <c:ext xmlns:c16="http://schemas.microsoft.com/office/drawing/2014/chart" uri="{C3380CC4-5D6E-409C-BE32-E72D297353CC}">
                <c16:uniqueId val="{00000001-43AD-42C2-8027-5C9959640F55}"/>
              </c:ext>
            </c:extLst>
          </c:dPt>
          <c:dPt>
            <c:idx val="19"/>
            <c:invertIfNegative val="0"/>
            <c:bubble3D val="0"/>
            <c:spPr>
              <a:solidFill>
                <a:srgbClr val="B44946"/>
              </a:solidFill>
              <a:ln>
                <a:noFill/>
              </a:ln>
              <a:effectLst/>
            </c:spPr>
            <c:extLst>
              <c:ext xmlns:c16="http://schemas.microsoft.com/office/drawing/2014/chart" uri="{C3380CC4-5D6E-409C-BE32-E72D297353CC}">
                <c16:uniqueId val="{00000003-43AD-42C2-8027-5C9959640F55}"/>
              </c:ext>
            </c:extLst>
          </c:dPt>
          <c:cat>
            <c:strRef>
              <c:f>List38!$K$3:$K$31</c:f>
              <c:strCache>
                <c:ptCount val="29"/>
                <c:pt idx="0">
                  <c:v>Bulharsko</c:v>
                </c:pt>
                <c:pt idx="1">
                  <c:v>Rumunsko</c:v>
                </c:pt>
                <c:pt idx="2">
                  <c:v>Řecko</c:v>
                </c:pt>
                <c:pt idx="3">
                  <c:v>Lotyšsko</c:v>
                </c:pt>
                <c:pt idx="4">
                  <c:v>Litva</c:v>
                </c:pt>
                <c:pt idx="5">
                  <c:v>Slovensko</c:v>
                </c:pt>
                <c:pt idx="6">
                  <c:v>Polsko</c:v>
                </c:pt>
                <c:pt idx="7">
                  <c:v>Kypr</c:v>
                </c:pt>
                <c:pt idx="8">
                  <c:v>Maďarsko</c:v>
                </c:pt>
                <c:pt idx="9">
                  <c:v>Irsko</c:v>
                </c:pt>
                <c:pt idx="10">
                  <c:v>Švédsko</c:v>
                </c:pt>
                <c:pt idx="11">
                  <c:v>Velká Británie</c:v>
                </c:pt>
                <c:pt idx="12">
                  <c:v>Česká republika</c:v>
                </c:pt>
                <c:pt idx="13">
                  <c:v>Chorvatsko</c:v>
                </c:pt>
                <c:pt idx="14">
                  <c:v>Estonsko</c:v>
                </c:pt>
                <c:pt idx="15">
                  <c:v>Nizozemsko</c:v>
                </c:pt>
                <c:pt idx="16">
                  <c:v>Itálie</c:v>
                </c:pt>
                <c:pt idx="17">
                  <c:v>Malta</c:v>
                </c:pt>
                <c:pt idx="18">
                  <c:v>Slovinsko</c:v>
                </c:pt>
                <c:pt idx="19">
                  <c:v>EU28</c:v>
                </c:pt>
                <c:pt idx="20">
                  <c:v>Dánsko</c:v>
                </c:pt>
                <c:pt idx="21">
                  <c:v>Finsko</c:v>
                </c:pt>
                <c:pt idx="22">
                  <c:v>Belgie</c:v>
                </c:pt>
                <c:pt idx="23">
                  <c:v>Německo</c:v>
                </c:pt>
                <c:pt idx="24">
                  <c:v>Rakousko</c:v>
                </c:pt>
                <c:pt idx="25">
                  <c:v>Lucembursko</c:v>
                </c:pt>
                <c:pt idx="26">
                  <c:v>Španělsko</c:v>
                </c:pt>
                <c:pt idx="27">
                  <c:v>Francie</c:v>
                </c:pt>
                <c:pt idx="28">
                  <c:v>Portugalsko</c:v>
                </c:pt>
              </c:strCache>
            </c:strRef>
          </c:cat>
          <c:val>
            <c:numRef>
              <c:f>List38!$L$3:$L$31</c:f>
              <c:numCache>
                <c:formatCode>#,##0.00</c:formatCode>
                <c:ptCount val="29"/>
                <c:pt idx="0">
                  <c:v>76.02</c:v>
                </c:pt>
                <c:pt idx="1">
                  <c:v>87.38</c:v>
                </c:pt>
                <c:pt idx="2">
                  <c:v>229.05</c:v>
                </c:pt>
                <c:pt idx="3">
                  <c:v>235.91</c:v>
                </c:pt>
                <c:pt idx="4">
                  <c:v>332.71</c:v>
                </c:pt>
                <c:pt idx="5">
                  <c:v>533.46</c:v>
                </c:pt>
                <c:pt idx="6">
                  <c:v>537.65</c:v>
                </c:pt>
                <c:pt idx="7">
                  <c:v>716.74</c:v>
                </c:pt>
                <c:pt idx="8">
                  <c:v>722.24</c:v>
                </c:pt>
                <c:pt idx="9" formatCode="#\ ##0.0">
                  <c:v>768.9</c:v>
                </c:pt>
                <c:pt idx="10" formatCode="#\ ##0.0">
                  <c:v>796.2</c:v>
                </c:pt>
                <c:pt idx="11">
                  <c:v>864.56</c:v>
                </c:pt>
                <c:pt idx="12">
                  <c:v>921.91</c:v>
                </c:pt>
                <c:pt idx="13">
                  <c:v>984.32</c:v>
                </c:pt>
                <c:pt idx="14">
                  <c:v>1210.3699999999999</c:v>
                </c:pt>
                <c:pt idx="15">
                  <c:v>1304.05</c:v>
                </c:pt>
                <c:pt idx="16">
                  <c:v>1477.14</c:v>
                </c:pt>
                <c:pt idx="17">
                  <c:v>1507.44</c:v>
                </c:pt>
                <c:pt idx="18">
                  <c:v>1556.69</c:v>
                </c:pt>
                <c:pt idx="19">
                  <c:v>1699.02</c:v>
                </c:pt>
                <c:pt idx="20" formatCode="#,##0">
                  <c:v>1813</c:v>
                </c:pt>
                <c:pt idx="21" formatCode="#\ ##0.0">
                  <c:v>1860.2</c:v>
                </c:pt>
                <c:pt idx="22">
                  <c:v>1972.22</c:v>
                </c:pt>
                <c:pt idx="23">
                  <c:v>2079.0300000000002</c:v>
                </c:pt>
                <c:pt idx="24" formatCode="#\ ##0.0">
                  <c:v>2102.3000000000002</c:v>
                </c:pt>
                <c:pt idx="25">
                  <c:v>2510.83</c:v>
                </c:pt>
                <c:pt idx="26">
                  <c:v>3209.81</c:v>
                </c:pt>
                <c:pt idx="27">
                  <c:v>3409.23</c:v>
                </c:pt>
                <c:pt idx="28">
                  <c:v>3589.49</c:v>
                </c:pt>
              </c:numCache>
            </c:numRef>
          </c:val>
          <c:extLst>
            <c:ext xmlns:c16="http://schemas.microsoft.com/office/drawing/2014/chart" uri="{C3380CC4-5D6E-409C-BE32-E72D297353CC}">
              <c16:uniqueId val="{00000004-43AD-42C2-8027-5C9959640F55}"/>
            </c:ext>
          </c:extLst>
        </c:ser>
        <c:dLbls>
          <c:showLegendKey val="0"/>
          <c:showVal val="0"/>
          <c:showCatName val="0"/>
          <c:showSerName val="0"/>
          <c:showPercent val="0"/>
          <c:showBubbleSize val="0"/>
        </c:dLbls>
        <c:gapWidth val="182"/>
        <c:axId val="1067834496"/>
        <c:axId val="1060146016"/>
      </c:barChart>
      <c:catAx>
        <c:axId val="106783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0146016"/>
        <c:crosses val="autoZero"/>
        <c:auto val="1"/>
        <c:lblAlgn val="ctr"/>
        <c:lblOffset val="100"/>
        <c:noMultiLvlLbl val="0"/>
      </c:catAx>
      <c:valAx>
        <c:axId val="1060146016"/>
        <c:scaling>
          <c:orientation val="minMax"/>
          <c:max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počet pracovních úrazů na 100 000 </a:t>
                </a:r>
                <a:r>
                  <a:rPr lang="cs-CZ"/>
                  <a:t>zaměstnaných osob</a:t>
                </a:r>
                <a:endParaRPr lang="en-US"/>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67834496"/>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List39!$L$2</c:f>
              <c:strCache>
                <c:ptCount val="1"/>
                <c:pt idx="0">
                  <c:v>2016</c:v>
                </c:pt>
              </c:strCache>
            </c:strRef>
          </c:tx>
          <c:spPr>
            <a:solidFill>
              <a:srgbClr val="D08886"/>
            </a:solidFill>
            <a:ln>
              <a:noFill/>
            </a:ln>
            <a:effectLst/>
          </c:spPr>
          <c:invertIfNegative val="0"/>
          <c:dPt>
            <c:idx val="9"/>
            <c:invertIfNegative val="0"/>
            <c:bubble3D val="0"/>
            <c:spPr>
              <a:solidFill>
                <a:srgbClr val="B44946"/>
              </a:solidFill>
              <a:ln>
                <a:noFill/>
              </a:ln>
              <a:effectLst/>
            </c:spPr>
            <c:extLst>
              <c:ext xmlns:c16="http://schemas.microsoft.com/office/drawing/2014/chart" uri="{C3380CC4-5D6E-409C-BE32-E72D297353CC}">
                <c16:uniqueId val="{00000001-04D3-4666-AF26-982DA870B839}"/>
              </c:ext>
            </c:extLst>
          </c:dPt>
          <c:dPt>
            <c:idx val="10"/>
            <c:invertIfNegative val="0"/>
            <c:bubble3D val="0"/>
            <c:spPr>
              <a:solidFill>
                <a:srgbClr val="B44946"/>
              </a:solidFill>
              <a:ln>
                <a:noFill/>
              </a:ln>
              <a:effectLst/>
            </c:spPr>
            <c:extLst>
              <c:ext xmlns:c16="http://schemas.microsoft.com/office/drawing/2014/chart" uri="{C3380CC4-5D6E-409C-BE32-E72D297353CC}">
                <c16:uniqueId val="{00000003-04D3-4666-AF26-982DA870B839}"/>
              </c:ext>
            </c:extLst>
          </c:dPt>
          <c:cat>
            <c:strRef>
              <c:f>List39!$K$3:$K$31</c:f>
              <c:strCache>
                <c:ptCount val="29"/>
                <c:pt idx="0">
                  <c:v>Nizozemsko</c:v>
                </c:pt>
                <c:pt idx="1">
                  <c:v>Německo</c:v>
                </c:pt>
                <c:pt idx="2">
                  <c:v>Švédsko</c:v>
                </c:pt>
                <c:pt idx="3">
                  <c:v>Velká Británie</c:v>
                </c:pt>
                <c:pt idx="4">
                  <c:v>Polsko</c:v>
                </c:pt>
                <c:pt idx="5">
                  <c:v>Finsko</c:v>
                </c:pt>
                <c:pt idx="6">
                  <c:v>Dánsko</c:v>
                </c:pt>
                <c:pt idx="7">
                  <c:v>Kypr</c:v>
                </c:pt>
                <c:pt idx="8">
                  <c:v>Řecko</c:v>
                </c:pt>
                <c:pt idx="9">
                  <c:v>Česká republika</c:v>
                </c:pt>
                <c:pt idx="10">
                  <c:v>EU28</c:v>
                </c:pt>
                <c:pt idx="11">
                  <c:v>Slovinsko</c:v>
                </c:pt>
                <c:pt idx="12">
                  <c:v>Belgie</c:v>
                </c:pt>
                <c:pt idx="13">
                  <c:v>Itálie</c:v>
                </c:pt>
                <c:pt idx="14">
                  <c:v>Irsko</c:v>
                </c:pt>
                <c:pt idx="15">
                  <c:v>Slovensko</c:v>
                </c:pt>
                <c:pt idx="16">
                  <c:v>Maďarsko</c:v>
                </c:pt>
                <c:pt idx="17">
                  <c:v>Španělsko</c:v>
                </c:pt>
                <c:pt idx="18">
                  <c:v>Chorvatsko</c:v>
                </c:pt>
                <c:pt idx="19">
                  <c:v>Bulharsko</c:v>
                </c:pt>
                <c:pt idx="20">
                  <c:v>Malta</c:v>
                </c:pt>
                <c:pt idx="21">
                  <c:v>Portugalsko</c:v>
                </c:pt>
                <c:pt idx="22">
                  <c:v>Francie</c:v>
                </c:pt>
                <c:pt idx="23">
                  <c:v>Litva</c:v>
                </c:pt>
                <c:pt idx="24">
                  <c:v>Estonsko</c:v>
                </c:pt>
                <c:pt idx="25">
                  <c:v>Rakousko</c:v>
                </c:pt>
                <c:pt idx="26">
                  <c:v>Lotyšsko</c:v>
                </c:pt>
                <c:pt idx="27">
                  <c:v>Rumunsko</c:v>
                </c:pt>
                <c:pt idx="28">
                  <c:v>Lucembursko</c:v>
                </c:pt>
              </c:strCache>
            </c:strRef>
          </c:cat>
          <c:val>
            <c:numRef>
              <c:f>List39!$L$3:$L$31</c:f>
              <c:numCache>
                <c:formatCode>#,##0.00</c:formatCode>
                <c:ptCount val="29"/>
                <c:pt idx="0">
                  <c:v>0.71</c:v>
                </c:pt>
                <c:pt idx="1">
                  <c:v>1.1100000000000001</c:v>
                </c:pt>
                <c:pt idx="2">
                  <c:v>1.21</c:v>
                </c:pt>
                <c:pt idx="3">
                  <c:v>1.46</c:v>
                </c:pt>
                <c:pt idx="4">
                  <c:v>1.61</c:v>
                </c:pt>
                <c:pt idx="5">
                  <c:v>1.61</c:v>
                </c:pt>
                <c:pt idx="6">
                  <c:v>1.92</c:v>
                </c:pt>
                <c:pt idx="7">
                  <c:v>1.92</c:v>
                </c:pt>
                <c:pt idx="8">
                  <c:v>1.93</c:v>
                </c:pt>
                <c:pt idx="9">
                  <c:v>2.19</c:v>
                </c:pt>
                <c:pt idx="10">
                  <c:v>2.21</c:v>
                </c:pt>
                <c:pt idx="11">
                  <c:v>2.23</c:v>
                </c:pt>
                <c:pt idx="12">
                  <c:v>2.27</c:v>
                </c:pt>
                <c:pt idx="13" formatCode="#\ ##0.0">
                  <c:v>2.6</c:v>
                </c:pt>
                <c:pt idx="14">
                  <c:v>2.69</c:v>
                </c:pt>
                <c:pt idx="15">
                  <c:v>2.72</c:v>
                </c:pt>
                <c:pt idx="16">
                  <c:v>2.75</c:v>
                </c:pt>
                <c:pt idx="17">
                  <c:v>2.89</c:v>
                </c:pt>
                <c:pt idx="18">
                  <c:v>3.06</c:v>
                </c:pt>
                <c:pt idx="19">
                  <c:v>3.74</c:v>
                </c:pt>
                <c:pt idx="20">
                  <c:v>3.95</c:v>
                </c:pt>
                <c:pt idx="21">
                  <c:v>3.96</c:v>
                </c:pt>
                <c:pt idx="22">
                  <c:v>4.1399999999999997</c:v>
                </c:pt>
                <c:pt idx="23">
                  <c:v>4.3899999999999997</c:v>
                </c:pt>
                <c:pt idx="24">
                  <c:v>4.59</c:v>
                </c:pt>
                <c:pt idx="25">
                  <c:v>5.44</c:v>
                </c:pt>
                <c:pt idx="26">
                  <c:v>5.45</c:v>
                </c:pt>
                <c:pt idx="27">
                  <c:v>6.11</c:v>
                </c:pt>
                <c:pt idx="28" formatCode="#\ ##0.0">
                  <c:v>10.8</c:v>
                </c:pt>
              </c:numCache>
            </c:numRef>
          </c:val>
          <c:extLst>
            <c:ext xmlns:c16="http://schemas.microsoft.com/office/drawing/2014/chart" uri="{C3380CC4-5D6E-409C-BE32-E72D297353CC}">
              <c16:uniqueId val="{00000004-04D3-4666-AF26-982DA870B839}"/>
            </c:ext>
          </c:extLst>
        </c:ser>
        <c:dLbls>
          <c:showLegendKey val="0"/>
          <c:showVal val="0"/>
          <c:showCatName val="0"/>
          <c:showSerName val="0"/>
          <c:showPercent val="0"/>
          <c:showBubbleSize val="0"/>
        </c:dLbls>
        <c:gapWidth val="182"/>
        <c:axId val="1002076784"/>
        <c:axId val="1004439184"/>
      </c:barChart>
      <c:catAx>
        <c:axId val="100207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04439184"/>
        <c:crosses val="autoZero"/>
        <c:auto val="1"/>
        <c:lblAlgn val="ctr"/>
        <c:lblOffset val="100"/>
        <c:noMultiLvlLbl val="0"/>
      </c:catAx>
      <c:valAx>
        <c:axId val="1004439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počet smrtelných úrazů na 100 000 zaměstnaných osob</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0207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tx>
            <c:strRef>
              <c:f>'19'!$B$4</c:f>
              <c:strCache>
                <c:ptCount val="1"/>
                <c:pt idx="0">
                  <c:v> počet případů DPN na 100 pojištěnců</c:v>
                </c:pt>
              </c:strCache>
            </c:strRef>
          </c:tx>
          <c:spPr>
            <a:solidFill>
              <a:srgbClr val="B44946"/>
            </a:solidFill>
            <a:ln w="19050">
              <a:solidFill>
                <a:srgbClr val="B44946"/>
              </a:solidFill>
            </a:ln>
          </c:spPr>
          <c:invertIfNegative val="0"/>
          <c:cat>
            <c:numRef>
              <c:f>'19'!$A$34:$A$65</c:f>
              <c:numCache>
                <c:formatCode>General</c:formatCode>
                <c:ptCount val="32"/>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numCache>
            </c:numRef>
          </c:cat>
          <c:val>
            <c:numRef>
              <c:f>'19'!$B$34:$B$65</c:f>
              <c:numCache>
                <c:formatCode>#,##0.00</c:formatCode>
                <c:ptCount val="32"/>
                <c:pt idx="0">
                  <c:v>93.58</c:v>
                </c:pt>
                <c:pt idx="1">
                  <c:v>94.52</c:v>
                </c:pt>
                <c:pt idx="2">
                  <c:v>102.4</c:v>
                </c:pt>
                <c:pt idx="3">
                  <c:v>95.3</c:v>
                </c:pt>
                <c:pt idx="4">
                  <c:v>92.4</c:v>
                </c:pt>
                <c:pt idx="5">
                  <c:v>87.37</c:v>
                </c:pt>
                <c:pt idx="6">
                  <c:v>83.31</c:v>
                </c:pt>
                <c:pt idx="7">
                  <c:v>85.13</c:v>
                </c:pt>
                <c:pt idx="8">
                  <c:v>91.86</c:v>
                </c:pt>
                <c:pt idx="9">
                  <c:v>85.83</c:v>
                </c:pt>
                <c:pt idx="10">
                  <c:v>86.73</c:v>
                </c:pt>
                <c:pt idx="11">
                  <c:v>79.23</c:v>
                </c:pt>
                <c:pt idx="12">
                  <c:v>83.28</c:v>
                </c:pt>
                <c:pt idx="13">
                  <c:v>84.39</c:v>
                </c:pt>
                <c:pt idx="14">
                  <c:v>86.16</c:v>
                </c:pt>
                <c:pt idx="15">
                  <c:v>80.37</c:v>
                </c:pt>
                <c:pt idx="16">
                  <c:v>81.66</c:v>
                </c:pt>
                <c:pt idx="17">
                  <c:v>61.64</c:v>
                </c:pt>
                <c:pt idx="18">
                  <c:v>68.19</c:v>
                </c:pt>
                <c:pt idx="19">
                  <c:v>60.19</c:v>
                </c:pt>
                <c:pt idx="20">
                  <c:v>59.31</c:v>
                </c:pt>
                <c:pt idx="21">
                  <c:v>48.59</c:v>
                </c:pt>
                <c:pt idx="22">
                  <c:v>33.89</c:v>
                </c:pt>
                <c:pt idx="23">
                  <c:v>30.73</c:v>
                </c:pt>
                <c:pt idx="24">
                  <c:v>30.13</c:v>
                </c:pt>
                <c:pt idx="25">
                  <c:v>27.44</c:v>
                </c:pt>
                <c:pt idx="26">
                  <c:v>29.99</c:v>
                </c:pt>
                <c:pt idx="27">
                  <c:v>29.45</c:v>
                </c:pt>
                <c:pt idx="28">
                  <c:v>34.69</c:v>
                </c:pt>
                <c:pt idx="29">
                  <c:v>35.730455382800002</c:v>
                </c:pt>
                <c:pt idx="30">
                  <c:v>36.549162129999999</c:v>
                </c:pt>
                <c:pt idx="31" formatCode="0.00">
                  <c:v>39.077914011099999</c:v>
                </c:pt>
              </c:numCache>
            </c:numRef>
          </c:val>
          <c:extLst>
            <c:ext xmlns:c16="http://schemas.microsoft.com/office/drawing/2014/chart" uri="{C3380CC4-5D6E-409C-BE32-E72D297353CC}">
              <c16:uniqueId val="{00000000-C65C-4BBC-AAEC-201591C99EF6}"/>
            </c:ext>
          </c:extLst>
        </c:ser>
        <c:dLbls>
          <c:showLegendKey val="0"/>
          <c:showVal val="0"/>
          <c:showCatName val="0"/>
          <c:showSerName val="0"/>
          <c:showPercent val="0"/>
          <c:showBubbleSize val="0"/>
        </c:dLbls>
        <c:gapWidth val="150"/>
        <c:axId val="95981952"/>
        <c:axId val="95983872"/>
      </c:barChart>
      <c:lineChart>
        <c:grouping val="standard"/>
        <c:varyColors val="0"/>
        <c:ser>
          <c:idx val="1"/>
          <c:order val="1"/>
          <c:tx>
            <c:strRef>
              <c:f>'19'!$C$4</c:f>
              <c:strCache>
                <c:ptCount val="1"/>
                <c:pt idx="0">
                  <c:v> průměrná délka trvání 1 případu DPN</c:v>
                </c:pt>
              </c:strCache>
            </c:strRef>
          </c:tx>
          <c:spPr>
            <a:ln w="38100">
              <a:solidFill>
                <a:srgbClr val="D08886"/>
              </a:solidFill>
            </a:ln>
          </c:spPr>
          <c:marker>
            <c:symbol val="circle"/>
            <c:size val="9"/>
            <c:spPr>
              <a:solidFill>
                <a:srgbClr val="F5DADD"/>
              </a:solidFill>
              <a:ln>
                <a:solidFill>
                  <a:srgbClr val="D08886"/>
                </a:solidFill>
              </a:ln>
            </c:spPr>
          </c:marker>
          <c:cat>
            <c:numRef>
              <c:f>'19'!$A$34:$A$64</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'19'!$C$34:$C$65</c:f>
              <c:numCache>
                <c:formatCode>#,##0.00</c:formatCode>
                <c:ptCount val="32"/>
                <c:pt idx="0">
                  <c:v>17.38</c:v>
                </c:pt>
                <c:pt idx="1">
                  <c:v>17.27</c:v>
                </c:pt>
                <c:pt idx="2">
                  <c:v>17</c:v>
                </c:pt>
                <c:pt idx="3">
                  <c:v>18.39</c:v>
                </c:pt>
                <c:pt idx="4">
                  <c:v>19.920000000000002</c:v>
                </c:pt>
                <c:pt idx="5">
                  <c:v>21.55</c:v>
                </c:pt>
                <c:pt idx="6">
                  <c:v>23.22</c:v>
                </c:pt>
                <c:pt idx="7">
                  <c:v>24.75</c:v>
                </c:pt>
                <c:pt idx="8">
                  <c:v>24.44</c:v>
                </c:pt>
                <c:pt idx="9">
                  <c:v>25.79</c:v>
                </c:pt>
                <c:pt idx="10">
                  <c:v>26.31</c:v>
                </c:pt>
                <c:pt idx="11">
                  <c:v>26.79</c:v>
                </c:pt>
                <c:pt idx="12">
                  <c:v>26.1</c:v>
                </c:pt>
                <c:pt idx="13">
                  <c:v>28</c:v>
                </c:pt>
                <c:pt idx="14">
                  <c:v>28.59</c:v>
                </c:pt>
                <c:pt idx="15">
                  <c:v>30.76</c:v>
                </c:pt>
                <c:pt idx="16">
                  <c:v>30.45</c:v>
                </c:pt>
                <c:pt idx="17">
                  <c:v>34.770000000000003</c:v>
                </c:pt>
                <c:pt idx="18">
                  <c:v>32.79</c:v>
                </c:pt>
                <c:pt idx="19">
                  <c:v>35.26</c:v>
                </c:pt>
                <c:pt idx="20">
                  <c:v>34.58</c:v>
                </c:pt>
                <c:pt idx="21">
                  <c:v>39.049999999999997</c:v>
                </c:pt>
                <c:pt idx="22">
                  <c:v>45.06</c:v>
                </c:pt>
                <c:pt idx="23">
                  <c:v>44.69</c:v>
                </c:pt>
                <c:pt idx="24">
                  <c:v>44.08</c:v>
                </c:pt>
                <c:pt idx="25">
                  <c:v>46.05</c:v>
                </c:pt>
                <c:pt idx="26">
                  <c:v>44</c:v>
                </c:pt>
                <c:pt idx="27">
                  <c:v>45.81</c:v>
                </c:pt>
                <c:pt idx="28">
                  <c:v>42.74</c:v>
                </c:pt>
                <c:pt idx="29">
                  <c:v>43.011019084700003</c:v>
                </c:pt>
                <c:pt idx="30">
                  <c:v>42.5633520799</c:v>
                </c:pt>
                <c:pt idx="31" formatCode="0.00">
                  <c:v>41.719130771000003</c:v>
                </c:pt>
              </c:numCache>
            </c:numRef>
          </c:val>
          <c:smooth val="0"/>
          <c:extLst>
            <c:ext xmlns:c16="http://schemas.microsoft.com/office/drawing/2014/chart" uri="{C3380CC4-5D6E-409C-BE32-E72D297353CC}">
              <c16:uniqueId val="{00000001-C65C-4BBC-AAEC-201591C99EF6}"/>
            </c:ext>
          </c:extLst>
        </c:ser>
        <c:dLbls>
          <c:showLegendKey val="0"/>
          <c:showVal val="0"/>
          <c:showCatName val="0"/>
          <c:showSerName val="0"/>
          <c:showPercent val="0"/>
          <c:showBubbleSize val="0"/>
        </c:dLbls>
        <c:marker val="1"/>
        <c:smooth val="0"/>
        <c:axId val="95981952"/>
        <c:axId val="95983872"/>
      </c:lineChart>
      <c:lineChart>
        <c:grouping val="standard"/>
        <c:varyColors val="0"/>
        <c:ser>
          <c:idx val="2"/>
          <c:order val="2"/>
          <c:tx>
            <c:strRef>
              <c:f>'19'!$D$4</c:f>
              <c:strCache>
                <c:ptCount val="1"/>
                <c:pt idx="0">
                  <c:v> průměrné procento pracovní neschopnosti</c:v>
                </c:pt>
              </c:strCache>
            </c:strRef>
          </c:tx>
          <c:spPr>
            <a:ln w="38100">
              <a:solidFill>
                <a:srgbClr val="632827"/>
              </a:solidFill>
            </a:ln>
          </c:spPr>
          <c:marker>
            <c:spPr>
              <a:solidFill>
                <a:srgbClr val="632827"/>
              </a:solidFill>
              <a:ln>
                <a:solidFill>
                  <a:srgbClr val="632827"/>
                </a:solidFill>
              </a:ln>
            </c:spPr>
          </c:marker>
          <c:val>
            <c:numRef>
              <c:f>'19'!$D$34:$D$65</c:f>
              <c:numCache>
                <c:formatCode>#,##0.00</c:formatCode>
                <c:ptCount val="32"/>
                <c:pt idx="0">
                  <c:v>4.4560000000000004</c:v>
                </c:pt>
                <c:pt idx="1">
                  <c:v>4.4589999999999996</c:v>
                </c:pt>
                <c:pt idx="2">
                  <c:v>4.7679999999999998</c:v>
                </c:pt>
                <c:pt idx="3">
                  <c:v>4.8</c:v>
                </c:pt>
                <c:pt idx="4">
                  <c:v>5.0430000000000001</c:v>
                </c:pt>
                <c:pt idx="5">
                  <c:v>5.1449999999999996</c:v>
                </c:pt>
                <c:pt idx="6">
                  <c:v>5.3</c:v>
                </c:pt>
                <c:pt idx="7">
                  <c:v>5.7709999999999999</c:v>
                </c:pt>
                <c:pt idx="8">
                  <c:v>6.15</c:v>
                </c:pt>
                <c:pt idx="9">
                  <c:v>6.0490000000000004</c:v>
                </c:pt>
                <c:pt idx="10">
                  <c:v>6.2519999999999998</c:v>
                </c:pt>
                <c:pt idx="11">
                  <c:v>5.8150000000000004</c:v>
                </c:pt>
                <c:pt idx="12">
                  <c:v>5.9539999999999997</c:v>
                </c:pt>
                <c:pt idx="13">
                  <c:v>6.4550000000000001</c:v>
                </c:pt>
                <c:pt idx="14">
                  <c:v>6.7480000000000002</c:v>
                </c:pt>
                <c:pt idx="15">
                  <c:v>6.7720000000000002</c:v>
                </c:pt>
                <c:pt idx="16">
                  <c:v>6.8140000000000001</c:v>
                </c:pt>
                <c:pt idx="17">
                  <c:v>5.8570000000000002</c:v>
                </c:pt>
                <c:pt idx="18">
                  <c:v>6.1260000000000003</c:v>
                </c:pt>
                <c:pt idx="19">
                  <c:v>5.8140000000000001</c:v>
                </c:pt>
                <c:pt idx="20">
                  <c:v>5.6189999999999998</c:v>
                </c:pt>
                <c:pt idx="21">
                  <c:v>5.1840000000000002</c:v>
                </c:pt>
                <c:pt idx="22">
                  <c:v>4.1840000000000002</c:v>
                </c:pt>
                <c:pt idx="23">
                  <c:v>3.7629999999999999</c:v>
                </c:pt>
                <c:pt idx="24">
                  <c:v>3.6379999999999999</c:v>
                </c:pt>
                <c:pt idx="25">
                  <c:v>3.452</c:v>
                </c:pt>
                <c:pt idx="26">
                  <c:v>3.6150000000000002</c:v>
                </c:pt>
                <c:pt idx="27">
                  <c:v>3.6970000000000001</c:v>
                </c:pt>
                <c:pt idx="28">
                  <c:v>4.0620000000000003</c:v>
                </c:pt>
                <c:pt idx="29">
                  <c:v>4.1989157572</c:v>
                </c:pt>
                <c:pt idx="30">
                  <c:v>4.2620680985000003</c:v>
                </c:pt>
                <c:pt idx="31" formatCode="0.00">
                  <c:v>4.4665660408000001</c:v>
                </c:pt>
              </c:numCache>
            </c:numRef>
          </c:val>
          <c:smooth val="0"/>
          <c:extLst>
            <c:ext xmlns:c16="http://schemas.microsoft.com/office/drawing/2014/chart" uri="{C3380CC4-5D6E-409C-BE32-E72D297353CC}">
              <c16:uniqueId val="{00000002-C65C-4BBC-AAEC-201591C99EF6}"/>
            </c:ext>
          </c:extLst>
        </c:ser>
        <c:dLbls>
          <c:showLegendKey val="0"/>
          <c:showVal val="0"/>
          <c:showCatName val="0"/>
          <c:showSerName val="0"/>
          <c:showPercent val="0"/>
          <c:showBubbleSize val="0"/>
        </c:dLbls>
        <c:marker val="1"/>
        <c:smooth val="0"/>
        <c:axId val="95996160"/>
        <c:axId val="95994240"/>
      </c:lineChart>
      <c:catAx>
        <c:axId val="95981952"/>
        <c:scaling>
          <c:orientation val="minMax"/>
        </c:scaling>
        <c:delete val="0"/>
        <c:axPos val="b"/>
        <c:numFmt formatCode="General" sourceLinked="1"/>
        <c:majorTickMark val="out"/>
        <c:minorTickMark val="none"/>
        <c:tickLblPos val="nextTo"/>
        <c:txPr>
          <a:bodyPr rot="-3600000"/>
          <a:lstStyle/>
          <a:p>
            <a:pPr>
              <a:defRPr/>
            </a:pPr>
            <a:endParaRPr lang="cs-CZ"/>
          </a:p>
        </c:txPr>
        <c:crossAx val="95983872"/>
        <c:crosses val="autoZero"/>
        <c:auto val="1"/>
        <c:lblAlgn val="ctr"/>
        <c:lblOffset val="100"/>
        <c:noMultiLvlLbl val="0"/>
      </c:catAx>
      <c:valAx>
        <c:axId val="95983872"/>
        <c:scaling>
          <c:orientation val="minMax"/>
        </c:scaling>
        <c:delete val="0"/>
        <c:axPos val="l"/>
        <c:majorGridlines/>
        <c:title>
          <c:tx>
            <c:rich>
              <a:bodyPr rot="-5400000" vert="horz"/>
              <a:lstStyle/>
              <a:p>
                <a:pPr>
                  <a:defRPr/>
                </a:pPr>
                <a:r>
                  <a:rPr lang="cs-CZ" b="0"/>
                  <a:t>případy, dny</a:t>
                </a:r>
              </a:p>
            </c:rich>
          </c:tx>
          <c:overlay val="0"/>
        </c:title>
        <c:numFmt formatCode="#,##0" sourceLinked="0"/>
        <c:majorTickMark val="out"/>
        <c:minorTickMark val="none"/>
        <c:tickLblPos val="nextTo"/>
        <c:crossAx val="95981952"/>
        <c:crosses val="autoZero"/>
        <c:crossBetween val="between"/>
        <c:majorUnit val="15"/>
      </c:valAx>
      <c:valAx>
        <c:axId val="95994240"/>
        <c:scaling>
          <c:orientation val="minMax"/>
        </c:scaling>
        <c:delete val="0"/>
        <c:axPos val="r"/>
        <c:title>
          <c:tx>
            <c:rich>
              <a:bodyPr rot="-5400000" vert="horz"/>
              <a:lstStyle/>
              <a:p>
                <a:pPr>
                  <a:defRPr/>
                </a:pPr>
                <a:r>
                  <a:rPr lang="cs-CZ" b="0"/>
                  <a:t>%</a:t>
                </a:r>
              </a:p>
            </c:rich>
          </c:tx>
          <c:overlay val="0"/>
        </c:title>
        <c:numFmt formatCode="#,##0" sourceLinked="0"/>
        <c:majorTickMark val="out"/>
        <c:minorTickMark val="none"/>
        <c:tickLblPos val="nextTo"/>
        <c:crossAx val="95996160"/>
        <c:crosses val="max"/>
        <c:crossBetween val="between"/>
      </c:valAx>
      <c:catAx>
        <c:axId val="95996160"/>
        <c:scaling>
          <c:orientation val="minMax"/>
        </c:scaling>
        <c:delete val="1"/>
        <c:axPos val="b"/>
        <c:numFmt formatCode="General" sourceLinked="1"/>
        <c:majorTickMark val="out"/>
        <c:minorTickMark val="none"/>
        <c:tickLblPos val="none"/>
        <c:crossAx val="9599424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25605978151813591"/>
          <c:y val="0.20466025080198308"/>
          <c:w val="0.50011253180508397"/>
          <c:h val="0.60569184407504617"/>
        </c:manualLayout>
      </c:layout>
      <c:doughnutChart>
        <c:varyColors val="1"/>
        <c:ser>
          <c:idx val="0"/>
          <c:order val="0"/>
          <c:tx>
            <c:strRef>
              <c:f>List5!$F$17</c:f>
              <c:strCache>
                <c:ptCount val="1"/>
                <c:pt idx="0">
                  <c:v>ženy</c:v>
                </c:pt>
              </c:strCache>
            </c:strRef>
          </c:tx>
          <c:dPt>
            <c:idx val="0"/>
            <c:bubble3D val="0"/>
            <c:spPr>
              <a:solidFill>
                <a:srgbClr val="813533"/>
              </a:solidFill>
              <a:ln w="19050">
                <a:solidFill>
                  <a:schemeClr val="lt1"/>
                </a:solidFill>
              </a:ln>
              <a:effectLst/>
            </c:spPr>
            <c:extLst>
              <c:ext xmlns:c16="http://schemas.microsoft.com/office/drawing/2014/chart" uri="{C3380CC4-5D6E-409C-BE32-E72D297353CC}">
                <c16:uniqueId val="{00000001-0D8B-4276-9E18-EA15163D40F3}"/>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0D8B-4276-9E18-EA15163D40F3}"/>
              </c:ext>
            </c:extLst>
          </c:dPt>
          <c:dPt>
            <c:idx val="2"/>
            <c:bubble3D val="0"/>
            <c:spPr>
              <a:solidFill>
                <a:srgbClr val="D28684"/>
              </a:solidFill>
              <a:ln w="19050">
                <a:solidFill>
                  <a:schemeClr val="lt1"/>
                </a:solidFill>
              </a:ln>
              <a:effectLst/>
            </c:spPr>
            <c:extLst>
              <c:ext xmlns:c16="http://schemas.microsoft.com/office/drawing/2014/chart" uri="{C3380CC4-5D6E-409C-BE32-E72D297353CC}">
                <c16:uniqueId val="{00000005-0D8B-4276-9E18-EA15163D40F3}"/>
              </c:ext>
            </c:extLst>
          </c:dPt>
          <c:dLbls>
            <c:dLbl>
              <c:idx val="0"/>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8B-4276-9E18-EA15163D40F3}"/>
                </c:ext>
              </c:extLst>
            </c:dLbl>
            <c:dLbl>
              <c:idx val="1"/>
              <c:layout>
                <c:manualLayout>
                  <c:x val="-3.3333493863725749E-2"/>
                  <c:y val="-0.11049363274035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8B-4276-9E18-EA15163D40F3}"/>
                </c:ext>
              </c:extLst>
            </c:dLbl>
            <c:dLbl>
              <c:idx val="2"/>
              <c:layout>
                <c:manualLayout>
                  <c:x val="2.7777777777777267E-3"/>
                  <c:y val="4.6296296296295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8B-4276-9E18-EA15163D40F3}"/>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extLst>
          </c:dLbls>
          <c:cat>
            <c:strRef>
              <c:f>List5!$G$16:$I$16</c:f>
              <c:strCache>
                <c:ptCount val="3"/>
                <c:pt idx="0">
                  <c:v>nemoc</c:v>
                </c:pt>
                <c:pt idx="1">
                  <c:v>pracovní úrazy</c:v>
                </c:pt>
                <c:pt idx="2">
                  <c:v>ostatní úrazy</c:v>
                </c:pt>
              </c:strCache>
            </c:strRef>
          </c:cat>
          <c:val>
            <c:numRef>
              <c:f>List5!$G$17:$I$17</c:f>
              <c:numCache>
                <c:formatCode>General</c:formatCode>
                <c:ptCount val="3"/>
                <c:pt idx="0">
                  <c:v>0.92644688269073006</c:v>
                </c:pt>
                <c:pt idx="1">
                  <c:v>1.5261484823625921E-2</c:v>
                </c:pt>
                <c:pt idx="2">
                  <c:v>5.8291632485643965E-2</c:v>
                </c:pt>
              </c:numCache>
            </c:numRef>
          </c:val>
          <c:extLst>
            <c:ext xmlns:c16="http://schemas.microsoft.com/office/drawing/2014/chart" uri="{C3380CC4-5D6E-409C-BE32-E72D297353CC}">
              <c16:uniqueId val="{00000006-0D8B-4276-9E18-EA15163D40F3}"/>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'místo G2.2'!$C$17</c:f>
              <c:strCache>
                <c:ptCount val="1"/>
                <c:pt idx="0">
                  <c:v> nemoc</c:v>
                </c:pt>
              </c:strCache>
            </c:strRef>
          </c:tx>
          <c:spPr>
            <a:solidFill>
              <a:srgbClr val="813533"/>
            </a:solidFill>
            <a:ln>
              <a:noFill/>
            </a:ln>
            <a:effectLst/>
          </c:spPr>
          <c:invertIfNegative val="0"/>
          <c:cat>
            <c:numRef>
              <c:f>'místo G2.2'!$A$18:$A$28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'místo G2.2'!$C$18:$C$28</c:f>
              <c:numCache>
                <c:formatCode>General</c:formatCode>
                <c:ptCount val="11"/>
                <c:pt idx="0">
                  <c:v>44.567404426559357</c:v>
                </c:pt>
                <c:pt idx="1">
                  <c:v>30.695257576826311</c:v>
                </c:pt>
                <c:pt idx="2">
                  <c:v>27.55741127348643</c:v>
                </c:pt>
                <c:pt idx="3">
                  <c:v>27.175590644663423</c:v>
                </c:pt>
                <c:pt idx="4">
                  <c:v>23.866812764149469</c:v>
                </c:pt>
                <c:pt idx="5">
                  <c:v>26.306781073350898</c:v>
                </c:pt>
                <c:pt idx="6">
                  <c:v>25.678188212629642</c:v>
                </c:pt>
                <c:pt idx="7">
                  <c:v>30.70556911471045</c:v>
                </c:pt>
                <c:pt idx="8">
                  <c:v>31.520574016144202</c:v>
                </c:pt>
                <c:pt idx="9">
                  <c:v>32.340853632432896</c:v>
                </c:pt>
                <c:pt idx="10">
                  <c:v>34.86922908489521</c:v>
                </c:pt>
              </c:numCache>
            </c:numRef>
          </c:val>
          <c:extLst>
            <c:ext xmlns:c16="http://schemas.microsoft.com/office/drawing/2014/chart" uri="{C3380CC4-5D6E-409C-BE32-E72D297353CC}">
              <c16:uniqueId val="{00000000-49D3-4BB4-95CA-17B544E3E190}"/>
            </c:ext>
          </c:extLst>
        </c:ser>
        <c:ser>
          <c:idx val="1"/>
          <c:order val="1"/>
          <c:tx>
            <c:strRef>
              <c:f>'místo G2.2'!$D$30</c:f>
              <c:strCache>
                <c:ptCount val="1"/>
                <c:pt idx="0">
                  <c:v> pracovní úrazy</c:v>
                </c:pt>
              </c:strCache>
            </c:strRef>
          </c:tx>
          <c:spPr>
            <a:solidFill>
              <a:srgbClr val="B44946"/>
            </a:solidFill>
            <a:ln>
              <a:noFill/>
            </a:ln>
            <a:effectLst/>
          </c:spPr>
          <c:invertIfNegative val="0"/>
          <c:val>
            <c:numRef>
              <c:f>'místo G2.2'!$D$31:$D$41</c:f>
              <c:numCache>
                <c:formatCode>General</c:formatCode>
                <c:ptCount val="11"/>
                <c:pt idx="0">
                  <c:v>1.5593561368209254</c:v>
                </c:pt>
                <c:pt idx="1">
                  <c:v>1.1803155345512686</c:v>
                </c:pt>
                <c:pt idx="2">
                  <c:v>1.1992577128276503</c:v>
                </c:pt>
                <c:pt idx="3">
                  <c:v>1.1183663777751394</c:v>
                </c:pt>
                <c:pt idx="4">
                  <c:v>0.98615800890002026</c:v>
                </c:pt>
                <c:pt idx="5">
                  <c:v>0.96615093574758459</c:v>
                </c:pt>
                <c:pt idx="6">
                  <c:v>1.0102820277323536</c:v>
                </c:pt>
                <c:pt idx="7">
                  <c:v>1.027290880852008</c:v>
                </c:pt>
                <c:pt idx="8">
                  <c:v>1.0369041629295823</c:v>
                </c:pt>
                <c:pt idx="9">
                  <c:v>1.0167387302538637</c:v>
                </c:pt>
                <c:pt idx="10">
                  <c:v>0.97666524426691126</c:v>
                </c:pt>
              </c:numCache>
            </c:numRef>
          </c:val>
          <c:extLst>
            <c:ext xmlns:c16="http://schemas.microsoft.com/office/drawing/2014/chart" uri="{C3380CC4-5D6E-409C-BE32-E72D297353CC}">
              <c16:uniqueId val="{00000001-49D3-4BB4-95CA-17B544E3E190}"/>
            </c:ext>
          </c:extLst>
        </c:ser>
        <c:ser>
          <c:idx val="2"/>
          <c:order val="2"/>
          <c:tx>
            <c:strRef>
              <c:f>'místo G2.2'!$E$30</c:f>
              <c:strCache>
                <c:ptCount val="1"/>
                <c:pt idx="0">
                  <c:v> ostatní úrazy</c:v>
                </c:pt>
              </c:strCache>
            </c:strRef>
          </c:tx>
          <c:spPr>
            <a:solidFill>
              <a:srgbClr val="D28684"/>
            </a:solidFill>
            <a:ln>
              <a:noFill/>
            </a:ln>
            <a:effectLst/>
          </c:spPr>
          <c:invertIfNegative val="0"/>
          <c:val>
            <c:numRef>
              <c:f>'místo G2.2'!$E$31:$E$41</c:f>
              <c:numCache>
                <c:formatCode>General</c:formatCode>
                <c:ptCount val="11"/>
                <c:pt idx="0">
                  <c:v>2.4626016971393581</c:v>
                </c:pt>
                <c:pt idx="1">
                  <c:v>2.0173520490936023</c:v>
                </c:pt>
                <c:pt idx="2">
                  <c:v>1.9786592437949433</c:v>
                </c:pt>
                <c:pt idx="3">
                  <c:v>1.8307016502433813</c:v>
                </c:pt>
                <c:pt idx="4">
                  <c:v>2.5805585992531141</c:v>
                </c:pt>
                <c:pt idx="5">
                  <c:v>2.7137806004098821</c:v>
                </c:pt>
                <c:pt idx="6">
                  <c:v>2.7642749938397437</c:v>
                </c:pt>
                <c:pt idx="7">
                  <c:v>2.9576214777013536</c:v>
                </c:pt>
                <c:pt idx="8">
                  <c:v>3.1719642114934476</c:v>
                </c:pt>
                <c:pt idx="9">
                  <c:v>3.1914893617021276</c:v>
                </c:pt>
                <c:pt idx="10">
                  <c:v>3.232019681950534</c:v>
                </c:pt>
              </c:numCache>
            </c:numRef>
          </c:val>
          <c:extLst>
            <c:ext xmlns:c16="http://schemas.microsoft.com/office/drawing/2014/chart" uri="{C3380CC4-5D6E-409C-BE32-E72D297353CC}">
              <c16:uniqueId val="{00000002-49D3-4BB4-95CA-17B544E3E190}"/>
            </c:ext>
          </c:extLst>
        </c:ser>
        <c:dLbls>
          <c:showLegendKey val="0"/>
          <c:showVal val="0"/>
          <c:showCatName val="0"/>
          <c:showSerName val="0"/>
          <c:showPercent val="0"/>
          <c:showBubbleSize val="0"/>
        </c:dLbls>
        <c:gapWidth val="80"/>
        <c:overlap val="100"/>
        <c:axId val="814680704"/>
        <c:axId val="814680288"/>
      </c:barChart>
      <c:catAx>
        <c:axId val="81468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814680288"/>
        <c:crosses val="autoZero"/>
        <c:auto val="1"/>
        <c:lblAlgn val="ctr"/>
        <c:lblOffset val="100"/>
        <c:noMultiLvlLbl val="0"/>
      </c:catAx>
      <c:valAx>
        <c:axId val="814680288"/>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8146807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138423530219135"/>
          <c:y val="3.1746024531927937E-2"/>
          <c:w val="0.4669307678104877"/>
          <c:h val="0.87414765373062886"/>
        </c:manualLayout>
      </c:layout>
      <c:barChart>
        <c:barDir val="bar"/>
        <c:grouping val="clustered"/>
        <c:varyColors val="0"/>
        <c:ser>
          <c:idx val="0"/>
          <c:order val="0"/>
          <c:spPr>
            <a:solidFill>
              <a:srgbClr val="D28684"/>
            </a:solidFill>
            <a:ln>
              <a:noFill/>
            </a:ln>
            <a:effectLst/>
          </c:spPr>
          <c:invertIfNegative val="0"/>
          <c:dPt>
            <c:idx val="14"/>
            <c:invertIfNegative val="0"/>
            <c:bubble3D val="0"/>
            <c:spPr>
              <a:solidFill>
                <a:srgbClr val="B44946"/>
              </a:solidFill>
              <a:ln w="19050">
                <a:noFill/>
              </a:ln>
              <a:effectLst/>
            </c:spPr>
            <c:extLst>
              <c:ext xmlns:c16="http://schemas.microsoft.com/office/drawing/2014/chart" uri="{C3380CC4-5D6E-409C-BE32-E72D297353CC}">
                <c16:uniqueId val="{00000001-3500-4CE0-AB9E-634F2443AB15}"/>
              </c:ext>
            </c:extLst>
          </c:dPt>
          <c:cat>
            <c:strRef>
              <c:f>List7!$A$5:$A$25</c:f>
              <c:strCache>
                <c:ptCount val="20"/>
                <c:pt idx="0">
                  <c:v>L – Činnosti v oblasti nemovitostí</c:v>
                </c:pt>
                <c:pt idx="1">
                  <c:v>M – Profesní, vědecké a technické činnosti</c:v>
                </c:pt>
                <c:pt idx="2">
                  <c:v>J – Informační a komunikační činnosti</c:v>
                </c:pt>
                <c:pt idx="3">
                  <c:v>R – Kulturní, zábavní a rekreační činnosti</c:v>
                </c:pt>
                <c:pt idx="4">
                  <c:v>D – Výroba a rozvod elektřiny, plynu, tepla a klimatiz. vzduchu</c:v>
                </c:pt>
                <c:pt idx="5">
                  <c:v>K – Peněžnictví a pojišťovnictví</c:v>
                </c:pt>
                <c:pt idx="6">
                  <c:v>S – Ostatní činnosti</c:v>
                </c:pt>
                <c:pt idx="7">
                  <c:v>I – Ubytování, stravování a pohostinství</c:v>
                </c:pt>
                <c:pt idx="8">
                  <c:v>F – Stavebnictví</c:v>
                </c:pt>
                <c:pt idx="9">
                  <c:v>Q – Zdravotní a sociální péče</c:v>
                </c:pt>
                <c:pt idx="10">
                  <c:v>O – Veřejná správa a obrana; povinné sociální zabezpečení</c:v>
                </c:pt>
                <c:pt idx="11">
                  <c:v>A – Zemědělství, lesnictví, rybářství</c:v>
                </c:pt>
                <c:pt idx="12">
                  <c:v>P – Vzdělávání</c:v>
                </c:pt>
                <c:pt idx="13">
                  <c:v>G – Velkoobchod a maloobchod; opravy a údržba motor. vozidel</c:v>
                </c:pt>
                <c:pt idx="14">
                  <c:v>CELKEM</c:v>
                </c:pt>
                <c:pt idx="15">
                  <c:v>H – Doprava a skladování</c:v>
                </c:pt>
                <c:pt idx="16">
                  <c:v>E – Zásobování vodou; činnosti související s odpady a sanacemi</c:v>
                </c:pt>
                <c:pt idx="17">
                  <c:v>B – Těžba a dobývání</c:v>
                </c:pt>
                <c:pt idx="18">
                  <c:v>N – Administrativní a podpůrné činnosti</c:v>
                </c:pt>
                <c:pt idx="19">
                  <c:v>C – Zpracovatelský průmysl</c:v>
                </c:pt>
              </c:strCache>
            </c:strRef>
          </c:cat>
          <c:val>
            <c:numRef>
              <c:f>List7!$B$5:$B$25</c:f>
              <c:numCache>
                <c:formatCode>General</c:formatCode>
                <c:ptCount val="20"/>
                <c:pt idx="0">
                  <c:v>17.361855589499999</c:v>
                </c:pt>
                <c:pt idx="1">
                  <c:v>22.541075449699999</c:v>
                </c:pt>
                <c:pt idx="2">
                  <c:v>25.697692459399999</c:v>
                </c:pt>
                <c:pt idx="3">
                  <c:v>26.83991906</c:v>
                </c:pt>
                <c:pt idx="4">
                  <c:v>29.0403428288</c:v>
                </c:pt>
                <c:pt idx="5">
                  <c:v>29.408192712799998</c:v>
                </c:pt>
                <c:pt idx="6">
                  <c:v>29.8304517557</c:v>
                </c:pt>
                <c:pt idx="7">
                  <c:v>29.926489666399998</c:v>
                </c:pt>
                <c:pt idx="8">
                  <c:v>32.701200665499996</c:v>
                </c:pt>
                <c:pt idx="9">
                  <c:v>33.704174898200002</c:v>
                </c:pt>
                <c:pt idx="10">
                  <c:v>33.987972942600003</c:v>
                </c:pt>
                <c:pt idx="11">
                  <c:v>34.389005619300001</c:v>
                </c:pt>
                <c:pt idx="12">
                  <c:v>35.935945840199999</c:v>
                </c:pt>
                <c:pt idx="13">
                  <c:v>37.606849709099997</c:v>
                </c:pt>
                <c:pt idx="14">
                  <c:v>39.077914011099999</c:v>
                </c:pt>
                <c:pt idx="15">
                  <c:v>39.215547560499999</c:v>
                </c:pt>
                <c:pt idx="16">
                  <c:v>40.852726175800001</c:v>
                </c:pt>
                <c:pt idx="17">
                  <c:v>42.6732910976</c:v>
                </c:pt>
                <c:pt idx="18">
                  <c:v>48.617361035599998</c:v>
                </c:pt>
                <c:pt idx="19">
                  <c:v>51.806785665699998</c:v>
                </c:pt>
              </c:numCache>
            </c:numRef>
          </c:val>
          <c:extLst>
            <c:ext xmlns:c16="http://schemas.microsoft.com/office/drawing/2014/chart" uri="{C3380CC4-5D6E-409C-BE32-E72D297353CC}">
              <c16:uniqueId val="{00000002-3500-4CE0-AB9E-634F2443AB15}"/>
            </c:ext>
          </c:extLst>
        </c:ser>
        <c:dLbls>
          <c:showLegendKey val="0"/>
          <c:showVal val="0"/>
          <c:showCatName val="0"/>
          <c:showSerName val="0"/>
          <c:showPercent val="0"/>
          <c:showBubbleSize val="0"/>
        </c:dLbls>
        <c:gapWidth val="182"/>
        <c:axId val="900508528"/>
        <c:axId val="900507696"/>
      </c:barChart>
      <c:catAx>
        <c:axId val="900508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00507696"/>
        <c:crosses val="autoZero"/>
        <c:auto val="1"/>
        <c:lblAlgn val="ctr"/>
        <c:lblOffset val="100"/>
        <c:noMultiLvlLbl val="0"/>
      </c:catAx>
      <c:valAx>
        <c:axId val="900507696"/>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00508528"/>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D28684"/>
            </a:solidFill>
            <a:ln>
              <a:noFill/>
            </a:ln>
            <a:effectLst/>
          </c:spPr>
          <c:invertIfNegative val="0"/>
          <c:dPt>
            <c:idx val="3"/>
            <c:invertIfNegative val="0"/>
            <c:bubble3D val="0"/>
            <c:spPr>
              <a:solidFill>
                <a:srgbClr val="B44946"/>
              </a:solidFill>
              <a:ln w="19050">
                <a:noFill/>
              </a:ln>
              <a:effectLst/>
            </c:spPr>
            <c:extLst>
              <c:ext xmlns:c16="http://schemas.microsoft.com/office/drawing/2014/chart" uri="{C3380CC4-5D6E-409C-BE32-E72D297353CC}">
                <c16:uniqueId val="{00000001-5F60-48B6-8AD8-BA2A4AAD6CAC}"/>
              </c:ext>
            </c:extLst>
          </c:dPt>
          <c:cat>
            <c:strRef>
              <c:f>List9!$A$29:$A$43</c:f>
              <c:strCache>
                <c:ptCount val="15"/>
                <c:pt idx="0">
                  <c:v>Hlavní město Praha</c:v>
                </c:pt>
                <c:pt idx="1">
                  <c:v>Olomoucký kraj</c:v>
                </c:pt>
                <c:pt idx="2">
                  <c:v>Jihomoravský kraj</c:v>
                </c:pt>
                <c:pt idx="3">
                  <c:v>ČR CELKEM</c:v>
                </c:pt>
                <c:pt idx="4">
                  <c:v>Zlínský kraj</c:v>
                </c:pt>
                <c:pt idx="5">
                  <c:v>Moravskoslezský kraj</c:v>
                </c:pt>
                <c:pt idx="6">
                  <c:v>Pardubický kraj</c:v>
                </c:pt>
                <c:pt idx="7">
                  <c:v>Středočeský kraj</c:v>
                </c:pt>
                <c:pt idx="8">
                  <c:v>Kraj Vysočina</c:v>
                </c:pt>
                <c:pt idx="9">
                  <c:v>Ústecký kraj</c:v>
                </c:pt>
                <c:pt idx="10">
                  <c:v>Jihočeský kraj</c:v>
                </c:pt>
                <c:pt idx="11">
                  <c:v>Královéhradecký kraj</c:v>
                </c:pt>
                <c:pt idx="12">
                  <c:v>Karlovarský kraj</c:v>
                </c:pt>
                <c:pt idx="13">
                  <c:v>Plzeňský kraj</c:v>
                </c:pt>
                <c:pt idx="14">
                  <c:v>Liberecký kraj</c:v>
                </c:pt>
              </c:strCache>
            </c:strRef>
          </c:cat>
          <c:val>
            <c:numRef>
              <c:f>List9!$B$29:$B$43</c:f>
              <c:numCache>
                <c:formatCode>General</c:formatCode>
                <c:ptCount val="15"/>
                <c:pt idx="0">
                  <c:v>31.9080446579</c:v>
                </c:pt>
                <c:pt idx="1">
                  <c:v>37.5294139019</c:v>
                </c:pt>
                <c:pt idx="2">
                  <c:v>37.832419389199998</c:v>
                </c:pt>
                <c:pt idx="3">
                  <c:v>39.077914011099999</c:v>
                </c:pt>
                <c:pt idx="4">
                  <c:v>39.108838470899997</c:v>
                </c:pt>
                <c:pt idx="5">
                  <c:v>41.391164382200003</c:v>
                </c:pt>
                <c:pt idx="6">
                  <c:v>41.842019567100003</c:v>
                </c:pt>
                <c:pt idx="7">
                  <c:v>42.100619823999999</c:v>
                </c:pt>
                <c:pt idx="8">
                  <c:v>42.190121539400003</c:v>
                </c:pt>
                <c:pt idx="9">
                  <c:v>42.747987711599997</c:v>
                </c:pt>
                <c:pt idx="10">
                  <c:v>43.317070878599999</c:v>
                </c:pt>
                <c:pt idx="11">
                  <c:v>43.998459098700003</c:v>
                </c:pt>
                <c:pt idx="12">
                  <c:v>44.652047715199998</c:v>
                </c:pt>
                <c:pt idx="13">
                  <c:v>46.058663490699999</c:v>
                </c:pt>
                <c:pt idx="14">
                  <c:v>48.088452258799997</c:v>
                </c:pt>
              </c:numCache>
            </c:numRef>
          </c:val>
          <c:extLst>
            <c:ext xmlns:c16="http://schemas.microsoft.com/office/drawing/2014/chart" uri="{C3380CC4-5D6E-409C-BE32-E72D297353CC}">
              <c16:uniqueId val="{00000002-5F60-48B6-8AD8-BA2A4AAD6CAC}"/>
            </c:ext>
          </c:extLst>
        </c:ser>
        <c:dLbls>
          <c:showLegendKey val="0"/>
          <c:showVal val="0"/>
          <c:showCatName val="0"/>
          <c:showSerName val="0"/>
          <c:showPercent val="0"/>
          <c:showBubbleSize val="0"/>
        </c:dLbls>
        <c:gapWidth val="182"/>
        <c:axId val="33109264"/>
        <c:axId val="33106352"/>
      </c:barChart>
      <c:catAx>
        <c:axId val="33109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3106352"/>
        <c:crosses val="autoZero"/>
        <c:auto val="1"/>
        <c:lblAlgn val="ctr"/>
        <c:lblOffset val="100"/>
        <c:noMultiLvlLbl val="0"/>
      </c:catAx>
      <c:valAx>
        <c:axId val="33106352"/>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310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'místo G2.5'!$H$19</c:f>
              <c:strCache>
                <c:ptCount val="1"/>
                <c:pt idx="0">
                  <c:v> muži</c:v>
                </c:pt>
              </c:strCache>
            </c:strRef>
          </c:tx>
          <c:spPr>
            <a:solidFill>
              <a:srgbClr val="813533"/>
            </a:solidFill>
            <a:ln>
              <a:noFill/>
            </a:ln>
            <a:effectLst/>
          </c:spPr>
          <c:invertIfNegative val="0"/>
          <c:cat>
            <c:numRef>
              <c:f>'místo G2.5'!$A$20:$A$30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'místo G2.5'!$H$20:$H$30</c:f>
              <c:numCache>
                <c:formatCode>General</c:formatCode>
                <c:ptCount val="11"/>
                <c:pt idx="0">
                  <c:v>37.126853377265242</c:v>
                </c:pt>
                <c:pt idx="1">
                  <c:v>43.60636612415383</c:v>
                </c:pt>
                <c:pt idx="2">
                  <c:v>43.579274933872718</c:v>
                </c:pt>
                <c:pt idx="3">
                  <c:v>42.961328705999009</c:v>
                </c:pt>
                <c:pt idx="4">
                  <c:v>44.113525349503114</c:v>
                </c:pt>
                <c:pt idx="5">
                  <c:v>42.34424945158257</c:v>
                </c:pt>
                <c:pt idx="6">
                  <c:v>43.420611049548832</c:v>
                </c:pt>
                <c:pt idx="7">
                  <c:v>40.533120510774147</c:v>
                </c:pt>
                <c:pt idx="8">
                  <c:v>40.650554776176506</c:v>
                </c:pt>
                <c:pt idx="9">
                  <c:v>40.62529158993248</c:v>
                </c:pt>
                <c:pt idx="10">
                  <c:v>40.289645469571241</c:v>
                </c:pt>
              </c:numCache>
            </c:numRef>
          </c:val>
          <c:extLst>
            <c:ext xmlns:c16="http://schemas.microsoft.com/office/drawing/2014/chart" uri="{C3380CC4-5D6E-409C-BE32-E72D297353CC}">
              <c16:uniqueId val="{00000000-6694-4BED-B807-9BA3B2269E5C}"/>
            </c:ext>
          </c:extLst>
        </c:ser>
        <c:ser>
          <c:idx val="1"/>
          <c:order val="1"/>
          <c:tx>
            <c:strRef>
              <c:f>'místo G2.5'!$I$19</c:f>
              <c:strCache>
                <c:ptCount val="1"/>
                <c:pt idx="0">
                  <c:v> ženy</c:v>
                </c:pt>
              </c:strCache>
            </c:strRef>
          </c:tx>
          <c:spPr>
            <a:solidFill>
              <a:srgbClr val="D28684"/>
            </a:solidFill>
            <a:ln>
              <a:noFill/>
            </a:ln>
            <a:effectLst/>
          </c:spPr>
          <c:invertIfNegative val="0"/>
          <c:cat>
            <c:numRef>
              <c:f>'místo G2.5'!$A$20:$A$30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'místo G2.5'!$I$20:$I$30</c:f>
              <c:numCache>
                <c:formatCode>General</c:formatCode>
                <c:ptCount val="11"/>
                <c:pt idx="0">
                  <c:v>40.906659582004956</c:v>
                </c:pt>
                <c:pt idx="1">
                  <c:v>46.413410064239827</c:v>
                </c:pt>
                <c:pt idx="2">
                  <c:v>45.734388742304304</c:v>
                </c:pt>
                <c:pt idx="3">
                  <c:v>45.092813017929785</c:v>
                </c:pt>
                <c:pt idx="4">
                  <c:v>47.856443461781417</c:v>
                </c:pt>
                <c:pt idx="5">
                  <c:v>45.525169479301894</c:v>
                </c:pt>
                <c:pt idx="6">
                  <c:v>48.025325720977889</c:v>
                </c:pt>
                <c:pt idx="7">
                  <c:v>44.77590242700505</c:v>
                </c:pt>
                <c:pt idx="8">
                  <c:v>45.187566231013783</c:v>
                </c:pt>
                <c:pt idx="9">
                  <c:v>44.331690929451291</c:v>
                </c:pt>
                <c:pt idx="10">
                  <c:v>43.000647046759639</c:v>
                </c:pt>
              </c:numCache>
            </c:numRef>
          </c:val>
          <c:extLst>
            <c:ext xmlns:c16="http://schemas.microsoft.com/office/drawing/2014/chart" uri="{C3380CC4-5D6E-409C-BE32-E72D297353CC}">
              <c16:uniqueId val="{00000001-6694-4BED-B807-9BA3B2269E5C}"/>
            </c:ext>
          </c:extLst>
        </c:ser>
        <c:dLbls>
          <c:showLegendKey val="0"/>
          <c:showVal val="0"/>
          <c:showCatName val="0"/>
          <c:showSerName val="0"/>
          <c:showPercent val="0"/>
          <c:showBubbleSize val="0"/>
        </c:dLbls>
        <c:gapWidth val="129"/>
        <c:overlap val="-27"/>
        <c:axId val="1268017440"/>
        <c:axId val="1322613488"/>
      </c:barChart>
      <c:catAx>
        <c:axId val="126801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322613488"/>
        <c:crosses val="autoZero"/>
        <c:auto val="1"/>
        <c:lblAlgn val="ctr"/>
        <c:lblOffset val="100"/>
        <c:noMultiLvlLbl val="0"/>
      </c:catAx>
      <c:valAx>
        <c:axId val="132261348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počet dní</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26801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List15!$A$3</c:f>
              <c:strCache>
                <c:ptCount val="1"/>
                <c:pt idx="0">
                  <c:v> nově hlášené případy DPN na 100 pojištěnců</c:v>
                </c:pt>
              </c:strCache>
            </c:strRef>
          </c:tx>
          <c:spPr>
            <a:solidFill>
              <a:srgbClr val="813532"/>
            </a:solidFill>
            <a:ln>
              <a:noFill/>
            </a:ln>
            <a:effectLst/>
          </c:spPr>
          <c:invertIfNegative val="0"/>
          <c:cat>
            <c:numRef>
              <c:f>List15!$B$2:$M$2</c:f>
              <c:numCache>
                <c:formatCode>0</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List15!$B$3:$M$3</c:f>
              <c:numCache>
                <c:formatCode>0.00</c:formatCode>
                <c:ptCount val="11"/>
                <c:pt idx="0">
                  <c:v>48.59</c:v>
                </c:pt>
                <c:pt idx="1">
                  <c:v>33.89</c:v>
                </c:pt>
                <c:pt idx="2">
                  <c:v>30.73</c:v>
                </c:pt>
                <c:pt idx="3">
                  <c:v>30.13</c:v>
                </c:pt>
                <c:pt idx="4">
                  <c:v>27.44</c:v>
                </c:pt>
                <c:pt idx="5">
                  <c:v>29.99</c:v>
                </c:pt>
                <c:pt idx="6">
                  <c:v>29.45</c:v>
                </c:pt>
                <c:pt idx="7">
                  <c:v>34.69</c:v>
                </c:pt>
                <c:pt idx="8">
                  <c:v>35.730455382800002</c:v>
                </c:pt>
                <c:pt idx="9">
                  <c:v>36.549162129999999</c:v>
                </c:pt>
                <c:pt idx="10">
                  <c:v>39.077914011099999</c:v>
                </c:pt>
              </c:numCache>
            </c:numRef>
          </c:val>
          <c:extLst>
            <c:ext xmlns:c16="http://schemas.microsoft.com/office/drawing/2014/chart" uri="{C3380CC4-5D6E-409C-BE32-E72D297353CC}">
              <c16:uniqueId val="{00000000-9C30-4EBA-B24E-8C94632553DE}"/>
            </c:ext>
          </c:extLst>
        </c:ser>
        <c:dLbls>
          <c:showLegendKey val="0"/>
          <c:showVal val="0"/>
          <c:showCatName val="0"/>
          <c:showSerName val="0"/>
          <c:showPercent val="0"/>
          <c:showBubbleSize val="0"/>
        </c:dLbls>
        <c:gapWidth val="115"/>
        <c:overlap val="-27"/>
        <c:axId val="1102684848"/>
        <c:axId val="1102684432"/>
      </c:barChart>
      <c:lineChart>
        <c:grouping val="standard"/>
        <c:varyColors val="0"/>
        <c:ser>
          <c:idx val="1"/>
          <c:order val="1"/>
          <c:tx>
            <c:strRef>
              <c:f>List15!$A$4</c:f>
              <c:strCache>
                <c:ptCount val="1"/>
                <c:pt idx="0">
                  <c:v> průměrná délka trvání 1 případu DPN </c:v>
                </c:pt>
              </c:strCache>
            </c:strRef>
          </c:tx>
          <c:spPr>
            <a:ln w="28575" cap="rnd">
              <a:solidFill>
                <a:srgbClr val="D28684"/>
              </a:solidFill>
              <a:round/>
            </a:ln>
            <a:effectLst/>
          </c:spPr>
          <c:marker>
            <c:symbol val="none"/>
          </c:marker>
          <c:cat>
            <c:numRef>
              <c:f>List15!$B$2:$M$2</c:f>
              <c:numCache>
                <c:formatCode>0</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List15!$B$4:$M$4</c:f>
              <c:numCache>
                <c:formatCode>0.00</c:formatCode>
                <c:ptCount val="11"/>
                <c:pt idx="0">
                  <c:v>39.049999999999997</c:v>
                </c:pt>
                <c:pt idx="1">
                  <c:v>45.06</c:v>
                </c:pt>
                <c:pt idx="2">
                  <c:v>44.69</c:v>
                </c:pt>
                <c:pt idx="3">
                  <c:v>44.08</c:v>
                </c:pt>
                <c:pt idx="4">
                  <c:v>46.05</c:v>
                </c:pt>
                <c:pt idx="5">
                  <c:v>44</c:v>
                </c:pt>
                <c:pt idx="6">
                  <c:v>45.81</c:v>
                </c:pt>
                <c:pt idx="7">
                  <c:v>42.74</c:v>
                </c:pt>
                <c:pt idx="8">
                  <c:v>43.011019084700003</c:v>
                </c:pt>
                <c:pt idx="9">
                  <c:v>42.56</c:v>
                </c:pt>
                <c:pt idx="10">
                  <c:v>41.719130771000003</c:v>
                </c:pt>
              </c:numCache>
            </c:numRef>
          </c:val>
          <c:smooth val="0"/>
          <c:extLst>
            <c:ext xmlns:c16="http://schemas.microsoft.com/office/drawing/2014/chart" uri="{C3380CC4-5D6E-409C-BE32-E72D297353CC}">
              <c16:uniqueId val="{00000001-9C30-4EBA-B24E-8C94632553DE}"/>
            </c:ext>
          </c:extLst>
        </c:ser>
        <c:dLbls>
          <c:showLegendKey val="0"/>
          <c:showVal val="0"/>
          <c:showCatName val="0"/>
          <c:showSerName val="0"/>
          <c:showPercent val="0"/>
          <c:showBubbleSize val="0"/>
        </c:dLbls>
        <c:marker val="1"/>
        <c:smooth val="0"/>
        <c:axId val="1043519744"/>
        <c:axId val="1043519328"/>
      </c:lineChart>
      <c:catAx>
        <c:axId val="110268484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02684432"/>
        <c:crosses val="autoZero"/>
        <c:auto val="1"/>
        <c:lblAlgn val="ctr"/>
        <c:lblOffset val="100"/>
        <c:noMultiLvlLbl val="0"/>
      </c:catAx>
      <c:valAx>
        <c:axId val="1102684432"/>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02684848"/>
        <c:crosses val="autoZero"/>
        <c:crossBetween val="between"/>
      </c:valAx>
      <c:valAx>
        <c:axId val="1043519328"/>
        <c:scaling>
          <c:orientation val="minMax"/>
          <c:max val="50"/>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43519744"/>
        <c:crosses val="max"/>
        <c:crossBetween val="between"/>
      </c:valAx>
      <c:catAx>
        <c:axId val="1043519744"/>
        <c:scaling>
          <c:orientation val="minMax"/>
        </c:scaling>
        <c:delete val="1"/>
        <c:axPos val="b"/>
        <c:numFmt formatCode="0" sourceLinked="1"/>
        <c:majorTickMark val="out"/>
        <c:minorTickMark val="none"/>
        <c:tickLblPos val="nextTo"/>
        <c:crossAx val="1043519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39640646245231"/>
          <c:y val="5.0925925925925923E-2"/>
          <c:w val="0.46936721268273168"/>
          <c:h val="0.8416746864975212"/>
        </c:manualLayout>
      </c:layout>
      <c:barChart>
        <c:barDir val="bar"/>
        <c:grouping val="clustered"/>
        <c:varyColors val="0"/>
        <c:ser>
          <c:idx val="0"/>
          <c:order val="0"/>
          <c:tx>
            <c:strRef>
              <c:f>List16!$B$2</c:f>
              <c:strCache>
                <c:ptCount val="1"/>
                <c:pt idx="0">
                  <c:v>Počet kalendářních dnů pracovní neschopnosti na 1 nově hlášený případ</c:v>
                </c:pt>
              </c:strCache>
            </c:strRef>
          </c:tx>
          <c:spPr>
            <a:solidFill>
              <a:srgbClr val="D28684"/>
            </a:solidFill>
            <a:ln>
              <a:noFill/>
            </a:ln>
            <a:effectLst/>
          </c:spPr>
          <c:invertIfNegative val="0"/>
          <c:dPt>
            <c:idx val="9"/>
            <c:invertIfNegative val="0"/>
            <c:bubble3D val="0"/>
            <c:spPr>
              <a:solidFill>
                <a:srgbClr val="B44946"/>
              </a:solidFill>
              <a:ln>
                <a:noFill/>
              </a:ln>
              <a:effectLst/>
            </c:spPr>
            <c:extLst>
              <c:ext xmlns:c16="http://schemas.microsoft.com/office/drawing/2014/chart" uri="{C3380CC4-5D6E-409C-BE32-E72D297353CC}">
                <c16:uniqueId val="{00000001-0B15-441F-95A6-DC79ADF73F4E}"/>
              </c:ext>
            </c:extLst>
          </c:dPt>
          <c:cat>
            <c:strRef>
              <c:f>List16!$A$3:$A$23</c:f>
              <c:strCache>
                <c:ptCount val="20"/>
                <c:pt idx="0">
                  <c:v>J – Informační a komunikační činnosti</c:v>
                </c:pt>
                <c:pt idx="1">
                  <c:v>P – Vzdělávání</c:v>
                </c:pt>
                <c:pt idx="2">
                  <c:v>K – Peněžnictví a pojišťovnictví</c:v>
                </c:pt>
                <c:pt idx="3">
                  <c:v>O – Veřejná správa a obrana; povinné sociální zabezpečení</c:v>
                </c:pt>
                <c:pt idx="4">
                  <c:v>D – Výroba a rozvod elektřiny, plynu, tepla a klimatiz. vzduchu</c:v>
                </c:pt>
                <c:pt idx="5">
                  <c:v>M – Profesní, vědecké a technické činnosti</c:v>
                </c:pt>
                <c:pt idx="6">
                  <c:v>N – Administrativní a podpůrné činnosti</c:v>
                </c:pt>
                <c:pt idx="7">
                  <c:v>R – Kulturní, zábavní a rekreační činnosti</c:v>
                </c:pt>
                <c:pt idx="8">
                  <c:v>C – Zpracovatelský průmysl</c:v>
                </c:pt>
                <c:pt idx="9">
                  <c:v>CELKEM</c:v>
                </c:pt>
                <c:pt idx="10">
                  <c:v>E – Zásobování vodou; činnosti související s odpady a sanacemi</c:v>
                </c:pt>
                <c:pt idx="11">
                  <c:v>H – Doprava a skladování</c:v>
                </c:pt>
                <c:pt idx="12">
                  <c:v>G – Velkoobchod a maloobchod; opravy a údržba motor. vozidel</c:v>
                </c:pt>
                <c:pt idx="13">
                  <c:v>S – Ostatní činnosti</c:v>
                </c:pt>
                <c:pt idx="14">
                  <c:v>Q – Zdravotní a sociální péče</c:v>
                </c:pt>
                <c:pt idx="15">
                  <c:v>B – Těžba a dobývání</c:v>
                </c:pt>
                <c:pt idx="16">
                  <c:v>L – Činnosti v oblasti nemovitostí</c:v>
                </c:pt>
                <c:pt idx="17">
                  <c:v>F – Stavebnictví</c:v>
                </c:pt>
                <c:pt idx="18">
                  <c:v>I – Ubytování, stravování a pohostinství</c:v>
                </c:pt>
                <c:pt idx="19">
                  <c:v>A – Zemědělství, lesnictví, rybářství</c:v>
                </c:pt>
              </c:strCache>
            </c:strRef>
          </c:cat>
          <c:val>
            <c:numRef>
              <c:f>List16!$B$3:$B$23</c:f>
              <c:numCache>
                <c:formatCode>General</c:formatCode>
                <c:ptCount val="20"/>
                <c:pt idx="0">
                  <c:v>26.444699156599999</c:v>
                </c:pt>
                <c:pt idx="1">
                  <c:v>30.535358722200002</c:v>
                </c:pt>
                <c:pt idx="2">
                  <c:v>31.837648060100001</c:v>
                </c:pt>
                <c:pt idx="3">
                  <c:v>34.936790714200001</c:v>
                </c:pt>
                <c:pt idx="4">
                  <c:v>36.909299339699999</c:v>
                </c:pt>
                <c:pt idx="5">
                  <c:v>39.582855913800003</c:v>
                </c:pt>
                <c:pt idx="6">
                  <c:v>40.449102331900001</c:v>
                </c:pt>
                <c:pt idx="7">
                  <c:v>41.144231845100002</c:v>
                </c:pt>
                <c:pt idx="8">
                  <c:v>41.1838519832</c:v>
                </c:pt>
                <c:pt idx="9">
                  <c:v>41.719130771000003</c:v>
                </c:pt>
                <c:pt idx="10">
                  <c:v>44.014401554199999</c:v>
                </c:pt>
                <c:pt idx="11">
                  <c:v>44.185507989400001</c:v>
                </c:pt>
                <c:pt idx="12">
                  <c:v>44.197284217099998</c:v>
                </c:pt>
                <c:pt idx="13">
                  <c:v>45.829313720800002</c:v>
                </c:pt>
                <c:pt idx="14">
                  <c:v>45.978858041000002</c:v>
                </c:pt>
                <c:pt idx="15">
                  <c:v>47.869506941099999</c:v>
                </c:pt>
                <c:pt idx="16">
                  <c:v>51.117314431300002</c:v>
                </c:pt>
                <c:pt idx="17">
                  <c:v>52.141553762999997</c:v>
                </c:pt>
                <c:pt idx="18">
                  <c:v>53.774624298399999</c:v>
                </c:pt>
                <c:pt idx="19">
                  <c:v>55.9241004645</c:v>
                </c:pt>
              </c:numCache>
            </c:numRef>
          </c:val>
          <c:extLst>
            <c:ext xmlns:c16="http://schemas.microsoft.com/office/drawing/2014/chart" uri="{C3380CC4-5D6E-409C-BE32-E72D297353CC}">
              <c16:uniqueId val="{00000002-0B15-441F-95A6-DC79ADF73F4E}"/>
            </c:ext>
          </c:extLst>
        </c:ser>
        <c:dLbls>
          <c:showLegendKey val="0"/>
          <c:showVal val="0"/>
          <c:showCatName val="0"/>
          <c:showSerName val="0"/>
          <c:showPercent val="0"/>
          <c:showBubbleSize val="0"/>
        </c:dLbls>
        <c:gapWidth val="182"/>
        <c:axId val="1109651120"/>
        <c:axId val="1109650288"/>
      </c:barChart>
      <c:catAx>
        <c:axId val="110965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09650288"/>
        <c:crosses val="autoZero"/>
        <c:auto val="1"/>
        <c:lblAlgn val="ctr"/>
        <c:lblOffset val="100"/>
        <c:noMultiLvlLbl val="0"/>
      </c:catAx>
      <c:valAx>
        <c:axId val="1109650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0965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0.37785</cdr:x>
      <cdr:y>0.44444</cdr:y>
    </cdr:from>
    <cdr:to>
      <cdr:x>0.64495</cdr:x>
      <cdr:y>0.55556</cdr:y>
    </cdr:to>
    <cdr:sp macro="" textlink="">
      <cdr:nvSpPr>
        <cdr:cNvPr id="2" name="Textové pole 1"/>
        <cdr:cNvSpPr txBox="1"/>
      </cdr:nvSpPr>
      <cdr:spPr>
        <a:xfrm xmlns:a="http://schemas.openxmlformats.org/drawingml/2006/main">
          <a:off x="1104900" y="1143000"/>
          <a:ext cx="781049"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50" b="1">
              <a:latin typeface="Arial" panose="020B0604020202020204" pitchFamily="34" charset="0"/>
              <a:cs typeface="Arial" panose="020B0604020202020204" pitchFamily="34" charset="0"/>
            </a:rPr>
            <a:t>874,3 tis.</a:t>
          </a:r>
        </a:p>
      </cdr:txBody>
    </cdr:sp>
  </cdr:relSizeAnchor>
</c:userShapes>
</file>

<file path=word/drawings/drawing2.xml><?xml version="1.0" encoding="utf-8"?>
<c:userShapes xmlns:c="http://schemas.openxmlformats.org/drawingml/2006/chart">
  <cdr:relSizeAnchor xmlns:cdr="http://schemas.openxmlformats.org/drawingml/2006/chartDrawing">
    <cdr:from>
      <cdr:x>0.38022</cdr:x>
      <cdr:y>0.46049</cdr:y>
    </cdr:from>
    <cdr:to>
      <cdr:x>0.63099</cdr:x>
      <cdr:y>0.5716</cdr:y>
    </cdr:to>
    <cdr:sp macro="" textlink="">
      <cdr:nvSpPr>
        <cdr:cNvPr id="2" name="Textové pole 1"/>
        <cdr:cNvSpPr txBox="1"/>
      </cdr:nvSpPr>
      <cdr:spPr>
        <a:xfrm xmlns:a="http://schemas.openxmlformats.org/drawingml/2006/main">
          <a:off x="1184275" y="1184275"/>
          <a:ext cx="781049"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1050" b="1">
              <a:latin typeface="Arial" panose="020B0604020202020204" pitchFamily="34" charset="0"/>
              <a:cs typeface="Arial" panose="020B0604020202020204" pitchFamily="34" charset="0"/>
            </a:rPr>
            <a:t>975,2 tis.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4820D-51F7-440D-AC9C-CDBAE7EC9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0</TotalTime>
  <Pages>56</Pages>
  <Words>18858</Words>
  <Characters>111265</Characters>
  <Application>Microsoft Office Word</Application>
  <DocSecurity>0</DocSecurity>
  <Lines>927</Lines>
  <Paragraphs>259</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Company>CSU</Company>
  <LinksUpToDate>false</LinksUpToDate>
  <CharactersWithSpaces>129864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Kostkova</dc:creator>
  <cp:lastModifiedBy>hykysova23070</cp:lastModifiedBy>
  <cp:revision>2</cp:revision>
  <cp:lastPrinted>2020-05-13T12:56:00Z</cp:lastPrinted>
  <dcterms:created xsi:type="dcterms:W3CDTF">2020-05-13T12:59:00Z</dcterms:created>
  <dcterms:modified xsi:type="dcterms:W3CDTF">2020-05-13T12:59:00Z</dcterms:modified>
</cp:coreProperties>
</file>