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FA674A" w:rsidP="00EE0608">
      <w:pPr>
        <w:pStyle w:val="datum0"/>
        <w:rPr>
          <w:lang w:val="en-GB"/>
        </w:rPr>
      </w:pPr>
      <w:r>
        <w:rPr>
          <w:lang w:val="en-GB"/>
        </w:rPr>
        <w:t>1</w:t>
      </w:r>
      <w:r w:rsidR="005E779F">
        <w:rPr>
          <w:lang w:val="en-GB"/>
        </w:rPr>
        <w:t>0</w:t>
      </w:r>
      <w:r w:rsidR="00EE0608">
        <w:rPr>
          <w:lang w:val="en-GB"/>
        </w:rPr>
        <w:t xml:space="preserve"> </w:t>
      </w:r>
      <w:r w:rsidR="00F108F9">
        <w:rPr>
          <w:lang w:val="en-GB"/>
        </w:rPr>
        <w:t>January</w:t>
      </w:r>
      <w:r w:rsidR="00EE0608">
        <w:rPr>
          <w:lang w:val="en-GB"/>
        </w:rPr>
        <w:t xml:space="preserve"> </w:t>
      </w:r>
      <w:r w:rsidR="00EE0608" w:rsidRPr="00F4523A">
        <w:rPr>
          <w:lang w:val="en-GB"/>
        </w:rPr>
        <w:t>201</w:t>
      </w:r>
      <w:r w:rsidR="005E779F">
        <w:rPr>
          <w:lang w:val="en-GB"/>
        </w:rPr>
        <w:t>7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F108F9">
        <w:t>4</w:t>
      </w:r>
      <w:r w:rsidRPr="00F90E31">
        <w:t xml:space="preserve"> </w:t>
      </w:r>
      <w:r w:rsidR="00F108F9">
        <w:t>and in the year 201</w:t>
      </w:r>
      <w:r w:rsidR="005E779F">
        <w:t>6</w:t>
      </w:r>
    </w:p>
    <w:p w:rsidR="00D47BE8" w:rsidRDefault="00EE0608" w:rsidP="00A53347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total c</w:t>
      </w:r>
      <w:r w:rsidRPr="00F4523A">
        <w:rPr>
          <w:rFonts w:ascii="Arial" w:hAnsi="Arial" w:cs="Arial"/>
          <w:bCs w:val="0"/>
          <w:sz w:val="20"/>
          <w:szCs w:val="20"/>
        </w:rPr>
        <w:t>onsumer price</w:t>
      </w:r>
      <w:r>
        <w:rPr>
          <w:rFonts w:ascii="Arial" w:hAnsi="Arial" w:cs="Arial"/>
          <w:bCs w:val="0"/>
          <w:sz w:val="20"/>
          <w:szCs w:val="20"/>
        </w:rPr>
        <w:t xml:space="preserve"> level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  <w:r w:rsidR="005E779F" w:rsidRPr="00682525">
        <w:rPr>
          <w:rFonts w:ascii="Arial" w:hAnsi="Arial" w:cs="Arial"/>
          <w:bCs w:val="0"/>
          <w:sz w:val="20"/>
          <w:szCs w:val="20"/>
        </w:rPr>
        <w:t>in</w:t>
      </w:r>
      <w:r w:rsidRPr="007111A7">
        <w:rPr>
          <w:rFonts w:ascii="Arial" w:hAnsi="Arial" w:cs="Arial"/>
          <w:bCs w:val="0"/>
          <w:sz w:val="20"/>
          <w:szCs w:val="20"/>
        </w:rPr>
        <w:t xml:space="preserve">creased </w:t>
      </w:r>
      <w:r w:rsidR="00682525">
        <w:rPr>
          <w:rFonts w:ascii="Arial" w:hAnsi="Arial" w:cs="Arial"/>
          <w:bCs w:val="0"/>
          <w:sz w:val="20"/>
          <w:szCs w:val="20"/>
        </w:rPr>
        <w:t xml:space="preserve">by </w:t>
      </w:r>
      <w:r w:rsidRPr="00682525">
        <w:rPr>
          <w:rFonts w:ascii="Arial" w:hAnsi="Arial" w:cs="Arial"/>
          <w:bCs w:val="0"/>
          <w:sz w:val="20"/>
          <w:szCs w:val="20"/>
        </w:rPr>
        <w:t>0.</w:t>
      </w:r>
      <w:r w:rsidR="00682525">
        <w:rPr>
          <w:rFonts w:ascii="Arial" w:hAnsi="Arial" w:cs="Arial"/>
          <w:bCs w:val="0"/>
          <w:sz w:val="20"/>
          <w:szCs w:val="20"/>
        </w:rPr>
        <w:t>4</w:t>
      </w:r>
      <w:r w:rsidRPr="00682525">
        <w:rPr>
          <w:rFonts w:ascii="Arial" w:hAnsi="Arial" w:cs="Arial"/>
          <w:bCs w:val="0"/>
          <w:sz w:val="20"/>
          <w:szCs w:val="20"/>
        </w:rPr>
        <w:t>%</w:t>
      </w:r>
      <w:r w:rsidRPr="00F4523A">
        <w:rPr>
          <w:rFonts w:ascii="Arial" w:hAnsi="Arial" w:cs="Arial"/>
          <w:bCs w:val="0"/>
          <w:sz w:val="20"/>
          <w:szCs w:val="20"/>
        </w:rPr>
        <w:t xml:space="preserve"> in Q</w:t>
      </w:r>
      <w:r w:rsidR="00637F08">
        <w:rPr>
          <w:rFonts w:ascii="Arial" w:hAnsi="Arial" w:cs="Arial"/>
          <w:bCs w:val="0"/>
          <w:sz w:val="20"/>
          <w:szCs w:val="20"/>
        </w:rPr>
        <w:t>4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5E779F">
        <w:rPr>
          <w:rFonts w:ascii="Arial" w:hAnsi="Arial" w:cs="Arial"/>
          <w:bCs w:val="0"/>
          <w:sz w:val="20"/>
          <w:szCs w:val="20"/>
        </w:rPr>
        <w:t>6</w:t>
      </w:r>
      <w:r w:rsidRPr="00F4523A">
        <w:rPr>
          <w:rFonts w:ascii="Arial" w:hAnsi="Arial" w:cs="Arial"/>
          <w:bCs w:val="0"/>
          <w:sz w:val="20"/>
          <w:szCs w:val="20"/>
        </w:rPr>
        <w:t xml:space="preserve"> compared with Q</w:t>
      </w:r>
      <w:r w:rsidR="00637F08">
        <w:rPr>
          <w:rFonts w:ascii="Arial" w:hAnsi="Arial" w:cs="Arial"/>
          <w:bCs w:val="0"/>
          <w:sz w:val="20"/>
          <w:szCs w:val="20"/>
        </w:rPr>
        <w:t>3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5E779F">
        <w:rPr>
          <w:rFonts w:ascii="Arial" w:hAnsi="Arial" w:cs="Arial"/>
          <w:bCs w:val="0"/>
          <w:sz w:val="20"/>
          <w:szCs w:val="20"/>
        </w:rPr>
        <w:t>6</w:t>
      </w:r>
      <w:r w:rsidRPr="00F4523A">
        <w:rPr>
          <w:rFonts w:ascii="Arial" w:hAnsi="Arial" w:cs="Arial"/>
          <w:bCs w:val="0"/>
          <w:sz w:val="20"/>
          <w:szCs w:val="20"/>
        </w:rPr>
        <w:t xml:space="preserve">. </w:t>
      </w:r>
      <w:r>
        <w:rPr>
          <w:rFonts w:ascii="Arial" w:hAnsi="Arial" w:cs="Arial"/>
          <w:bCs w:val="0"/>
          <w:sz w:val="20"/>
          <w:szCs w:val="20"/>
        </w:rPr>
        <w:t xml:space="preserve">Consumer </w:t>
      </w:r>
      <w:r w:rsidRPr="00C369CC">
        <w:rPr>
          <w:rFonts w:ascii="Arial" w:hAnsi="Arial" w:cs="Arial"/>
          <w:bCs w:val="0"/>
          <w:sz w:val="20"/>
          <w:szCs w:val="20"/>
        </w:rPr>
        <w:t xml:space="preserve">prices </w:t>
      </w:r>
      <w:r w:rsidRPr="007111A7">
        <w:rPr>
          <w:rFonts w:ascii="Arial" w:hAnsi="Arial" w:cs="Arial"/>
          <w:bCs w:val="0"/>
          <w:sz w:val="20"/>
          <w:szCs w:val="20"/>
        </w:rPr>
        <w:t xml:space="preserve">rose by </w:t>
      </w:r>
      <w:r w:rsidR="00087950">
        <w:rPr>
          <w:rFonts w:ascii="Arial" w:hAnsi="Arial" w:cs="Arial"/>
          <w:bCs w:val="0"/>
          <w:sz w:val="20"/>
          <w:szCs w:val="20"/>
        </w:rPr>
        <w:t>1</w:t>
      </w:r>
      <w:r w:rsidRPr="00087950">
        <w:rPr>
          <w:rFonts w:ascii="Arial" w:hAnsi="Arial" w:cs="Arial"/>
          <w:bCs w:val="0"/>
          <w:sz w:val="20"/>
          <w:szCs w:val="20"/>
        </w:rPr>
        <w:t>.</w:t>
      </w:r>
      <w:r w:rsidR="00087950" w:rsidRPr="00087950">
        <w:rPr>
          <w:rFonts w:ascii="Arial" w:hAnsi="Arial" w:cs="Arial"/>
          <w:bCs w:val="0"/>
          <w:sz w:val="20"/>
          <w:szCs w:val="20"/>
        </w:rPr>
        <w:t>4</w:t>
      </w:r>
      <w:r w:rsidRPr="00087950">
        <w:rPr>
          <w:rFonts w:ascii="Arial" w:hAnsi="Arial" w:cs="Arial"/>
          <w:bCs w:val="0"/>
          <w:sz w:val="20"/>
          <w:szCs w:val="20"/>
        </w:rPr>
        <w:t>%</w:t>
      </w:r>
      <w:r w:rsidRPr="00C369CC">
        <w:rPr>
          <w:rFonts w:ascii="Arial" w:hAnsi="Arial" w:cs="Arial"/>
          <w:bCs w:val="0"/>
          <w:sz w:val="20"/>
          <w:szCs w:val="20"/>
        </w:rPr>
        <w:t xml:space="preserve"> in Q</w:t>
      </w:r>
      <w:r w:rsidR="00637F08">
        <w:rPr>
          <w:rFonts w:ascii="Arial" w:hAnsi="Arial" w:cs="Arial"/>
          <w:bCs w:val="0"/>
          <w:sz w:val="20"/>
          <w:szCs w:val="20"/>
        </w:rPr>
        <w:t>4</w:t>
      </w:r>
      <w:r w:rsidRPr="00C369CC">
        <w:rPr>
          <w:rFonts w:ascii="Arial" w:hAnsi="Arial" w:cs="Arial"/>
          <w:bCs w:val="0"/>
          <w:sz w:val="20"/>
          <w:szCs w:val="20"/>
        </w:rPr>
        <w:t xml:space="preserve"> 201</w:t>
      </w:r>
      <w:r w:rsidR="005E779F">
        <w:rPr>
          <w:rFonts w:ascii="Arial" w:hAnsi="Arial" w:cs="Arial"/>
          <w:bCs w:val="0"/>
          <w:sz w:val="20"/>
          <w:szCs w:val="20"/>
        </w:rPr>
        <w:t>6</w:t>
      </w:r>
      <w:r w:rsidRPr="00C369CC">
        <w:rPr>
          <w:rFonts w:ascii="Arial" w:hAnsi="Arial" w:cs="Arial"/>
          <w:bCs w:val="0"/>
          <w:sz w:val="20"/>
          <w:szCs w:val="20"/>
        </w:rPr>
        <w:t xml:space="preserve">, year-on-year, which </w:t>
      </w:r>
      <w:r w:rsidRPr="00087950">
        <w:rPr>
          <w:rFonts w:ascii="Arial" w:hAnsi="Arial" w:cs="Arial"/>
          <w:bCs w:val="0"/>
          <w:sz w:val="20"/>
          <w:szCs w:val="20"/>
        </w:rPr>
        <w:t xml:space="preserve">was </w:t>
      </w:r>
      <w:r w:rsidR="001E5979" w:rsidRPr="00087950">
        <w:rPr>
          <w:rFonts w:ascii="Arial" w:hAnsi="Arial" w:cs="Arial"/>
          <w:bCs w:val="0"/>
          <w:sz w:val="20"/>
          <w:szCs w:val="20"/>
        </w:rPr>
        <w:t>0.</w:t>
      </w:r>
      <w:r w:rsidR="00087950" w:rsidRPr="00087950">
        <w:rPr>
          <w:rFonts w:ascii="Arial" w:hAnsi="Arial" w:cs="Arial"/>
          <w:bCs w:val="0"/>
          <w:sz w:val="20"/>
          <w:szCs w:val="20"/>
        </w:rPr>
        <w:t>9</w:t>
      </w:r>
      <w:r w:rsidR="001E5979" w:rsidRPr="00087950">
        <w:rPr>
          <w:rFonts w:ascii="Arial" w:hAnsi="Arial" w:cs="Arial"/>
          <w:bCs w:val="0"/>
          <w:sz w:val="20"/>
          <w:szCs w:val="20"/>
        </w:rPr>
        <w:t xml:space="preserve"> percentage point</w:t>
      </w:r>
      <w:r w:rsidR="000B4C28" w:rsidRPr="00087950">
        <w:rPr>
          <w:rFonts w:ascii="Arial" w:hAnsi="Arial" w:cs="Arial"/>
          <w:bCs w:val="0"/>
          <w:sz w:val="20"/>
          <w:szCs w:val="20"/>
        </w:rPr>
        <w:t>s</w:t>
      </w:r>
      <w:r w:rsidR="001E5979" w:rsidRPr="00087950">
        <w:rPr>
          <w:rFonts w:ascii="Arial" w:hAnsi="Arial" w:cs="Arial"/>
          <w:bCs w:val="0"/>
          <w:sz w:val="20"/>
          <w:szCs w:val="20"/>
        </w:rPr>
        <w:t xml:space="preserve"> </w:t>
      </w:r>
      <w:r w:rsidR="005E779F" w:rsidRPr="00087950">
        <w:rPr>
          <w:rFonts w:ascii="Arial" w:hAnsi="Arial" w:cs="Arial"/>
          <w:bCs w:val="0"/>
          <w:sz w:val="20"/>
          <w:szCs w:val="20"/>
        </w:rPr>
        <w:t>up</w:t>
      </w:r>
      <w:r w:rsidR="001E5979" w:rsidRPr="00087950">
        <w:rPr>
          <w:rFonts w:ascii="Arial" w:hAnsi="Arial" w:cs="Arial"/>
          <w:bCs w:val="0"/>
          <w:sz w:val="20"/>
          <w:szCs w:val="20"/>
        </w:rPr>
        <w:t xml:space="preserve"> on</w:t>
      </w:r>
      <w:r w:rsidR="00F73962" w:rsidRPr="00087950">
        <w:rPr>
          <w:rFonts w:ascii="Arial" w:hAnsi="Arial" w:cs="Arial"/>
          <w:bCs w:val="0"/>
          <w:sz w:val="20"/>
          <w:szCs w:val="20"/>
        </w:rPr>
        <w:t xml:space="preserve"> </w:t>
      </w:r>
      <w:r w:rsidRPr="00087950">
        <w:rPr>
          <w:rFonts w:ascii="Arial" w:hAnsi="Arial" w:cs="Arial"/>
          <w:bCs w:val="0"/>
          <w:sz w:val="20"/>
          <w:szCs w:val="20"/>
        </w:rPr>
        <w:t>Q</w:t>
      </w:r>
      <w:r w:rsidR="00637F08" w:rsidRPr="00087950">
        <w:rPr>
          <w:rFonts w:ascii="Arial" w:hAnsi="Arial" w:cs="Arial"/>
          <w:bCs w:val="0"/>
          <w:sz w:val="20"/>
          <w:szCs w:val="20"/>
        </w:rPr>
        <w:t>3</w:t>
      </w:r>
      <w:r w:rsidR="000B4C28" w:rsidRPr="00087950">
        <w:rPr>
          <w:rFonts w:ascii="Arial" w:hAnsi="Arial" w:cs="Arial"/>
          <w:bCs w:val="0"/>
          <w:sz w:val="20"/>
          <w:szCs w:val="20"/>
        </w:rPr>
        <w:t xml:space="preserve"> 201</w:t>
      </w:r>
      <w:r w:rsidR="005E779F" w:rsidRPr="00087950">
        <w:rPr>
          <w:rFonts w:ascii="Arial" w:hAnsi="Arial" w:cs="Arial"/>
          <w:bCs w:val="0"/>
          <w:sz w:val="20"/>
          <w:szCs w:val="20"/>
        </w:rPr>
        <w:t>6</w:t>
      </w:r>
      <w:r w:rsidRPr="00087950">
        <w:rPr>
          <w:rFonts w:ascii="Arial" w:hAnsi="Arial" w:cs="Arial"/>
          <w:bCs w:val="0"/>
          <w:sz w:val="20"/>
          <w:szCs w:val="20"/>
        </w:rPr>
        <w:t>.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A53347" w:rsidRDefault="00A53347" w:rsidP="00A53347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  <w:szCs w:val="20"/>
        </w:rPr>
      </w:pPr>
    </w:p>
    <w:p w:rsidR="00E92E9E" w:rsidRDefault="00EE0608" w:rsidP="00AD502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12361B">
        <w:rPr>
          <w:rFonts w:ascii="Arial" w:hAnsi="Arial" w:cs="Arial"/>
          <w:b w:val="0"/>
          <w:sz w:val="20"/>
          <w:szCs w:val="20"/>
        </w:rPr>
        <w:t xml:space="preserve">The </w:t>
      </w:r>
      <w:r w:rsidRPr="0012361B">
        <w:rPr>
          <w:rFonts w:ascii="Arial" w:hAnsi="Arial" w:cs="Arial"/>
          <w:sz w:val="20"/>
          <w:szCs w:val="20"/>
        </w:rPr>
        <w:t>quarter-on-quarter</w:t>
      </w:r>
      <w:r w:rsidRPr="0012361B">
        <w:rPr>
          <w:rFonts w:ascii="Arial" w:hAnsi="Arial" w:cs="Arial"/>
          <w:b w:val="0"/>
          <w:sz w:val="20"/>
          <w:szCs w:val="20"/>
        </w:rPr>
        <w:t xml:space="preserve"> (q-o-q) </w:t>
      </w:r>
      <w:r w:rsidR="000B4C28" w:rsidRPr="0012361B">
        <w:rPr>
          <w:rFonts w:ascii="Arial" w:hAnsi="Arial" w:cs="Arial"/>
          <w:b w:val="0"/>
          <w:sz w:val="20"/>
          <w:szCs w:val="20"/>
        </w:rPr>
        <w:t xml:space="preserve">consumer </w:t>
      </w:r>
      <w:r w:rsidRPr="0012361B">
        <w:rPr>
          <w:rFonts w:ascii="Arial" w:hAnsi="Arial" w:cs="Arial"/>
          <w:b w:val="0"/>
          <w:sz w:val="20"/>
          <w:szCs w:val="20"/>
        </w:rPr>
        <w:t xml:space="preserve">price level </w:t>
      </w:r>
      <w:r w:rsidR="00496F3D">
        <w:rPr>
          <w:rFonts w:ascii="Arial" w:hAnsi="Arial" w:cs="Arial"/>
          <w:b w:val="0"/>
          <w:sz w:val="20"/>
          <w:szCs w:val="20"/>
        </w:rPr>
        <w:t>development</w:t>
      </w:r>
      <w:r w:rsidR="00DE03B3" w:rsidRPr="0012361B">
        <w:rPr>
          <w:rFonts w:ascii="Arial" w:hAnsi="Arial" w:cs="Arial"/>
          <w:b w:val="0"/>
          <w:sz w:val="20"/>
          <w:szCs w:val="20"/>
        </w:rPr>
        <w:t xml:space="preserve"> in Q4</w:t>
      </w:r>
      <w:r w:rsidRPr="0012361B">
        <w:rPr>
          <w:rFonts w:ascii="Arial" w:hAnsi="Arial" w:cs="Arial"/>
          <w:b w:val="0"/>
          <w:sz w:val="20"/>
          <w:szCs w:val="20"/>
        </w:rPr>
        <w:t xml:space="preserve"> </w:t>
      </w:r>
      <w:r w:rsidR="00AE0E87">
        <w:rPr>
          <w:rFonts w:ascii="Arial" w:hAnsi="Arial" w:cs="Arial"/>
          <w:b w:val="0"/>
          <w:sz w:val="20"/>
          <w:szCs w:val="20"/>
        </w:rPr>
        <w:t xml:space="preserve">2016 </w:t>
      </w:r>
      <w:r w:rsidR="001E5979" w:rsidRPr="0012361B">
        <w:rPr>
          <w:rFonts w:ascii="Arial" w:hAnsi="Arial" w:cs="Arial"/>
          <w:b w:val="0"/>
          <w:sz w:val="20"/>
          <w:szCs w:val="20"/>
        </w:rPr>
        <w:t xml:space="preserve">was </w:t>
      </w:r>
      <w:r w:rsidR="00573FDF" w:rsidRPr="0012361B">
        <w:rPr>
          <w:rFonts w:ascii="Arial" w:hAnsi="Arial" w:cs="Arial"/>
          <w:b w:val="0"/>
          <w:sz w:val="20"/>
          <w:szCs w:val="20"/>
        </w:rPr>
        <w:t xml:space="preserve">influenced </w:t>
      </w:r>
      <w:r w:rsidR="001B0998">
        <w:rPr>
          <w:rFonts w:ascii="Arial" w:hAnsi="Arial" w:cs="Arial"/>
          <w:b w:val="0"/>
          <w:sz w:val="20"/>
          <w:szCs w:val="20"/>
        </w:rPr>
        <w:t xml:space="preserve">mainly </w:t>
      </w:r>
      <w:r w:rsidR="00573FDF" w:rsidRPr="0012361B">
        <w:rPr>
          <w:rFonts w:ascii="Arial" w:hAnsi="Arial" w:cs="Arial"/>
          <w:b w:val="0"/>
          <w:sz w:val="20"/>
          <w:szCs w:val="20"/>
        </w:rPr>
        <w:t xml:space="preserve">by a price </w:t>
      </w:r>
      <w:r w:rsidR="005E779F" w:rsidRPr="0012361B">
        <w:rPr>
          <w:rFonts w:ascii="Arial" w:hAnsi="Arial" w:cs="Arial"/>
          <w:b w:val="0"/>
          <w:sz w:val="20"/>
          <w:szCs w:val="20"/>
        </w:rPr>
        <w:t>increase</w:t>
      </w:r>
      <w:r w:rsidR="001E5979" w:rsidRPr="0012361B">
        <w:rPr>
          <w:rFonts w:ascii="Arial" w:hAnsi="Arial" w:cs="Arial"/>
          <w:b w:val="0"/>
          <w:sz w:val="20"/>
          <w:szCs w:val="20"/>
        </w:rPr>
        <w:t xml:space="preserve"> </w:t>
      </w:r>
      <w:r w:rsidR="00156E79" w:rsidRPr="0012361B">
        <w:rPr>
          <w:rFonts w:ascii="Arial" w:hAnsi="Arial" w:cs="Arial"/>
          <w:b w:val="0"/>
          <w:sz w:val="20"/>
          <w:szCs w:val="20"/>
        </w:rPr>
        <w:t xml:space="preserve">in </w:t>
      </w:r>
      <w:r w:rsidR="0012361B" w:rsidRPr="0012361B">
        <w:rPr>
          <w:rFonts w:ascii="Arial" w:hAnsi="Arial" w:cs="Arial"/>
          <w:b w:val="0"/>
          <w:sz w:val="20"/>
        </w:rPr>
        <w:t>'</w:t>
      </w:r>
      <w:r w:rsidR="0012361B">
        <w:rPr>
          <w:rFonts w:ascii="Arial" w:hAnsi="Arial" w:cs="Arial"/>
          <w:b w:val="0"/>
          <w:sz w:val="20"/>
        </w:rPr>
        <w:t>clothing</w:t>
      </w:r>
      <w:r w:rsidR="0012361B" w:rsidRPr="0012361B">
        <w:rPr>
          <w:rFonts w:ascii="Arial" w:hAnsi="Arial" w:cs="Arial"/>
          <w:b w:val="0"/>
          <w:sz w:val="20"/>
        </w:rPr>
        <w:t xml:space="preserve"> and </w:t>
      </w:r>
      <w:r w:rsidR="0012361B">
        <w:rPr>
          <w:rFonts w:ascii="Arial" w:hAnsi="Arial" w:cs="Arial"/>
          <w:b w:val="0"/>
          <w:sz w:val="20"/>
        </w:rPr>
        <w:t>footwear</w:t>
      </w:r>
      <w:r w:rsidR="0012361B" w:rsidRPr="0012361B">
        <w:rPr>
          <w:rFonts w:ascii="Arial" w:hAnsi="Arial" w:cs="Arial"/>
          <w:b w:val="0"/>
          <w:sz w:val="20"/>
        </w:rPr>
        <w:t>'</w:t>
      </w:r>
      <w:r w:rsidR="0012361B">
        <w:rPr>
          <w:rFonts w:ascii="Arial" w:hAnsi="Arial" w:cs="Arial"/>
          <w:b w:val="0"/>
          <w:sz w:val="20"/>
        </w:rPr>
        <w:t xml:space="preserve">, </w:t>
      </w:r>
      <w:r w:rsidR="00156E79" w:rsidRPr="0012361B">
        <w:rPr>
          <w:rFonts w:ascii="Arial" w:hAnsi="Arial" w:cs="Arial"/>
          <w:b w:val="0"/>
          <w:sz w:val="20"/>
        </w:rPr>
        <w:t>'transport'</w:t>
      </w:r>
      <w:r w:rsidR="0012361B">
        <w:rPr>
          <w:rFonts w:ascii="Arial" w:hAnsi="Arial" w:cs="Arial"/>
          <w:b w:val="0"/>
          <w:sz w:val="20"/>
        </w:rPr>
        <w:t xml:space="preserve">, </w:t>
      </w:r>
      <w:r w:rsidR="0012361B" w:rsidRPr="0012361B">
        <w:rPr>
          <w:rFonts w:ascii="Arial" w:hAnsi="Arial" w:cs="Arial"/>
          <w:b w:val="0"/>
          <w:sz w:val="20"/>
        </w:rPr>
        <w:t>'</w:t>
      </w:r>
      <w:r w:rsidR="0012361B">
        <w:rPr>
          <w:rFonts w:ascii="Arial" w:hAnsi="Arial" w:cs="Arial"/>
          <w:b w:val="0"/>
          <w:sz w:val="20"/>
        </w:rPr>
        <w:t>food</w:t>
      </w:r>
      <w:r w:rsidR="0012361B" w:rsidRPr="0012361B">
        <w:rPr>
          <w:rFonts w:ascii="Arial" w:hAnsi="Arial" w:cs="Arial"/>
          <w:b w:val="0"/>
          <w:sz w:val="20"/>
        </w:rPr>
        <w:t xml:space="preserve"> and </w:t>
      </w:r>
      <w:r w:rsidR="0012361B">
        <w:rPr>
          <w:rFonts w:ascii="Arial" w:hAnsi="Arial" w:cs="Arial"/>
          <w:b w:val="0"/>
          <w:sz w:val="20"/>
        </w:rPr>
        <w:t>non-alcoholic beverages</w:t>
      </w:r>
      <w:r w:rsidR="0012361B" w:rsidRPr="0012361B">
        <w:rPr>
          <w:rFonts w:ascii="Arial" w:hAnsi="Arial" w:cs="Arial"/>
          <w:b w:val="0"/>
          <w:sz w:val="20"/>
        </w:rPr>
        <w:t>'</w:t>
      </w:r>
      <w:r w:rsidR="003E5183">
        <w:rPr>
          <w:rFonts w:ascii="Arial" w:hAnsi="Arial" w:cs="Arial"/>
          <w:b w:val="0"/>
          <w:sz w:val="20"/>
        </w:rPr>
        <w:t>,</w:t>
      </w:r>
      <w:r w:rsidR="00156E79" w:rsidRPr="0012361B">
        <w:rPr>
          <w:rFonts w:ascii="Arial" w:hAnsi="Arial" w:cs="Arial"/>
          <w:b w:val="0"/>
          <w:sz w:val="20"/>
        </w:rPr>
        <w:t xml:space="preserve"> and</w:t>
      </w:r>
      <w:r w:rsidR="00156E79" w:rsidRPr="0012361B">
        <w:rPr>
          <w:rFonts w:ascii="Arial" w:hAnsi="Arial" w:cs="Arial"/>
          <w:b w:val="0"/>
          <w:sz w:val="20"/>
          <w:szCs w:val="20"/>
        </w:rPr>
        <w:t xml:space="preserve"> </w:t>
      </w:r>
      <w:r w:rsidR="00573FDF" w:rsidRPr="0012361B">
        <w:rPr>
          <w:rFonts w:ascii="Arial" w:hAnsi="Arial" w:cs="Arial"/>
          <w:b w:val="0"/>
          <w:sz w:val="20"/>
        </w:rPr>
        <w:t>'re</w:t>
      </w:r>
      <w:r w:rsidR="0012361B">
        <w:rPr>
          <w:rFonts w:ascii="Arial" w:hAnsi="Arial" w:cs="Arial"/>
          <w:b w:val="0"/>
          <w:sz w:val="20"/>
        </w:rPr>
        <w:t xml:space="preserve">staurants </w:t>
      </w:r>
      <w:r w:rsidR="00573FDF" w:rsidRPr="0012361B">
        <w:rPr>
          <w:rFonts w:ascii="Arial" w:hAnsi="Arial" w:cs="Arial"/>
          <w:b w:val="0"/>
          <w:sz w:val="20"/>
        </w:rPr>
        <w:t xml:space="preserve">and </w:t>
      </w:r>
      <w:r w:rsidR="0012361B">
        <w:rPr>
          <w:rFonts w:ascii="Arial" w:hAnsi="Arial" w:cs="Arial"/>
          <w:b w:val="0"/>
          <w:sz w:val="20"/>
        </w:rPr>
        <w:t>hotels</w:t>
      </w:r>
      <w:r w:rsidR="00573FDF" w:rsidRPr="0012361B">
        <w:rPr>
          <w:rFonts w:ascii="Arial" w:hAnsi="Arial" w:cs="Arial"/>
          <w:b w:val="0"/>
          <w:sz w:val="20"/>
        </w:rPr>
        <w:t>'</w:t>
      </w:r>
      <w:r w:rsidR="00156E79" w:rsidRPr="0012361B">
        <w:rPr>
          <w:rFonts w:ascii="Arial" w:hAnsi="Arial" w:cs="Arial"/>
          <w:b w:val="0"/>
          <w:sz w:val="20"/>
        </w:rPr>
        <w:t>.</w:t>
      </w:r>
      <w:r w:rsidR="00A946A1">
        <w:rPr>
          <w:rFonts w:ascii="Arial" w:hAnsi="Arial" w:cs="Arial"/>
          <w:b w:val="0"/>
          <w:sz w:val="20"/>
        </w:rPr>
        <w:t xml:space="preserve"> I</w:t>
      </w:r>
      <w:r w:rsidR="00A946A1" w:rsidRPr="0012361B">
        <w:rPr>
          <w:rFonts w:ascii="Arial" w:hAnsi="Arial" w:cs="Arial"/>
          <w:b w:val="0"/>
          <w:sz w:val="20"/>
          <w:szCs w:val="20"/>
        </w:rPr>
        <w:t xml:space="preserve">n </w:t>
      </w:r>
      <w:r w:rsidR="00A946A1" w:rsidRPr="0012361B">
        <w:rPr>
          <w:rFonts w:ascii="Arial" w:hAnsi="Arial" w:cs="Arial"/>
          <w:b w:val="0"/>
          <w:sz w:val="20"/>
        </w:rPr>
        <w:t>'</w:t>
      </w:r>
      <w:r w:rsidR="00A946A1">
        <w:rPr>
          <w:rFonts w:ascii="Arial" w:hAnsi="Arial" w:cs="Arial"/>
          <w:b w:val="0"/>
          <w:sz w:val="20"/>
        </w:rPr>
        <w:t>clothing</w:t>
      </w:r>
      <w:r w:rsidR="00A946A1" w:rsidRPr="0012361B">
        <w:rPr>
          <w:rFonts w:ascii="Arial" w:hAnsi="Arial" w:cs="Arial"/>
          <w:b w:val="0"/>
          <w:sz w:val="20"/>
        </w:rPr>
        <w:t xml:space="preserve"> and </w:t>
      </w:r>
      <w:r w:rsidR="00A946A1">
        <w:rPr>
          <w:rFonts w:ascii="Arial" w:hAnsi="Arial" w:cs="Arial"/>
          <w:b w:val="0"/>
          <w:sz w:val="20"/>
        </w:rPr>
        <w:t>footwear</w:t>
      </w:r>
      <w:r w:rsidR="00A946A1" w:rsidRPr="0012361B">
        <w:rPr>
          <w:rFonts w:ascii="Arial" w:hAnsi="Arial" w:cs="Arial"/>
          <w:b w:val="0"/>
          <w:sz w:val="20"/>
        </w:rPr>
        <w:t>'</w:t>
      </w:r>
      <w:r w:rsidR="00A946A1">
        <w:rPr>
          <w:rFonts w:ascii="Arial" w:hAnsi="Arial" w:cs="Arial"/>
          <w:b w:val="0"/>
          <w:sz w:val="20"/>
        </w:rPr>
        <w:t xml:space="preserve">, prices of garments rose by 4.0% and </w:t>
      </w:r>
      <w:r w:rsidR="00A64DC6">
        <w:rPr>
          <w:rFonts w:ascii="Arial" w:hAnsi="Arial" w:cs="Arial"/>
          <w:b w:val="0"/>
          <w:sz w:val="20"/>
        </w:rPr>
        <w:t xml:space="preserve">shoes and other </w:t>
      </w:r>
      <w:r w:rsidR="00A946A1">
        <w:rPr>
          <w:rFonts w:ascii="Arial" w:hAnsi="Arial" w:cs="Arial"/>
          <w:b w:val="0"/>
          <w:sz w:val="20"/>
        </w:rPr>
        <w:t>footwear by 6.9%</w:t>
      </w:r>
      <w:r w:rsidR="00FA5C12">
        <w:rPr>
          <w:rFonts w:ascii="Arial" w:hAnsi="Arial" w:cs="Arial"/>
          <w:b w:val="0"/>
          <w:sz w:val="20"/>
        </w:rPr>
        <w:t xml:space="preserve"> due to higher prices of new seasonal models</w:t>
      </w:r>
      <w:r w:rsidR="00677627">
        <w:rPr>
          <w:rFonts w:ascii="Arial" w:hAnsi="Arial" w:cs="Arial"/>
          <w:b w:val="0"/>
          <w:sz w:val="20"/>
        </w:rPr>
        <w:t>,</w:t>
      </w:r>
      <w:r w:rsidR="00FA5C12">
        <w:rPr>
          <w:rFonts w:ascii="Arial" w:hAnsi="Arial" w:cs="Arial"/>
          <w:b w:val="0"/>
          <w:sz w:val="20"/>
        </w:rPr>
        <w:t xml:space="preserve"> </w:t>
      </w:r>
      <w:r w:rsidR="00677627" w:rsidRPr="00E4147A">
        <w:rPr>
          <w:rFonts w:ascii="Arial" w:hAnsi="Arial" w:cs="Arial"/>
          <w:b w:val="0"/>
          <w:bCs w:val="0"/>
          <w:sz w:val="20"/>
        </w:rPr>
        <w:t>which were offered on the market primarily in October.</w:t>
      </w:r>
      <w:r w:rsidR="00677627">
        <w:rPr>
          <w:rFonts w:ascii="Arial" w:hAnsi="Arial" w:cs="Arial"/>
          <w:b w:val="0"/>
          <w:bCs w:val="0"/>
          <w:sz w:val="20"/>
        </w:rPr>
        <w:t xml:space="preserve"> </w:t>
      </w:r>
      <w:r w:rsidR="00677627">
        <w:rPr>
          <w:rFonts w:ascii="Arial" w:hAnsi="Arial" w:cs="Arial"/>
          <w:b w:val="0"/>
          <w:sz w:val="20"/>
        </w:rPr>
        <w:t>T</w:t>
      </w:r>
      <w:r w:rsidR="00CD327A" w:rsidRPr="00677627">
        <w:rPr>
          <w:rFonts w:ascii="Arial" w:hAnsi="Arial" w:cs="Arial"/>
          <w:b w:val="0"/>
          <w:sz w:val="20"/>
        </w:rPr>
        <w:t xml:space="preserve">he price </w:t>
      </w:r>
      <w:r w:rsidR="008C2100" w:rsidRPr="00677627">
        <w:rPr>
          <w:rFonts w:ascii="Arial" w:hAnsi="Arial" w:cs="Arial"/>
          <w:b w:val="0"/>
          <w:sz w:val="20"/>
        </w:rPr>
        <w:t>r</w:t>
      </w:r>
      <w:r w:rsidR="00677627">
        <w:rPr>
          <w:rFonts w:ascii="Arial" w:hAnsi="Arial" w:cs="Arial"/>
          <w:b w:val="0"/>
          <w:sz w:val="20"/>
        </w:rPr>
        <w:t>ise</w:t>
      </w:r>
      <w:r w:rsidR="008C2100" w:rsidRPr="00677627">
        <w:rPr>
          <w:rFonts w:ascii="Arial" w:hAnsi="Arial" w:cs="Arial"/>
          <w:b w:val="0"/>
          <w:sz w:val="20"/>
        </w:rPr>
        <w:t xml:space="preserve"> </w:t>
      </w:r>
      <w:r w:rsidR="00677627">
        <w:rPr>
          <w:rFonts w:ascii="Arial" w:hAnsi="Arial" w:cs="Arial"/>
          <w:b w:val="0"/>
          <w:sz w:val="20"/>
        </w:rPr>
        <w:t>i</w:t>
      </w:r>
      <w:r w:rsidR="00677627" w:rsidRPr="00677627">
        <w:rPr>
          <w:rFonts w:ascii="Arial" w:hAnsi="Arial" w:cs="Arial"/>
          <w:b w:val="0"/>
          <w:sz w:val="20"/>
        </w:rPr>
        <w:t>n 'transport'</w:t>
      </w:r>
      <w:r w:rsidR="00677627">
        <w:rPr>
          <w:rFonts w:ascii="Arial" w:hAnsi="Arial" w:cs="Arial"/>
          <w:b w:val="0"/>
          <w:sz w:val="20"/>
        </w:rPr>
        <w:t xml:space="preserve"> </w:t>
      </w:r>
      <w:r w:rsidR="008C2100" w:rsidRPr="00677627">
        <w:rPr>
          <w:rFonts w:ascii="Arial" w:hAnsi="Arial" w:cs="Arial"/>
          <w:b w:val="0"/>
          <w:sz w:val="20"/>
        </w:rPr>
        <w:t>c</w:t>
      </w:r>
      <w:r w:rsidR="00737F34" w:rsidRPr="00677627">
        <w:rPr>
          <w:rFonts w:ascii="Arial" w:hAnsi="Arial" w:cs="Arial"/>
          <w:b w:val="0"/>
          <w:sz w:val="20"/>
        </w:rPr>
        <w:t>ame from automotive fuel prices</w:t>
      </w:r>
      <w:r w:rsidR="00A36689" w:rsidRPr="00677627">
        <w:rPr>
          <w:rFonts w:ascii="Arial" w:hAnsi="Arial" w:cs="Arial"/>
          <w:b w:val="0"/>
          <w:sz w:val="20"/>
        </w:rPr>
        <w:t xml:space="preserve">, which </w:t>
      </w:r>
      <w:r w:rsidR="005E779F" w:rsidRPr="00677627">
        <w:rPr>
          <w:rFonts w:ascii="Arial" w:hAnsi="Arial" w:cs="Arial"/>
          <w:b w:val="0"/>
          <w:sz w:val="20"/>
        </w:rPr>
        <w:t>in</w:t>
      </w:r>
      <w:r w:rsidR="00DE03B3" w:rsidRPr="00677627">
        <w:rPr>
          <w:rFonts w:ascii="Arial" w:hAnsi="Arial" w:cs="Arial"/>
          <w:b w:val="0"/>
          <w:sz w:val="20"/>
        </w:rPr>
        <w:t>creased</w:t>
      </w:r>
      <w:r w:rsidR="00A36689" w:rsidRPr="00677627">
        <w:rPr>
          <w:rFonts w:ascii="Arial" w:hAnsi="Arial" w:cs="Arial"/>
          <w:b w:val="0"/>
          <w:sz w:val="20"/>
        </w:rPr>
        <w:t xml:space="preserve"> </w:t>
      </w:r>
      <w:r w:rsidR="00677627">
        <w:rPr>
          <w:rFonts w:ascii="Arial" w:hAnsi="Arial" w:cs="Arial"/>
          <w:b w:val="0"/>
          <w:sz w:val="20"/>
        </w:rPr>
        <w:t>by 2</w:t>
      </w:r>
      <w:r w:rsidR="00A36689" w:rsidRPr="00677627">
        <w:rPr>
          <w:rFonts w:ascii="Arial" w:hAnsi="Arial" w:cs="Arial"/>
          <w:b w:val="0"/>
          <w:sz w:val="20"/>
        </w:rPr>
        <w:t xml:space="preserve">.0%. </w:t>
      </w:r>
      <w:r w:rsidR="00D539DE" w:rsidRPr="00D539DE">
        <w:rPr>
          <w:rFonts w:ascii="Arial" w:hAnsi="Arial" w:cs="Arial"/>
          <w:b w:val="0"/>
          <w:bCs w:val="0"/>
          <w:sz w:val="20"/>
        </w:rPr>
        <w:t xml:space="preserve">A price increase in 'food and non-alcoholic beverages' came especially from </w:t>
      </w:r>
      <w:r w:rsidR="00D539DE">
        <w:rPr>
          <w:rFonts w:ascii="Arial" w:hAnsi="Arial" w:cs="Arial"/>
          <w:b w:val="0"/>
          <w:bCs w:val="0"/>
          <w:sz w:val="20"/>
        </w:rPr>
        <w:t>high</w:t>
      </w:r>
      <w:r w:rsidR="00D539DE" w:rsidRPr="00D539DE">
        <w:rPr>
          <w:rFonts w:ascii="Arial" w:hAnsi="Arial" w:cs="Arial"/>
          <w:b w:val="0"/>
          <w:bCs w:val="0"/>
          <w:sz w:val="20"/>
        </w:rPr>
        <w:t>er prices of milk</w:t>
      </w:r>
      <w:r w:rsidR="00C3303C">
        <w:rPr>
          <w:rFonts w:ascii="Arial" w:hAnsi="Arial" w:cs="Arial"/>
          <w:b w:val="0"/>
          <w:bCs w:val="0"/>
          <w:sz w:val="20"/>
        </w:rPr>
        <w:t xml:space="preserve"> by 6</w:t>
      </w:r>
      <w:r w:rsidR="00D539DE" w:rsidRPr="00D539DE">
        <w:rPr>
          <w:rFonts w:ascii="Arial" w:hAnsi="Arial" w:cs="Arial"/>
          <w:b w:val="0"/>
          <w:bCs w:val="0"/>
          <w:sz w:val="20"/>
        </w:rPr>
        <w:t>.</w:t>
      </w:r>
      <w:r w:rsidR="00C3303C">
        <w:rPr>
          <w:rFonts w:ascii="Arial" w:hAnsi="Arial" w:cs="Arial"/>
          <w:b w:val="0"/>
          <w:bCs w:val="0"/>
          <w:sz w:val="20"/>
        </w:rPr>
        <w:t>6</w:t>
      </w:r>
      <w:r w:rsidR="00D539DE" w:rsidRPr="00D539DE">
        <w:rPr>
          <w:rFonts w:ascii="Arial" w:hAnsi="Arial" w:cs="Arial"/>
          <w:b w:val="0"/>
          <w:bCs w:val="0"/>
          <w:sz w:val="20"/>
        </w:rPr>
        <w:t xml:space="preserve">%, </w:t>
      </w:r>
      <w:r w:rsidR="00C3303C">
        <w:rPr>
          <w:rFonts w:ascii="Arial" w:hAnsi="Arial" w:cs="Arial"/>
          <w:b w:val="0"/>
          <w:bCs w:val="0"/>
          <w:sz w:val="20"/>
        </w:rPr>
        <w:t>eggs by 17.4%, cheese by 8.0%,</w:t>
      </w:r>
      <w:r w:rsidR="003E5183">
        <w:rPr>
          <w:rFonts w:ascii="Arial" w:hAnsi="Arial" w:cs="Arial"/>
          <w:b w:val="0"/>
          <w:bCs w:val="0"/>
          <w:sz w:val="20"/>
        </w:rPr>
        <w:t xml:space="preserve"> and</w:t>
      </w:r>
      <w:r w:rsidR="00C3303C">
        <w:rPr>
          <w:rFonts w:ascii="Arial" w:hAnsi="Arial" w:cs="Arial"/>
          <w:b w:val="0"/>
          <w:bCs w:val="0"/>
          <w:sz w:val="20"/>
        </w:rPr>
        <w:t xml:space="preserve"> butter by 11.5%</w:t>
      </w:r>
      <w:r w:rsidR="00D539DE" w:rsidRPr="00D539DE">
        <w:rPr>
          <w:rFonts w:ascii="Arial" w:hAnsi="Arial" w:cs="Arial"/>
          <w:b w:val="0"/>
          <w:bCs w:val="0"/>
          <w:sz w:val="20"/>
        </w:rPr>
        <w:t xml:space="preserve">. </w:t>
      </w:r>
      <w:r w:rsidR="0089019B">
        <w:rPr>
          <w:rFonts w:ascii="Arial" w:hAnsi="Arial" w:cs="Arial"/>
          <w:b w:val="0"/>
          <w:bCs w:val="0"/>
          <w:sz w:val="20"/>
        </w:rPr>
        <w:t xml:space="preserve">Prices of seasonal fruit and vegetables rose as well. </w:t>
      </w:r>
      <w:r w:rsidR="00A9123C">
        <w:rPr>
          <w:rFonts w:ascii="Arial" w:hAnsi="Arial" w:cs="Arial"/>
          <w:b w:val="0"/>
          <w:bCs w:val="0"/>
          <w:sz w:val="20"/>
        </w:rPr>
        <w:t>I</w:t>
      </w:r>
      <w:r w:rsidR="00A9123C" w:rsidRPr="00677627">
        <w:rPr>
          <w:rFonts w:ascii="Arial" w:hAnsi="Arial" w:cs="Arial"/>
          <w:b w:val="0"/>
          <w:sz w:val="20"/>
        </w:rPr>
        <w:t>n '</w:t>
      </w:r>
      <w:r w:rsidR="00A9123C">
        <w:rPr>
          <w:rFonts w:ascii="Arial" w:hAnsi="Arial" w:cs="Arial"/>
          <w:b w:val="0"/>
          <w:sz w:val="20"/>
        </w:rPr>
        <w:t>restaurants and hotels</w:t>
      </w:r>
      <w:r w:rsidR="00A9123C" w:rsidRPr="00677627">
        <w:rPr>
          <w:rFonts w:ascii="Arial" w:hAnsi="Arial" w:cs="Arial"/>
          <w:b w:val="0"/>
          <w:sz w:val="20"/>
        </w:rPr>
        <w:t>'</w:t>
      </w:r>
      <w:r w:rsidR="00A9123C">
        <w:rPr>
          <w:rFonts w:ascii="Arial" w:hAnsi="Arial" w:cs="Arial"/>
          <w:b w:val="0"/>
          <w:sz w:val="20"/>
        </w:rPr>
        <w:t xml:space="preserve">, prices of catering services increased by 1.9%. </w:t>
      </w:r>
      <w:r w:rsidR="00864AF4" w:rsidRPr="00A9123C">
        <w:rPr>
          <w:rFonts w:ascii="Arial" w:hAnsi="Arial" w:cs="Arial"/>
          <w:b w:val="0"/>
          <w:bCs w:val="0"/>
          <w:sz w:val="20"/>
        </w:rPr>
        <w:t>What had an effect in the opposite direction</w:t>
      </w:r>
      <w:r w:rsidR="00AC540D" w:rsidRPr="00A9123C">
        <w:rPr>
          <w:rFonts w:ascii="Arial" w:hAnsi="Arial" w:cs="Arial"/>
          <w:b w:val="0"/>
          <w:bCs w:val="0"/>
          <w:sz w:val="20"/>
        </w:rPr>
        <w:t xml:space="preserve">, i.e. </w:t>
      </w:r>
      <w:r w:rsidR="00864AF4" w:rsidRPr="00A9123C">
        <w:rPr>
          <w:rFonts w:ascii="Arial" w:hAnsi="Arial" w:cs="Arial"/>
          <w:b w:val="0"/>
          <w:bCs w:val="0"/>
          <w:sz w:val="20"/>
        </w:rPr>
        <w:t xml:space="preserve">causing </w:t>
      </w:r>
      <w:r w:rsidR="00EB43B6" w:rsidRPr="00A9123C">
        <w:rPr>
          <w:rFonts w:ascii="Arial" w:hAnsi="Arial" w:cs="Arial"/>
          <w:b w:val="0"/>
          <w:bCs w:val="0"/>
          <w:sz w:val="20"/>
        </w:rPr>
        <w:t xml:space="preserve">the </w:t>
      </w:r>
      <w:r w:rsidR="009110D1" w:rsidRPr="00A9123C">
        <w:rPr>
          <w:rFonts w:ascii="Arial" w:hAnsi="Arial" w:cs="Arial"/>
          <w:b w:val="0"/>
          <w:bCs w:val="0"/>
          <w:sz w:val="20"/>
        </w:rPr>
        <w:t>drop in</w:t>
      </w:r>
      <w:r w:rsidR="00EB43B6" w:rsidRPr="00A9123C">
        <w:rPr>
          <w:rFonts w:ascii="Arial" w:hAnsi="Arial" w:cs="Arial"/>
          <w:b w:val="0"/>
          <w:bCs w:val="0"/>
          <w:sz w:val="20"/>
        </w:rPr>
        <w:t xml:space="preserve"> prices</w:t>
      </w:r>
      <w:r w:rsidR="00376EA2" w:rsidRPr="00A9123C">
        <w:rPr>
          <w:rFonts w:ascii="Arial" w:hAnsi="Arial" w:cs="Arial"/>
          <w:b w:val="0"/>
          <w:bCs w:val="0"/>
          <w:sz w:val="20"/>
        </w:rPr>
        <w:t xml:space="preserve"> was</w:t>
      </w:r>
      <w:r w:rsidR="00EB43B6" w:rsidRPr="00A9123C">
        <w:rPr>
          <w:rFonts w:ascii="Arial" w:hAnsi="Arial" w:cs="Arial"/>
          <w:b w:val="0"/>
          <w:bCs w:val="0"/>
          <w:sz w:val="20"/>
        </w:rPr>
        <w:t xml:space="preserve"> </w:t>
      </w:r>
      <w:r w:rsidR="00A9123C" w:rsidRPr="00A9123C">
        <w:rPr>
          <w:rFonts w:ascii="Arial" w:hAnsi="Arial" w:cs="Arial"/>
          <w:b w:val="0"/>
          <w:bCs w:val="0"/>
          <w:sz w:val="20"/>
        </w:rPr>
        <w:t xml:space="preserve">particularly </w:t>
      </w:r>
      <w:r w:rsidR="000F244D" w:rsidRPr="00A9123C">
        <w:rPr>
          <w:rFonts w:ascii="Arial" w:hAnsi="Arial" w:cs="Arial"/>
          <w:b w:val="0"/>
          <w:bCs w:val="0"/>
          <w:sz w:val="20"/>
        </w:rPr>
        <w:t xml:space="preserve">the </w:t>
      </w:r>
      <w:r w:rsidR="009110D1" w:rsidRPr="00A9123C">
        <w:rPr>
          <w:rFonts w:ascii="Arial" w:hAnsi="Arial" w:cs="Arial"/>
          <w:b w:val="0"/>
          <w:bCs w:val="0"/>
          <w:sz w:val="20"/>
        </w:rPr>
        <w:t>de</w:t>
      </w:r>
      <w:r w:rsidR="000F244D" w:rsidRPr="00A9123C">
        <w:rPr>
          <w:rFonts w:ascii="Arial" w:hAnsi="Arial" w:cs="Arial"/>
          <w:b w:val="0"/>
          <w:bCs w:val="0"/>
          <w:sz w:val="20"/>
        </w:rPr>
        <w:t>crease in prices in '</w:t>
      </w:r>
      <w:r w:rsidR="00A9123C" w:rsidRPr="00A9123C">
        <w:rPr>
          <w:rFonts w:ascii="Arial" w:hAnsi="Arial" w:cs="Arial"/>
          <w:b w:val="0"/>
          <w:bCs w:val="0"/>
          <w:sz w:val="20"/>
        </w:rPr>
        <w:t xml:space="preserve">recreation </w:t>
      </w:r>
      <w:r w:rsidR="000F244D" w:rsidRPr="00A9123C">
        <w:rPr>
          <w:rFonts w:ascii="Arial" w:hAnsi="Arial" w:cs="Arial"/>
          <w:b w:val="0"/>
          <w:bCs w:val="0"/>
          <w:sz w:val="20"/>
        </w:rPr>
        <w:t xml:space="preserve">and </w:t>
      </w:r>
      <w:r w:rsidR="00A9123C" w:rsidRPr="00A9123C">
        <w:rPr>
          <w:rFonts w:ascii="Arial" w:hAnsi="Arial" w:cs="Arial"/>
          <w:b w:val="0"/>
          <w:bCs w:val="0"/>
          <w:sz w:val="20"/>
        </w:rPr>
        <w:t>culture</w:t>
      </w:r>
      <w:r w:rsidR="000F244D" w:rsidRPr="00A9123C">
        <w:rPr>
          <w:rFonts w:ascii="Arial" w:hAnsi="Arial" w:cs="Arial"/>
          <w:b w:val="0"/>
          <w:bCs w:val="0"/>
          <w:sz w:val="20"/>
        </w:rPr>
        <w:t>'</w:t>
      </w:r>
      <w:r w:rsidR="00A9123C" w:rsidRPr="00A9123C">
        <w:rPr>
          <w:rFonts w:ascii="Arial" w:hAnsi="Arial" w:cs="Arial"/>
          <w:b w:val="0"/>
          <w:bCs w:val="0"/>
          <w:sz w:val="20"/>
        </w:rPr>
        <w:t xml:space="preserve">, where prices of package holidays declined by 10.4% due to the end </w:t>
      </w:r>
      <w:r w:rsidR="00A9123C">
        <w:rPr>
          <w:rFonts w:ascii="Arial" w:hAnsi="Arial" w:cs="Arial"/>
          <w:b w:val="0"/>
          <w:bCs w:val="0"/>
          <w:sz w:val="20"/>
        </w:rPr>
        <w:t>of the main recreational season</w:t>
      </w:r>
      <w:r w:rsidR="00832D3F">
        <w:rPr>
          <w:rFonts w:ascii="Arial" w:hAnsi="Arial" w:cs="Arial"/>
          <w:b w:val="0"/>
          <w:bCs w:val="0"/>
          <w:sz w:val="20"/>
        </w:rPr>
        <w:t>.</w:t>
      </w:r>
      <w:r w:rsidR="00AD502D">
        <w:rPr>
          <w:rFonts w:ascii="Arial" w:hAnsi="Arial" w:cs="Arial"/>
          <w:b w:val="0"/>
          <w:bCs w:val="0"/>
          <w:sz w:val="20"/>
        </w:rPr>
        <w:t xml:space="preserve"> </w:t>
      </w:r>
      <w:r w:rsidR="00E92E9E" w:rsidRPr="00832D3F">
        <w:rPr>
          <w:rFonts w:ascii="Arial" w:hAnsi="Arial" w:cs="Arial"/>
          <w:b w:val="0"/>
          <w:bCs w:val="0"/>
          <w:sz w:val="20"/>
        </w:rPr>
        <w:t>The average month-on-month (m-o-m) change of the overall consumer price index in Q4 201</w:t>
      </w:r>
      <w:r w:rsidR="009110D1" w:rsidRPr="00832D3F">
        <w:rPr>
          <w:rFonts w:ascii="Arial" w:hAnsi="Arial" w:cs="Arial"/>
          <w:b w:val="0"/>
          <w:bCs w:val="0"/>
          <w:sz w:val="20"/>
        </w:rPr>
        <w:t>6</w:t>
      </w:r>
      <w:r w:rsidR="00E92E9E" w:rsidRPr="00832D3F">
        <w:rPr>
          <w:rFonts w:ascii="Arial" w:hAnsi="Arial" w:cs="Arial"/>
          <w:b w:val="0"/>
          <w:bCs w:val="0"/>
          <w:sz w:val="20"/>
        </w:rPr>
        <w:t xml:space="preserve"> was 0.</w:t>
      </w:r>
      <w:r w:rsidR="00832D3F" w:rsidRPr="00832D3F">
        <w:rPr>
          <w:rFonts w:ascii="Arial" w:hAnsi="Arial" w:cs="Arial"/>
          <w:b w:val="0"/>
          <w:bCs w:val="0"/>
          <w:sz w:val="20"/>
        </w:rPr>
        <w:t>3</w:t>
      </w:r>
      <w:r w:rsidR="00E92E9E" w:rsidRPr="00832D3F">
        <w:rPr>
          <w:rFonts w:ascii="Arial" w:hAnsi="Arial" w:cs="Arial"/>
          <w:b w:val="0"/>
          <w:bCs w:val="0"/>
          <w:sz w:val="20"/>
        </w:rPr>
        <w:t>% (</w:t>
      </w:r>
      <w:r w:rsidR="00832D3F" w:rsidRPr="00832D3F">
        <w:rPr>
          <w:rFonts w:ascii="Arial" w:hAnsi="Arial" w:cs="Arial"/>
          <w:b w:val="0"/>
          <w:bCs w:val="0"/>
          <w:sz w:val="20"/>
        </w:rPr>
        <w:t>0.0% in</w:t>
      </w:r>
      <w:r w:rsidR="00E92E9E" w:rsidRPr="00832D3F">
        <w:rPr>
          <w:rFonts w:ascii="Arial" w:hAnsi="Arial" w:cs="Arial"/>
          <w:b w:val="0"/>
          <w:bCs w:val="0"/>
          <w:sz w:val="20"/>
        </w:rPr>
        <w:t xml:space="preserve"> Q3</w:t>
      </w:r>
      <w:r w:rsidR="00832D3F" w:rsidRPr="00832D3F">
        <w:rPr>
          <w:rFonts w:ascii="Arial" w:hAnsi="Arial" w:cs="Arial"/>
          <w:b w:val="0"/>
          <w:bCs w:val="0"/>
          <w:sz w:val="20"/>
        </w:rPr>
        <w:t xml:space="preserve"> 2016</w:t>
      </w:r>
      <w:r w:rsidR="00E92E9E" w:rsidRPr="00832D3F">
        <w:rPr>
          <w:rFonts w:ascii="Arial" w:hAnsi="Arial" w:cs="Arial"/>
          <w:b w:val="0"/>
          <w:bCs w:val="0"/>
          <w:sz w:val="20"/>
        </w:rPr>
        <w:t>).</w:t>
      </w:r>
    </w:p>
    <w:p w:rsidR="00EE1552" w:rsidRDefault="00EE1552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90"/>
        <w:gridCol w:w="1134"/>
        <w:gridCol w:w="1134"/>
        <w:gridCol w:w="1134"/>
        <w:gridCol w:w="992"/>
        <w:gridCol w:w="1045"/>
      </w:tblGrid>
      <w:tr w:rsidR="00B02CF5" w:rsidRPr="00E43DDC" w:rsidTr="002770EC">
        <w:trPr>
          <w:trHeight w:val="355"/>
          <w:jc w:val="center"/>
        </w:trPr>
        <w:tc>
          <w:tcPr>
            <w:tcW w:w="2890" w:type="dxa"/>
            <w:vAlign w:val="center"/>
          </w:tcPr>
          <w:p w:rsidR="00B02CF5" w:rsidRPr="005D53B9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highlight w:val="green"/>
                <w:lang w:val="cs-CZ" w:eastAsia="cs-CZ"/>
              </w:rPr>
            </w:pPr>
          </w:p>
        </w:tc>
        <w:tc>
          <w:tcPr>
            <w:tcW w:w="1134" w:type="dxa"/>
            <w:vAlign w:val="center"/>
          </w:tcPr>
          <w:p w:rsidR="00B02CF5" w:rsidRPr="00E43DDC" w:rsidRDefault="00B02CF5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201</w:t>
            </w:r>
            <w:r w:rsidR="009110D1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5</w:t>
            </w:r>
          </w:p>
        </w:tc>
        <w:tc>
          <w:tcPr>
            <w:tcW w:w="4305" w:type="dxa"/>
            <w:gridSpan w:val="4"/>
            <w:vAlign w:val="center"/>
          </w:tcPr>
          <w:p w:rsidR="00B02CF5" w:rsidRPr="00E43DDC" w:rsidRDefault="00B02CF5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201</w:t>
            </w:r>
            <w:r w:rsidR="009110D1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6</w:t>
            </w:r>
          </w:p>
        </w:tc>
      </w:tr>
      <w:tr w:rsidR="00B02CF5" w:rsidRPr="00E43DDC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DIVISION</w:t>
            </w:r>
          </w:p>
        </w:tc>
        <w:tc>
          <w:tcPr>
            <w:tcW w:w="1134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Q4  </w:t>
            </w:r>
          </w:p>
        </w:tc>
        <w:tc>
          <w:tcPr>
            <w:tcW w:w="1134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Q1  </w:t>
            </w:r>
          </w:p>
        </w:tc>
        <w:tc>
          <w:tcPr>
            <w:tcW w:w="1134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Q2 </w:t>
            </w:r>
          </w:p>
        </w:tc>
        <w:tc>
          <w:tcPr>
            <w:tcW w:w="992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Q3</w:t>
            </w:r>
          </w:p>
        </w:tc>
        <w:tc>
          <w:tcPr>
            <w:tcW w:w="1045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Q4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TOTAL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.5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2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4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Food and non-alcoholic beverages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.1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5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2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Alcoholic beverages and tobacco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.3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9</w:t>
            </w:r>
          </w:p>
        </w:tc>
      </w:tr>
      <w:tr w:rsidR="008F0053" w:rsidTr="002770EC">
        <w:trPr>
          <w:trHeight w:val="318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Clothing and footwear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.3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97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104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7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Housing, water, electricity, gas and other fuels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.2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.0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3</w:t>
            </w:r>
          </w:p>
        </w:tc>
      </w:tr>
      <w:tr w:rsidR="008F0053" w:rsidTr="002770EC">
        <w:trPr>
          <w:trHeight w:val="582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Furnishings, household equipment and routine household maintenance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.7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9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5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Health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99.5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6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7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Transport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7.7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1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.9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2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Recreation and culture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.8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102</w:t>
            </w:r>
            <w:r>
              <w:rPr>
                <w:rFonts w:ascii="Arial CE" w:hAnsi="Arial CE"/>
                <w:sz w:val="18"/>
                <w:szCs w:val="18"/>
              </w:rPr>
              <w:t>.0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97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7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Education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9110D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.7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3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Restaurants and hotels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1A7F2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5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4</w:t>
            </w:r>
          </w:p>
        </w:tc>
      </w:tr>
      <w:tr w:rsidR="008F0053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8F0053" w:rsidRPr="00E43DDC" w:rsidRDefault="008F0053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Miscellaneous goods and services</w:t>
            </w:r>
          </w:p>
        </w:tc>
        <w:tc>
          <w:tcPr>
            <w:tcW w:w="1134" w:type="dxa"/>
            <w:vAlign w:val="center"/>
          </w:tcPr>
          <w:p w:rsidR="008F0053" w:rsidRPr="007145D9" w:rsidRDefault="008F0053" w:rsidP="001A7F2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134" w:type="dxa"/>
            <w:vAlign w:val="center"/>
          </w:tcPr>
          <w:p w:rsidR="008F0053" w:rsidRPr="00917C5D" w:rsidRDefault="008F0053" w:rsidP="0044338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F0053" w:rsidRPr="004F6366" w:rsidRDefault="008F0053" w:rsidP="004433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8F0053" w:rsidRPr="0099050F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1</w:t>
            </w:r>
          </w:p>
        </w:tc>
        <w:tc>
          <w:tcPr>
            <w:tcW w:w="1045" w:type="dxa"/>
            <w:vAlign w:val="center"/>
          </w:tcPr>
          <w:p w:rsidR="008F0053" w:rsidRPr="0093364A" w:rsidRDefault="008F0053" w:rsidP="0044338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3364A">
              <w:rPr>
                <w:rFonts w:ascii="Arial CE" w:hAnsi="Arial CE"/>
                <w:sz w:val="18"/>
                <w:szCs w:val="18"/>
              </w:rPr>
              <w:t>2</w:t>
            </w:r>
          </w:p>
        </w:tc>
      </w:tr>
    </w:tbl>
    <w:p w:rsidR="000601C1" w:rsidRDefault="00EE0608" w:rsidP="00EB6A02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0C7B46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0C7B46">
        <w:rPr>
          <w:rFonts w:ascii="Arial" w:hAnsi="Arial" w:cs="Arial"/>
          <w:bCs w:val="0"/>
          <w:sz w:val="20"/>
          <w:szCs w:val="20"/>
        </w:rPr>
        <w:t xml:space="preserve"> 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6B5294" w:rsidRPr="006B5294">
        <w:rPr>
          <w:rFonts w:ascii="Arial" w:hAnsi="Arial" w:cs="Arial"/>
          <w:b w:val="0"/>
          <w:bCs w:val="0"/>
          <w:sz w:val="20"/>
          <w:szCs w:val="20"/>
        </w:rPr>
        <w:t>1</w:t>
      </w:r>
      <w:r w:rsidRPr="006B5294">
        <w:rPr>
          <w:rFonts w:ascii="Arial" w:hAnsi="Arial" w:cs="Arial"/>
          <w:b w:val="0"/>
          <w:bCs w:val="0"/>
          <w:sz w:val="20"/>
          <w:szCs w:val="20"/>
        </w:rPr>
        <w:t>.</w:t>
      </w:r>
      <w:r w:rsidR="006B5294" w:rsidRPr="006B5294">
        <w:rPr>
          <w:rFonts w:ascii="Arial" w:hAnsi="Arial" w:cs="Arial"/>
          <w:b w:val="0"/>
          <w:bCs w:val="0"/>
          <w:sz w:val="20"/>
          <w:szCs w:val="20"/>
        </w:rPr>
        <w:t>4</w:t>
      </w:r>
      <w:r w:rsidRPr="006B5294">
        <w:rPr>
          <w:rFonts w:ascii="Arial" w:hAnsi="Arial" w:cs="Arial"/>
          <w:b w:val="0"/>
          <w:bCs w:val="0"/>
          <w:sz w:val="20"/>
          <w:szCs w:val="20"/>
        </w:rPr>
        <w:t>%,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022243">
        <w:rPr>
          <w:rFonts w:ascii="Arial" w:hAnsi="Arial" w:cs="Arial"/>
          <w:bCs w:val="0"/>
          <w:sz w:val="20"/>
          <w:szCs w:val="20"/>
        </w:rPr>
        <w:t>year-on-year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 xml:space="preserve"> (y-o-y), in </w:t>
      </w:r>
      <w:r w:rsidRPr="00F16A61">
        <w:rPr>
          <w:rFonts w:ascii="Arial" w:hAnsi="Arial" w:cs="Arial"/>
          <w:bCs w:val="0"/>
          <w:sz w:val="20"/>
          <w:szCs w:val="20"/>
        </w:rPr>
        <w:t>Q</w:t>
      </w:r>
      <w:r w:rsidR="004230DA" w:rsidRPr="00F16A61">
        <w:rPr>
          <w:rFonts w:ascii="Arial" w:hAnsi="Arial" w:cs="Arial"/>
          <w:bCs w:val="0"/>
          <w:sz w:val="20"/>
          <w:szCs w:val="20"/>
        </w:rPr>
        <w:t>4</w:t>
      </w:r>
      <w:r w:rsidRPr="00F16A61">
        <w:rPr>
          <w:rFonts w:ascii="Arial" w:hAnsi="Arial" w:cs="Arial"/>
          <w:sz w:val="20"/>
          <w:szCs w:val="20"/>
        </w:rPr>
        <w:t xml:space="preserve"> 201</w:t>
      </w:r>
      <w:r w:rsidR="009110D1">
        <w:rPr>
          <w:rFonts w:ascii="Arial" w:hAnsi="Arial" w:cs="Arial"/>
          <w:sz w:val="20"/>
          <w:szCs w:val="20"/>
        </w:rPr>
        <w:t>6</w:t>
      </w:r>
      <w:r w:rsidR="00D10991">
        <w:rPr>
          <w:rFonts w:ascii="Arial" w:hAnsi="Arial" w:cs="Arial"/>
          <w:sz w:val="20"/>
          <w:szCs w:val="20"/>
        </w:rPr>
        <w:t xml:space="preserve"> compared with Q4 2015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022243">
        <w:rPr>
          <w:rFonts w:ascii="Arial" w:hAnsi="Arial" w:cs="Arial"/>
          <w:b w:val="0"/>
          <w:bCs w:val="0"/>
          <w:sz w:val="20"/>
          <w:szCs w:val="20"/>
        </w:rPr>
        <w:t>i.e</w:t>
      </w:r>
      <w:r w:rsidR="00954847" w:rsidRPr="006B5294">
        <w:rPr>
          <w:rFonts w:ascii="Arial" w:hAnsi="Arial" w:cs="Arial"/>
          <w:b w:val="0"/>
          <w:bCs w:val="0"/>
          <w:sz w:val="20"/>
          <w:szCs w:val="20"/>
        </w:rPr>
        <w:t>.</w:t>
      </w:r>
      <w:r w:rsidR="003A6B7B" w:rsidRPr="006B529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6B5294">
        <w:rPr>
          <w:rFonts w:ascii="Arial" w:hAnsi="Arial" w:cs="Arial"/>
          <w:b w:val="0"/>
          <w:bCs w:val="0"/>
          <w:sz w:val="20"/>
          <w:szCs w:val="20"/>
        </w:rPr>
        <w:t>0.</w:t>
      </w:r>
      <w:r w:rsidR="006B5294" w:rsidRPr="006B5294">
        <w:rPr>
          <w:rFonts w:ascii="Arial" w:hAnsi="Arial" w:cs="Arial"/>
          <w:b w:val="0"/>
          <w:bCs w:val="0"/>
          <w:sz w:val="20"/>
          <w:szCs w:val="20"/>
        </w:rPr>
        <w:t>9</w:t>
      </w:r>
      <w:r w:rsidR="005B21A4" w:rsidRPr="006B5294">
        <w:rPr>
          <w:rFonts w:ascii="Arial" w:hAnsi="Arial" w:cs="Arial"/>
          <w:b w:val="0"/>
          <w:bCs w:val="0"/>
          <w:sz w:val="20"/>
          <w:szCs w:val="20"/>
        </w:rPr>
        <w:t xml:space="preserve"> percentage point</w:t>
      </w:r>
      <w:r w:rsidR="00022243" w:rsidRPr="006B5294">
        <w:rPr>
          <w:rFonts w:ascii="Arial" w:hAnsi="Arial" w:cs="Arial"/>
          <w:b w:val="0"/>
          <w:bCs w:val="0"/>
          <w:sz w:val="20"/>
          <w:szCs w:val="20"/>
        </w:rPr>
        <w:t>s</w:t>
      </w:r>
      <w:r w:rsidR="003325AD" w:rsidRPr="006B529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110D1" w:rsidRPr="006B5294">
        <w:rPr>
          <w:rFonts w:ascii="Arial" w:hAnsi="Arial" w:cs="Arial"/>
          <w:b w:val="0"/>
          <w:bCs w:val="0"/>
          <w:sz w:val="20"/>
          <w:szCs w:val="20"/>
        </w:rPr>
        <w:t>up</w:t>
      </w:r>
      <w:r w:rsidR="005B21A4" w:rsidRPr="006B5294">
        <w:rPr>
          <w:rFonts w:ascii="Arial" w:hAnsi="Arial" w:cs="Arial"/>
          <w:b w:val="0"/>
          <w:bCs w:val="0"/>
          <w:sz w:val="20"/>
          <w:szCs w:val="20"/>
        </w:rPr>
        <w:t xml:space="preserve"> on </w:t>
      </w:r>
      <w:r w:rsidRPr="006B5294">
        <w:rPr>
          <w:rFonts w:ascii="Arial" w:hAnsi="Arial" w:cs="Arial"/>
          <w:b w:val="0"/>
          <w:bCs w:val="0"/>
          <w:sz w:val="20"/>
          <w:szCs w:val="20"/>
        </w:rPr>
        <w:t>Q</w:t>
      </w:r>
      <w:r w:rsidR="004230DA" w:rsidRPr="006B5294">
        <w:rPr>
          <w:rFonts w:ascii="Arial" w:hAnsi="Arial" w:cs="Arial"/>
          <w:b w:val="0"/>
          <w:bCs w:val="0"/>
          <w:sz w:val="20"/>
          <w:szCs w:val="20"/>
        </w:rPr>
        <w:t>3</w:t>
      </w:r>
      <w:r w:rsidRPr="006B5294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1170D9" w:rsidRPr="006B5294">
        <w:rPr>
          <w:rFonts w:ascii="Arial" w:hAnsi="Arial" w:cs="Arial"/>
          <w:b w:val="0"/>
          <w:bCs w:val="0"/>
          <w:sz w:val="20"/>
          <w:szCs w:val="20"/>
        </w:rPr>
        <w:t>Th</w:t>
      </w:r>
      <w:r w:rsidR="005B21A4" w:rsidRPr="006B5294">
        <w:rPr>
          <w:rFonts w:ascii="Arial" w:hAnsi="Arial" w:cs="Arial"/>
          <w:b w:val="0"/>
          <w:bCs w:val="0"/>
          <w:sz w:val="20"/>
          <w:szCs w:val="20"/>
        </w:rPr>
        <w:t>is</w:t>
      </w:r>
      <w:r w:rsidR="001170D9" w:rsidRPr="006B529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22243" w:rsidRPr="006B5294">
        <w:rPr>
          <w:rFonts w:ascii="Arial" w:hAnsi="Arial" w:cs="Arial"/>
          <w:b w:val="0"/>
          <w:bCs w:val="0"/>
          <w:sz w:val="20"/>
          <w:szCs w:val="20"/>
        </w:rPr>
        <w:t xml:space="preserve">development was </w:t>
      </w:r>
      <w:r w:rsidR="00AD5DC5">
        <w:rPr>
          <w:rFonts w:ascii="Arial" w:hAnsi="Arial" w:cs="Arial"/>
          <w:b w:val="0"/>
          <w:bCs w:val="0"/>
          <w:sz w:val="20"/>
          <w:szCs w:val="20"/>
        </w:rPr>
        <w:t>due</w:t>
      </w:r>
      <w:r w:rsidR="009D72AD" w:rsidRPr="006B529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25008" w:rsidRPr="006B5294">
        <w:rPr>
          <w:rFonts w:ascii="Arial" w:hAnsi="Arial" w:cs="Arial"/>
          <w:b w:val="0"/>
          <w:bCs w:val="0"/>
          <w:sz w:val="20"/>
          <w:szCs w:val="20"/>
        </w:rPr>
        <w:t xml:space="preserve">both </w:t>
      </w:r>
      <w:r w:rsidR="00AD5DC5">
        <w:rPr>
          <w:rFonts w:ascii="Arial" w:hAnsi="Arial" w:cs="Arial"/>
          <w:b w:val="0"/>
          <w:bCs w:val="0"/>
          <w:sz w:val="20"/>
          <w:szCs w:val="20"/>
        </w:rPr>
        <w:t>to</w:t>
      </w:r>
      <w:r w:rsidR="009D72AD" w:rsidRPr="006B529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474CA">
        <w:rPr>
          <w:rFonts w:ascii="Arial" w:hAnsi="Arial" w:cs="Arial"/>
          <w:b w:val="0"/>
          <w:bCs w:val="0"/>
          <w:sz w:val="20"/>
          <w:szCs w:val="20"/>
        </w:rPr>
        <w:t>the</w:t>
      </w:r>
      <w:r w:rsidR="009D72AD" w:rsidRPr="006B529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B5294">
        <w:rPr>
          <w:rFonts w:ascii="Arial" w:hAnsi="Arial" w:cs="Arial"/>
          <w:b w:val="0"/>
          <w:bCs w:val="0"/>
          <w:sz w:val="20"/>
          <w:szCs w:val="20"/>
        </w:rPr>
        <w:t xml:space="preserve">turn </w:t>
      </w:r>
      <w:r w:rsidR="005474CA">
        <w:rPr>
          <w:rFonts w:ascii="Arial" w:hAnsi="Arial" w:cs="Arial"/>
          <w:b w:val="0"/>
          <w:bCs w:val="0"/>
          <w:sz w:val="20"/>
          <w:szCs w:val="20"/>
        </w:rPr>
        <w:t xml:space="preserve">from a </w:t>
      </w:r>
      <w:r w:rsidR="00F64FE1">
        <w:rPr>
          <w:rFonts w:ascii="Arial" w:hAnsi="Arial" w:cs="Arial"/>
          <w:b w:val="0"/>
          <w:bCs w:val="0"/>
          <w:sz w:val="20"/>
          <w:szCs w:val="20"/>
        </w:rPr>
        <w:t xml:space="preserve">price </w:t>
      </w:r>
      <w:r w:rsidR="005474CA">
        <w:rPr>
          <w:rFonts w:ascii="Arial" w:hAnsi="Arial" w:cs="Arial"/>
          <w:b w:val="0"/>
          <w:bCs w:val="0"/>
          <w:sz w:val="20"/>
          <w:szCs w:val="20"/>
        </w:rPr>
        <w:t>decline to the increase</w:t>
      </w:r>
      <w:r w:rsidR="009D72AD" w:rsidRPr="006B5294">
        <w:rPr>
          <w:rFonts w:ascii="Arial" w:hAnsi="Arial" w:cs="Arial"/>
          <w:b w:val="0"/>
          <w:bCs w:val="0"/>
          <w:sz w:val="20"/>
          <w:szCs w:val="20"/>
        </w:rPr>
        <w:t xml:space="preserve"> in </w:t>
      </w:r>
      <w:r w:rsidR="00925008" w:rsidRPr="006B5294">
        <w:rPr>
          <w:rFonts w:ascii="Arial" w:hAnsi="Arial" w:cs="Arial"/>
          <w:b w:val="0"/>
          <w:bCs w:val="0"/>
          <w:sz w:val="20"/>
        </w:rPr>
        <w:t xml:space="preserve">'transport' and 'food and non-alcoholic beverages', and </w:t>
      </w:r>
      <w:r w:rsidR="00AD5DC5">
        <w:rPr>
          <w:rFonts w:ascii="Arial" w:hAnsi="Arial" w:cs="Arial"/>
          <w:b w:val="0"/>
          <w:bCs w:val="0"/>
          <w:sz w:val="20"/>
        </w:rPr>
        <w:t>to</w:t>
      </w:r>
      <w:r w:rsidR="00925008" w:rsidRPr="006B5294">
        <w:rPr>
          <w:rFonts w:ascii="Arial" w:hAnsi="Arial" w:cs="Arial"/>
          <w:b w:val="0"/>
          <w:bCs w:val="0"/>
          <w:sz w:val="20"/>
        </w:rPr>
        <w:t xml:space="preserve"> </w:t>
      </w:r>
      <w:r w:rsidR="00AD5DC5">
        <w:rPr>
          <w:rFonts w:ascii="Arial" w:hAnsi="Arial" w:cs="Arial"/>
          <w:b w:val="0"/>
          <w:bCs w:val="0"/>
          <w:sz w:val="20"/>
        </w:rPr>
        <w:t>the</w:t>
      </w:r>
      <w:r w:rsidR="00C610D0" w:rsidRPr="006B5294">
        <w:rPr>
          <w:rFonts w:ascii="Arial" w:hAnsi="Arial" w:cs="Arial"/>
          <w:b w:val="0"/>
          <w:bCs w:val="0"/>
          <w:sz w:val="20"/>
        </w:rPr>
        <w:t xml:space="preserve"> acceleration</w:t>
      </w:r>
      <w:r w:rsidR="00925008" w:rsidRPr="006B5294">
        <w:rPr>
          <w:rFonts w:ascii="Arial" w:hAnsi="Arial" w:cs="Arial"/>
          <w:b w:val="0"/>
          <w:bCs w:val="0"/>
          <w:sz w:val="20"/>
        </w:rPr>
        <w:t xml:space="preserve"> in </w:t>
      </w:r>
      <w:r w:rsidR="003C52A3" w:rsidRPr="006B5294">
        <w:rPr>
          <w:rFonts w:ascii="Arial" w:hAnsi="Arial" w:cs="Arial"/>
          <w:b w:val="0"/>
          <w:bCs w:val="0"/>
          <w:sz w:val="20"/>
        </w:rPr>
        <w:t xml:space="preserve">the price rise in </w:t>
      </w:r>
      <w:r w:rsidR="00F418D8" w:rsidRPr="006B5294">
        <w:rPr>
          <w:rFonts w:ascii="Arial" w:hAnsi="Arial" w:cs="Arial"/>
          <w:b w:val="0"/>
          <w:bCs w:val="0"/>
          <w:sz w:val="20"/>
        </w:rPr>
        <w:t>'</w:t>
      </w:r>
      <w:r w:rsidR="006B5294">
        <w:rPr>
          <w:rFonts w:ascii="Arial" w:hAnsi="Arial" w:cs="Arial"/>
          <w:b w:val="0"/>
          <w:bCs w:val="0"/>
          <w:sz w:val="20"/>
        </w:rPr>
        <w:t xml:space="preserve">restaurants </w:t>
      </w:r>
      <w:r w:rsidR="00F418D8" w:rsidRPr="006B5294">
        <w:rPr>
          <w:rFonts w:ascii="Arial" w:hAnsi="Arial" w:cs="Arial"/>
          <w:b w:val="0"/>
          <w:bCs w:val="0"/>
          <w:sz w:val="20"/>
        </w:rPr>
        <w:t xml:space="preserve">and </w:t>
      </w:r>
      <w:r w:rsidR="006B5294">
        <w:rPr>
          <w:rFonts w:ascii="Arial" w:hAnsi="Arial" w:cs="Arial"/>
          <w:b w:val="0"/>
          <w:bCs w:val="0"/>
          <w:sz w:val="20"/>
        </w:rPr>
        <w:t>hotels</w:t>
      </w:r>
      <w:r w:rsidR="00F418D8" w:rsidRPr="006B5294">
        <w:rPr>
          <w:rFonts w:ascii="Arial" w:hAnsi="Arial" w:cs="Arial"/>
          <w:b w:val="0"/>
          <w:bCs w:val="0"/>
          <w:sz w:val="20"/>
        </w:rPr>
        <w:t>'</w:t>
      </w:r>
      <w:r w:rsidR="003C52A3" w:rsidRPr="006B5294">
        <w:rPr>
          <w:rFonts w:ascii="Arial" w:hAnsi="Arial" w:cs="Arial"/>
          <w:b w:val="0"/>
          <w:bCs w:val="0"/>
          <w:sz w:val="20"/>
        </w:rPr>
        <w:t xml:space="preserve">. </w:t>
      </w:r>
      <w:r w:rsidR="00425B4E" w:rsidRPr="00A9123C">
        <w:rPr>
          <w:rFonts w:ascii="Arial" w:hAnsi="Arial" w:cs="Arial"/>
          <w:b w:val="0"/>
          <w:bCs w:val="0"/>
          <w:sz w:val="20"/>
        </w:rPr>
        <w:t>What had an effect in the opposite direction, i.e. causing the drop in price</w:t>
      </w:r>
      <w:r w:rsidR="00425B4E">
        <w:rPr>
          <w:rFonts w:ascii="Arial" w:hAnsi="Arial" w:cs="Arial"/>
          <w:b w:val="0"/>
          <w:bCs w:val="0"/>
          <w:sz w:val="20"/>
        </w:rPr>
        <w:t xml:space="preserve"> level</w:t>
      </w:r>
      <w:r w:rsidR="00425B4E" w:rsidRPr="00A9123C">
        <w:rPr>
          <w:rFonts w:ascii="Arial" w:hAnsi="Arial" w:cs="Arial"/>
          <w:b w:val="0"/>
          <w:bCs w:val="0"/>
          <w:sz w:val="20"/>
        </w:rPr>
        <w:t xml:space="preserve"> was particularly the </w:t>
      </w:r>
      <w:r w:rsidR="00425B4E">
        <w:rPr>
          <w:rFonts w:ascii="Arial" w:hAnsi="Arial" w:cs="Arial"/>
          <w:b w:val="0"/>
          <w:bCs w:val="0"/>
          <w:sz w:val="20"/>
        </w:rPr>
        <w:t xml:space="preserve">slowdown in the </w:t>
      </w:r>
      <w:r w:rsidR="007D6176">
        <w:rPr>
          <w:rFonts w:ascii="Arial" w:hAnsi="Arial" w:cs="Arial"/>
          <w:b w:val="0"/>
          <w:bCs w:val="0"/>
          <w:sz w:val="20"/>
        </w:rPr>
        <w:t>in</w:t>
      </w:r>
      <w:r w:rsidR="00425B4E" w:rsidRPr="00A9123C">
        <w:rPr>
          <w:rFonts w:ascii="Arial" w:hAnsi="Arial" w:cs="Arial"/>
          <w:b w:val="0"/>
          <w:bCs w:val="0"/>
          <w:sz w:val="20"/>
        </w:rPr>
        <w:t>crease in prices in '</w:t>
      </w:r>
      <w:r w:rsidR="007D6176">
        <w:rPr>
          <w:rFonts w:ascii="Arial" w:hAnsi="Arial" w:cs="Arial"/>
          <w:b w:val="0"/>
          <w:bCs w:val="0"/>
          <w:sz w:val="20"/>
        </w:rPr>
        <w:t>clothi</w:t>
      </w:r>
      <w:r w:rsidR="00425B4E" w:rsidRPr="00A9123C">
        <w:rPr>
          <w:rFonts w:ascii="Arial" w:hAnsi="Arial" w:cs="Arial"/>
          <w:b w:val="0"/>
          <w:bCs w:val="0"/>
          <w:sz w:val="20"/>
        </w:rPr>
        <w:t>n</w:t>
      </w:r>
      <w:r w:rsidR="007D6176">
        <w:rPr>
          <w:rFonts w:ascii="Arial" w:hAnsi="Arial" w:cs="Arial"/>
          <w:b w:val="0"/>
          <w:bCs w:val="0"/>
          <w:sz w:val="20"/>
        </w:rPr>
        <w:t>g</w:t>
      </w:r>
      <w:r w:rsidR="00425B4E" w:rsidRPr="00A9123C">
        <w:rPr>
          <w:rFonts w:ascii="Arial" w:hAnsi="Arial" w:cs="Arial"/>
          <w:b w:val="0"/>
          <w:bCs w:val="0"/>
          <w:sz w:val="20"/>
        </w:rPr>
        <w:t xml:space="preserve"> and </w:t>
      </w:r>
      <w:r w:rsidR="007D6176">
        <w:rPr>
          <w:rFonts w:ascii="Arial" w:hAnsi="Arial" w:cs="Arial"/>
          <w:b w:val="0"/>
          <w:bCs w:val="0"/>
          <w:sz w:val="20"/>
        </w:rPr>
        <w:t>footwear</w:t>
      </w:r>
      <w:r w:rsidR="00425B4E" w:rsidRPr="00A9123C">
        <w:rPr>
          <w:rFonts w:ascii="Arial" w:hAnsi="Arial" w:cs="Arial"/>
          <w:b w:val="0"/>
          <w:bCs w:val="0"/>
          <w:sz w:val="20"/>
        </w:rPr>
        <w:t>'</w:t>
      </w:r>
      <w:r w:rsidR="007D6176">
        <w:rPr>
          <w:rFonts w:ascii="Arial" w:hAnsi="Arial" w:cs="Arial"/>
          <w:b w:val="0"/>
          <w:bCs w:val="0"/>
          <w:sz w:val="20"/>
        </w:rPr>
        <w:t xml:space="preserve"> and further the turn from a growth to the drop in </w:t>
      </w:r>
      <w:r w:rsidR="007D6176" w:rsidRPr="006B5294">
        <w:rPr>
          <w:rFonts w:ascii="Arial" w:hAnsi="Arial" w:cs="Arial"/>
          <w:b w:val="0"/>
          <w:bCs w:val="0"/>
          <w:sz w:val="20"/>
        </w:rPr>
        <w:t>'</w:t>
      </w:r>
      <w:r w:rsidR="007D6176">
        <w:rPr>
          <w:rFonts w:ascii="Arial" w:hAnsi="Arial" w:cs="Arial"/>
          <w:b w:val="0"/>
          <w:bCs w:val="0"/>
          <w:sz w:val="20"/>
        </w:rPr>
        <w:t>communication</w:t>
      </w:r>
      <w:r w:rsidR="007D6176" w:rsidRPr="006B5294">
        <w:rPr>
          <w:rFonts w:ascii="Arial" w:hAnsi="Arial" w:cs="Arial"/>
          <w:b w:val="0"/>
          <w:bCs w:val="0"/>
          <w:sz w:val="20"/>
        </w:rPr>
        <w:t>'</w:t>
      </w:r>
      <w:r w:rsidR="007D6176">
        <w:rPr>
          <w:rFonts w:ascii="Arial" w:hAnsi="Arial" w:cs="Arial"/>
          <w:b w:val="0"/>
          <w:bCs w:val="0"/>
          <w:sz w:val="20"/>
        </w:rPr>
        <w:t xml:space="preserve">. </w:t>
      </w:r>
      <w:r w:rsidR="000601C1">
        <w:rPr>
          <w:rFonts w:ascii="Arial" w:hAnsi="Arial" w:cs="Arial"/>
          <w:b w:val="0"/>
          <w:bCs w:val="0"/>
          <w:sz w:val="20"/>
        </w:rPr>
        <w:t xml:space="preserve">In </w:t>
      </w:r>
      <w:r w:rsidR="000601C1" w:rsidRPr="00A9123C">
        <w:rPr>
          <w:rFonts w:ascii="Arial" w:hAnsi="Arial" w:cs="Arial"/>
          <w:b w:val="0"/>
          <w:bCs w:val="0"/>
          <w:sz w:val="20"/>
        </w:rPr>
        <w:t>'</w:t>
      </w:r>
      <w:r w:rsidR="000601C1">
        <w:rPr>
          <w:rFonts w:ascii="Arial" w:hAnsi="Arial" w:cs="Arial"/>
          <w:b w:val="0"/>
          <w:bCs w:val="0"/>
          <w:sz w:val="20"/>
        </w:rPr>
        <w:t>furnishings, household equipment and routine household maintenance</w:t>
      </w:r>
      <w:r w:rsidR="000601C1" w:rsidRPr="00A9123C">
        <w:rPr>
          <w:rFonts w:ascii="Arial" w:hAnsi="Arial" w:cs="Arial"/>
          <w:b w:val="0"/>
          <w:bCs w:val="0"/>
          <w:sz w:val="20"/>
        </w:rPr>
        <w:t>'</w:t>
      </w:r>
      <w:r w:rsidR="000601C1">
        <w:rPr>
          <w:rFonts w:ascii="Arial" w:hAnsi="Arial" w:cs="Arial"/>
          <w:b w:val="0"/>
          <w:bCs w:val="0"/>
          <w:sz w:val="20"/>
        </w:rPr>
        <w:t>, prices dropped by 0.2% (prices remained unchanged in Q3).</w:t>
      </w:r>
      <w:r w:rsidR="00425B4E" w:rsidRPr="00A9123C">
        <w:rPr>
          <w:rFonts w:ascii="Arial" w:hAnsi="Arial" w:cs="Arial"/>
          <w:b w:val="0"/>
          <w:bCs w:val="0"/>
          <w:sz w:val="20"/>
        </w:rPr>
        <w:t xml:space="preserve"> </w:t>
      </w:r>
    </w:p>
    <w:p w:rsidR="000601C1" w:rsidRDefault="000601C1" w:rsidP="00EB6A02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C72C1C" w:rsidRPr="000C7B46" w:rsidRDefault="00EC650B" w:rsidP="00EB6A0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0601C1">
        <w:rPr>
          <w:rFonts w:ascii="Arial" w:hAnsi="Arial" w:cs="Arial"/>
          <w:b w:val="0"/>
          <w:bCs w:val="0"/>
          <w:sz w:val="20"/>
        </w:rPr>
        <w:t>Changes in the price development in Q4 201</w:t>
      </w:r>
      <w:r w:rsidR="00C610D0" w:rsidRPr="000601C1">
        <w:rPr>
          <w:rFonts w:ascii="Arial" w:hAnsi="Arial" w:cs="Arial"/>
          <w:b w:val="0"/>
          <w:bCs w:val="0"/>
          <w:sz w:val="20"/>
        </w:rPr>
        <w:t>6</w:t>
      </w:r>
      <w:r w:rsidRPr="000601C1">
        <w:rPr>
          <w:rFonts w:ascii="Arial" w:hAnsi="Arial" w:cs="Arial"/>
          <w:b w:val="0"/>
          <w:bCs w:val="0"/>
          <w:sz w:val="20"/>
        </w:rPr>
        <w:t xml:space="preserve"> were </w:t>
      </w:r>
      <w:r w:rsidR="00835288">
        <w:rPr>
          <w:rFonts w:ascii="Arial" w:hAnsi="Arial" w:cs="Arial"/>
          <w:b w:val="0"/>
          <w:bCs w:val="0"/>
          <w:sz w:val="20"/>
        </w:rPr>
        <w:t>reflected</w:t>
      </w:r>
      <w:r w:rsidRPr="000601C1">
        <w:rPr>
          <w:rFonts w:ascii="Arial" w:hAnsi="Arial" w:cs="Arial"/>
          <w:b w:val="0"/>
          <w:bCs w:val="0"/>
          <w:sz w:val="20"/>
        </w:rPr>
        <w:t xml:space="preserve"> in the </w:t>
      </w:r>
      <w:r w:rsidR="000601C1">
        <w:rPr>
          <w:rFonts w:ascii="Arial" w:hAnsi="Arial" w:cs="Arial"/>
          <w:b w:val="0"/>
          <w:bCs w:val="0"/>
          <w:sz w:val="20"/>
        </w:rPr>
        <w:t>acceleration</w:t>
      </w:r>
      <w:r w:rsidR="00376EA2" w:rsidRPr="000601C1">
        <w:rPr>
          <w:rFonts w:ascii="Arial" w:hAnsi="Arial" w:cs="Arial"/>
          <w:b w:val="0"/>
          <w:bCs w:val="0"/>
          <w:sz w:val="20"/>
        </w:rPr>
        <w:t xml:space="preserve"> </w:t>
      </w:r>
      <w:r w:rsidR="003A71D4">
        <w:rPr>
          <w:rFonts w:ascii="Arial" w:hAnsi="Arial" w:cs="Arial"/>
          <w:b w:val="0"/>
          <w:bCs w:val="0"/>
          <w:sz w:val="20"/>
        </w:rPr>
        <w:t>in the y-o-y growth of</w:t>
      </w:r>
      <w:r w:rsidRPr="000601C1">
        <w:rPr>
          <w:rFonts w:ascii="Arial" w:hAnsi="Arial" w:cs="Arial"/>
          <w:b w:val="0"/>
          <w:bCs w:val="0"/>
          <w:sz w:val="20"/>
        </w:rPr>
        <w:t xml:space="preserve"> the market prices to </w:t>
      </w:r>
      <w:r w:rsidR="003A71D4">
        <w:rPr>
          <w:rFonts w:ascii="Arial" w:hAnsi="Arial" w:cs="Arial"/>
          <w:b w:val="0"/>
          <w:bCs w:val="0"/>
          <w:sz w:val="20"/>
        </w:rPr>
        <w:t>1</w:t>
      </w:r>
      <w:r w:rsidRPr="000601C1">
        <w:rPr>
          <w:rFonts w:ascii="Arial" w:hAnsi="Arial" w:cs="Arial"/>
          <w:b w:val="0"/>
          <w:bCs w:val="0"/>
          <w:sz w:val="20"/>
        </w:rPr>
        <w:t>.</w:t>
      </w:r>
      <w:r w:rsidR="003A71D4">
        <w:rPr>
          <w:rFonts w:ascii="Arial" w:hAnsi="Arial" w:cs="Arial"/>
          <w:b w:val="0"/>
          <w:bCs w:val="0"/>
          <w:sz w:val="20"/>
        </w:rPr>
        <w:t>7</w:t>
      </w:r>
      <w:r w:rsidRPr="000601C1">
        <w:rPr>
          <w:rFonts w:ascii="Arial" w:hAnsi="Arial" w:cs="Arial"/>
          <w:b w:val="0"/>
          <w:bCs w:val="0"/>
          <w:sz w:val="20"/>
        </w:rPr>
        <w:t xml:space="preserve">% </w:t>
      </w:r>
      <w:r w:rsidR="00376EA2" w:rsidRPr="000601C1">
        <w:rPr>
          <w:rFonts w:ascii="Arial" w:hAnsi="Arial" w:cs="Arial"/>
          <w:b w:val="0"/>
          <w:bCs w:val="0"/>
          <w:sz w:val="20"/>
        </w:rPr>
        <w:t>(</w:t>
      </w:r>
      <w:r w:rsidRPr="000601C1">
        <w:rPr>
          <w:rFonts w:ascii="Arial" w:hAnsi="Arial" w:cs="Arial"/>
          <w:b w:val="0"/>
          <w:bCs w:val="0"/>
          <w:sz w:val="20"/>
        </w:rPr>
        <w:t>from 0.</w:t>
      </w:r>
      <w:r w:rsidR="003A71D4">
        <w:rPr>
          <w:rFonts w:ascii="Arial" w:hAnsi="Arial" w:cs="Arial"/>
          <w:b w:val="0"/>
          <w:bCs w:val="0"/>
          <w:sz w:val="20"/>
        </w:rPr>
        <w:t>7</w:t>
      </w:r>
      <w:r w:rsidRPr="000601C1">
        <w:rPr>
          <w:rFonts w:ascii="Arial" w:hAnsi="Arial" w:cs="Arial"/>
          <w:b w:val="0"/>
          <w:bCs w:val="0"/>
          <w:sz w:val="20"/>
        </w:rPr>
        <w:t>% in Q3</w:t>
      </w:r>
      <w:r w:rsidR="00376EA2" w:rsidRPr="000601C1">
        <w:rPr>
          <w:rFonts w:ascii="Arial" w:hAnsi="Arial" w:cs="Arial"/>
          <w:b w:val="0"/>
          <w:bCs w:val="0"/>
          <w:sz w:val="20"/>
        </w:rPr>
        <w:t>)</w:t>
      </w:r>
      <w:r w:rsidR="003A71D4">
        <w:rPr>
          <w:rFonts w:ascii="Arial" w:hAnsi="Arial" w:cs="Arial"/>
          <w:b w:val="0"/>
          <w:bCs w:val="0"/>
          <w:sz w:val="20"/>
        </w:rPr>
        <w:t xml:space="preserve">. </w:t>
      </w:r>
      <w:r w:rsidRPr="000601C1">
        <w:rPr>
          <w:rFonts w:ascii="Arial" w:hAnsi="Arial" w:cs="Arial"/>
          <w:b w:val="0"/>
          <w:bCs w:val="0"/>
          <w:sz w:val="20"/>
        </w:rPr>
        <w:t xml:space="preserve"> </w:t>
      </w:r>
      <w:r w:rsidR="003A71D4">
        <w:rPr>
          <w:rFonts w:ascii="Arial" w:hAnsi="Arial" w:cs="Arial"/>
          <w:b w:val="0"/>
          <w:bCs w:val="0"/>
          <w:sz w:val="20"/>
        </w:rPr>
        <w:t>R</w:t>
      </w:r>
      <w:r w:rsidR="003A71D4" w:rsidRPr="000601C1">
        <w:rPr>
          <w:rFonts w:ascii="Arial" w:hAnsi="Arial" w:cs="Arial"/>
          <w:b w:val="0"/>
          <w:bCs w:val="0"/>
          <w:sz w:val="20"/>
          <w:szCs w:val="20"/>
        </w:rPr>
        <w:t xml:space="preserve">egulated prices </w:t>
      </w:r>
      <w:r w:rsidR="00CC7C4B">
        <w:rPr>
          <w:rFonts w:ascii="Arial" w:hAnsi="Arial" w:cs="Arial"/>
          <w:b w:val="0"/>
          <w:bCs w:val="0"/>
          <w:sz w:val="20"/>
          <w:szCs w:val="20"/>
        </w:rPr>
        <w:t xml:space="preserve">fell by </w:t>
      </w:r>
      <w:r w:rsidR="003A71D4">
        <w:rPr>
          <w:rFonts w:ascii="Arial" w:hAnsi="Arial" w:cs="Arial"/>
          <w:b w:val="0"/>
          <w:bCs w:val="0"/>
          <w:sz w:val="20"/>
        </w:rPr>
        <w:t>0.1% in Q4</w:t>
      </w:r>
      <w:r w:rsidR="00EB6A02" w:rsidRPr="000601C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76EA2" w:rsidRPr="000601C1">
        <w:rPr>
          <w:rFonts w:ascii="Arial" w:hAnsi="Arial" w:cs="Arial"/>
          <w:b w:val="0"/>
          <w:bCs w:val="0"/>
          <w:sz w:val="20"/>
          <w:szCs w:val="20"/>
        </w:rPr>
        <w:t>(</w:t>
      </w:r>
      <w:r w:rsidR="003A71D4">
        <w:rPr>
          <w:rFonts w:ascii="Arial" w:hAnsi="Arial" w:cs="Arial"/>
          <w:b w:val="0"/>
          <w:bCs w:val="0"/>
          <w:sz w:val="20"/>
          <w:szCs w:val="20"/>
        </w:rPr>
        <w:t>the same as in</w:t>
      </w:r>
      <w:r w:rsidR="00EB6A02" w:rsidRPr="000601C1">
        <w:rPr>
          <w:rFonts w:ascii="Arial" w:hAnsi="Arial" w:cs="Arial"/>
          <w:b w:val="0"/>
          <w:bCs w:val="0"/>
          <w:sz w:val="20"/>
          <w:szCs w:val="20"/>
        </w:rPr>
        <w:t xml:space="preserve"> Q3</w:t>
      </w:r>
      <w:r w:rsidR="00376EA2" w:rsidRPr="000601C1">
        <w:rPr>
          <w:rFonts w:ascii="Arial" w:hAnsi="Arial" w:cs="Arial"/>
          <w:b w:val="0"/>
          <w:bCs w:val="0"/>
          <w:sz w:val="20"/>
          <w:szCs w:val="20"/>
        </w:rPr>
        <w:t>)</w:t>
      </w:r>
      <w:r w:rsidR="00EB6A02" w:rsidRPr="000601C1">
        <w:rPr>
          <w:rFonts w:ascii="Arial" w:hAnsi="Arial" w:cs="Arial"/>
          <w:b w:val="0"/>
          <w:bCs w:val="0"/>
          <w:sz w:val="20"/>
          <w:szCs w:val="20"/>
        </w:rPr>
        <w:t>.</w:t>
      </w:r>
      <w:r w:rsidR="00EB6A02" w:rsidRPr="00EB6A02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EE0608" w:rsidRDefault="00EE0608" w:rsidP="00591218">
      <w:pPr>
        <w:pStyle w:val="Zkladntextodsazen2"/>
        <w:ind w:firstLine="0"/>
        <w:jc w:val="center"/>
      </w:pPr>
    </w:p>
    <w:p w:rsidR="00001607" w:rsidRDefault="0011733F" w:rsidP="00591218">
      <w:pPr>
        <w:pStyle w:val="Zkladntextodsazen2"/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224.75pt">
            <v:imagedata r:id="rId7" o:title=""/>
          </v:shape>
        </w:pict>
      </w:r>
    </w:p>
    <w:p w:rsidR="00B859B6" w:rsidRDefault="00B859B6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9600AA" w:rsidRDefault="009600AA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7D79CC" w:rsidRDefault="000A3EE7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180B07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In </w:t>
      </w:r>
      <w:r w:rsidRPr="00180B07">
        <w:rPr>
          <w:rFonts w:ascii="Arial" w:hAnsi="Arial" w:cs="Arial"/>
          <w:b w:val="0"/>
          <w:sz w:val="20"/>
        </w:rPr>
        <w:t>'</w:t>
      </w:r>
      <w:r w:rsidRPr="00180B07">
        <w:rPr>
          <w:rFonts w:ascii="Arial" w:hAnsi="Arial" w:cs="Arial"/>
          <w:sz w:val="20"/>
        </w:rPr>
        <w:t>transport</w:t>
      </w:r>
      <w:r w:rsidRPr="00180B07">
        <w:rPr>
          <w:rFonts w:ascii="Arial" w:hAnsi="Arial" w:cs="Arial"/>
          <w:b w:val="0"/>
          <w:sz w:val="20"/>
        </w:rPr>
        <w:t xml:space="preserve">', </w:t>
      </w:r>
      <w:r w:rsidR="00180B07">
        <w:rPr>
          <w:rFonts w:ascii="Arial" w:hAnsi="Arial" w:cs="Arial"/>
          <w:b w:val="0"/>
          <w:sz w:val="20"/>
        </w:rPr>
        <w:t xml:space="preserve">prices </w:t>
      </w:r>
      <w:r w:rsidR="00835288">
        <w:rPr>
          <w:rFonts w:ascii="Arial" w:hAnsi="Arial" w:cs="Arial"/>
          <w:b w:val="0"/>
          <w:sz w:val="20"/>
        </w:rPr>
        <w:t>grew for</w:t>
      </w:r>
      <w:r w:rsidR="00180B07">
        <w:rPr>
          <w:rFonts w:ascii="Arial" w:hAnsi="Arial" w:cs="Arial"/>
          <w:b w:val="0"/>
          <w:sz w:val="20"/>
        </w:rPr>
        <w:t xml:space="preserve"> the first time since Q3 2014.</w:t>
      </w:r>
      <w:r w:rsidR="00EA0493">
        <w:rPr>
          <w:rFonts w:ascii="Arial" w:hAnsi="Arial" w:cs="Arial"/>
          <w:b w:val="0"/>
          <w:sz w:val="20"/>
        </w:rPr>
        <w:t xml:space="preserve"> </w:t>
      </w:r>
      <w:r w:rsidR="000B6DE8" w:rsidRPr="00180B07">
        <w:rPr>
          <w:rFonts w:ascii="Arial" w:hAnsi="Arial" w:cs="Arial"/>
          <w:b w:val="0"/>
          <w:sz w:val="20"/>
        </w:rPr>
        <w:t xml:space="preserve">It was due to </w:t>
      </w:r>
      <w:r w:rsidRPr="00180B07">
        <w:rPr>
          <w:rFonts w:ascii="Arial" w:hAnsi="Arial" w:cs="Arial"/>
          <w:b w:val="0"/>
          <w:sz w:val="20"/>
        </w:rPr>
        <w:t xml:space="preserve">the development in </w:t>
      </w:r>
      <w:r w:rsidR="000B6DE8" w:rsidRPr="00180B07">
        <w:rPr>
          <w:rFonts w:ascii="Arial" w:hAnsi="Arial" w:cs="Arial"/>
          <w:b w:val="0"/>
          <w:sz w:val="20"/>
        </w:rPr>
        <w:t>automotive fuel prices</w:t>
      </w:r>
      <w:r w:rsidR="000B3B6A" w:rsidRPr="00180B07">
        <w:rPr>
          <w:rFonts w:ascii="Arial" w:hAnsi="Arial" w:cs="Arial"/>
          <w:b w:val="0"/>
          <w:sz w:val="20"/>
        </w:rPr>
        <w:t>, which</w:t>
      </w:r>
      <w:r w:rsidR="00376EA2" w:rsidRPr="00180B07">
        <w:rPr>
          <w:rFonts w:ascii="Arial" w:hAnsi="Arial" w:cs="Arial"/>
          <w:b w:val="0"/>
          <w:sz w:val="20"/>
        </w:rPr>
        <w:t xml:space="preserve"> were constantly</w:t>
      </w:r>
      <w:r w:rsidR="000B3B6A" w:rsidRPr="00180B07">
        <w:rPr>
          <w:rFonts w:ascii="Arial" w:hAnsi="Arial" w:cs="Arial"/>
          <w:b w:val="0"/>
          <w:sz w:val="20"/>
        </w:rPr>
        <w:t xml:space="preserve"> </w:t>
      </w:r>
      <w:r w:rsidR="00376EA2" w:rsidRPr="00180B07">
        <w:rPr>
          <w:rFonts w:ascii="Arial" w:hAnsi="Arial" w:cs="Arial"/>
          <w:b w:val="0"/>
          <w:sz w:val="20"/>
        </w:rPr>
        <w:t>declining,</w:t>
      </w:r>
      <w:r w:rsidR="002727C0" w:rsidRPr="00180B07">
        <w:rPr>
          <w:rFonts w:ascii="Arial" w:hAnsi="Arial" w:cs="Arial"/>
          <w:b w:val="0"/>
          <w:sz w:val="20"/>
        </w:rPr>
        <w:t xml:space="preserve"> y-o-y</w:t>
      </w:r>
      <w:r w:rsidR="00835288">
        <w:rPr>
          <w:rFonts w:ascii="Arial" w:hAnsi="Arial" w:cs="Arial"/>
          <w:b w:val="0"/>
          <w:sz w:val="20"/>
        </w:rPr>
        <w:t>, from December 2014</w:t>
      </w:r>
      <w:r w:rsidR="00EA0493">
        <w:rPr>
          <w:rFonts w:ascii="Arial" w:hAnsi="Arial" w:cs="Arial"/>
          <w:b w:val="0"/>
          <w:sz w:val="20"/>
        </w:rPr>
        <w:t>.</w:t>
      </w:r>
      <w:r w:rsidR="002727C0" w:rsidRPr="00180B07">
        <w:rPr>
          <w:rFonts w:ascii="Arial" w:hAnsi="Arial" w:cs="Arial"/>
          <w:b w:val="0"/>
          <w:sz w:val="20"/>
        </w:rPr>
        <w:t xml:space="preserve"> This drop </w:t>
      </w:r>
      <w:r w:rsidR="00EA0493">
        <w:rPr>
          <w:rFonts w:ascii="Arial" w:hAnsi="Arial" w:cs="Arial"/>
          <w:b w:val="0"/>
          <w:sz w:val="20"/>
        </w:rPr>
        <w:t xml:space="preserve">reached the </w:t>
      </w:r>
      <w:r w:rsidR="00835288">
        <w:rPr>
          <w:rFonts w:ascii="Arial" w:hAnsi="Arial" w:cs="Arial"/>
          <w:b w:val="0"/>
          <w:sz w:val="20"/>
        </w:rPr>
        <w:t>bottom</w:t>
      </w:r>
      <w:r w:rsidR="00EA0493">
        <w:rPr>
          <w:rFonts w:ascii="Arial" w:hAnsi="Arial" w:cs="Arial"/>
          <w:b w:val="0"/>
          <w:sz w:val="20"/>
        </w:rPr>
        <w:t xml:space="preserve"> (</w:t>
      </w:r>
      <w:r w:rsidR="002727C0" w:rsidRPr="00180B07">
        <w:rPr>
          <w:rFonts w:ascii="Arial" w:hAnsi="Arial" w:cs="Arial"/>
          <w:b w:val="0"/>
          <w:sz w:val="20"/>
        </w:rPr>
        <w:t>-17.</w:t>
      </w:r>
      <w:r w:rsidR="00EA0493">
        <w:rPr>
          <w:rFonts w:ascii="Arial" w:hAnsi="Arial" w:cs="Arial"/>
          <w:b w:val="0"/>
          <w:sz w:val="20"/>
        </w:rPr>
        <w:t>6</w:t>
      </w:r>
      <w:r w:rsidR="002727C0" w:rsidRPr="00180B07">
        <w:rPr>
          <w:rFonts w:ascii="Arial" w:hAnsi="Arial" w:cs="Arial"/>
          <w:b w:val="0"/>
          <w:sz w:val="20"/>
        </w:rPr>
        <w:t>%</w:t>
      </w:r>
      <w:r w:rsidR="00EA0493">
        <w:rPr>
          <w:rFonts w:ascii="Arial" w:hAnsi="Arial" w:cs="Arial"/>
          <w:b w:val="0"/>
          <w:sz w:val="20"/>
        </w:rPr>
        <w:t xml:space="preserve">) in November 2015. </w:t>
      </w:r>
      <w:r w:rsidR="002D7EDD" w:rsidRPr="003C0976">
        <w:rPr>
          <w:rFonts w:ascii="Arial" w:hAnsi="Arial" w:cs="Arial"/>
          <w:b w:val="0"/>
          <w:sz w:val="20"/>
        </w:rPr>
        <w:t>The y-o-y drop in automotive fuel prices lasted in the majority of the year 2016</w:t>
      </w:r>
      <w:r w:rsidR="003C0976">
        <w:rPr>
          <w:rFonts w:ascii="Arial" w:hAnsi="Arial" w:cs="Arial"/>
          <w:b w:val="0"/>
          <w:sz w:val="20"/>
        </w:rPr>
        <w:t xml:space="preserve">; however, it mitigated </w:t>
      </w:r>
      <w:r w:rsidR="009600AA">
        <w:rPr>
          <w:rFonts w:ascii="Arial" w:hAnsi="Arial" w:cs="Arial"/>
          <w:b w:val="0"/>
          <w:sz w:val="20"/>
        </w:rPr>
        <w:t xml:space="preserve">gradually </w:t>
      </w:r>
      <w:r w:rsidR="003C0976">
        <w:rPr>
          <w:rFonts w:ascii="Arial" w:hAnsi="Arial" w:cs="Arial"/>
          <w:b w:val="0"/>
          <w:sz w:val="20"/>
        </w:rPr>
        <w:t>since August</w:t>
      </w:r>
      <w:r w:rsidR="002D7EDD" w:rsidRPr="003C0976">
        <w:rPr>
          <w:rFonts w:ascii="Arial" w:hAnsi="Arial" w:cs="Arial"/>
          <w:b w:val="0"/>
          <w:sz w:val="20"/>
        </w:rPr>
        <w:t xml:space="preserve"> </w:t>
      </w:r>
      <w:r w:rsidR="00C62098">
        <w:rPr>
          <w:rFonts w:ascii="Arial" w:hAnsi="Arial" w:cs="Arial"/>
          <w:b w:val="0"/>
          <w:sz w:val="20"/>
        </w:rPr>
        <w:t>and turned to a </w:t>
      </w:r>
      <w:r w:rsidR="003C0976">
        <w:rPr>
          <w:rFonts w:ascii="Arial" w:hAnsi="Arial" w:cs="Arial"/>
          <w:b w:val="0"/>
          <w:sz w:val="20"/>
        </w:rPr>
        <w:t>rise by 4.3% in December</w:t>
      </w:r>
      <w:r w:rsidR="00D74B07" w:rsidRPr="003C0976">
        <w:rPr>
          <w:rFonts w:ascii="Arial" w:hAnsi="Arial" w:cs="Arial"/>
          <w:b w:val="0"/>
          <w:sz w:val="20"/>
        </w:rPr>
        <w:t>.</w:t>
      </w:r>
      <w:r w:rsidR="00D74B07">
        <w:rPr>
          <w:rFonts w:ascii="Arial" w:hAnsi="Arial" w:cs="Arial"/>
          <w:b w:val="0"/>
          <w:sz w:val="20"/>
        </w:rPr>
        <w:t xml:space="preserve"> </w:t>
      </w:r>
    </w:p>
    <w:p w:rsidR="00D74B07" w:rsidRDefault="000B6DE8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11733F">
        <w:pict>
          <v:shape id="_x0000_i1026" type="#_x0000_t75" style="width:424.5pt;height:247.3pt">
            <v:imagedata r:id="rId8" o:title=""/>
          </v:shape>
        </w:pict>
      </w:r>
    </w:p>
    <w:p w:rsidR="009600AA" w:rsidRDefault="009600AA" w:rsidP="00BB15D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BB15DE" w:rsidRPr="00300119" w:rsidRDefault="00671EA6" w:rsidP="00BB15DE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300119">
        <w:rPr>
          <w:rFonts w:ascii="Arial" w:hAnsi="Arial" w:cs="Arial"/>
          <w:b w:val="0"/>
          <w:bCs w:val="0"/>
          <w:sz w:val="20"/>
        </w:rPr>
        <w:t xml:space="preserve">In </w:t>
      </w:r>
      <w:r w:rsidRPr="00300119">
        <w:rPr>
          <w:rFonts w:ascii="Arial" w:hAnsi="Arial" w:cs="Arial"/>
          <w:b w:val="0"/>
          <w:sz w:val="20"/>
        </w:rPr>
        <w:t>'</w:t>
      </w:r>
      <w:r w:rsidRPr="00300119">
        <w:rPr>
          <w:rFonts w:ascii="Arial" w:hAnsi="Arial" w:cs="Arial"/>
          <w:sz w:val="20"/>
        </w:rPr>
        <w:t>food and non-alcoholic beverages</w:t>
      </w:r>
      <w:r w:rsidRPr="00300119">
        <w:rPr>
          <w:rFonts w:ascii="Arial" w:hAnsi="Arial" w:cs="Arial"/>
          <w:b w:val="0"/>
          <w:sz w:val="20"/>
        </w:rPr>
        <w:t xml:space="preserve">', </w:t>
      </w:r>
      <w:r w:rsidR="00300119">
        <w:rPr>
          <w:rFonts w:ascii="Arial" w:hAnsi="Arial" w:cs="Arial"/>
          <w:b w:val="0"/>
          <w:sz w:val="20"/>
        </w:rPr>
        <w:t xml:space="preserve">prices rose for the first time since Q4 2014. Prices of meat went up by 1.6%, of which prices of pork by 6.4%. Fish prices went up by 6.0%. The growth of prices in </w:t>
      </w:r>
      <w:r w:rsidR="00B1052C" w:rsidRPr="00300119">
        <w:rPr>
          <w:rFonts w:ascii="Arial" w:hAnsi="Arial" w:cs="Arial"/>
          <w:b w:val="0"/>
          <w:sz w:val="20"/>
        </w:rPr>
        <w:t xml:space="preserve">the group </w:t>
      </w:r>
      <w:r w:rsidR="00836EA2" w:rsidRPr="00300119">
        <w:rPr>
          <w:rFonts w:ascii="Arial" w:hAnsi="Arial" w:cs="Arial"/>
          <w:b w:val="0"/>
          <w:sz w:val="20"/>
        </w:rPr>
        <w:t xml:space="preserve">of </w:t>
      </w:r>
      <w:r w:rsidR="00B1052C" w:rsidRPr="00300119">
        <w:rPr>
          <w:rFonts w:ascii="Arial" w:hAnsi="Arial" w:cs="Arial"/>
          <w:b w:val="0"/>
          <w:sz w:val="20"/>
        </w:rPr>
        <w:t xml:space="preserve">milk, cheese, eggs </w:t>
      </w:r>
      <w:r w:rsidR="00300119">
        <w:rPr>
          <w:rFonts w:ascii="Arial" w:hAnsi="Arial" w:cs="Arial"/>
          <w:b w:val="0"/>
          <w:sz w:val="20"/>
        </w:rPr>
        <w:t xml:space="preserve">amounted to 2.8%, of which </w:t>
      </w:r>
      <w:r w:rsidR="00B1052C" w:rsidRPr="00300119">
        <w:rPr>
          <w:rFonts w:ascii="Arial" w:hAnsi="Arial" w:cs="Arial"/>
          <w:b w:val="0"/>
          <w:sz w:val="20"/>
        </w:rPr>
        <w:t xml:space="preserve">prices of </w:t>
      </w:r>
      <w:r w:rsidR="00300119">
        <w:rPr>
          <w:rFonts w:ascii="Arial" w:hAnsi="Arial" w:cs="Arial"/>
          <w:b w:val="0"/>
          <w:sz w:val="20"/>
        </w:rPr>
        <w:t xml:space="preserve">eggs </w:t>
      </w:r>
      <w:r w:rsidR="005A03E8">
        <w:rPr>
          <w:rFonts w:ascii="Arial" w:hAnsi="Arial" w:cs="Arial"/>
          <w:b w:val="0"/>
          <w:sz w:val="20"/>
        </w:rPr>
        <w:t>rose by 6.5%, cheese</w:t>
      </w:r>
      <w:r w:rsidR="00B1052C" w:rsidRPr="00300119">
        <w:rPr>
          <w:rFonts w:ascii="Arial" w:hAnsi="Arial" w:cs="Arial"/>
          <w:b w:val="0"/>
          <w:sz w:val="20"/>
        </w:rPr>
        <w:t xml:space="preserve"> by 1</w:t>
      </w:r>
      <w:r w:rsidR="005A03E8">
        <w:rPr>
          <w:rFonts w:ascii="Arial" w:hAnsi="Arial" w:cs="Arial"/>
          <w:b w:val="0"/>
          <w:sz w:val="20"/>
        </w:rPr>
        <w:t>0</w:t>
      </w:r>
      <w:r w:rsidR="00B1052C" w:rsidRPr="00300119">
        <w:rPr>
          <w:rFonts w:ascii="Arial" w:hAnsi="Arial" w:cs="Arial"/>
          <w:b w:val="0"/>
          <w:sz w:val="20"/>
        </w:rPr>
        <w:t>.</w:t>
      </w:r>
      <w:r w:rsidR="005A03E8">
        <w:rPr>
          <w:rFonts w:ascii="Arial" w:hAnsi="Arial" w:cs="Arial"/>
          <w:b w:val="0"/>
          <w:sz w:val="20"/>
        </w:rPr>
        <w:t>4</w:t>
      </w:r>
      <w:r w:rsidR="00B1052C" w:rsidRPr="00300119">
        <w:rPr>
          <w:rFonts w:ascii="Arial" w:hAnsi="Arial" w:cs="Arial"/>
          <w:b w:val="0"/>
          <w:sz w:val="20"/>
        </w:rPr>
        <w:t xml:space="preserve">%, </w:t>
      </w:r>
      <w:r w:rsidR="00C62BD9">
        <w:rPr>
          <w:rFonts w:ascii="Arial" w:hAnsi="Arial" w:cs="Arial"/>
          <w:b w:val="0"/>
          <w:sz w:val="20"/>
        </w:rPr>
        <w:t xml:space="preserve">and </w:t>
      </w:r>
      <w:r w:rsidR="00B1052C" w:rsidRPr="00300119">
        <w:rPr>
          <w:rFonts w:ascii="Arial" w:hAnsi="Arial" w:cs="Arial"/>
          <w:b w:val="0"/>
          <w:sz w:val="20"/>
        </w:rPr>
        <w:t>o</w:t>
      </w:r>
      <w:r w:rsidR="005A03E8">
        <w:rPr>
          <w:rFonts w:ascii="Arial" w:hAnsi="Arial" w:cs="Arial"/>
          <w:b w:val="0"/>
          <w:sz w:val="20"/>
        </w:rPr>
        <w:t>ther milk products</w:t>
      </w:r>
      <w:r w:rsidR="00B1052C" w:rsidRPr="00300119">
        <w:rPr>
          <w:rFonts w:ascii="Arial" w:hAnsi="Arial" w:cs="Arial"/>
          <w:b w:val="0"/>
          <w:sz w:val="20"/>
        </w:rPr>
        <w:t xml:space="preserve"> by </w:t>
      </w:r>
      <w:r w:rsidR="005A03E8">
        <w:rPr>
          <w:rFonts w:ascii="Arial" w:hAnsi="Arial" w:cs="Arial"/>
          <w:b w:val="0"/>
          <w:sz w:val="20"/>
        </w:rPr>
        <w:t>0</w:t>
      </w:r>
      <w:r w:rsidR="00B1052C" w:rsidRPr="00300119">
        <w:rPr>
          <w:rFonts w:ascii="Arial" w:hAnsi="Arial" w:cs="Arial"/>
          <w:b w:val="0"/>
          <w:sz w:val="20"/>
        </w:rPr>
        <w:t>.</w:t>
      </w:r>
      <w:r w:rsidR="005A03E8">
        <w:rPr>
          <w:rFonts w:ascii="Arial" w:hAnsi="Arial" w:cs="Arial"/>
          <w:b w:val="0"/>
          <w:sz w:val="20"/>
        </w:rPr>
        <w:t>4</w:t>
      </w:r>
      <w:r w:rsidR="00B1052C" w:rsidRPr="00300119">
        <w:rPr>
          <w:rFonts w:ascii="Arial" w:hAnsi="Arial" w:cs="Arial"/>
          <w:b w:val="0"/>
          <w:sz w:val="20"/>
        </w:rPr>
        <w:t xml:space="preserve">%. </w:t>
      </w:r>
      <w:r w:rsidR="005A03E8">
        <w:rPr>
          <w:rFonts w:ascii="Arial" w:hAnsi="Arial" w:cs="Arial"/>
          <w:b w:val="0"/>
          <w:sz w:val="20"/>
        </w:rPr>
        <w:t>Prices of o</w:t>
      </w:r>
      <w:r w:rsidR="005A03E8" w:rsidRPr="005A03E8">
        <w:rPr>
          <w:rFonts w:ascii="Arial" w:hAnsi="Arial" w:cs="Arial"/>
          <w:b w:val="0"/>
          <w:sz w:val="20"/>
        </w:rPr>
        <w:t>ils and fats</w:t>
      </w:r>
      <w:r w:rsidR="005A03E8">
        <w:rPr>
          <w:rFonts w:ascii="Arial" w:hAnsi="Arial" w:cs="Arial"/>
          <w:b w:val="0"/>
          <w:sz w:val="20"/>
        </w:rPr>
        <w:t xml:space="preserve"> rose by 3.9%, of which butter by 10.8%. Prices of sugar went up by 23.0%. Bread prices rose by 1.3%, while flour prices went down by 9.4%. </w:t>
      </w:r>
      <w:proofErr w:type="gramStart"/>
      <w:r w:rsidR="00BB15DE">
        <w:rPr>
          <w:rFonts w:ascii="Arial" w:hAnsi="Arial" w:cs="Arial"/>
          <w:b w:val="0"/>
          <w:sz w:val="20"/>
        </w:rPr>
        <w:t xml:space="preserve">Prices of yoghurts </w:t>
      </w:r>
      <w:r w:rsidR="00776097">
        <w:rPr>
          <w:rFonts w:ascii="Arial" w:hAnsi="Arial" w:cs="Arial"/>
          <w:b w:val="0"/>
          <w:sz w:val="20"/>
        </w:rPr>
        <w:t>declined</w:t>
      </w:r>
      <w:r w:rsidR="00BB15DE">
        <w:rPr>
          <w:rFonts w:ascii="Arial" w:hAnsi="Arial" w:cs="Arial"/>
          <w:b w:val="0"/>
          <w:sz w:val="20"/>
        </w:rPr>
        <w:t xml:space="preserve"> by 6.5% and prices of milk by 1.8%.</w:t>
      </w:r>
      <w:proofErr w:type="gramEnd"/>
      <w:r w:rsidR="00BB15DE">
        <w:rPr>
          <w:rFonts w:ascii="Arial" w:hAnsi="Arial" w:cs="Arial"/>
          <w:b w:val="0"/>
          <w:sz w:val="20"/>
        </w:rPr>
        <w:t xml:space="preserve"> Fruit prices </w:t>
      </w:r>
      <w:r w:rsidR="00776097">
        <w:rPr>
          <w:rFonts w:ascii="Arial" w:hAnsi="Arial" w:cs="Arial"/>
          <w:b w:val="0"/>
          <w:sz w:val="20"/>
        </w:rPr>
        <w:t>went down</w:t>
      </w:r>
      <w:r w:rsidR="00BB15DE">
        <w:rPr>
          <w:rFonts w:ascii="Arial" w:hAnsi="Arial" w:cs="Arial"/>
          <w:b w:val="0"/>
          <w:sz w:val="20"/>
        </w:rPr>
        <w:t xml:space="preserve"> by 4.0% (-4.8% in Q3). </w:t>
      </w:r>
      <w:r w:rsidR="005A03E8">
        <w:rPr>
          <w:rFonts w:ascii="Arial" w:hAnsi="Arial" w:cs="Arial"/>
          <w:b w:val="0"/>
          <w:sz w:val="20"/>
        </w:rPr>
        <w:t xml:space="preserve"> </w:t>
      </w:r>
      <w:r w:rsidR="00BB15DE">
        <w:rPr>
          <w:rFonts w:ascii="Arial" w:hAnsi="Arial" w:cs="Arial"/>
          <w:b w:val="0"/>
          <w:sz w:val="20"/>
        </w:rPr>
        <w:t xml:space="preserve">Prices of vegetables </w:t>
      </w:r>
      <w:r w:rsidR="00C47DDD">
        <w:rPr>
          <w:rFonts w:ascii="Arial" w:hAnsi="Arial" w:cs="Arial"/>
          <w:b w:val="0"/>
          <w:sz w:val="20"/>
        </w:rPr>
        <w:t>went down</w:t>
      </w:r>
      <w:r w:rsidR="00BB15DE">
        <w:rPr>
          <w:rFonts w:ascii="Arial" w:hAnsi="Arial" w:cs="Arial"/>
          <w:b w:val="0"/>
          <w:sz w:val="20"/>
        </w:rPr>
        <w:t xml:space="preserve"> by 4.5%, of which prices of potatoes by 16.3% (an increase by 0.6% and 7.5%, respectively</w:t>
      </w:r>
      <w:r w:rsidR="009600AA">
        <w:rPr>
          <w:rFonts w:ascii="Arial" w:hAnsi="Arial" w:cs="Arial"/>
          <w:b w:val="0"/>
          <w:sz w:val="20"/>
        </w:rPr>
        <w:t xml:space="preserve"> in Q3</w:t>
      </w:r>
      <w:r w:rsidR="00BB15DE">
        <w:rPr>
          <w:rFonts w:ascii="Arial" w:hAnsi="Arial" w:cs="Arial"/>
          <w:b w:val="0"/>
          <w:sz w:val="20"/>
        </w:rPr>
        <w:t xml:space="preserve">). </w:t>
      </w:r>
    </w:p>
    <w:p w:rsidR="00A66127" w:rsidRPr="00300119" w:rsidRDefault="0011733F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4E0459">
        <w:rPr>
          <w:szCs w:val="20"/>
        </w:rPr>
        <w:lastRenderedPageBreak/>
        <w:pict>
          <v:shape id="_x0000_i1027" type="#_x0000_t75" style="width:424.5pt;height:286.75pt">
            <v:imagedata r:id="rId9" o:title=""/>
          </v:shape>
        </w:pict>
      </w:r>
    </w:p>
    <w:p w:rsidR="00671EA6" w:rsidRDefault="00671EA6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D1136C" w:rsidRDefault="00D1136C" w:rsidP="00D1136C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D1136C" w:rsidRPr="00EF5A86" w:rsidRDefault="00D1136C" w:rsidP="00D1136C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EF5A86">
        <w:rPr>
          <w:rFonts w:ascii="Arial" w:hAnsi="Arial" w:cs="Arial"/>
          <w:b w:val="0"/>
          <w:bCs w:val="0"/>
          <w:sz w:val="20"/>
          <w:szCs w:val="20"/>
        </w:rPr>
        <w:t xml:space="preserve">The growth of prices in </w:t>
      </w:r>
      <w:r w:rsidRPr="00EF5A86">
        <w:rPr>
          <w:rFonts w:ascii="Arial" w:hAnsi="Arial" w:cs="Arial"/>
          <w:bCs w:val="0"/>
          <w:sz w:val="20"/>
        </w:rPr>
        <w:t>'restaura</w:t>
      </w:r>
      <w:r w:rsidR="00226C6F" w:rsidRPr="00EF5A86">
        <w:rPr>
          <w:rFonts w:ascii="Arial" w:hAnsi="Arial" w:cs="Arial"/>
          <w:bCs w:val="0"/>
          <w:sz w:val="20"/>
        </w:rPr>
        <w:t>n</w:t>
      </w:r>
      <w:r w:rsidRPr="00EF5A86">
        <w:rPr>
          <w:rFonts w:ascii="Arial" w:hAnsi="Arial" w:cs="Arial"/>
          <w:bCs w:val="0"/>
          <w:sz w:val="20"/>
        </w:rPr>
        <w:t>ts and hotels'</w:t>
      </w:r>
      <w:r w:rsidR="00226C6F" w:rsidRPr="00EF5A86">
        <w:rPr>
          <w:rFonts w:ascii="Arial" w:hAnsi="Arial" w:cs="Arial"/>
          <w:bCs w:val="0"/>
          <w:sz w:val="20"/>
        </w:rPr>
        <w:t xml:space="preserve"> </w:t>
      </w:r>
      <w:r w:rsidR="00226C6F" w:rsidRPr="00EF5A86">
        <w:rPr>
          <w:rFonts w:ascii="Arial" w:hAnsi="Arial" w:cs="Arial"/>
          <w:b w:val="0"/>
          <w:bCs w:val="0"/>
          <w:sz w:val="20"/>
        </w:rPr>
        <w:t xml:space="preserve">was </w:t>
      </w:r>
      <w:r w:rsidR="00226C6F" w:rsidRPr="00EF5A86">
        <w:rPr>
          <w:rFonts w:ascii="Arial" w:hAnsi="Arial" w:cs="Arial"/>
          <w:bCs w:val="0"/>
          <w:sz w:val="20"/>
        </w:rPr>
        <w:t xml:space="preserve"> </w:t>
      </w:r>
      <w:r w:rsidR="00226C6F" w:rsidRPr="00EF5A86">
        <w:rPr>
          <w:rFonts w:ascii="Arial" w:hAnsi="Arial" w:cs="Arial"/>
          <w:b w:val="0"/>
          <w:bCs w:val="0"/>
          <w:sz w:val="20"/>
        </w:rPr>
        <w:t xml:space="preserve">caused </w:t>
      </w:r>
      <w:r w:rsidRPr="00EF5A86">
        <w:rPr>
          <w:rFonts w:ascii="Arial" w:hAnsi="Arial" w:cs="Arial"/>
          <w:bCs w:val="0"/>
          <w:sz w:val="20"/>
        </w:rPr>
        <w:t xml:space="preserve"> </w:t>
      </w:r>
      <w:r w:rsidR="00EF5A86" w:rsidRPr="00EF5A86">
        <w:rPr>
          <w:rFonts w:ascii="Arial" w:hAnsi="Arial" w:cs="Arial"/>
          <w:b w:val="0"/>
          <w:bCs w:val="0"/>
          <w:sz w:val="20"/>
        </w:rPr>
        <w:t xml:space="preserve">by the rise in prices of catering services by 3.0% (1.3% in Q3) and prices of accommodation services by 0.9% (0.6% in Q3). </w:t>
      </w:r>
      <w:r w:rsidR="00EF5A86" w:rsidRPr="00EF5A86">
        <w:rPr>
          <w:rFonts w:ascii="Arial" w:hAnsi="Arial" w:cs="Arial"/>
          <w:bCs w:val="0"/>
          <w:sz w:val="20"/>
        </w:rPr>
        <w:t xml:space="preserve"> </w:t>
      </w:r>
    </w:p>
    <w:p w:rsidR="00D1136C" w:rsidRDefault="00D1136C" w:rsidP="00D1136C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D1136C" w:rsidRDefault="00D1136C" w:rsidP="00D1136C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D1136C" w:rsidRDefault="00D1136C" w:rsidP="00D1136C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4A1649">
        <w:rPr>
          <w:rFonts w:ascii="Arial" w:hAnsi="Arial" w:cs="Arial"/>
          <w:b w:val="0"/>
          <w:sz w:val="20"/>
          <w:szCs w:val="20"/>
        </w:rPr>
        <w:t>In</w:t>
      </w:r>
      <w:r w:rsidRPr="004A164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A1649">
        <w:rPr>
          <w:rFonts w:ascii="Arial" w:hAnsi="Arial" w:cs="Arial"/>
          <w:bCs w:val="0"/>
          <w:sz w:val="20"/>
        </w:rPr>
        <w:t>'housing, water, electricity, gas and other fuels'</w:t>
      </w:r>
      <w:r w:rsidRPr="004A1649">
        <w:rPr>
          <w:rFonts w:ascii="Arial" w:hAnsi="Arial" w:cs="Arial"/>
          <w:b w:val="0"/>
          <w:bCs w:val="0"/>
          <w:sz w:val="20"/>
        </w:rPr>
        <w:t xml:space="preserve">, </w:t>
      </w:r>
      <w:r w:rsidR="0025106E">
        <w:rPr>
          <w:rFonts w:ascii="Arial" w:hAnsi="Arial" w:cs="Arial"/>
          <w:b w:val="0"/>
          <w:bCs w:val="0"/>
          <w:sz w:val="20"/>
        </w:rPr>
        <w:t>the pri</w:t>
      </w:r>
      <w:r w:rsidRPr="004A1649">
        <w:rPr>
          <w:rFonts w:ascii="Arial" w:hAnsi="Arial" w:cs="Arial"/>
          <w:b w:val="0"/>
          <w:bCs w:val="0"/>
          <w:sz w:val="20"/>
        </w:rPr>
        <w:t>ce</w:t>
      </w:r>
      <w:r w:rsidR="0025106E">
        <w:rPr>
          <w:rFonts w:ascii="Arial" w:hAnsi="Arial" w:cs="Arial"/>
          <w:b w:val="0"/>
          <w:bCs w:val="0"/>
          <w:sz w:val="20"/>
        </w:rPr>
        <w:t xml:space="preserve"> increase accelerated moderately due to the </w:t>
      </w:r>
      <w:r w:rsidRPr="004A1649">
        <w:rPr>
          <w:rFonts w:ascii="Arial" w:hAnsi="Arial" w:cs="Arial"/>
          <w:b w:val="0"/>
          <w:bCs w:val="0"/>
          <w:sz w:val="20"/>
        </w:rPr>
        <w:t xml:space="preserve"> </w:t>
      </w:r>
      <w:r w:rsidR="0025106E">
        <w:rPr>
          <w:rFonts w:ascii="Arial" w:hAnsi="Arial" w:cs="Arial"/>
          <w:b w:val="0"/>
          <w:bCs w:val="0"/>
          <w:sz w:val="20"/>
        </w:rPr>
        <w:t>rise in prices of s</w:t>
      </w:r>
      <w:r w:rsidR="0025106E" w:rsidRPr="0025106E">
        <w:rPr>
          <w:rFonts w:ascii="Arial" w:hAnsi="Arial" w:cs="Arial"/>
          <w:b w:val="0"/>
          <w:bCs w:val="0"/>
          <w:sz w:val="20"/>
        </w:rPr>
        <w:t xml:space="preserve">olid fuels </w:t>
      </w:r>
      <w:r w:rsidR="0025106E">
        <w:rPr>
          <w:rFonts w:ascii="Arial" w:hAnsi="Arial" w:cs="Arial"/>
          <w:b w:val="0"/>
          <w:bCs w:val="0"/>
          <w:sz w:val="20"/>
        </w:rPr>
        <w:t>by 2.5% (1.</w:t>
      </w:r>
      <w:r w:rsidR="00596A41">
        <w:rPr>
          <w:rFonts w:ascii="Arial" w:hAnsi="Arial" w:cs="Arial"/>
          <w:b w:val="0"/>
          <w:bCs w:val="0"/>
          <w:sz w:val="20"/>
        </w:rPr>
        <w:t>0</w:t>
      </w:r>
      <w:r w:rsidR="0025106E">
        <w:rPr>
          <w:rFonts w:ascii="Arial" w:hAnsi="Arial" w:cs="Arial"/>
          <w:b w:val="0"/>
          <w:bCs w:val="0"/>
          <w:sz w:val="20"/>
        </w:rPr>
        <w:t>% in Q3)</w:t>
      </w:r>
      <w:r w:rsidR="00596A41">
        <w:rPr>
          <w:rFonts w:ascii="Arial" w:hAnsi="Arial" w:cs="Arial"/>
          <w:b w:val="0"/>
          <w:bCs w:val="0"/>
          <w:sz w:val="20"/>
        </w:rPr>
        <w:t xml:space="preserve"> and s</w:t>
      </w:r>
      <w:r w:rsidR="00596A41" w:rsidRPr="00596A41">
        <w:rPr>
          <w:rFonts w:ascii="Arial" w:hAnsi="Arial" w:cs="Arial"/>
          <w:b w:val="0"/>
          <w:bCs w:val="0"/>
          <w:sz w:val="20"/>
        </w:rPr>
        <w:t>ervices for the maintenance and repair of the dwelling</w:t>
      </w:r>
      <w:r w:rsidR="00596A41">
        <w:rPr>
          <w:rFonts w:ascii="Arial" w:hAnsi="Arial" w:cs="Arial"/>
          <w:b w:val="0"/>
          <w:bCs w:val="0"/>
          <w:sz w:val="20"/>
        </w:rPr>
        <w:t xml:space="preserve"> by 2.5% (1.9% in Q3).</w:t>
      </w:r>
      <w:r w:rsidR="0025106E">
        <w:rPr>
          <w:rFonts w:ascii="Arial" w:hAnsi="Arial" w:cs="Arial"/>
          <w:b w:val="0"/>
          <w:bCs w:val="0"/>
          <w:sz w:val="20"/>
        </w:rPr>
        <w:t xml:space="preserve"> </w:t>
      </w:r>
      <w:r w:rsidR="00B9031C" w:rsidRPr="004A1649">
        <w:rPr>
          <w:rFonts w:ascii="Arial" w:hAnsi="Arial" w:cs="Arial"/>
          <w:b w:val="0"/>
          <w:sz w:val="20"/>
          <w:szCs w:val="20"/>
        </w:rPr>
        <w:t>E</w:t>
      </w:r>
      <w:r w:rsidR="00B9031C" w:rsidRPr="004A1649">
        <w:rPr>
          <w:rFonts w:ascii="Arial" w:hAnsi="Arial" w:cs="Arial"/>
          <w:b w:val="0"/>
          <w:bCs w:val="0"/>
          <w:sz w:val="20"/>
        </w:rPr>
        <w:t xml:space="preserve">lectricity prices were </w:t>
      </w:r>
      <w:r w:rsidR="006445D3">
        <w:rPr>
          <w:rFonts w:ascii="Arial" w:hAnsi="Arial" w:cs="Arial"/>
          <w:b w:val="0"/>
          <w:bCs w:val="0"/>
          <w:sz w:val="20"/>
        </w:rPr>
        <w:t xml:space="preserve">in both quarters </w:t>
      </w:r>
      <w:r w:rsidR="00B9031C">
        <w:rPr>
          <w:rFonts w:ascii="Arial" w:hAnsi="Arial" w:cs="Arial"/>
          <w:b w:val="0"/>
          <w:bCs w:val="0"/>
          <w:sz w:val="20"/>
        </w:rPr>
        <w:t>higher</w:t>
      </w:r>
      <w:r w:rsidR="00B9031C" w:rsidRPr="004A1649">
        <w:rPr>
          <w:rFonts w:ascii="Arial" w:hAnsi="Arial" w:cs="Arial"/>
          <w:b w:val="0"/>
          <w:bCs w:val="0"/>
          <w:sz w:val="20"/>
        </w:rPr>
        <w:t xml:space="preserve"> by </w:t>
      </w:r>
      <w:r w:rsidR="00B9031C">
        <w:rPr>
          <w:rFonts w:ascii="Arial" w:hAnsi="Arial" w:cs="Arial"/>
          <w:b w:val="0"/>
          <w:bCs w:val="0"/>
          <w:sz w:val="20"/>
        </w:rPr>
        <w:t>1</w:t>
      </w:r>
      <w:r w:rsidR="00B9031C" w:rsidRPr="004A1649">
        <w:rPr>
          <w:rFonts w:ascii="Arial" w:hAnsi="Arial" w:cs="Arial"/>
          <w:b w:val="0"/>
          <w:bCs w:val="0"/>
          <w:sz w:val="20"/>
        </w:rPr>
        <w:t>.</w:t>
      </w:r>
      <w:r w:rsidR="00B9031C">
        <w:rPr>
          <w:rFonts w:ascii="Arial" w:hAnsi="Arial" w:cs="Arial"/>
          <w:b w:val="0"/>
          <w:bCs w:val="0"/>
          <w:sz w:val="20"/>
        </w:rPr>
        <w:t>2</w:t>
      </w:r>
      <w:r w:rsidR="00B9031C" w:rsidRPr="004A1649">
        <w:rPr>
          <w:rFonts w:ascii="Arial" w:hAnsi="Arial" w:cs="Arial"/>
          <w:b w:val="0"/>
          <w:bCs w:val="0"/>
          <w:sz w:val="20"/>
        </w:rPr>
        <w:t>%</w:t>
      </w:r>
      <w:r w:rsidR="006445D3">
        <w:rPr>
          <w:rFonts w:ascii="Arial" w:hAnsi="Arial" w:cs="Arial"/>
          <w:b w:val="0"/>
          <w:bCs w:val="0"/>
          <w:sz w:val="20"/>
        </w:rPr>
        <w:t>.</w:t>
      </w:r>
      <w:r w:rsidR="00B9031C">
        <w:rPr>
          <w:rFonts w:ascii="Arial" w:hAnsi="Arial" w:cs="Arial"/>
          <w:b w:val="0"/>
          <w:bCs w:val="0"/>
          <w:sz w:val="20"/>
        </w:rPr>
        <w:t xml:space="preserve"> </w:t>
      </w:r>
      <w:r w:rsidR="006445D3">
        <w:rPr>
          <w:rFonts w:ascii="Arial" w:hAnsi="Arial" w:cs="Arial"/>
          <w:b w:val="0"/>
          <w:bCs w:val="0"/>
          <w:sz w:val="20"/>
        </w:rPr>
        <w:t xml:space="preserve">The consistent y-o-y growth </w:t>
      </w:r>
      <w:r w:rsidR="001B76E2">
        <w:rPr>
          <w:rFonts w:ascii="Arial" w:hAnsi="Arial" w:cs="Arial"/>
          <w:b w:val="0"/>
          <w:bCs w:val="0"/>
          <w:sz w:val="20"/>
        </w:rPr>
        <w:t xml:space="preserve">in both quarters was also for </w:t>
      </w:r>
      <w:r w:rsidR="001B76E2" w:rsidRPr="004A1649">
        <w:rPr>
          <w:rFonts w:ascii="Arial" w:hAnsi="Arial" w:cs="Arial"/>
          <w:b w:val="0"/>
          <w:sz w:val="20"/>
          <w:szCs w:val="20"/>
        </w:rPr>
        <w:t xml:space="preserve">water supply levies by </w:t>
      </w:r>
      <w:r w:rsidR="001B76E2">
        <w:rPr>
          <w:rFonts w:ascii="Arial" w:hAnsi="Arial" w:cs="Arial"/>
          <w:b w:val="0"/>
          <w:sz w:val="20"/>
          <w:szCs w:val="20"/>
        </w:rPr>
        <w:t>1</w:t>
      </w:r>
      <w:r w:rsidR="001B76E2" w:rsidRPr="004A1649">
        <w:rPr>
          <w:rFonts w:ascii="Arial" w:hAnsi="Arial" w:cs="Arial"/>
          <w:b w:val="0"/>
          <w:sz w:val="20"/>
          <w:szCs w:val="20"/>
        </w:rPr>
        <w:t>.</w:t>
      </w:r>
      <w:r w:rsidR="001B76E2">
        <w:rPr>
          <w:rFonts w:ascii="Arial" w:hAnsi="Arial" w:cs="Arial"/>
          <w:b w:val="0"/>
          <w:sz w:val="20"/>
          <w:szCs w:val="20"/>
        </w:rPr>
        <w:t>6</w:t>
      </w:r>
      <w:r w:rsidR="001B76E2" w:rsidRPr="004A1649">
        <w:rPr>
          <w:rFonts w:ascii="Arial" w:hAnsi="Arial" w:cs="Arial"/>
          <w:b w:val="0"/>
          <w:sz w:val="20"/>
          <w:szCs w:val="20"/>
        </w:rPr>
        <w:t>%</w:t>
      </w:r>
      <w:r w:rsidR="001B76E2">
        <w:rPr>
          <w:rFonts w:ascii="Arial" w:hAnsi="Arial" w:cs="Arial"/>
          <w:b w:val="0"/>
          <w:sz w:val="20"/>
          <w:szCs w:val="20"/>
        </w:rPr>
        <w:t xml:space="preserve"> and </w:t>
      </w:r>
      <w:r w:rsidR="001B76E2" w:rsidRPr="004A1649">
        <w:rPr>
          <w:rFonts w:ascii="Arial" w:hAnsi="Arial" w:cs="Arial"/>
          <w:b w:val="0"/>
          <w:sz w:val="20"/>
          <w:szCs w:val="20"/>
        </w:rPr>
        <w:t>sewage collection levies</w:t>
      </w:r>
      <w:r w:rsidR="001B76E2">
        <w:rPr>
          <w:rFonts w:ascii="Arial" w:hAnsi="Arial" w:cs="Arial"/>
          <w:b w:val="0"/>
          <w:sz w:val="20"/>
          <w:szCs w:val="20"/>
        </w:rPr>
        <w:t xml:space="preserve"> by 5.3%.</w:t>
      </w:r>
      <w:r w:rsidR="001B76E2" w:rsidRPr="004A1649">
        <w:rPr>
          <w:rFonts w:ascii="Arial" w:hAnsi="Arial" w:cs="Arial"/>
          <w:b w:val="0"/>
          <w:sz w:val="20"/>
          <w:szCs w:val="20"/>
        </w:rPr>
        <w:t xml:space="preserve"> </w:t>
      </w:r>
      <w:r w:rsidR="001B76E2">
        <w:rPr>
          <w:rFonts w:ascii="Arial" w:hAnsi="Arial" w:cs="Arial"/>
          <w:b w:val="0"/>
          <w:sz w:val="20"/>
          <w:szCs w:val="20"/>
        </w:rPr>
        <w:t>N</w:t>
      </w:r>
      <w:r w:rsidR="001B76E2" w:rsidRPr="004A1649">
        <w:rPr>
          <w:rFonts w:ascii="Arial" w:hAnsi="Arial" w:cs="Arial"/>
          <w:b w:val="0"/>
          <w:bCs w:val="0"/>
          <w:sz w:val="20"/>
        </w:rPr>
        <w:t xml:space="preserve">atural gas prices </w:t>
      </w:r>
      <w:r w:rsidR="001B76E2">
        <w:rPr>
          <w:rFonts w:ascii="Arial" w:hAnsi="Arial" w:cs="Arial"/>
          <w:b w:val="0"/>
          <w:bCs w:val="0"/>
          <w:sz w:val="20"/>
        </w:rPr>
        <w:t>went down identically by 6.9% in both quarters. T</w:t>
      </w:r>
      <w:r w:rsidRPr="004A1649">
        <w:rPr>
          <w:rFonts w:ascii="Arial" w:hAnsi="Arial" w:cs="Arial"/>
          <w:b w:val="0"/>
          <w:bCs w:val="0"/>
          <w:sz w:val="20"/>
        </w:rPr>
        <w:t xml:space="preserve">he </w:t>
      </w:r>
      <w:r w:rsidRPr="004A1649">
        <w:rPr>
          <w:rFonts w:ascii="Arial" w:hAnsi="Arial" w:cs="Arial"/>
          <w:b w:val="0"/>
          <w:sz w:val="20"/>
          <w:szCs w:val="20"/>
        </w:rPr>
        <w:t xml:space="preserve">net actual rentals </w:t>
      </w:r>
      <w:r w:rsidR="001B76E2">
        <w:rPr>
          <w:rFonts w:ascii="Arial" w:hAnsi="Arial" w:cs="Arial"/>
          <w:b w:val="0"/>
          <w:sz w:val="20"/>
          <w:szCs w:val="20"/>
        </w:rPr>
        <w:t>p</w:t>
      </w:r>
      <w:r w:rsidR="001B76E2">
        <w:rPr>
          <w:rFonts w:ascii="Arial" w:hAnsi="Arial" w:cs="Arial"/>
          <w:b w:val="0"/>
          <w:bCs w:val="0"/>
          <w:sz w:val="20"/>
        </w:rPr>
        <w:t>rices</w:t>
      </w:r>
      <w:r w:rsidR="001B76E2" w:rsidRPr="004A1649">
        <w:rPr>
          <w:rFonts w:ascii="Arial" w:hAnsi="Arial" w:cs="Arial"/>
          <w:b w:val="0"/>
          <w:sz w:val="20"/>
          <w:szCs w:val="20"/>
        </w:rPr>
        <w:t xml:space="preserve"> </w:t>
      </w:r>
      <w:r w:rsidRPr="004A1649">
        <w:rPr>
          <w:rFonts w:ascii="Arial" w:hAnsi="Arial" w:cs="Arial"/>
          <w:b w:val="0"/>
          <w:sz w:val="20"/>
          <w:szCs w:val="20"/>
        </w:rPr>
        <w:t>rose by 1.</w:t>
      </w:r>
      <w:r w:rsidR="001B76E2">
        <w:rPr>
          <w:rFonts w:ascii="Arial" w:hAnsi="Arial" w:cs="Arial"/>
          <w:b w:val="0"/>
          <w:sz w:val="20"/>
          <w:szCs w:val="20"/>
        </w:rPr>
        <w:t>7</w:t>
      </w:r>
      <w:r w:rsidRPr="004A1649">
        <w:rPr>
          <w:rFonts w:ascii="Arial" w:hAnsi="Arial" w:cs="Arial"/>
          <w:b w:val="0"/>
          <w:sz w:val="20"/>
          <w:szCs w:val="20"/>
        </w:rPr>
        <w:t>%</w:t>
      </w:r>
      <w:r w:rsidR="001B76E2">
        <w:rPr>
          <w:rFonts w:ascii="Arial" w:hAnsi="Arial" w:cs="Arial"/>
          <w:b w:val="0"/>
          <w:sz w:val="20"/>
          <w:szCs w:val="20"/>
        </w:rPr>
        <w:t xml:space="preserve"> and </w:t>
      </w:r>
      <w:r w:rsidRPr="004A1649">
        <w:rPr>
          <w:rFonts w:ascii="Arial" w:hAnsi="Arial" w:cs="Arial"/>
          <w:b w:val="0"/>
          <w:bCs w:val="0"/>
          <w:sz w:val="20"/>
        </w:rPr>
        <w:t xml:space="preserve">heat and hot water prices by </w:t>
      </w:r>
      <w:r w:rsidR="001B76E2">
        <w:rPr>
          <w:rFonts w:ascii="Arial" w:hAnsi="Arial" w:cs="Arial"/>
          <w:b w:val="0"/>
          <w:bCs w:val="0"/>
          <w:sz w:val="20"/>
        </w:rPr>
        <w:t>1</w:t>
      </w:r>
      <w:r w:rsidRPr="004A1649">
        <w:rPr>
          <w:rFonts w:ascii="Arial" w:hAnsi="Arial" w:cs="Arial"/>
          <w:b w:val="0"/>
          <w:bCs w:val="0"/>
          <w:sz w:val="20"/>
        </w:rPr>
        <w:t>.</w:t>
      </w:r>
      <w:r w:rsidR="001B76E2">
        <w:rPr>
          <w:rFonts w:ascii="Arial" w:hAnsi="Arial" w:cs="Arial"/>
          <w:b w:val="0"/>
          <w:bCs w:val="0"/>
          <w:sz w:val="20"/>
        </w:rPr>
        <w:t>1</w:t>
      </w:r>
      <w:r w:rsidRPr="004A1649">
        <w:rPr>
          <w:rFonts w:ascii="Arial" w:hAnsi="Arial" w:cs="Arial"/>
          <w:b w:val="0"/>
          <w:bCs w:val="0"/>
          <w:sz w:val="20"/>
        </w:rPr>
        <w:t xml:space="preserve">%. </w:t>
      </w:r>
    </w:p>
    <w:p w:rsidR="00BB15DE" w:rsidRDefault="00BB15D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1B76E2" w:rsidRDefault="0011733F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  <w:r w:rsidRPr="004E0459">
        <w:rPr>
          <w:szCs w:val="20"/>
        </w:rPr>
        <w:lastRenderedPageBreak/>
        <w:pict>
          <v:shape id="_x0000_i1028" type="#_x0000_t75" style="width:425.1pt;height:278.6pt">
            <v:imagedata r:id="rId10" o:title=""/>
          </v:shape>
        </w:pict>
      </w:r>
    </w:p>
    <w:p w:rsidR="004A1649" w:rsidRDefault="004A1649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4A1649" w:rsidRDefault="004A1649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001607" w:rsidRDefault="00001607" w:rsidP="000016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E860C5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E860C5">
        <w:rPr>
          <w:rFonts w:ascii="Arial" w:hAnsi="Arial" w:cs="Arial"/>
          <w:bCs w:val="0"/>
          <w:sz w:val="20"/>
        </w:rPr>
        <w:t>'clothing and footwear'</w:t>
      </w:r>
      <w:r w:rsidRPr="00E860C5">
        <w:rPr>
          <w:rFonts w:ascii="Arial" w:hAnsi="Arial" w:cs="Arial"/>
          <w:b w:val="0"/>
          <w:bCs w:val="0"/>
          <w:sz w:val="20"/>
        </w:rPr>
        <w:t xml:space="preserve">, the y-o-y growth of prices slowed down in Q4 2016, </w:t>
      </w:r>
      <w:r w:rsidRPr="008F48D5">
        <w:rPr>
          <w:rFonts w:ascii="Arial" w:hAnsi="Arial" w:cs="Arial"/>
          <w:b w:val="0"/>
          <w:bCs w:val="0"/>
          <w:sz w:val="20"/>
        </w:rPr>
        <w:t>whe</w:t>
      </w:r>
      <w:r>
        <w:rPr>
          <w:rFonts w:ascii="Arial" w:hAnsi="Arial" w:cs="Arial"/>
          <w:b w:val="0"/>
          <w:bCs w:val="0"/>
          <w:sz w:val="20"/>
        </w:rPr>
        <w:t>reas</w:t>
      </w:r>
      <w:r w:rsidRPr="008F48D5">
        <w:rPr>
          <w:rFonts w:ascii="Arial" w:hAnsi="Arial" w:cs="Arial"/>
          <w:b w:val="0"/>
          <w:bCs w:val="0"/>
          <w:sz w:val="20"/>
        </w:rPr>
        <w:t xml:space="preserve"> prices of garments increased by 0.2%</w:t>
      </w:r>
      <w:r>
        <w:rPr>
          <w:rFonts w:ascii="Arial" w:hAnsi="Arial" w:cs="Arial"/>
          <w:b w:val="0"/>
          <w:bCs w:val="0"/>
          <w:sz w:val="20"/>
        </w:rPr>
        <w:t xml:space="preserve"> (0.9% in Q3) and prices of shoes and other footwear by 4.1% (4.6% in Q3).</w:t>
      </w:r>
    </w:p>
    <w:p w:rsidR="00001607" w:rsidRDefault="00001607" w:rsidP="00001607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 </w:t>
      </w:r>
    </w:p>
    <w:p w:rsidR="00001607" w:rsidRDefault="00001607" w:rsidP="00001607">
      <w:pPr>
        <w:pStyle w:val="Zkladntextodsazen2"/>
        <w:spacing w:line="276" w:lineRule="auto"/>
        <w:ind w:firstLine="0"/>
        <w:rPr>
          <w:rFonts w:ascii="Arial" w:hAnsi="Arial"/>
          <w:b w:val="0"/>
          <w:sz w:val="20"/>
          <w:szCs w:val="20"/>
        </w:rPr>
      </w:pPr>
      <w:r w:rsidRPr="002F45B5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2F45B5">
        <w:rPr>
          <w:rFonts w:ascii="Arial" w:hAnsi="Arial" w:cs="Arial"/>
          <w:b w:val="0"/>
          <w:sz w:val="20"/>
        </w:rPr>
        <w:t>'</w:t>
      </w:r>
      <w:r w:rsidRPr="002F45B5">
        <w:rPr>
          <w:rFonts w:ascii="Arial" w:hAnsi="Arial" w:cs="Arial"/>
          <w:sz w:val="20"/>
        </w:rPr>
        <w:t>recreation and culture</w:t>
      </w:r>
      <w:r w:rsidRPr="002F45B5">
        <w:rPr>
          <w:rFonts w:ascii="Arial" w:hAnsi="Arial" w:cs="Arial"/>
          <w:b w:val="0"/>
          <w:sz w:val="20"/>
        </w:rPr>
        <w:t xml:space="preserve">', a </w:t>
      </w:r>
      <w:r>
        <w:rPr>
          <w:rFonts w:ascii="Arial" w:hAnsi="Arial" w:cs="Arial"/>
          <w:b w:val="0"/>
          <w:sz w:val="20"/>
        </w:rPr>
        <w:t>slowdown</w:t>
      </w:r>
      <w:r w:rsidRPr="002F45B5">
        <w:rPr>
          <w:rFonts w:ascii="Arial" w:hAnsi="Arial" w:cs="Arial"/>
          <w:b w:val="0"/>
          <w:sz w:val="20"/>
        </w:rPr>
        <w:t xml:space="preserve"> in the price growth was caused especially by a</w:t>
      </w:r>
      <w:r w:rsidR="00C62098">
        <w:rPr>
          <w:rFonts w:ascii="Arial" w:hAnsi="Arial" w:cs="Arial"/>
          <w:b w:val="0"/>
          <w:sz w:val="20"/>
        </w:rPr>
        <w:t> </w:t>
      </w:r>
      <w:r>
        <w:rPr>
          <w:rFonts w:ascii="Arial" w:hAnsi="Arial" w:cs="Arial"/>
          <w:b w:val="0"/>
          <w:sz w:val="20"/>
        </w:rPr>
        <w:t>moderate</w:t>
      </w:r>
      <w:r w:rsidRPr="002F45B5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acceleration in the drop </w:t>
      </w:r>
      <w:r w:rsidRPr="002F45B5">
        <w:rPr>
          <w:rFonts w:ascii="Arial" w:hAnsi="Arial" w:cs="Arial"/>
          <w:b w:val="0"/>
          <w:sz w:val="20"/>
        </w:rPr>
        <w:t>in</w:t>
      </w:r>
      <w:r>
        <w:rPr>
          <w:rFonts w:ascii="Arial" w:hAnsi="Arial" w:cs="Arial"/>
          <w:b w:val="0"/>
          <w:sz w:val="20"/>
        </w:rPr>
        <w:t xml:space="preserve"> </w:t>
      </w:r>
      <w:r w:rsidRPr="002F45B5">
        <w:rPr>
          <w:rFonts w:ascii="Arial" w:hAnsi="Arial" w:cs="Arial"/>
          <w:b w:val="0"/>
          <w:sz w:val="20"/>
        </w:rPr>
        <w:t xml:space="preserve">prices of </w:t>
      </w:r>
      <w:r w:rsidRPr="002F45B5">
        <w:rPr>
          <w:rFonts w:ascii="Arial" w:hAnsi="Arial"/>
          <w:b w:val="0"/>
          <w:sz w:val="20"/>
          <w:szCs w:val="20"/>
        </w:rPr>
        <w:t>equipment for the reception, recording and reproduction of sound and picture (to -</w:t>
      </w:r>
      <w:r>
        <w:rPr>
          <w:rFonts w:ascii="Arial" w:hAnsi="Arial"/>
          <w:b w:val="0"/>
          <w:sz w:val="20"/>
          <w:szCs w:val="20"/>
        </w:rPr>
        <w:t>8</w:t>
      </w:r>
      <w:r w:rsidRPr="002F45B5">
        <w:rPr>
          <w:rFonts w:ascii="Arial" w:hAnsi="Arial"/>
          <w:b w:val="0"/>
          <w:sz w:val="20"/>
          <w:szCs w:val="20"/>
        </w:rPr>
        <w:t>.</w:t>
      </w:r>
      <w:r>
        <w:rPr>
          <w:rFonts w:ascii="Arial" w:hAnsi="Arial"/>
          <w:b w:val="0"/>
          <w:sz w:val="20"/>
          <w:szCs w:val="20"/>
        </w:rPr>
        <w:t>7</w:t>
      </w:r>
      <w:r w:rsidRPr="002F45B5">
        <w:rPr>
          <w:rFonts w:ascii="Arial" w:hAnsi="Arial"/>
          <w:b w:val="0"/>
          <w:sz w:val="20"/>
          <w:szCs w:val="20"/>
        </w:rPr>
        <w:t>% from -</w:t>
      </w:r>
      <w:r>
        <w:rPr>
          <w:rFonts w:ascii="Arial" w:hAnsi="Arial"/>
          <w:b w:val="0"/>
          <w:sz w:val="20"/>
          <w:szCs w:val="20"/>
        </w:rPr>
        <w:t>6</w:t>
      </w:r>
      <w:r w:rsidRPr="002F45B5">
        <w:rPr>
          <w:rFonts w:ascii="Arial" w:hAnsi="Arial"/>
          <w:b w:val="0"/>
          <w:sz w:val="20"/>
          <w:szCs w:val="20"/>
        </w:rPr>
        <w:t>.</w:t>
      </w:r>
      <w:r>
        <w:rPr>
          <w:rFonts w:ascii="Arial" w:hAnsi="Arial"/>
          <w:b w:val="0"/>
          <w:sz w:val="20"/>
          <w:szCs w:val="20"/>
        </w:rPr>
        <w:t>7</w:t>
      </w:r>
      <w:r w:rsidRPr="002F45B5">
        <w:rPr>
          <w:rFonts w:ascii="Arial" w:hAnsi="Arial"/>
          <w:b w:val="0"/>
          <w:sz w:val="20"/>
          <w:szCs w:val="20"/>
        </w:rPr>
        <w:t>% in Q3).</w:t>
      </w:r>
      <w:r>
        <w:rPr>
          <w:rFonts w:ascii="Arial" w:hAnsi="Arial"/>
          <w:b w:val="0"/>
          <w:sz w:val="20"/>
          <w:szCs w:val="20"/>
        </w:rPr>
        <w:t xml:space="preserve"> For toys, prices fell (-0.8% from a growth by 0.6% in Q3).</w:t>
      </w:r>
    </w:p>
    <w:p w:rsidR="004A1649" w:rsidRDefault="00001607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:rsidR="00001607" w:rsidRPr="009B5761" w:rsidRDefault="00DE479D" w:rsidP="0000160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</w:rPr>
        <w:t>The</w:t>
      </w:r>
      <w:r w:rsidR="00001607" w:rsidRPr="00E90B62">
        <w:rPr>
          <w:rFonts w:ascii="Arial" w:hAnsi="Arial" w:cs="Arial"/>
          <w:b w:val="0"/>
          <w:sz w:val="20"/>
        </w:rPr>
        <w:t xml:space="preserve"> acceleration in</w:t>
      </w:r>
      <w:r w:rsidR="00001607" w:rsidRPr="00E90B62">
        <w:rPr>
          <w:rFonts w:ascii="Arial" w:hAnsi="Arial" w:cs="Arial"/>
          <w:sz w:val="20"/>
        </w:rPr>
        <w:t xml:space="preserve"> </w:t>
      </w:r>
      <w:r w:rsidR="00001607" w:rsidRPr="00E90B62">
        <w:rPr>
          <w:rFonts w:ascii="Arial" w:hAnsi="Arial" w:cs="Arial"/>
          <w:b w:val="0"/>
          <w:sz w:val="20"/>
        </w:rPr>
        <w:t>the y-o-y price rise</w:t>
      </w:r>
      <w:r w:rsidR="00001607" w:rsidRPr="00E90B62">
        <w:rPr>
          <w:rFonts w:ascii="Arial" w:hAnsi="Arial" w:cs="Arial"/>
          <w:sz w:val="20"/>
        </w:rPr>
        <w:t xml:space="preserve"> </w:t>
      </w:r>
      <w:r w:rsidR="00001607" w:rsidRPr="00E90B62">
        <w:rPr>
          <w:rFonts w:ascii="Arial" w:hAnsi="Arial" w:cs="Arial"/>
          <w:b w:val="0"/>
          <w:sz w:val="20"/>
        </w:rPr>
        <w:t>in</w:t>
      </w:r>
      <w:r w:rsidR="00001607">
        <w:rPr>
          <w:rFonts w:ascii="Arial" w:hAnsi="Arial" w:cs="Arial"/>
          <w:sz w:val="20"/>
        </w:rPr>
        <w:t xml:space="preserve"> </w:t>
      </w:r>
      <w:r w:rsidR="00001607" w:rsidRPr="00E90B62">
        <w:rPr>
          <w:rFonts w:ascii="Arial" w:hAnsi="Arial" w:cs="Arial"/>
          <w:sz w:val="20"/>
        </w:rPr>
        <w:t>'miscellaneous goods</w:t>
      </w:r>
      <w:r w:rsidR="00001607" w:rsidRPr="00E90B62">
        <w:rPr>
          <w:rFonts w:ascii="Arial" w:hAnsi="Arial" w:cs="Arial"/>
          <w:b w:val="0"/>
          <w:sz w:val="20"/>
        </w:rPr>
        <w:t xml:space="preserve"> </w:t>
      </w:r>
      <w:r w:rsidR="00001607" w:rsidRPr="00E90B62">
        <w:rPr>
          <w:rFonts w:ascii="Arial" w:hAnsi="Arial" w:cs="Arial"/>
          <w:sz w:val="20"/>
        </w:rPr>
        <w:t>and services</w:t>
      </w:r>
      <w:r w:rsidR="00001607" w:rsidRPr="00E90B62">
        <w:rPr>
          <w:rFonts w:ascii="Arial" w:hAnsi="Arial" w:cs="Arial"/>
          <w:b w:val="0"/>
          <w:sz w:val="20"/>
        </w:rPr>
        <w:t>'</w:t>
      </w:r>
      <w:r w:rsidR="00001607">
        <w:rPr>
          <w:rFonts w:ascii="Arial" w:hAnsi="Arial" w:cs="Arial"/>
          <w:b w:val="0"/>
          <w:sz w:val="20"/>
        </w:rPr>
        <w:t xml:space="preserve"> was caused by an increase in prices of b</w:t>
      </w:r>
      <w:r w:rsidR="00001607" w:rsidRPr="00107C00">
        <w:rPr>
          <w:rFonts w:ascii="Arial" w:hAnsi="Arial" w:cs="Arial"/>
          <w:b w:val="0"/>
          <w:sz w:val="20"/>
        </w:rPr>
        <w:t>eauty products</w:t>
      </w:r>
      <w:r w:rsidR="00001607" w:rsidRPr="00E90B62">
        <w:rPr>
          <w:rFonts w:ascii="Arial" w:hAnsi="Arial" w:cs="Arial"/>
          <w:b w:val="0"/>
          <w:bCs w:val="0"/>
          <w:sz w:val="20"/>
          <w:szCs w:val="20"/>
        </w:rPr>
        <w:t xml:space="preserve"> by </w:t>
      </w:r>
      <w:r w:rsidR="00001607">
        <w:rPr>
          <w:rFonts w:ascii="Arial" w:hAnsi="Arial" w:cs="Arial"/>
          <w:b w:val="0"/>
          <w:bCs w:val="0"/>
          <w:sz w:val="20"/>
          <w:szCs w:val="20"/>
        </w:rPr>
        <w:t>2</w:t>
      </w:r>
      <w:r w:rsidR="00001607" w:rsidRPr="00E90B62">
        <w:rPr>
          <w:rFonts w:ascii="Arial" w:hAnsi="Arial" w:cs="Arial"/>
          <w:b w:val="0"/>
          <w:bCs w:val="0"/>
          <w:sz w:val="20"/>
          <w:szCs w:val="20"/>
        </w:rPr>
        <w:t>.</w:t>
      </w:r>
      <w:r w:rsidR="00001607">
        <w:rPr>
          <w:rFonts w:ascii="Arial" w:hAnsi="Arial" w:cs="Arial"/>
          <w:b w:val="0"/>
          <w:bCs w:val="0"/>
          <w:sz w:val="20"/>
          <w:szCs w:val="20"/>
        </w:rPr>
        <w:t>9</w:t>
      </w:r>
      <w:r w:rsidR="00001607" w:rsidRPr="00E90B62">
        <w:rPr>
          <w:rFonts w:ascii="Arial" w:hAnsi="Arial" w:cs="Arial"/>
          <w:b w:val="0"/>
          <w:bCs w:val="0"/>
          <w:sz w:val="20"/>
          <w:szCs w:val="20"/>
        </w:rPr>
        <w:t>% (</w:t>
      </w:r>
      <w:r w:rsidR="00001607">
        <w:rPr>
          <w:rFonts w:ascii="Arial" w:hAnsi="Arial" w:cs="Arial"/>
          <w:b w:val="0"/>
          <w:bCs w:val="0"/>
          <w:sz w:val="20"/>
          <w:szCs w:val="20"/>
        </w:rPr>
        <w:t>2</w:t>
      </w:r>
      <w:r w:rsidR="00001607" w:rsidRPr="00E90B62">
        <w:rPr>
          <w:rFonts w:ascii="Arial" w:hAnsi="Arial" w:cs="Arial"/>
          <w:b w:val="0"/>
          <w:bCs w:val="0"/>
          <w:sz w:val="20"/>
          <w:szCs w:val="20"/>
        </w:rPr>
        <w:t>.</w:t>
      </w:r>
      <w:r w:rsidR="00001607">
        <w:rPr>
          <w:rFonts w:ascii="Arial" w:hAnsi="Arial" w:cs="Arial"/>
          <w:b w:val="0"/>
          <w:bCs w:val="0"/>
          <w:sz w:val="20"/>
          <w:szCs w:val="20"/>
        </w:rPr>
        <w:t>0</w:t>
      </w:r>
      <w:r w:rsidR="00001607" w:rsidRPr="00E90B62">
        <w:rPr>
          <w:rFonts w:ascii="Arial" w:hAnsi="Arial" w:cs="Arial"/>
          <w:b w:val="0"/>
          <w:bCs w:val="0"/>
          <w:sz w:val="20"/>
          <w:szCs w:val="20"/>
        </w:rPr>
        <w:t>% in Q3)</w:t>
      </w:r>
      <w:r w:rsidR="00001607" w:rsidRPr="00E90B62">
        <w:rPr>
          <w:rStyle w:val="hps"/>
          <w:rFonts w:ascii="Arial" w:hAnsi="Arial" w:cs="Arial"/>
          <w:b w:val="0"/>
          <w:color w:val="222222"/>
          <w:sz w:val="20"/>
          <w:szCs w:val="20"/>
        </w:rPr>
        <w:t>.</w:t>
      </w:r>
      <w:r w:rsidR="00001607" w:rsidRPr="009B5761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001607" w:rsidRDefault="00001607" w:rsidP="0000160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001607" w:rsidRDefault="00DE479D" w:rsidP="000016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="00001607" w:rsidRPr="008B1FD5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001607" w:rsidRPr="008B1FD5">
        <w:rPr>
          <w:rFonts w:ascii="Arial" w:hAnsi="Arial" w:cs="Arial"/>
          <w:b w:val="0"/>
          <w:sz w:val="20"/>
        </w:rPr>
        <w:t>'</w:t>
      </w:r>
      <w:r w:rsidR="00001607" w:rsidRPr="008B1FD5">
        <w:rPr>
          <w:rFonts w:ascii="Arial" w:hAnsi="Arial" w:cs="Arial"/>
          <w:sz w:val="20"/>
        </w:rPr>
        <w:t>alcoholic beverages and tobacco</w:t>
      </w:r>
      <w:r w:rsidR="00001607" w:rsidRPr="008B1FD5">
        <w:rPr>
          <w:rFonts w:ascii="Arial" w:hAnsi="Arial" w:cs="Arial"/>
          <w:b w:val="0"/>
          <w:sz w:val="20"/>
        </w:rPr>
        <w:t xml:space="preserve">', </w:t>
      </w:r>
      <w:r w:rsidR="00001607" w:rsidRPr="008B1FD5">
        <w:rPr>
          <w:rFonts w:ascii="Arial" w:hAnsi="Arial" w:cs="Arial"/>
          <w:b w:val="0"/>
          <w:bCs w:val="0"/>
          <w:sz w:val="20"/>
          <w:szCs w:val="20"/>
        </w:rPr>
        <w:t xml:space="preserve">prices of </w:t>
      </w:r>
      <w:r>
        <w:rPr>
          <w:rFonts w:ascii="Arial" w:hAnsi="Arial" w:cs="Arial"/>
          <w:b w:val="0"/>
          <w:bCs w:val="0"/>
          <w:sz w:val="20"/>
          <w:szCs w:val="20"/>
        </w:rPr>
        <w:t>beer</w:t>
      </w:r>
      <w:r w:rsidR="00001607" w:rsidRPr="008B1FD5">
        <w:rPr>
          <w:rFonts w:ascii="Arial" w:hAnsi="Arial" w:cs="Arial"/>
          <w:b w:val="0"/>
          <w:bCs w:val="0"/>
          <w:sz w:val="20"/>
          <w:szCs w:val="20"/>
        </w:rPr>
        <w:t xml:space="preserve"> went up by </w:t>
      </w:r>
      <w:r>
        <w:rPr>
          <w:rFonts w:ascii="Arial" w:hAnsi="Arial" w:cs="Arial"/>
          <w:b w:val="0"/>
          <w:bCs w:val="0"/>
          <w:sz w:val="20"/>
          <w:szCs w:val="20"/>
        </w:rPr>
        <w:t>4</w:t>
      </w:r>
      <w:r w:rsidR="00001607" w:rsidRPr="008B1FD5">
        <w:rPr>
          <w:rFonts w:ascii="Arial" w:hAnsi="Arial" w:cs="Arial"/>
          <w:b w:val="0"/>
          <w:bCs w:val="0"/>
          <w:sz w:val="20"/>
          <w:szCs w:val="20"/>
        </w:rPr>
        <w:t>.</w:t>
      </w:r>
      <w:r>
        <w:rPr>
          <w:rFonts w:ascii="Arial" w:hAnsi="Arial" w:cs="Arial"/>
          <w:b w:val="0"/>
          <w:bCs w:val="0"/>
          <w:sz w:val="20"/>
          <w:szCs w:val="20"/>
        </w:rPr>
        <w:t>9</w:t>
      </w:r>
      <w:r w:rsidR="00001607" w:rsidRPr="008B1FD5">
        <w:rPr>
          <w:rFonts w:ascii="Arial" w:hAnsi="Arial" w:cs="Arial"/>
          <w:b w:val="0"/>
          <w:bCs w:val="0"/>
          <w:sz w:val="20"/>
          <w:szCs w:val="20"/>
        </w:rPr>
        <w:t>%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(2.9% in Q3) and prices</w:t>
      </w:r>
      <w:r w:rsidR="00001607" w:rsidRPr="008B1FD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of </w:t>
      </w:r>
      <w:r w:rsidR="00C3369E">
        <w:rPr>
          <w:rFonts w:ascii="Arial" w:hAnsi="Arial" w:cs="Arial"/>
          <w:b w:val="0"/>
          <w:bCs w:val="0"/>
          <w:sz w:val="20"/>
          <w:szCs w:val="20"/>
        </w:rPr>
        <w:t>tobacco products by 6.4% (5.7% in Q3).</w:t>
      </w:r>
      <w:r w:rsidR="00001607" w:rsidRPr="00FA61F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C3369E" w:rsidRDefault="00C3369E" w:rsidP="000016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84758E" w:rsidRDefault="0084758E" w:rsidP="000016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84758E" w:rsidRDefault="0084758E" w:rsidP="000016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84758E" w:rsidRDefault="0084758E" w:rsidP="000016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C3369E" w:rsidRPr="00FA61F4" w:rsidRDefault="00C3369E" w:rsidP="00C3369E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Pr="008B1FD5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8B1FD5">
        <w:rPr>
          <w:rFonts w:ascii="Arial" w:hAnsi="Arial" w:cs="Arial"/>
          <w:b w:val="0"/>
          <w:sz w:val="20"/>
        </w:rPr>
        <w:t>'</w:t>
      </w:r>
      <w:r w:rsidRPr="008B1FD5">
        <w:rPr>
          <w:rFonts w:ascii="Arial" w:hAnsi="Arial" w:cs="Arial"/>
          <w:sz w:val="20"/>
        </w:rPr>
        <w:t>co</w:t>
      </w:r>
      <w:r>
        <w:rPr>
          <w:rFonts w:ascii="Arial" w:hAnsi="Arial" w:cs="Arial"/>
          <w:sz w:val="20"/>
        </w:rPr>
        <w:t>mmunication</w:t>
      </w:r>
      <w:r w:rsidRPr="008B1FD5">
        <w:rPr>
          <w:rFonts w:ascii="Arial" w:hAnsi="Arial" w:cs="Arial"/>
          <w:b w:val="0"/>
          <w:sz w:val="20"/>
        </w:rPr>
        <w:t xml:space="preserve">', </w:t>
      </w:r>
      <w:r w:rsidRPr="008B1FD5">
        <w:rPr>
          <w:rFonts w:ascii="Arial" w:hAnsi="Arial" w:cs="Arial"/>
          <w:b w:val="0"/>
          <w:bCs w:val="0"/>
          <w:sz w:val="20"/>
          <w:szCs w:val="20"/>
        </w:rPr>
        <w:t xml:space="preserve">prices </w:t>
      </w:r>
      <w:r w:rsidR="00644626">
        <w:rPr>
          <w:rFonts w:ascii="Arial" w:hAnsi="Arial" w:cs="Arial"/>
          <w:b w:val="0"/>
          <w:bCs w:val="0"/>
          <w:sz w:val="20"/>
          <w:szCs w:val="20"/>
        </w:rPr>
        <w:t xml:space="preserve">turned to a drop by 0.5% (a growth by 0.1% in Q3) due to </w:t>
      </w:r>
      <w:r w:rsidR="00A05492" w:rsidRPr="00A05492">
        <w:rPr>
          <w:rFonts w:ascii="Arial" w:hAnsi="Arial" w:cs="Arial"/>
          <w:b w:val="0"/>
          <w:bCs w:val="0"/>
          <w:sz w:val="20"/>
          <w:szCs w:val="20"/>
        </w:rPr>
        <w:t>promotional prices offered by providers of telephony services</w:t>
      </w:r>
      <w:r w:rsidR="00A05492">
        <w:rPr>
          <w:rFonts w:ascii="Arial" w:hAnsi="Arial" w:cs="Arial"/>
          <w:b w:val="0"/>
          <w:bCs w:val="0"/>
          <w:sz w:val="20"/>
          <w:szCs w:val="20"/>
        </w:rPr>
        <w:t>. Prices of postal services rose by 15.2%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  <w:r w:rsidRPr="00FA61F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DB7708" w:rsidRDefault="0011733F" w:rsidP="0000160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4E0459">
        <w:rPr>
          <w:szCs w:val="20"/>
        </w:rPr>
        <w:lastRenderedPageBreak/>
        <w:pict>
          <v:shape id="_x0000_i1029" type="#_x0000_t75" style="width:425.1pt;height:246.05pt">
            <v:imagedata r:id="rId11" o:title=""/>
          </v:shape>
        </w:pict>
      </w:r>
    </w:p>
    <w:p w:rsidR="00DB7708" w:rsidRDefault="00DB7708" w:rsidP="0000160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9A35D9" w:rsidRDefault="008F400A" w:rsidP="009A35D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9A35D9" w:rsidRPr="009D6572">
        <w:rPr>
          <w:rFonts w:ascii="Arial" w:hAnsi="Arial"/>
          <w:sz w:val="20"/>
          <w:szCs w:val="20"/>
        </w:rPr>
        <w:t>rices</w:t>
      </w:r>
      <w:r w:rsidR="009A35D9">
        <w:rPr>
          <w:rFonts w:ascii="Arial" w:hAnsi="Arial"/>
          <w:sz w:val="20"/>
          <w:szCs w:val="20"/>
        </w:rPr>
        <w:t xml:space="preserve"> of </w:t>
      </w:r>
      <w:r w:rsidR="009A35D9" w:rsidRPr="009D6572">
        <w:rPr>
          <w:rFonts w:ascii="Arial" w:hAnsi="Arial"/>
          <w:b/>
          <w:sz w:val="20"/>
          <w:szCs w:val="20"/>
        </w:rPr>
        <w:t>goods in total</w:t>
      </w:r>
      <w:r w:rsidR="009A35D9">
        <w:rPr>
          <w:rFonts w:ascii="Arial" w:hAnsi="Arial"/>
          <w:sz w:val="20"/>
          <w:szCs w:val="20"/>
        </w:rPr>
        <w:t xml:space="preserve"> </w:t>
      </w:r>
      <w:r w:rsidRPr="008F400A">
        <w:rPr>
          <w:rFonts w:ascii="Arial" w:hAnsi="Arial"/>
          <w:sz w:val="20"/>
          <w:szCs w:val="20"/>
        </w:rPr>
        <w:t xml:space="preserve">rose </w:t>
      </w:r>
      <w:r w:rsidR="009A35D9" w:rsidRPr="008F400A">
        <w:rPr>
          <w:rFonts w:ascii="Arial" w:hAnsi="Arial"/>
          <w:sz w:val="20"/>
          <w:szCs w:val="20"/>
        </w:rPr>
        <w:t xml:space="preserve">by </w:t>
      </w:r>
      <w:r w:rsidRPr="008F400A">
        <w:rPr>
          <w:rFonts w:ascii="Arial" w:hAnsi="Arial"/>
          <w:sz w:val="20"/>
          <w:szCs w:val="20"/>
        </w:rPr>
        <w:t>1</w:t>
      </w:r>
      <w:r w:rsidR="009A35D9" w:rsidRPr="008F400A">
        <w:rPr>
          <w:rFonts w:ascii="Arial" w:hAnsi="Arial"/>
          <w:sz w:val="20"/>
          <w:szCs w:val="20"/>
        </w:rPr>
        <w:t>.</w:t>
      </w:r>
      <w:r w:rsidRPr="008F400A">
        <w:rPr>
          <w:rFonts w:ascii="Arial" w:hAnsi="Arial"/>
          <w:sz w:val="20"/>
          <w:szCs w:val="20"/>
        </w:rPr>
        <w:t>2</w:t>
      </w:r>
      <w:r w:rsidR="009A35D9" w:rsidRPr="008F400A">
        <w:rPr>
          <w:rFonts w:ascii="Arial" w:hAnsi="Arial"/>
          <w:sz w:val="20"/>
          <w:szCs w:val="20"/>
        </w:rPr>
        <w:t>%</w:t>
      </w:r>
      <w:r w:rsidRPr="008F400A">
        <w:rPr>
          <w:rFonts w:ascii="Arial" w:hAnsi="Arial"/>
          <w:sz w:val="20"/>
          <w:szCs w:val="20"/>
        </w:rPr>
        <w:t xml:space="preserve"> in Q4 2016</w:t>
      </w:r>
      <w:r w:rsidR="009A35D9" w:rsidRPr="008F400A">
        <w:rPr>
          <w:rFonts w:ascii="Arial" w:hAnsi="Arial"/>
          <w:sz w:val="20"/>
          <w:szCs w:val="20"/>
        </w:rPr>
        <w:t xml:space="preserve"> (a </w:t>
      </w:r>
      <w:r w:rsidRPr="008F400A">
        <w:rPr>
          <w:rFonts w:ascii="Arial" w:hAnsi="Arial"/>
          <w:sz w:val="20"/>
          <w:szCs w:val="20"/>
        </w:rPr>
        <w:t>change by</w:t>
      </w:r>
      <w:r w:rsidR="009A35D9" w:rsidRPr="008F400A">
        <w:rPr>
          <w:rFonts w:ascii="Arial" w:hAnsi="Arial"/>
          <w:sz w:val="20"/>
          <w:szCs w:val="20"/>
        </w:rPr>
        <w:t xml:space="preserve"> 0.</w:t>
      </w:r>
      <w:r w:rsidRPr="008F400A">
        <w:rPr>
          <w:rFonts w:ascii="Arial" w:hAnsi="Arial"/>
          <w:sz w:val="20"/>
          <w:szCs w:val="20"/>
        </w:rPr>
        <w:t>0</w:t>
      </w:r>
      <w:r w:rsidR="009A35D9" w:rsidRPr="008F400A">
        <w:rPr>
          <w:rFonts w:ascii="Arial" w:hAnsi="Arial"/>
          <w:sz w:val="20"/>
          <w:szCs w:val="20"/>
        </w:rPr>
        <w:t>% in Q3)</w:t>
      </w:r>
      <w:r w:rsidR="007C3990">
        <w:rPr>
          <w:rFonts w:ascii="Arial" w:hAnsi="Arial"/>
          <w:sz w:val="20"/>
          <w:szCs w:val="20"/>
        </w:rPr>
        <w:t>;</w:t>
      </w:r>
      <w:r w:rsidR="009A35D9" w:rsidRPr="008F400A">
        <w:rPr>
          <w:rFonts w:ascii="Arial" w:hAnsi="Arial"/>
          <w:sz w:val="20"/>
          <w:szCs w:val="20"/>
        </w:rPr>
        <w:t xml:space="preserve"> </w:t>
      </w:r>
      <w:r w:rsidRPr="008F400A">
        <w:rPr>
          <w:rFonts w:ascii="Arial" w:hAnsi="Arial"/>
          <w:sz w:val="20"/>
          <w:szCs w:val="20"/>
        </w:rPr>
        <w:t xml:space="preserve">the increase in </w:t>
      </w:r>
      <w:r w:rsidR="009A35D9" w:rsidRPr="008F400A">
        <w:rPr>
          <w:rFonts w:ascii="Arial" w:hAnsi="Arial"/>
          <w:sz w:val="20"/>
          <w:szCs w:val="20"/>
        </w:rPr>
        <w:t xml:space="preserve">prices of </w:t>
      </w:r>
      <w:r w:rsidR="009A35D9" w:rsidRPr="008F400A">
        <w:rPr>
          <w:rFonts w:ascii="Arial" w:hAnsi="Arial"/>
          <w:b/>
          <w:sz w:val="20"/>
          <w:szCs w:val="20"/>
        </w:rPr>
        <w:t>services</w:t>
      </w:r>
      <w:r w:rsidR="009A35D9" w:rsidRPr="008F400A">
        <w:rPr>
          <w:rFonts w:ascii="Arial" w:hAnsi="Arial"/>
          <w:b/>
          <w:bCs/>
          <w:sz w:val="20"/>
          <w:szCs w:val="20"/>
        </w:rPr>
        <w:t xml:space="preserve"> </w:t>
      </w:r>
      <w:r w:rsidRPr="008F400A">
        <w:rPr>
          <w:rFonts w:ascii="Arial" w:hAnsi="Arial"/>
          <w:bCs/>
          <w:sz w:val="20"/>
          <w:szCs w:val="20"/>
        </w:rPr>
        <w:t>accelerated slightly to 1</w:t>
      </w:r>
      <w:r w:rsidR="009A35D9" w:rsidRPr="008F400A">
        <w:rPr>
          <w:rFonts w:ascii="Arial" w:hAnsi="Arial"/>
          <w:bCs/>
          <w:sz w:val="20"/>
          <w:szCs w:val="20"/>
        </w:rPr>
        <w:t>.</w:t>
      </w:r>
      <w:r w:rsidRPr="008F400A">
        <w:rPr>
          <w:rFonts w:ascii="Arial" w:hAnsi="Arial"/>
          <w:bCs/>
          <w:sz w:val="20"/>
          <w:szCs w:val="20"/>
        </w:rPr>
        <w:t>7</w:t>
      </w:r>
      <w:r w:rsidR="009A35D9" w:rsidRPr="008F400A">
        <w:rPr>
          <w:rFonts w:ascii="Arial" w:hAnsi="Arial"/>
          <w:bCs/>
          <w:sz w:val="20"/>
          <w:szCs w:val="20"/>
        </w:rPr>
        <w:t>% (</w:t>
      </w:r>
      <w:r w:rsidRPr="008F400A">
        <w:rPr>
          <w:rFonts w:ascii="Arial" w:hAnsi="Arial"/>
          <w:bCs/>
          <w:sz w:val="20"/>
          <w:szCs w:val="20"/>
        </w:rPr>
        <w:t>1</w:t>
      </w:r>
      <w:r w:rsidR="009A35D9" w:rsidRPr="008F400A">
        <w:rPr>
          <w:rFonts w:ascii="Arial" w:hAnsi="Arial"/>
          <w:bCs/>
          <w:sz w:val="20"/>
          <w:szCs w:val="20"/>
        </w:rPr>
        <w:t>.</w:t>
      </w:r>
      <w:r w:rsidRPr="008F400A">
        <w:rPr>
          <w:rFonts w:ascii="Arial" w:hAnsi="Arial"/>
          <w:bCs/>
          <w:sz w:val="20"/>
          <w:szCs w:val="20"/>
        </w:rPr>
        <w:t>4</w:t>
      </w:r>
      <w:r w:rsidR="009A35D9" w:rsidRPr="008F400A">
        <w:rPr>
          <w:rFonts w:ascii="Arial" w:hAnsi="Arial"/>
          <w:bCs/>
          <w:sz w:val="20"/>
          <w:szCs w:val="20"/>
        </w:rPr>
        <w:t>% in Q3).</w:t>
      </w:r>
      <w:r w:rsidR="009A35D9" w:rsidRPr="00E769A0">
        <w:rPr>
          <w:rFonts w:ascii="Arial" w:hAnsi="Arial"/>
          <w:bCs/>
          <w:sz w:val="20"/>
          <w:szCs w:val="20"/>
        </w:rPr>
        <w:t xml:space="preserve"> </w:t>
      </w:r>
    </w:p>
    <w:p w:rsidR="006B19B7" w:rsidRDefault="0011733F" w:rsidP="0009615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4E0459">
        <w:rPr>
          <w:szCs w:val="20"/>
        </w:rPr>
        <w:pict>
          <v:shape id="_x0000_i1030" type="#_x0000_t75" style="width:425.1pt;height:246.05pt">
            <v:imagedata r:id="rId12" o:title=""/>
          </v:shape>
        </w:pict>
      </w:r>
    </w:p>
    <w:p w:rsidR="00EE0608" w:rsidRDefault="00EE0608" w:rsidP="00EE0608">
      <w:pPr>
        <w:pStyle w:val="Zkladntext"/>
      </w:pPr>
    </w:p>
    <w:p w:rsidR="00A70A9F" w:rsidRDefault="00A70A9F" w:rsidP="00A70A9F">
      <w:pPr>
        <w:pStyle w:val="Nadpis3"/>
        <w:spacing w:before="0"/>
        <w:rPr>
          <w:rFonts w:cs="Arial"/>
          <w:lang w:val="en-GB"/>
        </w:rPr>
      </w:pPr>
      <w:r w:rsidRPr="00283829">
        <w:rPr>
          <w:rFonts w:cs="Arial"/>
          <w:lang w:val="en-GB"/>
        </w:rPr>
        <w:t>Harmonized index of consumer prices in the EU28</w:t>
      </w:r>
    </w:p>
    <w:p w:rsidR="00A70A9F" w:rsidRPr="004E6F95" w:rsidRDefault="00A70A9F" w:rsidP="00A70A9F">
      <w:pPr>
        <w:rPr>
          <w:rFonts w:cs="Arial"/>
          <w:szCs w:val="20"/>
        </w:rPr>
      </w:pPr>
      <w:r w:rsidRPr="00A92350">
        <w:rPr>
          <w:rFonts w:cs="Arial"/>
          <w:szCs w:val="20"/>
        </w:rPr>
        <w:t xml:space="preserve">According to </w:t>
      </w:r>
      <w:proofErr w:type="spellStart"/>
      <w:r w:rsidRPr="00A92350">
        <w:rPr>
          <w:rFonts w:cs="Arial"/>
          <w:szCs w:val="20"/>
        </w:rPr>
        <w:t>Eurostat</w:t>
      </w:r>
      <w:proofErr w:type="spellEnd"/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data,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the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 xml:space="preserve">y-o-y </w:t>
      </w:r>
      <w:r>
        <w:rPr>
          <w:rFonts w:cs="Arial"/>
          <w:szCs w:val="20"/>
        </w:rPr>
        <w:t xml:space="preserve">change of </w:t>
      </w:r>
      <w:r w:rsidRPr="00A92350">
        <w:rPr>
          <w:rFonts w:cs="Arial"/>
          <w:szCs w:val="20"/>
        </w:rPr>
        <w:t xml:space="preserve">the average </w:t>
      </w:r>
      <w:r w:rsidRPr="00A92350">
        <w:rPr>
          <w:rFonts w:cs="Arial"/>
          <w:bCs/>
          <w:szCs w:val="20"/>
        </w:rPr>
        <w:t>harmonized index of consumer prices</w:t>
      </w:r>
      <w:r w:rsidRPr="00A92350">
        <w:rPr>
          <w:rFonts w:cs="Arial"/>
          <w:szCs w:val="20"/>
        </w:rPr>
        <w:t xml:space="preserve"> (HICP) in the EU28 </w:t>
      </w:r>
      <w:r w:rsidRPr="002C5209">
        <w:rPr>
          <w:rFonts w:cs="Arial"/>
          <w:szCs w:val="20"/>
        </w:rPr>
        <w:t xml:space="preserve">was </w:t>
      </w:r>
      <w:r w:rsidRPr="00E95384">
        <w:rPr>
          <w:rFonts w:cs="Arial"/>
          <w:szCs w:val="20"/>
        </w:rPr>
        <w:t>0.</w:t>
      </w:r>
      <w:r w:rsidR="00E95384">
        <w:rPr>
          <w:rFonts w:cs="Arial"/>
          <w:szCs w:val="20"/>
        </w:rPr>
        <w:t>5</w:t>
      </w:r>
      <w:r w:rsidRPr="00E95384">
        <w:rPr>
          <w:rFonts w:cs="Arial"/>
          <w:szCs w:val="20"/>
        </w:rPr>
        <w:t>% in October and 0.</w:t>
      </w:r>
      <w:r w:rsidR="00E95384">
        <w:rPr>
          <w:rFonts w:cs="Arial"/>
          <w:szCs w:val="20"/>
        </w:rPr>
        <w:t>6</w:t>
      </w:r>
      <w:r w:rsidRPr="00E95384">
        <w:rPr>
          <w:rFonts w:cs="Arial"/>
          <w:szCs w:val="20"/>
        </w:rPr>
        <w:t>% in November</w:t>
      </w:r>
      <w:r w:rsidRPr="00E95384">
        <w:rPr>
          <w:rFonts w:cs="Arial"/>
          <w:bCs/>
          <w:szCs w:val="20"/>
        </w:rPr>
        <w:t>.</w:t>
      </w:r>
      <w:r w:rsidRPr="00E95384">
        <w:rPr>
          <w:rFonts w:cs="Arial"/>
          <w:szCs w:val="20"/>
        </w:rPr>
        <w:t xml:space="preserve"> In the Czech Republic </w:t>
      </w:r>
      <w:r w:rsidRPr="00E95384">
        <w:rPr>
          <w:rFonts w:cs="Arial"/>
          <w:szCs w:val="20"/>
        </w:rPr>
        <w:lastRenderedPageBreak/>
        <w:t>(CR), the y-o-y increase in the HICP was 0.</w:t>
      </w:r>
      <w:r w:rsidR="00E95384">
        <w:rPr>
          <w:rFonts w:cs="Arial"/>
          <w:szCs w:val="20"/>
        </w:rPr>
        <w:t>8</w:t>
      </w:r>
      <w:r w:rsidRPr="00E95384">
        <w:rPr>
          <w:rFonts w:cs="Arial"/>
          <w:szCs w:val="20"/>
        </w:rPr>
        <w:t xml:space="preserve">% and </w:t>
      </w:r>
      <w:r w:rsidR="00E95384">
        <w:rPr>
          <w:rFonts w:cs="Arial"/>
          <w:szCs w:val="20"/>
        </w:rPr>
        <w:t>1</w:t>
      </w:r>
      <w:r w:rsidRPr="00E95384">
        <w:rPr>
          <w:rFonts w:cs="Arial"/>
          <w:szCs w:val="20"/>
        </w:rPr>
        <w:t>.</w:t>
      </w:r>
      <w:r w:rsidR="00E95384">
        <w:rPr>
          <w:rFonts w:cs="Arial"/>
          <w:szCs w:val="20"/>
        </w:rPr>
        <w:t>6</w:t>
      </w:r>
      <w:r w:rsidRPr="00E95384">
        <w:rPr>
          <w:rFonts w:cs="Arial"/>
          <w:szCs w:val="20"/>
        </w:rPr>
        <w:t xml:space="preserve">%, respectively. According to preliminary data, the HICP in the CR </w:t>
      </w:r>
      <w:r w:rsidR="00B73BF6">
        <w:rPr>
          <w:rFonts w:cs="Arial"/>
          <w:szCs w:val="20"/>
        </w:rPr>
        <w:t>rose</w:t>
      </w:r>
      <w:r w:rsidRPr="00E95384">
        <w:rPr>
          <w:rFonts w:cs="Arial"/>
          <w:szCs w:val="20"/>
        </w:rPr>
        <w:t xml:space="preserve"> by </w:t>
      </w:r>
      <w:r w:rsidR="00880530">
        <w:rPr>
          <w:rFonts w:cs="Arial"/>
          <w:szCs w:val="20"/>
        </w:rPr>
        <w:t>2</w:t>
      </w:r>
      <w:r w:rsidRPr="00E95384">
        <w:rPr>
          <w:rFonts w:cs="Arial"/>
          <w:szCs w:val="20"/>
        </w:rPr>
        <w:t>.</w:t>
      </w:r>
      <w:r w:rsidR="006E61F8" w:rsidRPr="00E95384">
        <w:rPr>
          <w:rFonts w:cs="Arial"/>
          <w:szCs w:val="20"/>
        </w:rPr>
        <w:t>1</w:t>
      </w:r>
      <w:r w:rsidRPr="00E95384">
        <w:rPr>
          <w:rFonts w:cs="Arial"/>
          <w:szCs w:val="20"/>
        </w:rPr>
        <w:t xml:space="preserve">%, y-o-y, in </w:t>
      </w:r>
      <w:r w:rsidR="006E61F8" w:rsidRPr="00E95384">
        <w:rPr>
          <w:rFonts w:cs="Arial"/>
          <w:szCs w:val="20"/>
        </w:rPr>
        <w:t>December</w:t>
      </w:r>
      <w:r w:rsidRPr="00E95384">
        <w:rPr>
          <w:rFonts w:cs="Arial"/>
          <w:szCs w:val="20"/>
        </w:rPr>
        <w:t>. It can be seen in the chart below that the inflation development in the CR and in the EU was similar</w:t>
      </w:r>
      <w:r w:rsidR="00834815">
        <w:rPr>
          <w:rFonts w:cs="Arial"/>
          <w:szCs w:val="20"/>
        </w:rPr>
        <w:t xml:space="preserve"> up un</w:t>
      </w:r>
      <w:r w:rsidR="00880530">
        <w:rPr>
          <w:rFonts w:cs="Arial"/>
          <w:szCs w:val="20"/>
        </w:rPr>
        <w:t>til to Q3 2016</w:t>
      </w:r>
      <w:r w:rsidRPr="00E95384">
        <w:rPr>
          <w:rFonts w:cs="Arial"/>
          <w:szCs w:val="20"/>
        </w:rPr>
        <w:t xml:space="preserve">. </w:t>
      </w:r>
      <w:r w:rsidR="00527E64">
        <w:rPr>
          <w:rFonts w:cs="Arial"/>
          <w:szCs w:val="20"/>
        </w:rPr>
        <w:t xml:space="preserve">The HICP in the CR compared to </w:t>
      </w:r>
      <w:r w:rsidR="002F4F5E">
        <w:rPr>
          <w:rFonts w:cs="Arial"/>
          <w:szCs w:val="20"/>
        </w:rPr>
        <w:t xml:space="preserve">values of the </w:t>
      </w:r>
      <w:r w:rsidR="00527E64">
        <w:rPr>
          <w:rFonts w:cs="Arial"/>
          <w:szCs w:val="20"/>
        </w:rPr>
        <w:t xml:space="preserve">EU have grown </w:t>
      </w:r>
      <w:r w:rsidR="00B73BF6">
        <w:rPr>
          <w:rFonts w:cs="Arial"/>
          <w:szCs w:val="20"/>
        </w:rPr>
        <w:t xml:space="preserve">more </w:t>
      </w:r>
      <w:r w:rsidR="00527E64">
        <w:rPr>
          <w:rFonts w:cs="Arial"/>
          <w:szCs w:val="20"/>
        </w:rPr>
        <w:t xml:space="preserve">markedly towards the end of 2016. </w:t>
      </w:r>
      <w:r w:rsidRPr="002F4F5E">
        <w:rPr>
          <w:rFonts w:cs="Arial"/>
          <w:szCs w:val="20"/>
        </w:rPr>
        <w:t>The HICP figures in the</w:t>
      </w:r>
      <w:r w:rsidRPr="00BB6F60">
        <w:rPr>
          <w:rFonts w:cs="Arial"/>
          <w:szCs w:val="20"/>
        </w:rPr>
        <w:t xml:space="preserve"> CR compared with the HICP figures in the EU28 were </w:t>
      </w:r>
      <w:r w:rsidR="002F4F5E">
        <w:rPr>
          <w:rFonts w:cs="Arial"/>
          <w:szCs w:val="20"/>
        </w:rPr>
        <w:t xml:space="preserve">higher since the half of 2014 (with the exception of the end of 2015 and June 2016). </w:t>
      </w:r>
      <w:r w:rsidR="00505290" w:rsidRPr="00E95384">
        <w:rPr>
          <w:rFonts w:cs="Arial"/>
          <w:szCs w:val="20"/>
        </w:rPr>
        <w:t>Many EU countries recorded the y-o-y drop in the individual months of 2015</w:t>
      </w:r>
      <w:r w:rsidR="00A933DB">
        <w:rPr>
          <w:rFonts w:cs="Arial"/>
          <w:szCs w:val="20"/>
        </w:rPr>
        <w:t xml:space="preserve"> and 2016</w:t>
      </w:r>
      <w:r w:rsidR="00505290" w:rsidRPr="00E95384">
        <w:rPr>
          <w:rFonts w:cs="Arial"/>
          <w:szCs w:val="20"/>
        </w:rPr>
        <w:t xml:space="preserve">. </w:t>
      </w:r>
      <w:r w:rsidR="00DF6D48" w:rsidRPr="00E95384">
        <w:rPr>
          <w:rFonts w:cs="Arial"/>
          <w:szCs w:val="20"/>
        </w:rPr>
        <w:t xml:space="preserve">In November, this development </w:t>
      </w:r>
      <w:r w:rsidR="00E83318" w:rsidRPr="00E95384">
        <w:rPr>
          <w:rFonts w:cs="Arial"/>
          <w:szCs w:val="20"/>
        </w:rPr>
        <w:t>involved</w:t>
      </w:r>
      <w:r w:rsidR="003C6048" w:rsidRPr="00E95384">
        <w:rPr>
          <w:rFonts w:cs="Arial"/>
          <w:szCs w:val="20"/>
        </w:rPr>
        <w:t xml:space="preserve"> </w:t>
      </w:r>
      <w:r w:rsidR="00A933DB">
        <w:rPr>
          <w:rFonts w:cs="Arial"/>
          <w:szCs w:val="20"/>
        </w:rPr>
        <w:t>six</w:t>
      </w:r>
      <w:r w:rsidR="00DF6D48" w:rsidRPr="00E95384">
        <w:rPr>
          <w:rFonts w:cs="Arial"/>
          <w:szCs w:val="20"/>
        </w:rPr>
        <w:t xml:space="preserve"> countries</w:t>
      </w:r>
      <w:r w:rsidR="003C6048" w:rsidRPr="00E95384">
        <w:rPr>
          <w:rFonts w:cs="Arial"/>
          <w:szCs w:val="20"/>
        </w:rPr>
        <w:t xml:space="preserve"> with the decline in the range from -0.</w:t>
      </w:r>
      <w:r w:rsidR="00A933DB">
        <w:rPr>
          <w:rFonts w:cs="Arial"/>
          <w:szCs w:val="20"/>
        </w:rPr>
        <w:t>2</w:t>
      </w:r>
      <w:r w:rsidR="003C6048" w:rsidRPr="00E95384">
        <w:rPr>
          <w:rFonts w:cs="Arial"/>
          <w:szCs w:val="20"/>
        </w:rPr>
        <w:t>%</w:t>
      </w:r>
      <w:r w:rsidR="00A933DB">
        <w:rPr>
          <w:rFonts w:cs="Arial"/>
          <w:szCs w:val="20"/>
        </w:rPr>
        <w:t xml:space="preserve"> (Ireland, Greece, Romania</w:t>
      </w:r>
      <w:r w:rsidR="003405CB">
        <w:rPr>
          <w:rFonts w:cs="Arial"/>
          <w:szCs w:val="20"/>
        </w:rPr>
        <w:t>,</w:t>
      </w:r>
      <w:r w:rsidR="00A933DB">
        <w:rPr>
          <w:rFonts w:cs="Arial"/>
          <w:szCs w:val="20"/>
        </w:rPr>
        <w:t xml:space="preserve"> and </w:t>
      </w:r>
      <w:r w:rsidR="000A7828">
        <w:rPr>
          <w:rFonts w:cs="Arial"/>
          <w:szCs w:val="20"/>
        </w:rPr>
        <w:t>Slovakia)</w:t>
      </w:r>
      <w:r w:rsidR="003C6048" w:rsidRPr="00E95384">
        <w:rPr>
          <w:rFonts w:cs="Arial"/>
          <w:szCs w:val="20"/>
        </w:rPr>
        <w:t xml:space="preserve"> to -</w:t>
      </w:r>
      <w:r w:rsidR="00A933DB">
        <w:rPr>
          <w:rFonts w:cs="Arial"/>
          <w:szCs w:val="20"/>
        </w:rPr>
        <w:t>0</w:t>
      </w:r>
      <w:r w:rsidR="003C6048" w:rsidRPr="00E95384">
        <w:rPr>
          <w:rFonts w:cs="Arial"/>
          <w:szCs w:val="20"/>
        </w:rPr>
        <w:t>.</w:t>
      </w:r>
      <w:r w:rsidR="00A933DB">
        <w:rPr>
          <w:rFonts w:cs="Arial"/>
          <w:szCs w:val="20"/>
        </w:rPr>
        <w:t>8</w:t>
      </w:r>
      <w:r w:rsidR="003C6048" w:rsidRPr="00E95384">
        <w:rPr>
          <w:rFonts w:cs="Arial"/>
          <w:szCs w:val="20"/>
        </w:rPr>
        <w:t>%</w:t>
      </w:r>
      <w:r w:rsidR="000A7828">
        <w:rPr>
          <w:rFonts w:cs="Arial"/>
          <w:szCs w:val="20"/>
        </w:rPr>
        <w:t xml:space="preserve"> (Bulgaria and Cyprus)</w:t>
      </w:r>
      <w:r w:rsidR="003C6048" w:rsidRPr="00E95384">
        <w:rPr>
          <w:rFonts w:cs="Arial"/>
          <w:szCs w:val="20"/>
        </w:rPr>
        <w:t>.</w:t>
      </w:r>
      <w:r w:rsidR="003C6048">
        <w:rPr>
          <w:rFonts w:cs="Arial"/>
          <w:szCs w:val="20"/>
        </w:rPr>
        <w:t xml:space="preserve"> </w:t>
      </w:r>
    </w:p>
    <w:p w:rsidR="00D53941" w:rsidRDefault="0011733F" w:rsidP="00A70A9F">
      <w:r>
        <w:pict>
          <v:shape id="_x0000_i1031" type="#_x0000_t75" style="width:415.7pt;height:254.8pt">
            <v:imagedata r:id="rId13" o:title=""/>
          </v:shape>
        </w:pict>
      </w:r>
    </w:p>
    <w:p w:rsidR="002C6F6E" w:rsidRPr="00F27FF5" w:rsidRDefault="002C6F6E" w:rsidP="002C6F6E">
      <w:pPr>
        <w:pStyle w:val="Zkladntextodsazen3"/>
        <w:rPr>
          <w:rFonts w:cs="Arial"/>
          <w:szCs w:val="20"/>
        </w:rPr>
      </w:pPr>
    </w:p>
    <w:p w:rsidR="0004607F" w:rsidRPr="00A70A73" w:rsidRDefault="008E1C72" w:rsidP="0004607F">
      <w:pPr>
        <w:rPr>
          <w:rFonts w:cs="Arial"/>
        </w:rPr>
      </w:pPr>
      <w:r w:rsidRPr="00F27FF5">
        <w:rPr>
          <w:rFonts w:cs="Arial"/>
          <w:szCs w:val="20"/>
        </w:rPr>
        <w:t>The</w:t>
      </w:r>
      <w:r w:rsidRPr="00F27FF5">
        <w:rPr>
          <w:rFonts w:cs="Arial"/>
          <w:b/>
          <w:szCs w:val="20"/>
        </w:rPr>
        <w:t xml:space="preserve"> average inflation rate </w:t>
      </w:r>
      <w:r w:rsidRPr="00F27FF5">
        <w:rPr>
          <w:rFonts w:cs="Arial"/>
          <w:szCs w:val="20"/>
        </w:rPr>
        <w:t>in 201</w:t>
      </w:r>
      <w:r w:rsidR="00AE59F2">
        <w:rPr>
          <w:rFonts w:cs="Arial"/>
          <w:szCs w:val="20"/>
        </w:rPr>
        <w:t>6</w:t>
      </w:r>
      <w:r w:rsidRPr="00F27FF5">
        <w:rPr>
          <w:rFonts w:cs="Arial"/>
          <w:szCs w:val="20"/>
        </w:rPr>
        <w:t xml:space="preserve"> </w:t>
      </w:r>
      <w:r w:rsidRPr="002E6398">
        <w:rPr>
          <w:rFonts w:cs="Arial"/>
          <w:szCs w:val="20"/>
        </w:rPr>
        <w:t xml:space="preserve">reached </w:t>
      </w:r>
      <w:r w:rsidR="00E30D74" w:rsidRPr="002E6398">
        <w:rPr>
          <w:rFonts w:cs="Arial"/>
          <w:szCs w:val="20"/>
        </w:rPr>
        <w:t>0</w:t>
      </w:r>
      <w:r w:rsidRPr="002E6398">
        <w:rPr>
          <w:rFonts w:cs="Arial"/>
          <w:szCs w:val="20"/>
        </w:rPr>
        <w:t>.</w:t>
      </w:r>
      <w:r w:rsidR="002E6398" w:rsidRPr="002E6398">
        <w:rPr>
          <w:rFonts w:cs="Arial"/>
          <w:szCs w:val="20"/>
        </w:rPr>
        <w:t>7</w:t>
      </w:r>
      <w:r w:rsidRPr="002E6398">
        <w:rPr>
          <w:rFonts w:cs="Arial"/>
          <w:szCs w:val="20"/>
        </w:rPr>
        <w:t xml:space="preserve">%, which was by </w:t>
      </w:r>
      <w:r w:rsidR="003C6048" w:rsidRPr="002E6398">
        <w:rPr>
          <w:rFonts w:cs="Arial"/>
          <w:szCs w:val="20"/>
        </w:rPr>
        <w:t>0</w:t>
      </w:r>
      <w:r w:rsidRPr="002E6398">
        <w:rPr>
          <w:rFonts w:cs="Arial"/>
          <w:szCs w:val="20"/>
        </w:rPr>
        <w:t>.</w:t>
      </w:r>
      <w:r w:rsidR="002E6398" w:rsidRPr="002E6398">
        <w:rPr>
          <w:rFonts w:cs="Arial"/>
          <w:szCs w:val="20"/>
        </w:rPr>
        <w:t>4</w:t>
      </w:r>
      <w:r w:rsidRPr="002E6398">
        <w:rPr>
          <w:rFonts w:cs="Arial"/>
          <w:szCs w:val="20"/>
        </w:rPr>
        <w:t xml:space="preserve"> percentage point</w:t>
      </w:r>
      <w:r w:rsidR="00AE59F2" w:rsidRPr="002E6398">
        <w:rPr>
          <w:rFonts w:cs="Arial"/>
          <w:szCs w:val="20"/>
        </w:rPr>
        <w:t>s</w:t>
      </w:r>
      <w:r w:rsidRPr="002E6398">
        <w:rPr>
          <w:rFonts w:cs="Arial"/>
          <w:szCs w:val="20"/>
        </w:rPr>
        <w:t xml:space="preserve"> </w:t>
      </w:r>
      <w:r w:rsidR="00AE59F2" w:rsidRPr="002E6398">
        <w:rPr>
          <w:rFonts w:cs="Arial"/>
          <w:szCs w:val="20"/>
        </w:rPr>
        <w:t>more</w:t>
      </w:r>
      <w:r w:rsidRPr="002E6398">
        <w:rPr>
          <w:rFonts w:cs="Arial"/>
          <w:szCs w:val="20"/>
        </w:rPr>
        <w:t xml:space="preserve"> than in 201</w:t>
      </w:r>
      <w:r w:rsidR="00AE59F2" w:rsidRPr="002E6398">
        <w:rPr>
          <w:rFonts w:cs="Arial"/>
          <w:szCs w:val="20"/>
        </w:rPr>
        <w:t>5</w:t>
      </w:r>
      <w:r w:rsidRPr="002E6398">
        <w:rPr>
          <w:rFonts w:cs="Arial"/>
          <w:szCs w:val="20"/>
        </w:rPr>
        <w:t>.</w:t>
      </w:r>
      <w:r w:rsidRPr="003C6048">
        <w:rPr>
          <w:rFonts w:cs="Arial"/>
          <w:szCs w:val="20"/>
        </w:rPr>
        <w:t xml:space="preserve"> </w:t>
      </w:r>
      <w:r w:rsidR="00697218" w:rsidRPr="002E6398">
        <w:rPr>
          <w:rFonts w:cs="Arial"/>
          <w:szCs w:val="20"/>
        </w:rPr>
        <w:t>The low</w:t>
      </w:r>
      <w:r w:rsidR="002E6398" w:rsidRPr="002E6398">
        <w:rPr>
          <w:rFonts w:cs="Arial"/>
          <w:szCs w:val="20"/>
        </w:rPr>
        <w:t>est</w:t>
      </w:r>
      <w:r w:rsidR="00697218" w:rsidRPr="002E6398">
        <w:rPr>
          <w:rFonts w:cs="Arial"/>
          <w:szCs w:val="20"/>
        </w:rPr>
        <w:t xml:space="preserve"> y-o-y growth </w:t>
      </w:r>
      <w:r w:rsidR="00E83318" w:rsidRPr="002E6398">
        <w:rPr>
          <w:rFonts w:cs="Arial"/>
          <w:szCs w:val="20"/>
        </w:rPr>
        <w:t xml:space="preserve">was </w:t>
      </w:r>
      <w:r w:rsidR="00697218" w:rsidRPr="002E6398">
        <w:rPr>
          <w:rFonts w:cs="Arial"/>
          <w:szCs w:val="20"/>
        </w:rPr>
        <w:t xml:space="preserve">recorded </w:t>
      </w:r>
      <w:r w:rsidR="00D654A0">
        <w:rPr>
          <w:rFonts w:cs="Arial"/>
          <w:szCs w:val="20"/>
        </w:rPr>
        <w:t>for</w:t>
      </w:r>
      <w:r w:rsidR="00E83318" w:rsidRPr="002E6398">
        <w:rPr>
          <w:rFonts w:cs="Arial"/>
          <w:szCs w:val="20"/>
        </w:rPr>
        <w:t xml:space="preserve"> </w:t>
      </w:r>
      <w:r w:rsidR="00697218" w:rsidRPr="002E6398">
        <w:rPr>
          <w:rFonts w:cs="Arial"/>
          <w:szCs w:val="20"/>
        </w:rPr>
        <w:t>consumer prices in Q</w:t>
      </w:r>
      <w:r w:rsidR="002E6398" w:rsidRPr="002E6398">
        <w:rPr>
          <w:rFonts w:cs="Arial"/>
          <w:szCs w:val="20"/>
        </w:rPr>
        <w:t>2</w:t>
      </w:r>
      <w:r w:rsidR="00697218" w:rsidRPr="002E6398">
        <w:rPr>
          <w:rFonts w:cs="Arial"/>
          <w:szCs w:val="20"/>
        </w:rPr>
        <w:t xml:space="preserve"> 201</w:t>
      </w:r>
      <w:r w:rsidR="00AE59F2" w:rsidRPr="002E6398">
        <w:rPr>
          <w:rFonts w:cs="Arial"/>
          <w:szCs w:val="20"/>
        </w:rPr>
        <w:t>6</w:t>
      </w:r>
      <w:r w:rsidR="00697218" w:rsidRPr="002E6398">
        <w:rPr>
          <w:rFonts w:cs="Arial"/>
          <w:szCs w:val="20"/>
        </w:rPr>
        <w:t xml:space="preserve"> (0.</w:t>
      </w:r>
      <w:r w:rsidR="002E6398" w:rsidRPr="002E6398">
        <w:rPr>
          <w:rFonts w:cs="Arial"/>
          <w:szCs w:val="20"/>
        </w:rPr>
        <w:t>2</w:t>
      </w:r>
      <w:r w:rsidR="00697218" w:rsidRPr="002E6398">
        <w:rPr>
          <w:rFonts w:cs="Arial"/>
          <w:szCs w:val="20"/>
        </w:rPr>
        <w:t>%)</w:t>
      </w:r>
      <w:r w:rsidR="002E6398">
        <w:rPr>
          <w:rFonts w:cs="Arial"/>
          <w:szCs w:val="20"/>
        </w:rPr>
        <w:t>, the moderately faster price growth was in Q1 and Q3 (both 0.5%)</w:t>
      </w:r>
      <w:r w:rsidR="00697218" w:rsidRPr="002E6398">
        <w:rPr>
          <w:rFonts w:cs="Arial"/>
          <w:szCs w:val="20"/>
        </w:rPr>
        <w:t xml:space="preserve">. </w:t>
      </w:r>
      <w:r w:rsidR="00A70A73">
        <w:rPr>
          <w:rFonts w:cs="Arial"/>
          <w:szCs w:val="20"/>
        </w:rPr>
        <w:t xml:space="preserve">The price increase accelerated more significantly to 1.4% in Q4. </w:t>
      </w:r>
      <w:r w:rsidRPr="002E6398">
        <w:rPr>
          <w:rFonts w:cs="Arial"/>
          <w:szCs w:val="20"/>
        </w:rPr>
        <w:t>Inflation rate in 201</w:t>
      </w:r>
      <w:r w:rsidR="00AE59F2" w:rsidRPr="002E6398">
        <w:rPr>
          <w:rFonts w:cs="Arial"/>
          <w:szCs w:val="20"/>
        </w:rPr>
        <w:t>6</w:t>
      </w:r>
      <w:r w:rsidRPr="002E6398">
        <w:rPr>
          <w:rFonts w:cs="Arial"/>
          <w:szCs w:val="20"/>
        </w:rPr>
        <w:t xml:space="preserve"> was</w:t>
      </w:r>
      <w:r w:rsidR="00E30D74" w:rsidRPr="002E6398">
        <w:rPr>
          <w:rFonts w:cs="Arial"/>
          <w:szCs w:val="20"/>
        </w:rPr>
        <w:t xml:space="preserve"> primarily</w:t>
      </w:r>
      <w:r w:rsidRPr="002E6398">
        <w:rPr>
          <w:rFonts w:cs="Arial"/>
          <w:szCs w:val="20"/>
        </w:rPr>
        <w:t xml:space="preserve"> influenced by the </w:t>
      </w:r>
      <w:r w:rsidR="00A70A73">
        <w:rPr>
          <w:rFonts w:cs="Arial"/>
          <w:szCs w:val="20"/>
        </w:rPr>
        <w:t xml:space="preserve">price rise in tobacco products and spirits in </w:t>
      </w:r>
      <w:r w:rsidR="00A70A73" w:rsidRPr="00A70A73">
        <w:rPr>
          <w:rFonts w:cs="Arial"/>
        </w:rPr>
        <w:t>'</w:t>
      </w:r>
      <w:r w:rsidR="00A70A73">
        <w:rPr>
          <w:rFonts w:cs="Arial"/>
        </w:rPr>
        <w:t>alcoholic beverages and tobacco</w:t>
      </w:r>
      <w:r w:rsidR="00A70A73" w:rsidRPr="00A70A73">
        <w:rPr>
          <w:rFonts w:cs="Arial"/>
        </w:rPr>
        <w:t>'</w:t>
      </w:r>
      <w:r w:rsidR="00A70A73">
        <w:rPr>
          <w:rFonts w:cs="Arial"/>
        </w:rPr>
        <w:t xml:space="preserve"> and the growth of prices of rentals and other services connected with dwellings in </w:t>
      </w:r>
      <w:r w:rsidR="00A70A73" w:rsidRPr="00A70A73">
        <w:rPr>
          <w:rFonts w:cs="Arial"/>
        </w:rPr>
        <w:t>'housing, water, electricity, gas and other fuels'</w:t>
      </w:r>
      <w:r w:rsidR="00A70A73">
        <w:rPr>
          <w:rFonts w:cs="Arial"/>
        </w:rPr>
        <w:t xml:space="preserve">. </w:t>
      </w:r>
      <w:r w:rsidR="0004607F">
        <w:rPr>
          <w:rFonts w:cs="Arial"/>
        </w:rPr>
        <w:t xml:space="preserve">The inflation was caused also by the rise in prices in </w:t>
      </w:r>
      <w:r w:rsidR="0004607F" w:rsidRPr="00A70A73">
        <w:rPr>
          <w:rFonts w:cs="Arial"/>
        </w:rPr>
        <w:t xml:space="preserve">'clothing and footwear', 'recreation and culture', 'restaurants and hotels', </w:t>
      </w:r>
      <w:r w:rsidR="00A77503">
        <w:rPr>
          <w:rFonts w:cs="Arial"/>
        </w:rPr>
        <w:t xml:space="preserve">and </w:t>
      </w:r>
      <w:r w:rsidR="0004607F" w:rsidRPr="00A70A73">
        <w:rPr>
          <w:rFonts w:cs="Arial"/>
        </w:rPr>
        <w:t xml:space="preserve">'miscellaneous goods and services'. </w:t>
      </w:r>
    </w:p>
    <w:p w:rsidR="00705245" w:rsidRDefault="00705245" w:rsidP="008E1C72">
      <w:pPr>
        <w:rPr>
          <w:rFonts w:cs="Arial"/>
        </w:rPr>
      </w:pPr>
    </w:p>
    <w:p w:rsidR="00705245" w:rsidRDefault="003F4895" w:rsidP="008E1C72">
      <w:pPr>
        <w:rPr>
          <w:rFonts w:cs="Arial"/>
        </w:rPr>
      </w:pPr>
      <w:r>
        <w:rPr>
          <w:rFonts w:cs="Arial"/>
        </w:rPr>
        <w:t>Working in the opposite direction</w:t>
      </w:r>
      <w:r w:rsidR="00E13DD3">
        <w:rPr>
          <w:rFonts w:cs="Arial"/>
        </w:rPr>
        <w:t xml:space="preserve">, i.e. </w:t>
      </w:r>
      <w:r w:rsidRPr="00A70A73">
        <w:rPr>
          <w:rFonts w:cs="Arial"/>
        </w:rPr>
        <w:t>causing a</w:t>
      </w:r>
      <w:r w:rsidR="00E13DD3" w:rsidRPr="00A70A73">
        <w:rPr>
          <w:rFonts w:cs="Arial"/>
        </w:rPr>
        <w:t xml:space="preserve"> </w:t>
      </w:r>
      <w:r w:rsidR="00AE59F2" w:rsidRPr="00A70A73">
        <w:rPr>
          <w:rFonts w:cs="Arial"/>
        </w:rPr>
        <w:t>de</w:t>
      </w:r>
      <w:r w:rsidR="00E13DD3" w:rsidRPr="00A70A73">
        <w:rPr>
          <w:rFonts w:cs="Arial"/>
        </w:rPr>
        <w:t>crease in the price level</w:t>
      </w:r>
      <w:r w:rsidRPr="00A70A73">
        <w:rPr>
          <w:rFonts w:cs="Arial"/>
        </w:rPr>
        <w:t>, were</w:t>
      </w:r>
      <w:r w:rsidR="00E13DD3" w:rsidRPr="00A70A73">
        <w:rPr>
          <w:rFonts w:cs="Arial"/>
        </w:rPr>
        <w:t xml:space="preserve"> the </w:t>
      </w:r>
      <w:r w:rsidR="00AE59F2" w:rsidRPr="00A70A73">
        <w:rPr>
          <w:rFonts w:cs="Arial"/>
        </w:rPr>
        <w:t>decline</w:t>
      </w:r>
      <w:r w:rsidR="00E13DD3" w:rsidRPr="00A70A73">
        <w:rPr>
          <w:rFonts w:cs="Arial"/>
        </w:rPr>
        <w:t xml:space="preserve"> in prices </w:t>
      </w:r>
      <w:r w:rsidR="008E1C72" w:rsidRPr="00A70A73">
        <w:rPr>
          <w:rFonts w:cs="Arial"/>
          <w:szCs w:val="20"/>
        </w:rPr>
        <w:t xml:space="preserve">of </w:t>
      </w:r>
      <w:r w:rsidR="00E87480">
        <w:rPr>
          <w:rFonts w:cs="Arial"/>
          <w:szCs w:val="20"/>
        </w:rPr>
        <w:t xml:space="preserve">automotive fuel in </w:t>
      </w:r>
      <w:r w:rsidR="00E87480" w:rsidRPr="00A70A73">
        <w:rPr>
          <w:rFonts w:cs="Arial"/>
        </w:rPr>
        <w:t>'t</w:t>
      </w:r>
      <w:r w:rsidR="00E87480">
        <w:rPr>
          <w:rFonts w:cs="Arial"/>
        </w:rPr>
        <w:t>ransport</w:t>
      </w:r>
      <w:r w:rsidR="00E87480" w:rsidRPr="00A70A73">
        <w:rPr>
          <w:rFonts w:cs="Arial"/>
        </w:rPr>
        <w:t>'</w:t>
      </w:r>
      <w:r w:rsidR="00E87480">
        <w:rPr>
          <w:rFonts w:cs="Arial"/>
        </w:rPr>
        <w:t xml:space="preserve"> and also the price reduction in </w:t>
      </w:r>
      <w:r w:rsidR="00E87480" w:rsidRPr="00A70A73">
        <w:rPr>
          <w:rFonts w:cs="Arial"/>
        </w:rPr>
        <w:t>'</w:t>
      </w:r>
      <w:r w:rsidR="00E87480">
        <w:rPr>
          <w:rFonts w:cs="Arial"/>
        </w:rPr>
        <w:t>food and non-alcoholic beverages</w:t>
      </w:r>
      <w:r w:rsidR="00E87480" w:rsidRPr="00A70A73">
        <w:rPr>
          <w:rFonts w:cs="Arial"/>
        </w:rPr>
        <w:t>'</w:t>
      </w:r>
      <w:r w:rsidR="00E87480">
        <w:rPr>
          <w:rFonts w:cs="Arial"/>
        </w:rPr>
        <w:t xml:space="preserve">.  </w:t>
      </w:r>
    </w:p>
    <w:p w:rsidR="00DD3723" w:rsidRDefault="00DD3723" w:rsidP="008E1C72">
      <w:pPr>
        <w:rPr>
          <w:rFonts w:cs="Arial"/>
        </w:rPr>
      </w:pPr>
      <w:r w:rsidRPr="00A70A73">
        <w:rPr>
          <w:rFonts w:cs="Arial"/>
        </w:rPr>
        <w:t xml:space="preserve">The development of prices in the individual divisions of the consumer basket was reflected in the increase in prices of services by </w:t>
      </w:r>
      <w:r w:rsidR="00E87480">
        <w:rPr>
          <w:rFonts w:cs="Arial"/>
        </w:rPr>
        <w:t>1.5</w:t>
      </w:r>
      <w:r w:rsidRPr="00A70A73">
        <w:rPr>
          <w:rFonts w:cs="Arial"/>
        </w:rPr>
        <w:t>%, while prices of goods r</w:t>
      </w:r>
      <w:r w:rsidR="00E87480">
        <w:rPr>
          <w:rFonts w:cs="Arial"/>
        </w:rPr>
        <w:t>ose by 0.2%.</w:t>
      </w:r>
    </w:p>
    <w:p w:rsidR="00D53941" w:rsidRDefault="0011733F" w:rsidP="00666288">
      <w:pPr>
        <w:pStyle w:val="Zkladntextodsazen3"/>
        <w:rPr>
          <w:szCs w:val="20"/>
        </w:rPr>
      </w:pPr>
      <w:r w:rsidRPr="004E0459">
        <w:rPr>
          <w:szCs w:val="20"/>
        </w:rPr>
        <w:lastRenderedPageBreak/>
        <w:pict>
          <v:shape id="_x0000_i1032" type="#_x0000_t75" style="width:378.15pt;height:231.05pt">
            <v:imagedata r:id="rId14" o:title=""/>
          </v:shape>
        </w:pict>
      </w:r>
    </w:p>
    <w:p w:rsidR="008E1C72" w:rsidRPr="000C42D9" w:rsidRDefault="008E1C72" w:rsidP="008E1C72">
      <w:pPr>
        <w:rPr>
          <w:rFonts w:cs="Arial"/>
          <w:szCs w:val="20"/>
        </w:rPr>
      </w:pPr>
      <w:r w:rsidRPr="00857AD2">
        <w:rPr>
          <w:rFonts w:cs="Arial"/>
          <w:szCs w:val="20"/>
        </w:rPr>
        <w:t>The influence of respective divisions of the consumer basket on the</w:t>
      </w:r>
      <w:r w:rsidR="00A77503">
        <w:rPr>
          <w:rFonts w:cs="Arial"/>
          <w:szCs w:val="20"/>
        </w:rPr>
        <w:t xml:space="preserve"> overall</w:t>
      </w:r>
      <w:r w:rsidRPr="00857AD2">
        <w:rPr>
          <w:rFonts w:cs="Arial"/>
          <w:szCs w:val="20"/>
        </w:rPr>
        <w:t xml:space="preserve"> price level in 201</w:t>
      </w:r>
      <w:r w:rsidR="009401CC" w:rsidRPr="00857AD2">
        <w:rPr>
          <w:rFonts w:cs="Arial"/>
          <w:szCs w:val="20"/>
        </w:rPr>
        <w:t>6</w:t>
      </w:r>
      <w:r w:rsidRPr="00857AD2">
        <w:rPr>
          <w:rFonts w:cs="Arial"/>
          <w:szCs w:val="20"/>
        </w:rPr>
        <w:t xml:space="preserve"> is illustrated in the breakdown of the total increase of the consumer price index.</w:t>
      </w:r>
    </w:p>
    <w:p w:rsidR="000A610E" w:rsidRDefault="000A610E" w:rsidP="008E1C72">
      <w:pPr>
        <w:pStyle w:val="Zkladntextodsazen3"/>
        <w:rPr>
          <w:rFonts w:cs="Arial"/>
          <w:szCs w:val="20"/>
        </w:rPr>
      </w:pPr>
    </w:p>
    <w:p w:rsidR="008E1C72" w:rsidRPr="00691A83" w:rsidRDefault="008E1C72" w:rsidP="008E1C72">
      <w:pPr>
        <w:pStyle w:val="Zkladntextodsazen3"/>
        <w:spacing w:after="0"/>
        <w:ind w:left="0"/>
        <w:jc w:val="center"/>
        <w:rPr>
          <w:rFonts w:cs="Arial"/>
          <w:b/>
          <w:bCs/>
          <w:sz w:val="20"/>
          <w:szCs w:val="20"/>
        </w:rPr>
      </w:pPr>
      <w:r w:rsidRPr="00691A83">
        <w:rPr>
          <w:rFonts w:cs="Arial"/>
          <w:b/>
          <w:bCs/>
          <w:sz w:val="20"/>
          <w:szCs w:val="20"/>
        </w:rPr>
        <w:t>Breakdown of the y-o-y change of the consumer price index in 201</w:t>
      </w:r>
      <w:r w:rsidR="009401CC">
        <w:rPr>
          <w:rFonts w:cs="Arial"/>
          <w:b/>
          <w:bCs/>
          <w:sz w:val="20"/>
          <w:szCs w:val="20"/>
        </w:rPr>
        <w:t>6</w:t>
      </w:r>
    </w:p>
    <w:p w:rsidR="008E1C72" w:rsidRPr="00691A83" w:rsidRDefault="008E1C72" w:rsidP="008E1C72">
      <w:pPr>
        <w:pStyle w:val="Zkladntextodsazen3"/>
        <w:spacing w:after="0"/>
        <w:ind w:left="0"/>
        <w:jc w:val="center"/>
        <w:rPr>
          <w:rFonts w:cs="Arial"/>
          <w:b/>
          <w:bCs/>
          <w:sz w:val="20"/>
          <w:szCs w:val="20"/>
        </w:rPr>
      </w:pPr>
      <w:proofErr w:type="gramStart"/>
      <w:r w:rsidRPr="00691A83">
        <w:rPr>
          <w:rFonts w:cs="Arial"/>
          <w:b/>
          <w:bCs/>
          <w:sz w:val="20"/>
          <w:szCs w:val="20"/>
        </w:rPr>
        <w:t>in</w:t>
      </w:r>
      <w:proofErr w:type="gramEnd"/>
      <w:r w:rsidRPr="00691A83">
        <w:rPr>
          <w:rFonts w:cs="Arial"/>
          <w:b/>
          <w:bCs/>
          <w:sz w:val="20"/>
          <w:szCs w:val="20"/>
        </w:rPr>
        <w:t> percentage points</w:t>
      </w:r>
    </w:p>
    <w:p w:rsidR="008E1C72" w:rsidRPr="000C42D9" w:rsidRDefault="008E1C72" w:rsidP="008E1C72">
      <w:pPr>
        <w:pStyle w:val="Zkladntextodsazen3"/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19"/>
        <w:gridCol w:w="2199"/>
      </w:tblGrid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DIVISION</w:t>
            </w:r>
          </w:p>
        </w:tc>
        <w:tc>
          <w:tcPr>
            <w:tcW w:w="2199" w:type="dxa"/>
          </w:tcPr>
          <w:p w:rsidR="008E1C72" w:rsidRPr="009A3532" w:rsidRDefault="008E1C72" w:rsidP="007475EF">
            <w:pPr>
              <w:pStyle w:val="Zkladntextodsazen3"/>
              <w:rPr>
                <w:sz w:val="18"/>
                <w:szCs w:val="18"/>
              </w:rPr>
            </w:pP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TOTAL</w:t>
            </w:r>
          </w:p>
        </w:tc>
        <w:tc>
          <w:tcPr>
            <w:tcW w:w="2199" w:type="dxa"/>
            <w:vAlign w:val="bottom"/>
          </w:tcPr>
          <w:p w:rsidR="008E1C72" w:rsidRPr="00D53941" w:rsidRDefault="005565E7" w:rsidP="00D53941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</w:t>
            </w:r>
            <w:r w:rsidR="008E1C72" w:rsidRPr="00D53941">
              <w:rPr>
                <w:sz w:val="18"/>
                <w:szCs w:val="18"/>
              </w:rPr>
              <w:t>.</w:t>
            </w:r>
            <w:r w:rsidR="00D53941" w:rsidRPr="00D53941">
              <w:rPr>
                <w:sz w:val="18"/>
                <w:szCs w:val="18"/>
              </w:rPr>
              <w:t>7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9" w:type="dxa"/>
            <w:vAlign w:val="bottom"/>
          </w:tcPr>
          <w:p w:rsidR="008E1C72" w:rsidRPr="00D53941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</w:p>
        </w:tc>
      </w:tr>
      <w:tr w:rsidR="008E1C72" w:rsidRPr="000C42D9" w:rsidTr="007475EF">
        <w:trPr>
          <w:trHeight w:hRule="exact" w:val="290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Food and non-alcoholic beverages</w:t>
            </w:r>
          </w:p>
        </w:tc>
        <w:tc>
          <w:tcPr>
            <w:tcW w:w="2199" w:type="dxa"/>
            <w:vAlign w:val="bottom"/>
          </w:tcPr>
          <w:p w:rsidR="008E1C72" w:rsidRPr="00D53941" w:rsidRDefault="00366FF2" w:rsidP="00D53941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-</w:t>
            </w:r>
            <w:r w:rsidR="008E1C72" w:rsidRPr="00D53941">
              <w:rPr>
                <w:sz w:val="18"/>
                <w:szCs w:val="18"/>
              </w:rPr>
              <w:t>0.</w:t>
            </w:r>
            <w:r w:rsidR="00D53941" w:rsidRPr="00D53941">
              <w:rPr>
                <w:sz w:val="18"/>
                <w:szCs w:val="18"/>
              </w:rPr>
              <w:t>1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Al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oholic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beverages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nd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acco</w:t>
            </w:r>
          </w:p>
        </w:tc>
        <w:tc>
          <w:tcPr>
            <w:tcW w:w="2199" w:type="dxa"/>
            <w:vAlign w:val="bottom"/>
          </w:tcPr>
          <w:p w:rsidR="008E1C72" w:rsidRPr="00D53941" w:rsidRDefault="008E1C72" w:rsidP="00366FF2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0.</w:t>
            </w:r>
            <w:r w:rsidR="00366FF2" w:rsidRPr="00D53941">
              <w:rPr>
                <w:sz w:val="18"/>
                <w:szCs w:val="18"/>
              </w:rPr>
              <w:t>4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Clothing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 footwear</w:t>
            </w:r>
          </w:p>
        </w:tc>
        <w:tc>
          <w:tcPr>
            <w:tcW w:w="2199" w:type="dxa"/>
            <w:vAlign w:val="bottom"/>
          </w:tcPr>
          <w:p w:rsidR="008E1C72" w:rsidRPr="00D53941" w:rsidRDefault="008E1C72" w:rsidP="005565E7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0.</w:t>
            </w:r>
            <w:r w:rsidR="005565E7" w:rsidRPr="00D53941">
              <w:rPr>
                <w:sz w:val="18"/>
                <w:szCs w:val="18"/>
              </w:rPr>
              <w:t>1</w:t>
            </w:r>
          </w:p>
        </w:tc>
      </w:tr>
      <w:tr w:rsidR="008E1C72" w:rsidRPr="000C42D9" w:rsidTr="007475EF">
        <w:trPr>
          <w:trHeight w:hRule="exact" w:val="444"/>
          <w:jc w:val="center"/>
        </w:trPr>
        <w:tc>
          <w:tcPr>
            <w:tcW w:w="3719" w:type="dxa"/>
            <w:vAlign w:val="center"/>
          </w:tcPr>
          <w:p w:rsidR="008E1C72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Housing, water, electricity, gas and other  </w:t>
            </w:r>
          </w:p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fuels</w:t>
            </w:r>
          </w:p>
        </w:tc>
        <w:tc>
          <w:tcPr>
            <w:tcW w:w="2199" w:type="dxa"/>
            <w:vAlign w:val="bottom"/>
          </w:tcPr>
          <w:p w:rsidR="008E1C72" w:rsidRPr="00D53941" w:rsidRDefault="008E1C72" w:rsidP="00D53941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0.</w:t>
            </w:r>
            <w:r w:rsidR="00D53941" w:rsidRPr="00D53941">
              <w:rPr>
                <w:sz w:val="18"/>
                <w:szCs w:val="18"/>
              </w:rPr>
              <w:t>2</w:t>
            </w:r>
          </w:p>
        </w:tc>
      </w:tr>
      <w:tr w:rsidR="008E1C72" w:rsidRPr="000C42D9" w:rsidTr="007475EF">
        <w:trPr>
          <w:trHeight w:hRule="exact" w:val="486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Furnishings, household equipment and routine household maintenance </w:t>
            </w:r>
          </w:p>
        </w:tc>
        <w:tc>
          <w:tcPr>
            <w:tcW w:w="2199" w:type="dxa"/>
            <w:vAlign w:val="center"/>
          </w:tcPr>
          <w:p w:rsidR="008E1C72" w:rsidRPr="00D53941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0.0</w:t>
            </w:r>
          </w:p>
          <w:p w:rsidR="008E1C72" w:rsidRPr="00D53941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Health</w:t>
            </w:r>
          </w:p>
        </w:tc>
        <w:tc>
          <w:tcPr>
            <w:tcW w:w="2199" w:type="dxa"/>
            <w:vAlign w:val="bottom"/>
          </w:tcPr>
          <w:p w:rsidR="008E1C72" w:rsidRPr="00D53941" w:rsidRDefault="008E1C72" w:rsidP="00D53941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0.</w:t>
            </w:r>
            <w:r w:rsidR="00D53941" w:rsidRPr="00D53941">
              <w:rPr>
                <w:sz w:val="18"/>
                <w:szCs w:val="18"/>
              </w:rPr>
              <w:t>0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Transport</w:t>
            </w:r>
          </w:p>
        </w:tc>
        <w:tc>
          <w:tcPr>
            <w:tcW w:w="2199" w:type="dxa"/>
            <w:vAlign w:val="bottom"/>
          </w:tcPr>
          <w:p w:rsidR="008E1C72" w:rsidRPr="00D53941" w:rsidRDefault="00366FF2" w:rsidP="00D53941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-</w:t>
            </w:r>
            <w:r w:rsidR="008E1C72" w:rsidRPr="00D53941">
              <w:rPr>
                <w:sz w:val="18"/>
                <w:szCs w:val="18"/>
              </w:rPr>
              <w:t>0.</w:t>
            </w:r>
            <w:r w:rsidR="00D53941" w:rsidRPr="00D53941">
              <w:rPr>
                <w:sz w:val="18"/>
                <w:szCs w:val="18"/>
              </w:rPr>
              <w:t>2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Communication</w:t>
            </w:r>
          </w:p>
        </w:tc>
        <w:tc>
          <w:tcPr>
            <w:tcW w:w="2199" w:type="dxa"/>
            <w:vAlign w:val="bottom"/>
          </w:tcPr>
          <w:p w:rsidR="008E1C72" w:rsidRPr="00D53941" w:rsidRDefault="008E1C72" w:rsidP="0076295B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0.</w:t>
            </w:r>
            <w:r w:rsidR="0076295B" w:rsidRPr="00D53941">
              <w:rPr>
                <w:sz w:val="18"/>
                <w:szCs w:val="18"/>
              </w:rPr>
              <w:t>0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tion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 c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ultur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</w:t>
            </w:r>
          </w:p>
        </w:tc>
        <w:tc>
          <w:tcPr>
            <w:tcW w:w="2199" w:type="dxa"/>
            <w:vAlign w:val="bottom"/>
          </w:tcPr>
          <w:p w:rsidR="008E1C72" w:rsidRPr="00D53941" w:rsidRDefault="008E1C72" w:rsidP="0076295B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0.</w:t>
            </w:r>
            <w:r w:rsidR="0076295B" w:rsidRPr="00D53941">
              <w:rPr>
                <w:sz w:val="18"/>
                <w:szCs w:val="18"/>
              </w:rPr>
              <w:t>1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Education</w:t>
            </w:r>
          </w:p>
        </w:tc>
        <w:tc>
          <w:tcPr>
            <w:tcW w:w="2199" w:type="dxa"/>
            <w:vAlign w:val="bottom"/>
          </w:tcPr>
          <w:p w:rsidR="008E1C72" w:rsidRPr="00D53941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0.0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Restaurants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hotels</w:t>
            </w:r>
          </w:p>
        </w:tc>
        <w:tc>
          <w:tcPr>
            <w:tcW w:w="2199" w:type="dxa"/>
            <w:vAlign w:val="bottom"/>
          </w:tcPr>
          <w:p w:rsidR="008E1C72" w:rsidRPr="00D53941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0.1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Miscellaneous goods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ervices</w:t>
            </w:r>
          </w:p>
        </w:tc>
        <w:tc>
          <w:tcPr>
            <w:tcW w:w="2199" w:type="dxa"/>
            <w:vAlign w:val="bottom"/>
          </w:tcPr>
          <w:p w:rsidR="008E1C72" w:rsidRPr="00D53941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D53941">
              <w:rPr>
                <w:sz w:val="18"/>
                <w:szCs w:val="18"/>
              </w:rPr>
              <w:t>0.1</w:t>
            </w:r>
          </w:p>
        </w:tc>
      </w:tr>
    </w:tbl>
    <w:p w:rsidR="00D53941" w:rsidRDefault="00D53941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D53941" w:rsidRPr="00244B07" w:rsidRDefault="00D53941" w:rsidP="00D5394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857AD2">
        <w:rPr>
          <w:rFonts w:ascii="Arial" w:hAnsi="Arial" w:cs="Arial"/>
          <w:b w:val="0"/>
          <w:bCs w:val="0"/>
          <w:sz w:val="20"/>
          <w:szCs w:val="20"/>
        </w:rPr>
        <w:t xml:space="preserve">The biggest contribution to the growth of the price level in 2016 was owing to prices in </w:t>
      </w:r>
      <w:r w:rsidRPr="00857AD2">
        <w:rPr>
          <w:rFonts w:ascii="Arial" w:hAnsi="Arial" w:cs="Arial"/>
          <w:sz w:val="20"/>
        </w:rPr>
        <w:t xml:space="preserve">'alcoholic beverages and tobacco' </w:t>
      </w:r>
      <w:r w:rsidRPr="00857AD2">
        <w:rPr>
          <w:rFonts w:ascii="Arial" w:hAnsi="Arial" w:cs="Arial"/>
          <w:b w:val="0"/>
          <w:sz w:val="20"/>
        </w:rPr>
        <w:t xml:space="preserve">due to the rise in prices of tobacco products (also because </w:t>
      </w:r>
      <w:r w:rsidRPr="00857AD2">
        <w:rPr>
          <w:rFonts w:ascii="Arial" w:hAnsi="Arial" w:cs="Arial"/>
          <w:b w:val="0"/>
          <w:sz w:val="20"/>
        </w:rPr>
        <w:lastRenderedPageBreak/>
        <w:t xml:space="preserve">of the increase in the excise </w:t>
      </w:r>
      <w:r w:rsidR="00A77503">
        <w:rPr>
          <w:rFonts w:ascii="Arial" w:hAnsi="Arial" w:cs="Arial"/>
          <w:b w:val="0"/>
          <w:sz w:val="20"/>
        </w:rPr>
        <w:t>duty</w:t>
      </w:r>
      <w:r w:rsidRPr="00857AD2">
        <w:rPr>
          <w:rFonts w:ascii="Arial" w:hAnsi="Arial" w:cs="Arial"/>
          <w:b w:val="0"/>
          <w:sz w:val="20"/>
        </w:rPr>
        <w:t xml:space="preserve"> since </w:t>
      </w:r>
      <w:r w:rsidR="009D28FA">
        <w:rPr>
          <w:rFonts w:ascii="Arial" w:hAnsi="Arial" w:cs="Arial"/>
          <w:b w:val="0"/>
          <w:sz w:val="20"/>
        </w:rPr>
        <w:t>January</w:t>
      </w:r>
      <w:r w:rsidRPr="00857AD2">
        <w:rPr>
          <w:rFonts w:ascii="Arial" w:hAnsi="Arial" w:cs="Arial"/>
          <w:b w:val="0"/>
          <w:sz w:val="20"/>
        </w:rPr>
        <w:t xml:space="preserve"> 201</w:t>
      </w:r>
      <w:r w:rsidR="009D28FA">
        <w:rPr>
          <w:rFonts w:ascii="Arial" w:hAnsi="Arial" w:cs="Arial"/>
          <w:b w:val="0"/>
          <w:sz w:val="20"/>
        </w:rPr>
        <w:t>6</w:t>
      </w:r>
      <w:r w:rsidRPr="00857AD2">
        <w:rPr>
          <w:rFonts w:ascii="Arial" w:hAnsi="Arial" w:cs="Arial"/>
          <w:b w:val="0"/>
          <w:sz w:val="20"/>
        </w:rPr>
        <w:t xml:space="preserve">) by </w:t>
      </w:r>
      <w:r w:rsidR="009D28FA">
        <w:rPr>
          <w:rFonts w:ascii="Arial" w:hAnsi="Arial" w:cs="Arial"/>
          <w:b w:val="0"/>
          <w:sz w:val="20"/>
        </w:rPr>
        <w:t>5</w:t>
      </w:r>
      <w:r w:rsidRPr="00857AD2">
        <w:rPr>
          <w:rFonts w:ascii="Arial" w:hAnsi="Arial" w:cs="Arial"/>
          <w:b w:val="0"/>
          <w:sz w:val="20"/>
        </w:rPr>
        <w:t>.</w:t>
      </w:r>
      <w:r w:rsidR="009D28FA">
        <w:rPr>
          <w:rFonts w:ascii="Arial" w:hAnsi="Arial" w:cs="Arial"/>
          <w:b w:val="0"/>
          <w:sz w:val="20"/>
        </w:rPr>
        <w:t>1</w:t>
      </w:r>
      <w:r w:rsidRPr="00857AD2">
        <w:rPr>
          <w:rFonts w:ascii="Arial" w:hAnsi="Arial" w:cs="Arial"/>
          <w:b w:val="0"/>
          <w:sz w:val="20"/>
        </w:rPr>
        <w:t xml:space="preserve">%. Prices of spirits rose by </w:t>
      </w:r>
      <w:r w:rsidR="009D28FA">
        <w:rPr>
          <w:rFonts w:ascii="Arial" w:hAnsi="Arial" w:cs="Arial"/>
          <w:b w:val="0"/>
          <w:sz w:val="20"/>
        </w:rPr>
        <w:t>4</w:t>
      </w:r>
      <w:r w:rsidRPr="00857AD2">
        <w:rPr>
          <w:rFonts w:ascii="Arial" w:hAnsi="Arial" w:cs="Arial"/>
          <w:b w:val="0"/>
          <w:sz w:val="20"/>
        </w:rPr>
        <w:t>.</w:t>
      </w:r>
      <w:r w:rsidR="009D28FA">
        <w:rPr>
          <w:rFonts w:ascii="Arial" w:hAnsi="Arial" w:cs="Arial"/>
          <w:b w:val="0"/>
          <w:sz w:val="20"/>
        </w:rPr>
        <w:t>6</w:t>
      </w:r>
      <w:r w:rsidRPr="00857AD2">
        <w:rPr>
          <w:rFonts w:ascii="Arial" w:hAnsi="Arial" w:cs="Arial"/>
          <w:b w:val="0"/>
          <w:sz w:val="20"/>
        </w:rPr>
        <w:t xml:space="preserve">%, beer by </w:t>
      </w:r>
      <w:r w:rsidR="009D28FA">
        <w:rPr>
          <w:rFonts w:ascii="Arial" w:hAnsi="Arial" w:cs="Arial"/>
          <w:b w:val="0"/>
          <w:sz w:val="20"/>
        </w:rPr>
        <w:t>3</w:t>
      </w:r>
      <w:r w:rsidRPr="00857AD2">
        <w:rPr>
          <w:rFonts w:ascii="Arial" w:hAnsi="Arial" w:cs="Arial"/>
          <w:b w:val="0"/>
          <w:sz w:val="20"/>
        </w:rPr>
        <w:t>.</w:t>
      </w:r>
      <w:r w:rsidR="009D28FA">
        <w:rPr>
          <w:rFonts w:ascii="Arial" w:hAnsi="Arial" w:cs="Arial"/>
          <w:b w:val="0"/>
          <w:sz w:val="20"/>
        </w:rPr>
        <w:t>8</w:t>
      </w:r>
      <w:r w:rsidRPr="00857AD2">
        <w:rPr>
          <w:rFonts w:ascii="Arial" w:hAnsi="Arial" w:cs="Arial"/>
          <w:b w:val="0"/>
          <w:sz w:val="20"/>
        </w:rPr>
        <w:t>%</w:t>
      </w:r>
      <w:r w:rsidR="000A2712">
        <w:rPr>
          <w:rFonts w:ascii="Arial" w:hAnsi="Arial" w:cs="Arial"/>
          <w:b w:val="0"/>
          <w:sz w:val="20"/>
        </w:rPr>
        <w:t>,</w:t>
      </w:r>
      <w:r w:rsidRPr="00857AD2">
        <w:rPr>
          <w:rFonts w:ascii="Arial" w:hAnsi="Arial" w:cs="Arial"/>
          <w:b w:val="0"/>
          <w:sz w:val="20"/>
        </w:rPr>
        <w:t xml:space="preserve"> and prices of wine by 1.5%.</w:t>
      </w:r>
      <w:r w:rsidRPr="00244B07">
        <w:rPr>
          <w:rFonts w:ascii="Arial" w:hAnsi="Arial" w:cs="Arial"/>
          <w:b w:val="0"/>
          <w:sz w:val="20"/>
        </w:rPr>
        <w:t xml:space="preserve"> </w:t>
      </w:r>
    </w:p>
    <w:p w:rsidR="00D53941" w:rsidRDefault="00D53941" w:rsidP="00D5394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D53941" w:rsidRDefault="00D53941" w:rsidP="00D5394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9B4A4E">
        <w:rPr>
          <w:rFonts w:cs="Arial"/>
          <w:sz w:val="20"/>
          <w:szCs w:val="20"/>
        </w:rPr>
        <w:t xml:space="preserve">The increase in the y-o-y price growth came also from prices in </w:t>
      </w:r>
      <w:r w:rsidRPr="009B4A4E">
        <w:rPr>
          <w:rFonts w:cs="Arial"/>
          <w:b/>
          <w:sz w:val="20"/>
          <w:szCs w:val="20"/>
        </w:rPr>
        <w:t>'housing, water, electricity, gas and other fuels'</w:t>
      </w:r>
      <w:r w:rsidRPr="00A77503">
        <w:rPr>
          <w:rFonts w:cs="Arial"/>
          <w:sz w:val="20"/>
          <w:szCs w:val="20"/>
        </w:rPr>
        <w:t>.</w:t>
      </w:r>
      <w:r w:rsidRPr="009B4A4E">
        <w:rPr>
          <w:rFonts w:cs="Arial"/>
          <w:b/>
          <w:sz w:val="20"/>
          <w:szCs w:val="20"/>
        </w:rPr>
        <w:t xml:space="preserve"> </w:t>
      </w:r>
      <w:r w:rsidRPr="009B4A4E">
        <w:rPr>
          <w:rFonts w:cs="Arial"/>
          <w:sz w:val="20"/>
          <w:szCs w:val="20"/>
        </w:rPr>
        <w:t>Although</w:t>
      </w:r>
      <w:r w:rsidRPr="009B4A4E">
        <w:rPr>
          <w:rStyle w:val="hps"/>
          <w:rFonts w:cs="Arial"/>
          <w:color w:val="222222"/>
          <w:sz w:val="20"/>
          <w:szCs w:val="20"/>
        </w:rPr>
        <w:t xml:space="preserve"> the</w:t>
      </w:r>
      <w:r w:rsidRPr="009B4A4E">
        <w:rPr>
          <w:rFonts w:cs="Arial"/>
          <w:color w:val="222222"/>
          <w:sz w:val="20"/>
          <w:szCs w:val="20"/>
        </w:rPr>
        <w:t xml:space="preserve"> </w:t>
      </w:r>
      <w:r w:rsidRPr="009B4A4E">
        <w:rPr>
          <w:rStyle w:val="hps"/>
          <w:rFonts w:cs="Arial"/>
          <w:color w:val="222222"/>
          <w:sz w:val="20"/>
          <w:szCs w:val="20"/>
        </w:rPr>
        <w:t>items</w:t>
      </w:r>
      <w:r w:rsidRPr="009B4A4E">
        <w:rPr>
          <w:rFonts w:cs="Arial"/>
          <w:color w:val="222222"/>
          <w:sz w:val="20"/>
          <w:szCs w:val="20"/>
        </w:rPr>
        <w:t xml:space="preserve"> </w:t>
      </w:r>
      <w:r w:rsidRPr="009B4A4E">
        <w:rPr>
          <w:rStyle w:val="hps"/>
          <w:rFonts w:cs="Arial"/>
          <w:color w:val="222222"/>
          <w:sz w:val="20"/>
          <w:szCs w:val="20"/>
        </w:rPr>
        <w:t>thereof</w:t>
      </w:r>
      <w:r w:rsidRPr="009B4A4E">
        <w:rPr>
          <w:rFonts w:cs="Arial"/>
          <w:color w:val="222222"/>
          <w:sz w:val="20"/>
          <w:szCs w:val="20"/>
        </w:rPr>
        <w:t xml:space="preserve"> have </w:t>
      </w:r>
      <w:r w:rsidRPr="009B4A4E">
        <w:rPr>
          <w:rStyle w:val="hps"/>
          <w:rFonts w:cs="Arial"/>
          <w:color w:val="222222"/>
          <w:sz w:val="20"/>
          <w:szCs w:val="20"/>
        </w:rPr>
        <w:t>not</w:t>
      </w:r>
      <w:r w:rsidRPr="009B4A4E">
        <w:rPr>
          <w:rFonts w:cs="Arial"/>
          <w:color w:val="222222"/>
          <w:sz w:val="20"/>
          <w:szCs w:val="20"/>
        </w:rPr>
        <w:t xml:space="preserve"> undergone </w:t>
      </w:r>
      <w:r w:rsidRPr="009B4A4E">
        <w:rPr>
          <w:rStyle w:val="hps"/>
          <w:rFonts w:cs="Arial"/>
          <w:color w:val="222222"/>
          <w:sz w:val="20"/>
          <w:szCs w:val="20"/>
        </w:rPr>
        <w:t>substantial price</w:t>
      </w:r>
      <w:r w:rsidRPr="009B4A4E">
        <w:rPr>
          <w:rFonts w:cs="Arial"/>
          <w:color w:val="222222"/>
          <w:sz w:val="20"/>
          <w:szCs w:val="20"/>
        </w:rPr>
        <w:t xml:space="preserve"> </w:t>
      </w:r>
      <w:r w:rsidRPr="009B4A4E">
        <w:rPr>
          <w:rStyle w:val="hps"/>
          <w:rFonts w:cs="Arial"/>
          <w:color w:val="222222"/>
          <w:sz w:val="20"/>
          <w:szCs w:val="20"/>
        </w:rPr>
        <w:t>fluctuations</w:t>
      </w:r>
      <w:r w:rsidRPr="009B4A4E">
        <w:rPr>
          <w:rFonts w:cs="Arial"/>
          <w:color w:val="222222"/>
          <w:sz w:val="20"/>
          <w:szCs w:val="20"/>
        </w:rPr>
        <w:t xml:space="preserve">, </w:t>
      </w:r>
      <w:r w:rsidRPr="009B4A4E">
        <w:rPr>
          <w:rStyle w:val="hps"/>
          <w:rFonts w:cs="Arial"/>
          <w:color w:val="222222"/>
          <w:sz w:val="20"/>
          <w:szCs w:val="20"/>
        </w:rPr>
        <w:t>their overall</w:t>
      </w:r>
      <w:r w:rsidRPr="009B4A4E">
        <w:rPr>
          <w:rFonts w:cs="Arial"/>
          <w:color w:val="222222"/>
          <w:sz w:val="20"/>
          <w:szCs w:val="20"/>
        </w:rPr>
        <w:t xml:space="preserve"> influence </w:t>
      </w:r>
      <w:r w:rsidRPr="009B4A4E">
        <w:rPr>
          <w:rStyle w:val="hps"/>
          <w:rFonts w:cs="Arial"/>
          <w:color w:val="222222"/>
          <w:sz w:val="20"/>
          <w:szCs w:val="20"/>
        </w:rPr>
        <w:t>was</w:t>
      </w:r>
      <w:r w:rsidRPr="009B4A4E">
        <w:rPr>
          <w:rFonts w:cs="Arial"/>
          <w:color w:val="222222"/>
          <w:sz w:val="20"/>
          <w:szCs w:val="20"/>
        </w:rPr>
        <w:t xml:space="preserve"> </w:t>
      </w:r>
      <w:r w:rsidRPr="009B4A4E">
        <w:rPr>
          <w:rStyle w:val="hps"/>
          <w:rFonts w:cs="Arial"/>
          <w:color w:val="222222"/>
          <w:sz w:val="20"/>
          <w:szCs w:val="20"/>
        </w:rPr>
        <w:t>significant due</w:t>
      </w:r>
      <w:r w:rsidRPr="009B4A4E">
        <w:rPr>
          <w:rFonts w:cs="Arial"/>
          <w:color w:val="222222"/>
          <w:sz w:val="20"/>
          <w:szCs w:val="20"/>
        </w:rPr>
        <w:t xml:space="preserve"> </w:t>
      </w:r>
      <w:r w:rsidRPr="009B4A4E">
        <w:rPr>
          <w:rStyle w:val="hps"/>
          <w:rFonts w:cs="Arial"/>
          <w:color w:val="222222"/>
          <w:sz w:val="20"/>
          <w:szCs w:val="20"/>
        </w:rPr>
        <w:t>to their weight</w:t>
      </w:r>
      <w:r w:rsidRPr="009B4A4E">
        <w:rPr>
          <w:rFonts w:cs="Arial"/>
          <w:color w:val="222222"/>
          <w:sz w:val="20"/>
          <w:szCs w:val="20"/>
        </w:rPr>
        <w:t xml:space="preserve"> </w:t>
      </w:r>
      <w:r w:rsidRPr="009B4A4E">
        <w:rPr>
          <w:rStyle w:val="hps"/>
          <w:rFonts w:cs="Arial"/>
          <w:color w:val="222222"/>
          <w:sz w:val="20"/>
          <w:szCs w:val="20"/>
        </w:rPr>
        <w:t xml:space="preserve">in the consumer basket. </w:t>
      </w:r>
      <w:r w:rsidR="009B4A4E" w:rsidRPr="009B4A4E">
        <w:rPr>
          <w:rFonts w:cs="Arial"/>
          <w:sz w:val="20"/>
          <w:szCs w:val="20"/>
        </w:rPr>
        <w:t xml:space="preserve">Electricity prices went </w:t>
      </w:r>
      <w:r w:rsidR="009B4A4E">
        <w:rPr>
          <w:rFonts w:cs="Arial"/>
          <w:sz w:val="20"/>
          <w:szCs w:val="20"/>
        </w:rPr>
        <w:t>up</w:t>
      </w:r>
      <w:r w:rsidR="009B4A4E" w:rsidRPr="009B4A4E">
        <w:rPr>
          <w:rFonts w:cs="Arial"/>
          <w:sz w:val="20"/>
          <w:szCs w:val="20"/>
        </w:rPr>
        <w:t xml:space="preserve"> by </w:t>
      </w:r>
      <w:r w:rsidR="009B4A4E">
        <w:rPr>
          <w:rFonts w:cs="Arial"/>
          <w:sz w:val="20"/>
          <w:szCs w:val="20"/>
        </w:rPr>
        <w:t>1</w:t>
      </w:r>
      <w:r w:rsidR="009B4A4E" w:rsidRPr="009B4A4E">
        <w:rPr>
          <w:rFonts w:cs="Arial"/>
          <w:sz w:val="20"/>
          <w:szCs w:val="20"/>
        </w:rPr>
        <w:t>.</w:t>
      </w:r>
      <w:r w:rsidR="009B4A4E">
        <w:rPr>
          <w:rFonts w:cs="Arial"/>
          <w:sz w:val="20"/>
          <w:szCs w:val="20"/>
        </w:rPr>
        <w:t>2</w:t>
      </w:r>
      <w:r w:rsidR="009B4A4E" w:rsidRPr="009B4A4E">
        <w:rPr>
          <w:rFonts w:cs="Arial"/>
          <w:sz w:val="20"/>
          <w:szCs w:val="20"/>
        </w:rPr>
        <w:t>%</w:t>
      </w:r>
      <w:proofErr w:type="gramStart"/>
      <w:r w:rsidR="009B4A4E">
        <w:rPr>
          <w:rFonts w:cs="Arial"/>
          <w:sz w:val="20"/>
          <w:szCs w:val="20"/>
        </w:rPr>
        <w:t>,</w:t>
      </w:r>
      <w:proofErr w:type="gramEnd"/>
      <w:r w:rsidR="009B4A4E">
        <w:rPr>
          <w:rFonts w:cs="Arial"/>
          <w:sz w:val="20"/>
          <w:szCs w:val="20"/>
        </w:rPr>
        <w:t xml:space="preserve"> </w:t>
      </w:r>
      <w:r w:rsidRPr="009B4A4E">
        <w:rPr>
          <w:rFonts w:cs="Arial"/>
          <w:sz w:val="20"/>
          <w:szCs w:val="20"/>
        </w:rPr>
        <w:t>net actual rentals by 1.</w:t>
      </w:r>
      <w:r w:rsidR="009B4A4E">
        <w:rPr>
          <w:rFonts w:cs="Arial"/>
          <w:sz w:val="20"/>
          <w:szCs w:val="20"/>
        </w:rPr>
        <w:t>5</w:t>
      </w:r>
      <w:r w:rsidRPr="009B4A4E">
        <w:rPr>
          <w:rFonts w:cs="Arial"/>
          <w:sz w:val="20"/>
          <w:szCs w:val="20"/>
        </w:rPr>
        <w:t xml:space="preserve">%, water supply levies by </w:t>
      </w:r>
      <w:r w:rsidR="009B4A4E">
        <w:rPr>
          <w:rFonts w:cs="Arial"/>
          <w:sz w:val="20"/>
          <w:szCs w:val="20"/>
        </w:rPr>
        <w:t>1</w:t>
      </w:r>
      <w:r w:rsidRPr="009B4A4E">
        <w:rPr>
          <w:rFonts w:cs="Arial"/>
          <w:sz w:val="20"/>
          <w:szCs w:val="20"/>
        </w:rPr>
        <w:t>.</w:t>
      </w:r>
      <w:r w:rsidR="009B4A4E">
        <w:rPr>
          <w:rFonts w:cs="Arial"/>
          <w:sz w:val="20"/>
          <w:szCs w:val="20"/>
        </w:rPr>
        <w:t>3</w:t>
      </w:r>
      <w:r w:rsidRPr="009B4A4E">
        <w:rPr>
          <w:rFonts w:cs="Arial"/>
          <w:sz w:val="20"/>
          <w:szCs w:val="20"/>
        </w:rPr>
        <w:t xml:space="preserve">%, sewage collection levies by </w:t>
      </w:r>
      <w:r w:rsidR="009B4A4E">
        <w:rPr>
          <w:rFonts w:cs="Arial"/>
          <w:sz w:val="20"/>
          <w:szCs w:val="20"/>
        </w:rPr>
        <w:t>4</w:t>
      </w:r>
      <w:r w:rsidRPr="009B4A4E">
        <w:rPr>
          <w:rFonts w:cs="Arial"/>
          <w:sz w:val="20"/>
          <w:szCs w:val="20"/>
        </w:rPr>
        <w:t>.8%, heat and hot water prices by 1.</w:t>
      </w:r>
      <w:r w:rsidR="009B4A4E">
        <w:rPr>
          <w:rFonts w:cs="Arial"/>
          <w:sz w:val="20"/>
          <w:szCs w:val="20"/>
        </w:rPr>
        <w:t>0</w:t>
      </w:r>
      <w:r w:rsidRPr="009B4A4E">
        <w:rPr>
          <w:rFonts w:cs="Arial"/>
          <w:sz w:val="20"/>
          <w:szCs w:val="20"/>
        </w:rPr>
        <w:t xml:space="preserve">%. </w:t>
      </w:r>
      <w:r w:rsidR="009B4A4E" w:rsidRPr="009B4A4E">
        <w:rPr>
          <w:rStyle w:val="hps"/>
          <w:rFonts w:cs="Arial"/>
          <w:color w:val="222222"/>
          <w:sz w:val="20"/>
          <w:szCs w:val="20"/>
        </w:rPr>
        <w:t>Prices of n</w:t>
      </w:r>
      <w:r w:rsidR="009B4A4E" w:rsidRPr="009B4A4E">
        <w:rPr>
          <w:rFonts w:cs="Arial"/>
          <w:sz w:val="20"/>
          <w:szCs w:val="20"/>
        </w:rPr>
        <w:t xml:space="preserve">atural gas </w:t>
      </w:r>
      <w:r w:rsidR="0006059D">
        <w:rPr>
          <w:rFonts w:cs="Arial"/>
          <w:sz w:val="20"/>
          <w:szCs w:val="20"/>
        </w:rPr>
        <w:t>went down</w:t>
      </w:r>
      <w:r w:rsidR="009B4A4E" w:rsidRPr="009B4A4E">
        <w:rPr>
          <w:rStyle w:val="hps"/>
          <w:rFonts w:cs="Arial"/>
          <w:color w:val="222222"/>
          <w:sz w:val="20"/>
          <w:szCs w:val="20"/>
        </w:rPr>
        <w:t xml:space="preserve"> by </w:t>
      </w:r>
      <w:r w:rsidR="009B4A4E">
        <w:rPr>
          <w:rStyle w:val="hps"/>
          <w:rFonts w:cs="Arial"/>
          <w:color w:val="222222"/>
          <w:sz w:val="20"/>
          <w:szCs w:val="20"/>
        </w:rPr>
        <w:t>4</w:t>
      </w:r>
      <w:r w:rsidR="009B4A4E" w:rsidRPr="009B4A4E">
        <w:rPr>
          <w:rStyle w:val="hps"/>
          <w:rFonts w:cs="Arial"/>
          <w:color w:val="222222"/>
          <w:sz w:val="20"/>
          <w:szCs w:val="20"/>
        </w:rPr>
        <w:t>.</w:t>
      </w:r>
      <w:r w:rsidR="009B4A4E">
        <w:rPr>
          <w:rStyle w:val="hps"/>
          <w:rFonts w:cs="Arial"/>
          <w:color w:val="222222"/>
          <w:sz w:val="20"/>
          <w:szCs w:val="20"/>
        </w:rPr>
        <w:t>7</w:t>
      </w:r>
      <w:r w:rsidR="009B4A4E" w:rsidRPr="009B4A4E">
        <w:rPr>
          <w:rStyle w:val="hps"/>
          <w:rFonts w:cs="Arial"/>
          <w:color w:val="222222"/>
          <w:sz w:val="20"/>
          <w:szCs w:val="20"/>
        </w:rPr>
        <w:t>%</w:t>
      </w:r>
      <w:r w:rsidR="009B4A4E">
        <w:rPr>
          <w:rStyle w:val="hps"/>
          <w:rFonts w:cs="Arial"/>
          <w:color w:val="222222"/>
          <w:sz w:val="20"/>
          <w:szCs w:val="20"/>
        </w:rPr>
        <w:t>.</w:t>
      </w:r>
    </w:p>
    <w:p w:rsidR="009B4A4E" w:rsidRDefault="009B4A4E" w:rsidP="00D5394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D53941" w:rsidRDefault="00D53941" w:rsidP="00D53941">
      <w:pPr>
        <w:pStyle w:val="Zkladntextodsazen3"/>
        <w:spacing w:after="0"/>
        <w:ind w:left="0"/>
        <w:rPr>
          <w:rFonts w:cs="Arial"/>
          <w:sz w:val="20"/>
        </w:rPr>
      </w:pPr>
      <w:r w:rsidRPr="005312FC">
        <w:rPr>
          <w:rFonts w:cs="Arial"/>
          <w:sz w:val="20"/>
        </w:rPr>
        <w:t xml:space="preserve">In </w:t>
      </w:r>
      <w:r w:rsidRPr="005312FC">
        <w:rPr>
          <w:rFonts w:cs="Arial"/>
          <w:b/>
          <w:sz w:val="20"/>
        </w:rPr>
        <w:t>'clothing and footwear</w:t>
      </w:r>
      <w:r w:rsidRPr="005312FC">
        <w:rPr>
          <w:rFonts w:cs="Arial"/>
          <w:sz w:val="20"/>
        </w:rPr>
        <w:t xml:space="preserve">', the price growth </w:t>
      </w:r>
      <w:r w:rsidR="00A77503">
        <w:rPr>
          <w:rFonts w:cs="Arial"/>
          <w:sz w:val="20"/>
        </w:rPr>
        <w:t>by</w:t>
      </w:r>
      <w:r w:rsidRPr="005312FC">
        <w:rPr>
          <w:rFonts w:cs="Arial"/>
          <w:sz w:val="20"/>
        </w:rPr>
        <w:t xml:space="preserve"> </w:t>
      </w:r>
      <w:r w:rsidR="005312FC">
        <w:rPr>
          <w:rFonts w:cs="Arial"/>
          <w:sz w:val="20"/>
        </w:rPr>
        <w:t>1</w:t>
      </w:r>
      <w:r w:rsidRPr="005312FC">
        <w:rPr>
          <w:rFonts w:cs="Arial"/>
          <w:sz w:val="20"/>
        </w:rPr>
        <w:t>.</w:t>
      </w:r>
      <w:r w:rsidR="005312FC">
        <w:rPr>
          <w:rFonts w:cs="Arial"/>
          <w:sz w:val="20"/>
        </w:rPr>
        <w:t>8</w:t>
      </w:r>
      <w:r w:rsidRPr="005312FC">
        <w:rPr>
          <w:rFonts w:cs="Arial"/>
          <w:sz w:val="20"/>
        </w:rPr>
        <w:t xml:space="preserve">% </w:t>
      </w:r>
      <w:r w:rsidR="00A77503">
        <w:rPr>
          <w:rFonts w:cs="Arial"/>
          <w:sz w:val="20"/>
        </w:rPr>
        <w:t>was caused by an increase in</w:t>
      </w:r>
      <w:r w:rsidRPr="005312FC">
        <w:rPr>
          <w:rFonts w:cs="Arial"/>
          <w:sz w:val="20"/>
        </w:rPr>
        <w:t xml:space="preserve"> prices of shoes and other footwear by </w:t>
      </w:r>
      <w:r w:rsidR="005312FC">
        <w:rPr>
          <w:rFonts w:cs="Arial"/>
          <w:sz w:val="20"/>
        </w:rPr>
        <w:t>5</w:t>
      </w:r>
      <w:r w:rsidRPr="005312FC">
        <w:rPr>
          <w:rFonts w:cs="Arial"/>
          <w:sz w:val="20"/>
        </w:rPr>
        <w:t>.</w:t>
      </w:r>
      <w:r w:rsidR="005312FC">
        <w:rPr>
          <w:rFonts w:cs="Arial"/>
          <w:sz w:val="20"/>
        </w:rPr>
        <w:t>2</w:t>
      </w:r>
      <w:r w:rsidRPr="005312FC">
        <w:rPr>
          <w:rFonts w:cs="Arial"/>
          <w:sz w:val="20"/>
        </w:rPr>
        <w:t xml:space="preserve">% and prices of garments by </w:t>
      </w:r>
      <w:r w:rsidR="005312FC">
        <w:rPr>
          <w:rFonts w:cs="Arial"/>
          <w:sz w:val="20"/>
        </w:rPr>
        <w:t>0</w:t>
      </w:r>
      <w:r w:rsidRPr="005312FC">
        <w:rPr>
          <w:rFonts w:cs="Arial"/>
          <w:sz w:val="20"/>
        </w:rPr>
        <w:t>.</w:t>
      </w:r>
      <w:r w:rsidR="005312FC">
        <w:rPr>
          <w:rFonts w:cs="Arial"/>
          <w:sz w:val="20"/>
        </w:rPr>
        <w:t>7</w:t>
      </w:r>
      <w:r w:rsidRPr="005312FC">
        <w:rPr>
          <w:rFonts w:cs="Arial"/>
          <w:sz w:val="20"/>
        </w:rPr>
        <w:t>%.</w:t>
      </w:r>
    </w:p>
    <w:p w:rsidR="005312FC" w:rsidRPr="005312FC" w:rsidRDefault="005312FC" w:rsidP="00D53941">
      <w:pPr>
        <w:pStyle w:val="Zkladntextodsazen3"/>
        <w:spacing w:after="0"/>
        <w:ind w:left="0"/>
        <w:rPr>
          <w:rFonts w:cs="Arial"/>
          <w:sz w:val="20"/>
        </w:rPr>
      </w:pPr>
    </w:p>
    <w:p w:rsidR="00D53941" w:rsidRPr="00244B07" w:rsidRDefault="00D53941" w:rsidP="00D5394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5312FC">
        <w:rPr>
          <w:rFonts w:cs="Arial"/>
          <w:sz w:val="20"/>
          <w:szCs w:val="20"/>
        </w:rPr>
        <w:t xml:space="preserve">In </w:t>
      </w:r>
      <w:r w:rsidRPr="005312FC">
        <w:rPr>
          <w:rFonts w:cs="Arial"/>
          <w:b/>
          <w:sz w:val="20"/>
          <w:szCs w:val="20"/>
        </w:rPr>
        <w:t>'recreation and culture'</w:t>
      </w:r>
      <w:r w:rsidRPr="005312FC">
        <w:rPr>
          <w:rFonts w:cs="Arial"/>
          <w:sz w:val="20"/>
          <w:szCs w:val="20"/>
        </w:rPr>
        <w:t>,</w:t>
      </w:r>
      <w:r w:rsidR="00A77503">
        <w:rPr>
          <w:rFonts w:cs="Arial"/>
          <w:sz w:val="20"/>
          <w:szCs w:val="20"/>
        </w:rPr>
        <w:t xml:space="preserve"> mainly</w:t>
      </w:r>
      <w:r w:rsidRPr="005312FC">
        <w:rPr>
          <w:rFonts w:cs="Arial"/>
          <w:b/>
          <w:sz w:val="20"/>
          <w:szCs w:val="20"/>
        </w:rPr>
        <w:t xml:space="preserve"> </w:t>
      </w:r>
      <w:r w:rsidRPr="005312FC">
        <w:rPr>
          <w:rFonts w:cs="Arial"/>
          <w:sz w:val="20"/>
          <w:szCs w:val="20"/>
        </w:rPr>
        <w:t xml:space="preserve">prices of package holidays rose by </w:t>
      </w:r>
      <w:r w:rsidR="005312FC">
        <w:rPr>
          <w:rFonts w:cs="Arial"/>
          <w:sz w:val="20"/>
          <w:szCs w:val="20"/>
        </w:rPr>
        <w:t>2</w:t>
      </w:r>
      <w:r w:rsidRPr="005312FC">
        <w:rPr>
          <w:rFonts w:cs="Arial"/>
          <w:sz w:val="20"/>
          <w:szCs w:val="20"/>
        </w:rPr>
        <w:t>.</w:t>
      </w:r>
      <w:r w:rsidR="005312FC">
        <w:rPr>
          <w:rFonts w:cs="Arial"/>
          <w:sz w:val="20"/>
          <w:szCs w:val="20"/>
        </w:rPr>
        <w:t>5</w:t>
      </w:r>
      <w:r w:rsidRPr="005312FC">
        <w:rPr>
          <w:rFonts w:cs="Arial"/>
          <w:sz w:val="20"/>
          <w:szCs w:val="20"/>
        </w:rPr>
        <w:t>%.</w:t>
      </w:r>
    </w:p>
    <w:p w:rsidR="00D53941" w:rsidRDefault="00D53941" w:rsidP="00D53941">
      <w:pPr>
        <w:pStyle w:val="Zkladntextodsazen3"/>
        <w:spacing w:after="0"/>
        <w:ind w:left="0"/>
        <w:rPr>
          <w:rFonts w:cs="Arial"/>
          <w:sz w:val="20"/>
        </w:rPr>
      </w:pPr>
    </w:p>
    <w:p w:rsidR="00D53941" w:rsidRPr="005312FC" w:rsidRDefault="00D53941" w:rsidP="00D5394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5312FC">
        <w:rPr>
          <w:rFonts w:cs="Arial"/>
          <w:sz w:val="20"/>
          <w:szCs w:val="20"/>
        </w:rPr>
        <w:t xml:space="preserve">Also prices in </w:t>
      </w:r>
      <w:r w:rsidRPr="005312FC">
        <w:rPr>
          <w:rFonts w:cs="Arial"/>
          <w:b/>
          <w:sz w:val="20"/>
          <w:szCs w:val="20"/>
        </w:rPr>
        <w:t xml:space="preserve">'restaurants and hotels' </w:t>
      </w:r>
      <w:r w:rsidR="005312FC">
        <w:rPr>
          <w:rFonts w:cs="Arial"/>
          <w:sz w:val="20"/>
          <w:szCs w:val="20"/>
        </w:rPr>
        <w:t>rose</w:t>
      </w:r>
      <w:r w:rsidRPr="005312FC">
        <w:rPr>
          <w:rFonts w:cs="Arial"/>
          <w:sz w:val="20"/>
          <w:szCs w:val="20"/>
        </w:rPr>
        <w:t>; it was due to higher prices of catering services by 1.</w:t>
      </w:r>
      <w:r w:rsidR="005312FC">
        <w:rPr>
          <w:rFonts w:cs="Arial"/>
          <w:sz w:val="20"/>
          <w:szCs w:val="20"/>
        </w:rPr>
        <w:t>7</w:t>
      </w:r>
      <w:r w:rsidRPr="005312FC">
        <w:rPr>
          <w:rFonts w:cs="Arial"/>
          <w:sz w:val="20"/>
          <w:szCs w:val="20"/>
        </w:rPr>
        <w:t xml:space="preserve">%. Prices of accommodation services </w:t>
      </w:r>
      <w:r w:rsidR="005312FC">
        <w:rPr>
          <w:rFonts w:cs="Arial"/>
          <w:sz w:val="20"/>
          <w:szCs w:val="20"/>
        </w:rPr>
        <w:t xml:space="preserve">went up </w:t>
      </w:r>
      <w:r w:rsidRPr="005312FC">
        <w:rPr>
          <w:rFonts w:cs="Arial"/>
          <w:sz w:val="20"/>
          <w:szCs w:val="20"/>
        </w:rPr>
        <w:t>by 0.</w:t>
      </w:r>
      <w:r w:rsidR="005312FC">
        <w:rPr>
          <w:rFonts w:cs="Arial"/>
          <w:sz w:val="20"/>
          <w:szCs w:val="20"/>
        </w:rPr>
        <w:t>6</w:t>
      </w:r>
      <w:r w:rsidRPr="005312FC">
        <w:rPr>
          <w:rFonts w:cs="Arial"/>
          <w:sz w:val="20"/>
          <w:szCs w:val="20"/>
        </w:rPr>
        <w:t xml:space="preserve">%. </w:t>
      </w:r>
    </w:p>
    <w:p w:rsidR="00D53941" w:rsidRPr="005312FC" w:rsidRDefault="00D53941" w:rsidP="00D53941">
      <w:pPr>
        <w:pStyle w:val="Zkladntextodsazen3"/>
        <w:spacing w:after="0"/>
        <w:ind w:left="0"/>
        <w:rPr>
          <w:rFonts w:cs="Arial"/>
          <w:sz w:val="20"/>
        </w:rPr>
      </w:pPr>
    </w:p>
    <w:p w:rsidR="00D53941" w:rsidRPr="005312FC" w:rsidRDefault="00D53941" w:rsidP="00D5394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0934F5">
        <w:rPr>
          <w:rFonts w:cs="Arial"/>
          <w:b/>
          <w:sz w:val="20"/>
          <w:szCs w:val="20"/>
        </w:rPr>
        <w:t xml:space="preserve">'Miscellaneous goods and services' </w:t>
      </w:r>
      <w:r w:rsidRPr="000934F5">
        <w:rPr>
          <w:rFonts w:cs="Arial"/>
          <w:sz w:val="20"/>
          <w:szCs w:val="20"/>
        </w:rPr>
        <w:t xml:space="preserve">involve various items, of which especially prices of </w:t>
      </w:r>
      <w:r w:rsidR="00B21286">
        <w:rPr>
          <w:rFonts w:cs="Arial"/>
          <w:sz w:val="20"/>
          <w:szCs w:val="20"/>
        </w:rPr>
        <w:t>h</w:t>
      </w:r>
      <w:r w:rsidR="00B21286" w:rsidRPr="00B21286">
        <w:rPr>
          <w:rFonts w:cs="Arial"/>
          <w:sz w:val="20"/>
          <w:szCs w:val="20"/>
        </w:rPr>
        <w:t>airdressing salons and services of personal care</w:t>
      </w:r>
      <w:r w:rsidR="00B21286">
        <w:rPr>
          <w:rFonts w:cs="Arial"/>
          <w:sz w:val="20"/>
          <w:szCs w:val="20"/>
        </w:rPr>
        <w:t xml:space="preserve"> </w:t>
      </w:r>
      <w:r w:rsidRPr="000934F5">
        <w:rPr>
          <w:rFonts w:cs="Arial"/>
          <w:sz w:val="20"/>
          <w:szCs w:val="20"/>
        </w:rPr>
        <w:t xml:space="preserve">increased by </w:t>
      </w:r>
      <w:r w:rsidR="00B21286">
        <w:rPr>
          <w:rFonts w:cs="Arial"/>
          <w:sz w:val="20"/>
          <w:szCs w:val="20"/>
        </w:rPr>
        <w:t>2</w:t>
      </w:r>
      <w:r w:rsidRPr="000934F5">
        <w:rPr>
          <w:rFonts w:cs="Arial"/>
          <w:sz w:val="20"/>
          <w:szCs w:val="20"/>
        </w:rPr>
        <w:t>.</w:t>
      </w:r>
      <w:r w:rsidR="00B21286">
        <w:rPr>
          <w:rFonts w:cs="Arial"/>
          <w:sz w:val="20"/>
          <w:szCs w:val="20"/>
        </w:rPr>
        <w:t>0</w:t>
      </w:r>
      <w:r w:rsidRPr="000934F5">
        <w:rPr>
          <w:rFonts w:cs="Arial"/>
          <w:sz w:val="20"/>
          <w:szCs w:val="20"/>
        </w:rPr>
        <w:t xml:space="preserve">%, insurance by </w:t>
      </w:r>
      <w:r w:rsidR="000B47DD" w:rsidRPr="000934F5">
        <w:rPr>
          <w:rFonts w:cs="Arial"/>
          <w:sz w:val="20"/>
          <w:szCs w:val="20"/>
        </w:rPr>
        <w:t>1</w:t>
      </w:r>
      <w:r w:rsidRPr="000934F5">
        <w:rPr>
          <w:rFonts w:cs="Arial"/>
          <w:sz w:val="20"/>
          <w:szCs w:val="20"/>
        </w:rPr>
        <w:t>.</w:t>
      </w:r>
      <w:r w:rsidR="000B47DD" w:rsidRPr="000934F5">
        <w:rPr>
          <w:rFonts w:cs="Arial"/>
          <w:sz w:val="20"/>
          <w:szCs w:val="20"/>
        </w:rPr>
        <w:t>8</w:t>
      </w:r>
      <w:r w:rsidRPr="000934F5">
        <w:rPr>
          <w:rFonts w:cs="Arial"/>
          <w:sz w:val="20"/>
          <w:szCs w:val="20"/>
        </w:rPr>
        <w:t xml:space="preserve">% and financial services by </w:t>
      </w:r>
      <w:r w:rsidR="000B47DD" w:rsidRPr="000934F5">
        <w:rPr>
          <w:rFonts w:cs="Arial"/>
          <w:sz w:val="20"/>
          <w:szCs w:val="20"/>
        </w:rPr>
        <w:t>1</w:t>
      </w:r>
      <w:r w:rsidRPr="000934F5">
        <w:rPr>
          <w:rFonts w:cs="Arial"/>
          <w:sz w:val="20"/>
          <w:szCs w:val="20"/>
        </w:rPr>
        <w:t>.</w:t>
      </w:r>
      <w:r w:rsidR="000B47DD" w:rsidRPr="000934F5">
        <w:rPr>
          <w:rFonts w:cs="Arial"/>
          <w:sz w:val="20"/>
          <w:szCs w:val="20"/>
        </w:rPr>
        <w:t>9</w:t>
      </w:r>
      <w:r w:rsidRPr="000934F5">
        <w:rPr>
          <w:rFonts w:cs="Arial"/>
          <w:sz w:val="20"/>
          <w:szCs w:val="20"/>
        </w:rPr>
        <w:t>%.</w:t>
      </w:r>
      <w:r w:rsidRPr="005312FC">
        <w:rPr>
          <w:rFonts w:cs="Arial"/>
          <w:sz w:val="20"/>
          <w:szCs w:val="20"/>
        </w:rPr>
        <w:t xml:space="preserve"> </w:t>
      </w:r>
    </w:p>
    <w:p w:rsidR="00D53941" w:rsidRPr="005312FC" w:rsidRDefault="00D53941" w:rsidP="00D53941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</w:p>
    <w:p w:rsidR="00D53941" w:rsidRPr="00B21286" w:rsidRDefault="00D53941" w:rsidP="00D5394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B21286">
        <w:rPr>
          <w:rFonts w:cs="Arial"/>
          <w:sz w:val="20"/>
          <w:szCs w:val="20"/>
        </w:rPr>
        <w:t xml:space="preserve">The reduction in prices in </w:t>
      </w:r>
      <w:r w:rsidRPr="00B21286">
        <w:rPr>
          <w:rFonts w:cs="Arial"/>
          <w:b/>
          <w:sz w:val="20"/>
        </w:rPr>
        <w:t>'transport'</w:t>
      </w:r>
      <w:r w:rsidRPr="00B21286">
        <w:rPr>
          <w:rFonts w:cs="Arial"/>
          <w:sz w:val="20"/>
          <w:szCs w:val="20"/>
        </w:rPr>
        <w:t xml:space="preserve"> was due to automotive fuel prices</w:t>
      </w:r>
      <w:r w:rsidR="00A16341">
        <w:rPr>
          <w:rFonts w:cs="Arial"/>
          <w:sz w:val="20"/>
          <w:szCs w:val="20"/>
        </w:rPr>
        <w:t xml:space="preserve"> of which</w:t>
      </w:r>
      <w:r w:rsidRPr="00B21286">
        <w:rPr>
          <w:rFonts w:cs="Arial"/>
          <w:sz w:val="20"/>
          <w:szCs w:val="20"/>
        </w:rPr>
        <w:t xml:space="preserve"> recorded for all months of the year 2016 </w:t>
      </w:r>
      <w:r w:rsidR="00644A0C">
        <w:rPr>
          <w:rFonts w:cs="Arial"/>
          <w:sz w:val="20"/>
          <w:szCs w:val="20"/>
        </w:rPr>
        <w:t xml:space="preserve">except for December </w:t>
      </w:r>
      <w:r w:rsidRPr="00B21286">
        <w:rPr>
          <w:rFonts w:cs="Arial"/>
          <w:sz w:val="20"/>
          <w:szCs w:val="20"/>
        </w:rPr>
        <w:t xml:space="preserve">a y-o-y drop, which amounted in average to </w:t>
      </w:r>
      <w:r w:rsidR="00644A0C">
        <w:rPr>
          <w:rFonts w:cs="Arial"/>
          <w:sz w:val="20"/>
          <w:szCs w:val="20"/>
        </w:rPr>
        <w:t>8</w:t>
      </w:r>
      <w:r w:rsidRPr="00B21286">
        <w:rPr>
          <w:rFonts w:cs="Arial"/>
          <w:sz w:val="20"/>
          <w:szCs w:val="20"/>
        </w:rPr>
        <w:t>.</w:t>
      </w:r>
      <w:r w:rsidR="00644A0C">
        <w:rPr>
          <w:rFonts w:cs="Arial"/>
          <w:sz w:val="20"/>
          <w:szCs w:val="20"/>
        </w:rPr>
        <w:t>7</w:t>
      </w:r>
      <w:r w:rsidRPr="00B21286">
        <w:rPr>
          <w:rFonts w:cs="Arial"/>
          <w:sz w:val="20"/>
          <w:szCs w:val="20"/>
        </w:rPr>
        <w:t xml:space="preserve">% in 2016. </w:t>
      </w:r>
    </w:p>
    <w:p w:rsidR="00D53941" w:rsidRPr="00B21286" w:rsidRDefault="00D53941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F42F64" w:rsidRDefault="00244B07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B21286">
        <w:rPr>
          <w:rFonts w:cs="Arial"/>
          <w:sz w:val="20"/>
          <w:szCs w:val="20"/>
        </w:rPr>
        <w:t>I</w:t>
      </w:r>
      <w:r w:rsidR="00627091" w:rsidRPr="00B21286">
        <w:rPr>
          <w:rFonts w:cs="Arial"/>
          <w:sz w:val="20"/>
          <w:szCs w:val="20"/>
        </w:rPr>
        <w:t xml:space="preserve">n </w:t>
      </w:r>
      <w:r w:rsidRPr="00B21286">
        <w:rPr>
          <w:rFonts w:cs="Arial"/>
          <w:sz w:val="20"/>
          <w:szCs w:val="20"/>
        </w:rPr>
        <w:t>the year 201</w:t>
      </w:r>
      <w:r w:rsidR="009401CC" w:rsidRPr="00B21286">
        <w:rPr>
          <w:rFonts w:cs="Arial"/>
          <w:sz w:val="20"/>
          <w:szCs w:val="20"/>
        </w:rPr>
        <w:t>6</w:t>
      </w:r>
      <w:r w:rsidRPr="00B21286">
        <w:rPr>
          <w:rFonts w:cs="Arial"/>
          <w:sz w:val="20"/>
          <w:szCs w:val="20"/>
        </w:rPr>
        <w:t xml:space="preserve">, prices in </w:t>
      </w:r>
      <w:r w:rsidR="00627091" w:rsidRPr="00B21286">
        <w:rPr>
          <w:rFonts w:cs="Arial"/>
          <w:b/>
          <w:sz w:val="20"/>
          <w:szCs w:val="20"/>
        </w:rPr>
        <w:t>'food and non-alcoholic beverages'</w:t>
      </w:r>
      <w:r w:rsidR="00444542" w:rsidRPr="00B21286">
        <w:rPr>
          <w:rFonts w:cs="Arial"/>
          <w:sz w:val="20"/>
          <w:szCs w:val="20"/>
        </w:rPr>
        <w:t xml:space="preserve"> </w:t>
      </w:r>
      <w:r w:rsidRPr="00B21286">
        <w:rPr>
          <w:rFonts w:cs="Arial"/>
          <w:sz w:val="20"/>
          <w:szCs w:val="20"/>
        </w:rPr>
        <w:t xml:space="preserve">dropped by </w:t>
      </w:r>
      <w:r w:rsidR="00B21286">
        <w:rPr>
          <w:rFonts w:cs="Arial"/>
          <w:sz w:val="20"/>
          <w:szCs w:val="20"/>
        </w:rPr>
        <w:t>0</w:t>
      </w:r>
      <w:r w:rsidRPr="00B21286">
        <w:rPr>
          <w:rFonts w:cs="Arial"/>
          <w:sz w:val="20"/>
          <w:szCs w:val="20"/>
        </w:rPr>
        <w:t>.</w:t>
      </w:r>
      <w:r w:rsidR="00B21286">
        <w:rPr>
          <w:rFonts w:cs="Arial"/>
          <w:sz w:val="20"/>
          <w:szCs w:val="20"/>
        </w:rPr>
        <w:t>9%.</w:t>
      </w:r>
      <w:r w:rsidR="000A07B1" w:rsidRPr="00B21286">
        <w:rPr>
          <w:rFonts w:cs="Arial"/>
          <w:sz w:val="20"/>
          <w:szCs w:val="20"/>
        </w:rPr>
        <w:t xml:space="preserve"> The drop in prices occu</w:t>
      </w:r>
      <w:r w:rsidRPr="00B21286">
        <w:rPr>
          <w:rFonts w:cs="Arial"/>
          <w:sz w:val="20"/>
          <w:szCs w:val="20"/>
        </w:rPr>
        <w:t>r</w:t>
      </w:r>
      <w:r w:rsidR="000A07B1" w:rsidRPr="00B21286">
        <w:rPr>
          <w:rFonts w:cs="Arial"/>
          <w:sz w:val="20"/>
          <w:szCs w:val="20"/>
        </w:rPr>
        <w:t xml:space="preserve">red almost in all major </w:t>
      </w:r>
      <w:r w:rsidR="00F55215" w:rsidRPr="00B21286">
        <w:rPr>
          <w:rFonts w:cs="Arial"/>
          <w:sz w:val="20"/>
          <w:szCs w:val="20"/>
        </w:rPr>
        <w:t xml:space="preserve">classification </w:t>
      </w:r>
      <w:r w:rsidR="000A07B1" w:rsidRPr="00B21286">
        <w:rPr>
          <w:rFonts w:cs="Arial"/>
          <w:sz w:val="20"/>
          <w:szCs w:val="20"/>
        </w:rPr>
        <w:t xml:space="preserve">classes of food products. </w:t>
      </w:r>
      <w:r w:rsidR="00F55215" w:rsidRPr="00B21286">
        <w:rPr>
          <w:rFonts w:cs="Arial"/>
          <w:sz w:val="20"/>
          <w:szCs w:val="20"/>
        </w:rPr>
        <w:t>T</w:t>
      </w:r>
      <w:r w:rsidR="00627091" w:rsidRPr="00B21286">
        <w:rPr>
          <w:rFonts w:cs="Arial"/>
          <w:sz w:val="20"/>
          <w:szCs w:val="20"/>
        </w:rPr>
        <w:t xml:space="preserve">he </w:t>
      </w:r>
      <w:r w:rsidR="00830F3C" w:rsidRPr="00B21286">
        <w:rPr>
          <w:rFonts w:cs="Arial"/>
          <w:sz w:val="20"/>
          <w:szCs w:val="20"/>
        </w:rPr>
        <w:t xml:space="preserve">biggest influence came from </w:t>
      </w:r>
      <w:r w:rsidR="00BF1057" w:rsidRPr="00B21286">
        <w:rPr>
          <w:rFonts w:cs="Arial"/>
          <w:sz w:val="20"/>
          <w:szCs w:val="20"/>
        </w:rPr>
        <w:t xml:space="preserve">the decrease in prices in the group </w:t>
      </w:r>
      <w:r w:rsidR="00830F3C" w:rsidRPr="00B21286">
        <w:rPr>
          <w:rFonts w:cs="Arial"/>
          <w:sz w:val="20"/>
          <w:szCs w:val="20"/>
        </w:rPr>
        <w:t xml:space="preserve">of </w:t>
      </w:r>
      <w:r w:rsidR="00BF1057" w:rsidRPr="00B21286">
        <w:rPr>
          <w:rFonts w:cs="Arial"/>
          <w:sz w:val="20"/>
          <w:szCs w:val="20"/>
        </w:rPr>
        <w:t>milk, cheese, eggs, which reached -</w:t>
      </w:r>
      <w:r w:rsidR="002F4068">
        <w:rPr>
          <w:rFonts w:cs="Arial"/>
          <w:sz w:val="20"/>
          <w:szCs w:val="20"/>
        </w:rPr>
        <w:t>6</w:t>
      </w:r>
      <w:r w:rsidR="00BF1057" w:rsidRPr="00B21286">
        <w:rPr>
          <w:rFonts w:cs="Arial"/>
          <w:sz w:val="20"/>
          <w:szCs w:val="20"/>
        </w:rPr>
        <w:t>.</w:t>
      </w:r>
      <w:r w:rsidR="002F4068">
        <w:rPr>
          <w:rFonts w:cs="Arial"/>
          <w:sz w:val="20"/>
          <w:szCs w:val="20"/>
        </w:rPr>
        <w:t>2</w:t>
      </w:r>
      <w:r w:rsidR="00BF1057" w:rsidRPr="00B21286">
        <w:rPr>
          <w:rFonts w:cs="Arial"/>
          <w:sz w:val="20"/>
          <w:szCs w:val="20"/>
        </w:rPr>
        <w:t xml:space="preserve">%. </w:t>
      </w:r>
      <w:r w:rsidR="00830F3C" w:rsidRPr="00B21286">
        <w:rPr>
          <w:rFonts w:cs="Arial"/>
          <w:sz w:val="20"/>
          <w:szCs w:val="20"/>
        </w:rPr>
        <w:t>Especially p</w:t>
      </w:r>
      <w:r w:rsidR="00BF1057" w:rsidRPr="00B21286">
        <w:rPr>
          <w:rFonts w:cs="Arial"/>
          <w:sz w:val="20"/>
          <w:szCs w:val="20"/>
        </w:rPr>
        <w:t>rices of vegetables were higher compared with the previous year (</w:t>
      </w:r>
      <w:r w:rsidR="00A16341">
        <w:rPr>
          <w:rFonts w:cs="Arial"/>
          <w:sz w:val="20"/>
          <w:szCs w:val="20"/>
        </w:rPr>
        <w:t xml:space="preserve">by </w:t>
      </w:r>
      <w:r w:rsidR="002F4068">
        <w:rPr>
          <w:rFonts w:cs="Arial"/>
          <w:sz w:val="20"/>
          <w:szCs w:val="20"/>
        </w:rPr>
        <w:t>4</w:t>
      </w:r>
      <w:r w:rsidR="00BF1057" w:rsidRPr="00B21286">
        <w:rPr>
          <w:rFonts w:cs="Arial"/>
          <w:sz w:val="20"/>
          <w:szCs w:val="20"/>
        </w:rPr>
        <w:t>.</w:t>
      </w:r>
      <w:r w:rsidR="002F4068">
        <w:rPr>
          <w:rFonts w:cs="Arial"/>
          <w:sz w:val="20"/>
          <w:szCs w:val="20"/>
        </w:rPr>
        <w:t>3</w:t>
      </w:r>
      <w:r w:rsidR="00BF1057" w:rsidRPr="00B21286">
        <w:rPr>
          <w:rFonts w:cs="Arial"/>
          <w:sz w:val="20"/>
          <w:szCs w:val="20"/>
        </w:rPr>
        <w:t xml:space="preserve">% </w:t>
      </w:r>
      <w:r w:rsidR="002F4068">
        <w:rPr>
          <w:rFonts w:cs="Arial"/>
          <w:sz w:val="20"/>
          <w:szCs w:val="20"/>
        </w:rPr>
        <w:t>of which potatoes</w:t>
      </w:r>
      <w:r w:rsidR="00A16341">
        <w:rPr>
          <w:rFonts w:cs="Arial"/>
          <w:sz w:val="20"/>
          <w:szCs w:val="20"/>
        </w:rPr>
        <w:t xml:space="preserve"> by</w:t>
      </w:r>
      <w:r w:rsidR="002F4068">
        <w:rPr>
          <w:rFonts w:cs="Arial"/>
          <w:sz w:val="20"/>
          <w:szCs w:val="20"/>
        </w:rPr>
        <w:t xml:space="preserve"> 15.4%</w:t>
      </w:r>
      <w:r w:rsidR="00F42F64" w:rsidRPr="00B21286">
        <w:rPr>
          <w:rFonts w:cs="Arial"/>
          <w:sz w:val="20"/>
          <w:szCs w:val="20"/>
        </w:rPr>
        <w:t>).</w:t>
      </w:r>
    </w:p>
    <w:p w:rsidR="00E95384" w:rsidRDefault="00E95384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5D0338" w:rsidRDefault="005D033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5D0338" w:rsidRDefault="005D033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5D0338" w:rsidRDefault="005D033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5D0338" w:rsidRDefault="005D033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5D0338" w:rsidRDefault="005D033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5D0338" w:rsidRDefault="005D033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DF1AD8" w:rsidRDefault="00DF1AD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776097" w:rsidRDefault="00776097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776097" w:rsidRDefault="00776097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5D0338" w:rsidRDefault="005D033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5D0338" w:rsidRDefault="005D033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5D0338" w:rsidRDefault="005D033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5D0338" w:rsidRDefault="005D0338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E95384" w:rsidRDefault="00E95384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The development of consumer price index by COICOP division</w:t>
      </w:r>
    </w:p>
    <w:p w:rsidR="00F42F64" w:rsidRDefault="00F42F64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E95384" w:rsidRDefault="0011733F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4E0459">
        <w:rPr>
          <w:szCs w:val="20"/>
        </w:rPr>
        <w:pict>
          <v:shape id="_x0000_i1033" type="#_x0000_t75" style="width:424.5pt;height:268.6pt">
            <v:imagedata r:id="rId15" o:title=""/>
          </v:shape>
        </w:pict>
      </w:r>
    </w:p>
    <w:p w:rsidR="00AA0F3B" w:rsidRDefault="00AA0F3B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E95384" w:rsidRDefault="00E95384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E95384" w:rsidRDefault="0011733F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4E0459">
        <w:rPr>
          <w:szCs w:val="20"/>
        </w:rPr>
        <w:pict>
          <v:shape id="_x0000_i1034" type="#_x0000_t75" style="width:424.5pt;height:255.45pt">
            <v:imagedata r:id="rId16" o:title=""/>
          </v:shape>
        </w:pict>
      </w:r>
    </w:p>
    <w:p w:rsidR="00921C7F" w:rsidRPr="00244B07" w:rsidRDefault="00921C7F" w:rsidP="00921C7F">
      <w:pPr>
        <w:pStyle w:val="Zkladntextodsazen3"/>
        <w:spacing w:after="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BD0F4B" w:rsidRDefault="0011733F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E0459">
        <w:rPr>
          <w:szCs w:val="20"/>
        </w:rPr>
        <w:lastRenderedPageBreak/>
        <w:pict>
          <v:shape id="_x0000_i1035" type="#_x0000_t75" style="width:425.75pt;height:252.3pt">
            <v:imagedata r:id="rId17" o:title=""/>
          </v:shape>
        </w:pict>
      </w:r>
    </w:p>
    <w:p w:rsidR="00BD0F4B" w:rsidRDefault="00BD0F4B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D0F4B" w:rsidRDefault="00BD0F4B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919BD" w:rsidRDefault="00C919BD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F1AD8" w:rsidRDefault="00DF1AD8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F1AD8" w:rsidRDefault="00DF1AD8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F1AD8" w:rsidRDefault="00DF1AD8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33C7" w:rsidRDefault="00DC33C7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919BD" w:rsidRDefault="00A16341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831285" w:rsidRPr="00831285">
        <w:rPr>
          <w:rFonts w:ascii="Arial" w:hAnsi="Arial" w:cs="Arial"/>
          <w:b/>
          <w:sz w:val="20"/>
          <w:szCs w:val="20"/>
        </w:rPr>
        <w:t>Consumer price indices in Q4 201</w:t>
      </w:r>
      <w:r w:rsidR="009401CC">
        <w:rPr>
          <w:rFonts w:ascii="Arial" w:hAnsi="Arial" w:cs="Arial"/>
          <w:b/>
          <w:sz w:val="20"/>
          <w:szCs w:val="20"/>
        </w:rPr>
        <w:t>6</w:t>
      </w:r>
      <w:r w:rsidR="00831285" w:rsidRPr="00831285">
        <w:rPr>
          <w:rFonts w:ascii="Arial" w:hAnsi="Arial" w:cs="Arial"/>
          <w:b/>
          <w:sz w:val="20"/>
          <w:szCs w:val="20"/>
        </w:rPr>
        <w:t xml:space="preserve"> </w:t>
      </w:r>
    </w:p>
    <w:p w:rsidR="00C919BD" w:rsidRDefault="00C919BD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D3A01" w:rsidRDefault="0011733F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4E0459">
        <w:rPr>
          <w:szCs w:val="18"/>
        </w:rPr>
        <w:pict>
          <v:shape id="_x0000_i1036" type="#_x0000_t75" style="width:424.5pt;height:456.4pt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E1F09" w:rsidRDefault="00CE1F09" w:rsidP="00CE1F09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61698" w:rsidRDefault="00EE0608" w:rsidP="00BE2761">
      <w:pPr>
        <w:rPr>
          <w:rFonts w:cs="Arial"/>
          <w:szCs w:val="20"/>
        </w:rPr>
      </w:pPr>
      <w:r w:rsidRPr="00542687">
        <w:rPr>
          <w:rFonts w:cs="Arial"/>
          <w:szCs w:val="20"/>
        </w:rPr>
        <w:t>Elaborated by Consumer Prices Statistics Unit of the CZSO</w:t>
      </w:r>
    </w:p>
    <w:p w:rsidR="00BE2761" w:rsidRPr="00A62BD3" w:rsidRDefault="00BE2761" w:rsidP="00BE2761">
      <w:pPr>
        <w:rPr>
          <w:rFonts w:cs="Arial"/>
          <w:szCs w:val="20"/>
        </w:rPr>
      </w:pPr>
      <w:r w:rsidRPr="00A62BD3">
        <w:rPr>
          <w:rFonts w:cs="Arial"/>
          <w:szCs w:val="20"/>
        </w:rPr>
        <w:t>Contact:</w:t>
      </w:r>
    </w:p>
    <w:p w:rsidR="00EE0608" w:rsidRPr="00F4502F" w:rsidRDefault="00EE0608" w:rsidP="00BE2761">
      <w:pPr>
        <w:rPr>
          <w:rFonts w:cs="Arial"/>
          <w:szCs w:val="20"/>
        </w:rPr>
      </w:pPr>
      <w:proofErr w:type="spellStart"/>
      <w:r w:rsidRPr="00F4502F">
        <w:rPr>
          <w:rFonts w:cs="Arial"/>
          <w:szCs w:val="20"/>
        </w:rPr>
        <w:t>Jiri</w:t>
      </w:r>
      <w:proofErr w:type="spellEnd"/>
      <w:r w:rsidRPr="00F4502F">
        <w:rPr>
          <w:rFonts w:cs="Arial"/>
          <w:szCs w:val="20"/>
        </w:rPr>
        <w:t xml:space="preserve"> Trexler</w:t>
      </w:r>
    </w:p>
    <w:p w:rsidR="00EE0608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Consumer Prices Statistics Unit</w:t>
      </w:r>
    </w:p>
    <w:p w:rsidR="00542687" w:rsidRDefault="00542687" w:rsidP="00542687">
      <w:pPr>
        <w:rPr>
          <w:rFonts w:cs="Arial"/>
          <w:szCs w:val="20"/>
        </w:rPr>
      </w:pPr>
      <w:r w:rsidRPr="00A200AA">
        <w:rPr>
          <w:rFonts w:cs="Arial"/>
          <w:szCs w:val="20"/>
        </w:rPr>
        <w:t xml:space="preserve">E-mail: </w:t>
      </w:r>
      <w:hyperlink r:id="rId19" w:history="1">
        <w:r w:rsidRPr="004A7309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A200AA">
        <w:rPr>
          <w:rFonts w:cs="Arial"/>
          <w:szCs w:val="20"/>
        </w:rPr>
        <w:t>Phone: (+420) 274 054</w:t>
      </w:r>
      <w:r w:rsidR="006726F6">
        <w:rPr>
          <w:rFonts w:cs="Arial"/>
          <w:szCs w:val="20"/>
        </w:rPr>
        <w:t> </w:t>
      </w:r>
      <w:r w:rsidRPr="00A200AA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sectPr w:rsidR="00BE2761" w:rsidSect="00405244">
      <w:headerReference w:type="default" r:id="rId20"/>
      <w:footerReference w:type="default" r:id="rId2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B5" w:rsidRDefault="003B3EB5" w:rsidP="00BA6370">
      <w:r>
        <w:separator/>
      </w:r>
    </w:p>
  </w:endnote>
  <w:endnote w:type="continuationSeparator" w:id="0">
    <w:p w:rsidR="003B3EB5" w:rsidRDefault="003B3EB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E0459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E045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E0459" w:rsidRPr="007E75DE">
                  <w:rPr>
                    <w:rFonts w:cs="Arial"/>
                    <w:szCs w:val="15"/>
                  </w:rPr>
                  <w:fldChar w:fldCharType="separate"/>
                </w:r>
                <w:r w:rsidR="00C62098">
                  <w:rPr>
                    <w:rFonts w:cs="Arial"/>
                    <w:noProof/>
                    <w:szCs w:val="15"/>
                  </w:rPr>
                  <w:t>12</w:t>
                </w:r>
                <w:r w:rsidR="004E045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E0459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B5" w:rsidRDefault="003B3EB5" w:rsidP="00BA6370">
      <w:r>
        <w:separator/>
      </w:r>
    </w:p>
  </w:footnote>
  <w:footnote w:type="continuationSeparator" w:id="0">
    <w:p w:rsidR="003B3EB5" w:rsidRDefault="003B3EB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E0459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853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1607"/>
    <w:rsid w:val="00002623"/>
    <w:rsid w:val="000027ED"/>
    <w:rsid w:val="00002DE0"/>
    <w:rsid w:val="000038EC"/>
    <w:rsid w:val="00003A97"/>
    <w:rsid w:val="000107AE"/>
    <w:rsid w:val="00011143"/>
    <w:rsid w:val="0001119D"/>
    <w:rsid w:val="00016CF2"/>
    <w:rsid w:val="00017197"/>
    <w:rsid w:val="00020961"/>
    <w:rsid w:val="00022243"/>
    <w:rsid w:val="000248F6"/>
    <w:rsid w:val="0002591F"/>
    <w:rsid w:val="00025F97"/>
    <w:rsid w:val="00027243"/>
    <w:rsid w:val="0003040C"/>
    <w:rsid w:val="00031202"/>
    <w:rsid w:val="00032F2F"/>
    <w:rsid w:val="000343A9"/>
    <w:rsid w:val="0003523C"/>
    <w:rsid w:val="0004246C"/>
    <w:rsid w:val="0004338D"/>
    <w:rsid w:val="000437DB"/>
    <w:rsid w:val="00043BF4"/>
    <w:rsid w:val="00043FA7"/>
    <w:rsid w:val="00044A21"/>
    <w:rsid w:val="0004607F"/>
    <w:rsid w:val="000468B2"/>
    <w:rsid w:val="000501AE"/>
    <w:rsid w:val="00052F01"/>
    <w:rsid w:val="00055005"/>
    <w:rsid w:val="00055401"/>
    <w:rsid w:val="00057150"/>
    <w:rsid w:val="00060098"/>
    <w:rsid w:val="000601C1"/>
    <w:rsid w:val="0006059D"/>
    <w:rsid w:val="00061EBC"/>
    <w:rsid w:val="00063B02"/>
    <w:rsid w:val="000656BF"/>
    <w:rsid w:val="00066360"/>
    <w:rsid w:val="00073D71"/>
    <w:rsid w:val="00075507"/>
    <w:rsid w:val="00076CD3"/>
    <w:rsid w:val="00080DED"/>
    <w:rsid w:val="00083AE6"/>
    <w:rsid w:val="000843A5"/>
    <w:rsid w:val="00087950"/>
    <w:rsid w:val="000922D6"/>
    <w:rsid w:val="00092FCB"/>
    <w:rsid w:val="000934F5"/>
    <w:rsid w:val="00093CD1"/>
    <w:rsid w:val="00094714"/>
    <w:rsid w:val="00096155"/>
    <w:rsid w:val="000A07B1"/>
    <w:rsid w:val="000A0AED"/>
    <w:rsid w:val="000A16F6"/>
    <w:rsid w:val="000A2712"/>
    <w:rsid w:val="000A3EE7"/>
    <w:rsid w:val="000A5EA5"/>
    <w:rsid w:val="000A610E"/>
    <w:rsid w:val="000A7828"/>
    <w:rsid w:val="000B04C9"/>
    <w:rsid w:val="000B1349"/>
    <w:rsid w:val="000B281A"/>
    <w:rsid w:val="000B3676"/>
    <w:rsid w:val="000B3B6A"/>
    <w:rsid w:val="000B47DD"/>
    <w:rsid w:val="000B4C28"/>
    <w:rsid w:val="000B4E1F"/>
    <w:rsid w:val="000B5F23"/>
    <w:rsid w:val="000B6DE8"/>
    <w:rsid w:val="000B6F63"/>
    <w:rsid w:val="000B79D8"/>
    <w:rsid w:val="000C4CA4"/>
    <w:rsid w:val="000C5D9F"/>
    <w:rsid w:val="000C7B46"/>
    <w:rsid w:val="000D26D1"/>
    <w:rsid w:val="000E6EFC"/>
    <w:rsid w:val="000E7601"/>
    <w:rsid w:val="000E7C27"/>
    <w:rsid w:val="000F1FAD"/>
    <w:rsid w:val="000F244D"/>
    <w:rsid w:val="00103806"/>
    <w:rsid w:val="00104E78"/>
    <w:rsid w:val="00106B6E"/>
    <w:rsid w:val="00107C00"/>
    <w:rsid w:val="00107D66"/>
    <w:rsid w:val="00113E13"/>
    <w:rsid w:val="00114FA5"/>
    <w:rsid w:val="00116726"/>
    <w:rsid w:val="001170D9"/>
    <w:rsid w:val="0011733F"/>
    <w:rsid w:val="00120471"/>
    <w:rsid w:val="00122FBD"/>
    <w:rsid w:val="00123250"/>
    <w:rsid w:val="0012361B"/>
    <w:rsid w:val="00130D61"/>
    <w:rsid w:val="00132746"/>
    <w:rsid w:val="00133CAA"/>
    <w:rsid w:val="00134336"/>
    <w:rsid w:val="001358A3"/>
    <w:rsid w:val="001404AB"/>
    <w:rsid w:val="001404E9"/>
    <w:rsid w:val="0014092C"/>
    <w:rsid w:val="00142A95"/>
    <w:rsid w:val="001441DB"/>
    <w:rsid w:val="00144B15"/>
    <w:rsid w:val="00147ECE"/>
    <w:rsid w:val="00150402"/>
    <w:rsid w:val="00150C78"/>
    <w:rsid w:val="00150E22"/>
    <w:rsid w:val="00154DEC"/>
    <w:rsid w:val="00156A00"/>
    <w:rsid w:val="00156E79"/>
    <w:rsid w:val="00160FB6"/>
    <w:rsid w:val="00166CDC"/>
    <w:rsid w:val="00166FB7"/>
    <w:rsid w:val="00170FED"/>
    <w:rsid w:val="0017231D"/>
    <w:rsid w:val="0017417A"/>
    <w:rsid w:val="00174F0C"/>
    <w:rsid w:val="0017718A"/>
    <w:rsid w:val="00180151"/>
    <w:rsid w:val="00180848"/>
    <w:rsid w:val="00180B07"/>
    <w:rsid w:val="001810DC"/>
    <w:rsid w:val="0018162C"/>
    <w:rsid w:val="00182E6F"/>
    <w:rsid w:val="0018570C"/>
    <w:rsid w:val="00187112"/>
    <w:rsid w:val="0019207A"/>
    <w:rsid w:val="001960B9"/>
    <w:rsid w:val="00196383"/>
    <w:rsid w:val="00197013"/>
    <w:rsid w:val="001A0048"/>
    <w:rsid w:val="001A0763"/>
    <w:rsid w:val="001A3661"/>
    <w:rsid w:val="001A463F"/>
    <w:rsid w:val="001A7975"/>
    <w:rsid w:val="001B0998"/>
    <w:rsid w:val="001B3EB5"/>
    <w:rsid w:val="001B607F"/>
    <w:rsid w:val="001B708F"/>
    <w:rsid w:val="001B76E2"/>
    <w:rsid w:val="001C0D7B"/>
    <w:rsid w:val="001C51B5"/>
    <w:rsid w:val="001D369A"/>
    <w:rsid w:val="001D657A"/>
    <w:rsid w:val="001D7CA2"/>
    <w:rsid w:val="001E3071"/>
    <w:rsid w:val="001E5979"/>
    <w:rsid w:val="001E60C0"/>
    <w:rsid w:val="001F24BE"/>
    <w:rsid w:val="001F4C5D"/>
    <w:rsid w:val="001F5C30"/>
    <w:rsid w:val="001F72C0"/>
    <w:rsid w:val="001F74B8"/>
    <w:rsid w:val="001F7874"/>
    <w:rsid w:val="001F7C24"/>
    <w:rsid w:val="00200F85"/>
    <w:rsid w:val="00206F96"/>
    <w:rsid w:val="002070FB"/>
    <w:rsid w:val="0020724D"/>
    <w:rsid w:val="00212AB1"/>
    <w:rsid w:val="00213729"/>
    <w:rsid w:val="00214080"/>
    <w:rsid w:val="002151CE"/>
    <w:rsid w:val="0022305F"/>
    <w:rsid w:val="00223267"/>
    <w:rsid w:val="00223CFF"/>
    <w:rsid w:val="00223ECE"/>
    <w:rsid w:val="0022523B"/>
    <w:rsid w:val="00226C6F"/>
    <w:rsid w:val="00230C39"/>
    <w:rsid w:val="00233A1E"/>
    <w:rsid w:val="00240000"/>
    <w:rsid w:val="00240678"/>
    <w:rsid w:val="002406FA"/>
    <w:rsid w:val="00241599"/>
    <w:rsid w:val="00242D60"/>
    <w:rsid w:val="00244B07"/>
    <w:rsid w:val="00246B9A"/>
    <w:rsid w:val="0025106E"/>
    <w:rsid w:val="002518C3"/>
    <w:rsid w:val="00260317"/>
    <w:rsid w:val="0026176B"/>
    <w:rsid w:val="00264D24"/>
    <w:rsid w:val="002705C0"/>
    <w:rsid w:val="00270BDE"/>
    <w:rsid w:val="002727C0"/>
    <w:rsid w:val="00275387"/>
    <w:rsid w:val="00277D2E"/>
    <w:rsid w:val="002809FE"/>
    <w:rsid w:val="00283829"/>
    <w:rsid w:val="00283B79"/>
    <w:rsid w:val="00284AE9"/>
    <w:rsid w:val="00285314"/>
    <w:rsid w:val="00292421"/>
    <w:rsid w:val="002A021C"/>
    <w:rsid w:val="002A032D"/>
    <w:rsid w:val="002A10CE"/>
    <w:rsid w:val="002A10D8"/>
    <w:rsid w:val="002A2D8C"/>
    <w:rsid w:val="002A3DED"/>
    <w:rsid w:val="002A60DA"/>
    <w:rsid w:val="002A7298"/>
    <w:rsid w:val="002B1C0E"/>
    <w:rsid w:val="002B24D0"/>
    <w:rsid w:val="002B2E47"/>
    <w:rsid w:val="002B2E58"/>
    <w:rsid w:val="002B54B1"/>
    <w:rsid w:val="002C1C33"/>
    <w:rsid w:val="002C41D3"/>
    <w:rsid w:val="002C4F53"/>
    <w:rsid w:val="002C5209"/>
    <w:rsid w:val="002C6F6E"/>
    <w:rsid w:val="002D0A50"/>
    <w:rsid w:val="002D37A5"/>
    <w:rsid w:val="002D7EDD"/>
    <w:rsid w:val="002E045C"/>
    <w:rsid w:val="002E2981"/>
    <w:rsid w:val="002E359E"/>
    <w:rsid w:val="002E6398"/>
    <w:rsid w:val="002E76E4"/>
    <w:rsid w:val="002F1BD4"/>
    <w:rsid w:val="002F32B5"/>
    <w:rsid w:val="002F4068"/>
    <w:rsid w:val="002F45B5"/>
    <w:rsid w:val="002F4F5E"/>
    <w:rsid w:val="002F572F"/>
    <w:rsid w:val="002F5C1B"/>
    <w:rsid w:val="002F646E"/>
    <w:rsid w:val="00300119"/>
    <w:rsid w:val="00302625"/>
    <w:rsid w:val="00303778"/>
    <w:rsid w:val="003043B3"/>
    <w:rsid w:val="0030638E"/>
    <w:rsid w:val="003067B3"/>
    <w:rsid w:val="00316ACA"/>
    <w:rsid w:val="00317FF8"/>
    <w:rsid w:val="00324455"/>
    <w:rsid w:val="00324CD9"/>
    <w:rsid w:val="003264E9"/>
    <w:rsid w:val="003301A3"/>
    <w:rsid w:val="00331F22"/>
    <w:rsid w:val="003325AD"/>
    <w:rsid w:val="00333177"/>
    <w:rsid w:val="003332C4"/>
    <w:rsid w:val="00333B6D"/>
    <w:rsid w:val="00337014"/>
    <w:rsid w:val="003405CB"/>
    <w:rsid w:val="00343C5C"/>
    <w:rsid w:val="0034663C"/>
    <w:rsid w:val="0035305D"/>
    <w:rsid w:val="00353F5A"/>
    <w:rsid w:val="00357BC0"/>
    <w:rsid w:val="003602C0"/>
    <w:rsid w:val="00360825"/>
    <w:rsid w:val="00360CFF"/>
    <w:rsid w:val="00360F26"/>
    <w:rsid w:val="00361507"/>
    <w:rsid w:val="00361698"/>
    <w:rsid w:val="003647A7"/>
    <w:rsid w:val="00366FF2"/>
    <w:rsid w:val="0036777B"/>
    <w:rsid w:val="0037278F"/>
    <w:rsid w:val="00373074"/>
    <w:rsid w:val="003732CC"/>
    <w:rsid w:val="0037683C"/>
    <w:rsid w:val="00376EA2"/>
    <w:rsid w:val="00380B16"/>
    <w:rsid w:val="00381E08"/>
    <w:rsid w:val="00381F26"/>
    <w:rsid w:val="0038282A"/>
    <w:rsid w:val="00383651"/>
    <w:rsid w:val="0038525A"/>
    <w:rsid w:val="00386136"/>
    <w:rsid w:val="00386FD7"/>
    <w:rsid w:val="00387011"/>
    <w:rsid w:val="00394A5A"/>
    <w:rsid w:val="00397580"/>
    <w:rsid w:val="00397C09"/>
    <w:rsid w:val="003A05BC"/>
    <w:rsid w:val="003A45C8"/>
    <w:rsid w:val="003A4ED7"/>
    <w:rsid w:val="003A5212"/>
    <w:rsid w:val="003A6B7B"/>
    <w:rsid w:val="003A6F6A"/>
    <w:rsid w:val="003A71D4"/>
    <w:rsid w:val="003B0BD0"/>
    <w:rsid w:val="003B16EA"/>
    <w:rsid w:val="003B2D46"/>
    <w:rsid w:val="003B3EB5"/>
    <w:rsid w:val="003C0976"/>
    <w:rsid w:val="003C2DCF"/>
    <w:rsid w:val="003C4824"/>
    <w:rsid w:val="003C505D"/>
    <w:rsid w:val="003C52A3"/>
    <w:rsid w:val="003C54C7"/>
    <w:rsid w:val="003C6048"/>
    <w:rsid w:val="003C7235"/>
    <w:rsid w:val="003C7FE7"/>
    <w:rsid w:val="003D01D4"/>
    <w:rsid w:val="003D0499"/>
    <w:rsid w:val="003D08FB"/>
    <w:rsid w:val="003D18BA"/>
    <w:rsid w:val="003D1CBB"/>
    <w:rsid w:val="003D5644"/>
    <w:rsid w:val="003D6D31"/>
    <w:rsid w:val="003E5183"/>
    <w:rsid w:val="003E67E5"/>
    <w:rsid w:val="003F2C44"/>
    <w:rsid w:val="003F3D66"/>
    <w:rsid w:val="003F4895"/>
    <w:rsid w:val="003F526A"/>
    <w:rsid w:val="00403CAD"/>
    <w:rsid w:val="00405244"/>
    <w:rsid w:val="004053C6"/>
    <w:rsid w:val="00411E7F"/>
    <w:rsid w:val="00414E00"/>
    <w:rsid w:val="00415087"/>
    <w:rsid w:val="00420638"/>
    <w:rsid w:val="00420FF8"/>
    <w:rsid w:val="00422085"/>
    <w:rsid w:val="004230DA"/>
    <w:rsid w:val="004230E7"/>
    <w:rsid w:val="0042368C"/>
    <w:rsid w:val="0042486B"/>
    <w:rsid w:val="00425B4E"/>
    <w:rsid w:val="0043163D"/>
    <w:rsid w:val="00432C11"/>
    <w:rsid w:val="00435EF2"/>
    <w:rsid w:val="00441A5F"/>
    <w:rsid w:val="00442B15"/>
    <w:rsid w:val="004436EE"/>
    <w:rsid w:val="0044419E"/>
    <w:rsid w:val="00444542"/>
    <w:rsid w:val="00444840"/>
    <w:rsid w:val="00446FBC"/>
    <w:rsid w:val="00447C7B"/>
    <w:rsid w:val="00454ECE"/>
    <w:rsid w:val="0045520B"/>
    <w:rsid w:val="0045547F"/>
    <w:rsid w:val="004569A8"/>
    <w:rsid w:val="00461A68"/>
    <w:rsid w:val="00462D14"/>
    <w:rsid w:val="00467648"/>
    <w:rsid w:val="00467BF4"/>
    <w:rsid w:val="004710DD"/>
    <w:rsid w:val="00471B46"/>
    <w:rsid w:val="004726B4"/>
    <w:rsid w:val="00472994"/>
    <w:rsid w:val="00473769"/>
    <w:rsid w:val="00475C9D"/>
    <w:rsid w:val="0047746F"/>
    <w:rsid w:val="00481414"/>
    <w:rsid w:val="004837A0"/>
    <w:rsid w:val="004867D7"/>
    <w:rsid w:val="00490476"/>
    <w:rsid w:val="004920AD"/>
    <w:rsid w:val="004926BB"/>
    <w:rsid w:val="004939E7"/>
    <w:rsid w:val="00494AD1"/>
    <w:rsid w:val="00494FF7"/>
    <w:rsid w:val="0049517D"/>
    <w:rsid w:val="00496F3D"/>
    <w:rsid w:val="004A1649"/>
    <w:rsid w:val="004A58B4"/>
    <w:rsid w:val="004A5E9F"/>
    <w:rsid w:val="004A6927"/>
    <w:rsid w:val="004B6311"/>
    <w:rsid w:val="004C0641"/>
    <w:rsid w:val="004C12B7"/>
    <w:rsid w:val="004C1E44"/>
    <w:rsid w:val="004C1EDD"/>
    <w:rsid w:val="004C2849"/>
    <w:rsid w:val="004C6932"/>
    <w:rsid w:val="004C7540"/>
    <w:rsid w:val="004D05B3"/>
    <w:rsid w:val="004D417B"/>
    <w:rsid w:val="004D4880"/>
    <w:rsid w:val="004D5360"/>
    <w:rsid w:val="004E0459"/>
    <w:rsid w:val="004E479E"/>
    <w:rsid w:val="004E5945"/>
    <w:rsid w:val="004E73E5"/>
    <w:rsid w:val="004F20BE"/>
    <w:rsid w:val="004F47BA"/>
    <w:rsid w:val="004F4A9B"/>
    <w:rsid w:val="004F76D6"/>
    <w:rsid w:val="004F78E6"/>
    <w:rsid w:val="00500200"/>
    <w:rsid w:val="00500C3F"/>
    <w:rsid w:val="00501037"/>
    <w:rsid w:val="00501B03"/>
    <w:rsid w:val="005027B1"/>
    <w:rsid w:val="00505290"/>
    <w:rsid w:val="005061C8"/>
    <w:rsid w:val="00510F2F"/>
    <w:rsid w:val="00512D99"/>
    <w:rsid w:val="00515A88"/>
    <w:rsid w:val="0051641D"/>
    <w:rsid w:val="00520B92"/>
    <w:rsid w:val="00521333"/>
    <w:rsid w:val="00521469"/>
    <w:rsid w:val="00521471"/>
    <w:rsid w:val="005224A3"/>
    <w:rsid w:val="00527157"/>
    <w:rsid w:val="00527E64"/>
    <w:rsid w:val="00530B59"/>
    <w:rsid w:val="00530C17"/>
    <w:rsid w:val="005312FC"/>
    <w:rsid w:val="00531DBB"/>
    <w:rsid w:val="005378F1"/>
    <w:rsid w:val="00542687"/>
    <w:rsid w:val="00542ADF"/>
    <w:rsid w:val="00543B1A"/>
    <w:rsid w:val="005453AD"/>
    <w:rsid w:val="005458FA"/>
    <w:rsid w:val="0054619A"/>
    <w:rsid w:val="005474CA"/>
    <w:rsid w:val="00550ED9"/>
    <w:rsid w:val="0055343A"/>
    <w:rsid w:val="0055579F"/>
    <w:rsid w:val="005565E7"/>
    <w:rsid w:val="00556F0B"/>
    <w:rsid w:val="0055704B"/>
    <w:rsid w:val="00557891"/>
    <w:rsid w:val="00562896"/>
    <w:rsid w:val="00563B40"/>
    <w:rsid w:val="00564DE4"/>
    <w:rsid w:val="00573FDF"/>
    <w:rsid w:val="0057578A"/>
    <w:rsid w:val="00576863"/>
    <w:rsid w:val="0058124E"/>
    <w:rsid w:val="005841A5"/>
    <w:rsid w:val="005901C5"/>
    <w:rsid w:val="00591218"/>
    <w:rsid w:val="00591CFA"/>
    <w:rsid w:val="00593ED6"/>
    <w:rsid w:val="00596A41"/>
    <w:rsid w:val="005A03E8"/>
    <w:rsid w:val="005A3D06"/>
    <w:rsid w:val="005A7E01"/>
    <w:rsid w:val="005B068A"/>
    <w:rsid w:val="005B21A4"/>
    <w:rsid w:val="005B3024"/>
    <w:rsid w:val="005B312C"/>
    <w:rsid w:val="005B63F7"/>
    <w:rsid w:val="005B7EA2"/>
    <w:rsid w:val="005C11CA"/>
    <w:rsid w:val="005C1E56"/>
    <w:rsid w:val="005C2247"/>
    <w:rsid w:val="005C3A67"/>
    <w:rsid w:val="005C3E4E"/>
    <w:rsid w:val="005C3FB7"/>
    <w:rsid w:val="005C4922"/>
    <w:rsid w:val="005C4B01"/>
    <w:rsid w:val="005C5A96"/>
    <w:rsid w:val="005D0338"/>
    <w:rsid w:val="005D04F6"/>
    <w:rsid w:val="005D0A97"/>
    <w:rsid w:val="005D10B9"/>
    <w:rsid w:val="005D10CC"/>
    <w:rsid w:val="005D17B4"/>
    <w:rsid w:val="005D53B9"/>
    <w:rsid w:val="005D742F"/>
    <w:rsid w:val="005D755C"/>
    <w:rsid w:val="005E28D1"/>
    <w:rsid w:val="005E5B3B"/>
    <w:rsid w:val="005E6156"/>
    <w:rsid w:val="005E779F"/>
    <w:rsid w:val="005E7AB2"/>
    <w:rsid w:val="005F53EA"/>
    <w:rsid w:val="005F79FB"/>
    <w:rsid w:val="005F7B90"/>
    <w:rsid w:val="006030C7"/>
    <w:rsid w:val="00604406"/>
    <w:rsid w:val="00604E75"/>
    <w:rsid w:val="00605F4A"/>
    <w:rsid w:val="006073CE"/>
    <w:rsid w:val="00607822"/>
    <w:rsid w:val="006103AA"/>
    <w:rsid w:val="006113C0"/>
    <w:rsid w:val="00613BBF"/>
    <w:rsid w:val="00614E6B"/>
    <w:rsid w:val="00617F0A"/>
    <w:rsid w:val="00620A55"/>
    <w:rsid w:val="00622B80"/>
    <w:rsid w:val="0062306F"/>
    <w:rsid w:val="00624CC7"/>
    <w:rsid w:val="00624F76"/>
    <w:rsid w:val="0062640C"/>
    <w:rsid w:val="0062701A"/>
    <w:rsid w:val="00627091"/>
    <w:rsid w:val="00630011"/>
    <w:rsid w:val="00637F08"/>
    <w:rsid w:val="0064060D"/>
    <w:rsid w:val="00640968"/>
    <w:rsid w:val="0064139A"/>
    <w:rsid w:val="00641541"/>
    <w:rsid w:val="006437D8"/>
    <w:rsid w:val="00644263"/>
    <w:rsid w:val="006445D3"/>
    <w:rsid w:val="00644626"/>
    <w:rsid w:val="00644A0C"/>
    <w:rsid w:val="00645D6E"/>
    <w:rsid w:val="0064636A"/>
    <w:rsid w:val="00647E27"/>
    <w:rsid w:val="00651009"/>
    <w:rsid w:val="0065372D"/>
    <w:rsid w:val="00655D52"/>
    <w:rsid w:val="00657334"/>
    <w:rsid w:val="00660C79"/>
    <w:rsid w:val="00660E38"/>
    <w:rsid w:val="006636FC"/>
    <w:rsid w:val="00666288"/>
    <w:rsid w:val="006676A5"/>
    <w:rsid w:val="006700E2"/>
    <w:rsid w:val="00671ACE"/>
    <w:rsid w:val="00671E3E"/>
    <w:rsid w:val="00671EA6"/>
    <w:rsid w:val="006726F6"/>
    <w:rsid w:val="00673830"/>
    <w:rsid w:val="006765F8"/>
    <w:rsid w:val="00677627"/>
    <w:rsid w:val="006812BC"/>
    <w:rsid w:val="00682525"/>
    <w:rsid w:val="00687226"/>
    <w:rsid w:val="00690CE0"/>
    <w:rsid w:val="00691A83"/>
    <w:rsid w:val="00691B73"/>
    <w:rsid w:val="00693514"/>
    <w:rsid w:val="00694EFC"/>
    <w:rsid w:val="00697218"/>
    <w:rsid w:val="006A25D6"/>
    <w:rsid w:val="006B191C"/>
    <w:rsid w:val="006B19B7"/>
    <w:rsid w:val="006B2056"/>
    <w:rsid w:val="006B3C90"/>
    <w:rsid w:val="006B5294"/>
    <w:rsid w:val="006B79DB"/>
    <w:rsid w:val="006C1FDD"/>
    <w:rsid w:val="006C2508"/>
    <w:rsid w:val="006C2851"/>
    <w:rsid w:val="006C6FF2"/>
    <w:rsid w:val="006D02FF"/>
    <w:rsid w:val="006D0388"/>
    <w:rsid w:val="006D1825"/>
    <w:rsid w:val="006D3F79"/>
    <w:rsid w:val="006D75A7"/>
    <w:rsid w:val="006D75F0"/>
    <w:rsid w:val="006E024F"/>
    <w:rsid w:val="006E0C60"/>
    <w:rsid w:val="006E14C8"/>
    <w:rsid w:val="006E15FC"/>
    <w:rsid w:val="006E2E62"/>
    <w:rsid w:val="006E4E81"/>
    <w:rsid w:val="006E4EB2"/>
    <w:rsid w:val="006E61F8"/>
    <w:rsid w:val="006E7B65"/>
    <w:rsid w:val="006F3B1D"/>
    <w:rsid w:val="0070145D"/>
    <w:rsid w:val="00705245"/>
    <w:rsid w:val="00706562"/>
    <w:rsid w:val="007074C1"/>
    <w:rsid w:val="0070777F"/>
    <w:rsid w:val="00707F7D"/>
    <w:rsid w:val="00710561"/>
    <w:rsid w:val="007111A7"/>
    <w:rsid w:val="0071500E"/>
    <w:rsid w:val="00717EC5"/>
    <w:rsid w:val="00720BE1"/>
    <w:rsid w:val="007276BB"/>
    <w:rsid w:val="00733B0F"/>
    <w:rsid w:val="00736150"/>
    <w:rsid w:val="00737F34"/>
    <w:rsid w:val="00740530"/>
    <w:rsid w:val="00750276"/>
    <w:rsid w:val="007505D5"/>
    <w:rsid w:val="00750A07"/>
    <w:rsid w:val="00752A2F"/>
    <w:rsid w:val="0075427C"/>
    <w:rsid w:val="0076295B"/>
    <w:rsid w:val="007651A6"/>
    <w:rsid w:val="00767FD0"/>
    <w:rsid w:val="00775F1E"/>
    <w:rsid w:val="00776097"/>
    <w:rsid w:val="007763E8"/>
    <w:rsid w:val="007800DF"/>
    <w:rsid w:val="00780C80"/>
    <w:rsid w:val="00786C99"/>
    <w:rsid w:val="0078737F"/>
    <w:rsid w:val="00791885"/>
    <w:rsid w:val="00794BF6"/>
    <w:rsid w:val="007A0BCD"/>
    <w:rsid w:val="007A2136"/>
    <w:rsid w:val="007A57F2"/>
    <w:rsid w:val="007A5850"/>
    <w:rsid w:val="007B1333"/>
    <w:rsid w:val="007B1CFD"/>
    <w:rsid w:val="007B279A"/>
    <w:rsid w:val="007B29B7"/>
    <w:rsid w:val="007B3012"/>
    <w:rsid w:val="007B3D58"/>
    <w:rsid w:val="007B6394"/>
    <w:rsid w:val="007C02E0"/>
    <w:rsid w:val="007C0C46"/>
    <w:rsid w:val="007C269C"/>
    <w:rsid w:val="007C2CB9"/>
    <w:rsid w:val="007C3490"/>
    <w:rsid w:val="007C3990"/>
    <w:rsid w:val="007C64AB"/>
    <w:rsid w:val="007D4095"/>
    <w:rsid w:val="007D4D3B"/>
    <w:rsid w:val="007D6176"/>
    <w:rsid w:val="007D740A"/>
    <w:rsid w:val="007D79CC"/>
    <w:rsid w:val="007E0A6C"/>
    <w:rsid w:val="007E0C8D"/>
    <w:rsid w:val="007E4A36"/>
    <w:rsid w:val="007E5FB8"/>
    <w:rsid w:val="007E62D9"/>
    <w:rsid w:val="007F14DB"/>
    <w:rsid w:val="007F1989"/>
    <w:rsid w:val="007F4321"/>
    <w:rsid w:val="007F4AEB"/>
    <w:rsid w:val="007F53CB"/>
    <w:rsid w:val="007F5746"/>
    <w:rsid w:val="007F75B2"/>
    <w:rsid w:val="008028B0"/>
    <w:rsid w:val="008043C4"/>
    <w:rsid w:val="008109B5"/>
    <w:rsid w:val="0081223F"/>
    <w:rsid w:val="00813F35"/>
    <w:rsid w:val="00816832"/>
    <w:rsid w:val="00817626"/>
    <w:rsid w:val="00817A40"/>
    <w:rsid w:val="008208BD"/>
    <w:rsid w:val="00824595"/>
    <w:rsid w:val="00825954"/>
    <w:rsid w:val="00826239"/>
    <w:rsid w:val="00827FD8"/>
    <w:rsid w:val="00830F3C"/>
    <w:rsid w:val="0083106C"/>
    <w:rsid w:val="00831285"/>
    <w:rsid w:val="0083167F"/>
    <w:rsid w:val="00831B1B"/>
    <w:rsid w:val="00832D3F"/>
    <w:rsid w:val="00833E83"/>
    <w:rsid w:val="00834815"/>
    <w:rsid w:val="00834B42"/>
    <w:rsid w:val="00835288"/>
    <w:rsid w:val="00836138"/>
    <w:rsid w:val="008366F5"/>
    <w:rsid w:val="00836EA2"/>
    <w:rsid w:val="0084758E"/>
    <w:rsid w:val="00847C38"/>
    <w:rsid w:val="00850385"/>
    <w:rsid w:val="00850AEF"/>
    <w:rsid w:val="00857AD2"/>
    <w:rsid w:val="00861175"/>
    <w:rsid w:val="00861D0E"/>
    <w:rsid w:val="00864141"/>
    <w:rsid w:val="00864539"/>
    <w:rsid w:val="00864AF4"/>
    <w:rsid w:val="008660F8"/>
    <w:rsid w:val="008663DF"/>
    <w:rsid w:val="00867569"/>
    <w:rsid w:val="00871CA3"/>
    <w:rsid w:val="00873CF1"/>
    <w:rsid w:val="008741E8"/>
    <w:rsid w:val="00874E6D"/>
    <w:rsid w:val="00875088"/>
    <w:rsid w:val="008802A5"/>
    <w:rsid w:val="00880530"/>
    <w:rsid w:val="008819FE"/>
    <w:rsid w:val="0088276C"/>
    <w:rsid w:val="0089019B"/>
    <w:rsid w:val="00890C1C"/>
    <w:rsid w:val="0089797A"/>
    <w:rsid w:val="008A11DB"/>
    <w:rsid w:val="008A386E"/>
    <w:rsid w:val="008A4FAF"/>
    <w:rsid w:val="008A750A"/>
    <w:rsid w:val="008B1C27"/>
    <w:rsid w:val="008B1FD5"/>
    <w:rsid w:val="008B2104"/>
    <w:rsid w:val="008B448D"/>
    <w:rsid w:val="008B6E30"/>
    <w:rsid w:val="008C1A08"/>
    <w:rsid w:val="008C2100"/>
    <w:rsid w:val="008C384C"/>
    <w:rsid w:val="008C4A0B"/>
    <w:rsid w:val="008C5C36"/>
    <w:rsid w:val="008C6F05"/>
    <w:rsid w:val="008D0DA1"/>
    <w:rsid w:val="008D0F11"/>
    <w:rsid w:val="008D3A01"/>
    <w:rsid w:val="008D42EE"/>
    <w:rsid w:val="008D6B85"/>
    <w:rsid w:val="008D7006"/>
    <w:rsid w:val="008E1C72"/>
    <w:rsid w:val="008E232D"/>
    <w:rsid w:val="008E3518"/>
    <w:rsid w:val="008E3D68"/>
    <w:rsid w:val="008E6882"/>
    <w:rsid w:val="008E743E"/>
    <w:rsid w:val="008F0053"/>
    <w:rsid w:val="008F16DD"/>
    <w:rsid w:val="008F3049"/>
    <w:rsid w:val="008F400A"/>
    <w:rsid w:val="008F48D5"/>
    <w:rsid w:val="008F68D6"/>
    <w:rsid w:val="008F73B4"/>
    <w:rsid w:val="00901D40"/>
    <w:rsid w:val="0090460E"/>
    <w:rsid w:val="009110D1"/>
    <w:rsid w:val="0091189B"/>
    <w:rsid w:val="009118B4"/>
    <w:rsid w:val="00912CFC"/>
    <w:rsid w:val="009147FD"/>
    <w:rsid w:val="0092067C"/>
    <w:rsid w:val="00920F4F"/>
    <w:rsid w:val="00921C7F"/>
    <w:rsid w:val="00923111"/>
    <w:rsid w:val="00923349"/>
    <w:rsid w:val="00925008"/>
    <w:rsid w:val="00926843"/>
    <w:rsid w:val="00930B09"/>
    <w:rsid w:val="00932DC8"/>
    <w:rsid w:val="0093416C"/>
    <w:rsid w:val="00935615"/>
    <w:rsid w:val="00935E4A"/>
    <w:rsid w:val="0093638F"/>
    <w:rsid w:val="00936CD1"/>
    <w:rsid w:val="009401CC"/>
    <w:rsid w:val="0094079E"/>
    <w:rsid w:val="009417FB"/>
    <w:rsid w:val="009426B1"/>
    <w:rsid w:val="009538E9"/>
    <w:rsid w:val="0095477B"/>
    <w:rsid w:val="00954847"/>
    <w:rsid w:val="0095494B"/>
    <w:rsid w:val="009559DA"/>
    <w:rsid w:val="009600AA"/>
    <w:rsid w:val="00960D98"/>
    <w:rsid w:val="0096761B"/>
    <w:rsid w:val="009679B6"/>
    <w:rsid w:val="00967D70"/>
    <w:rsid w:val="009751DC"/>
    <w:rsid w:val="009779A2"/>
    <w:rsid w:val="0098089F"/>
    <w:rsid w:val="00980ABC"/>
    <w:rsid w:val="00980E44"/>
    <w:rsid w:val="00981F23"/>
    <w:rsid w:val="009850AE"/>
    <w:rsid w:val="00986B35"/>
    <w:rsid w:val="00996DDC"/>
    <w:rsid w:val="0099718D"/>
    <w:rsid w:val="009A13DF"/>
    <w:rsid w:val="009A35D9"/>
    <w:rsid w:val="009A376E"/>
    <w:rsid w:val="009A7497"/>
    <w:rsid w:val="009B046E"/>
    <w:rsid w:val="009B21F9"/>
    <w:rsid w:val="009B3173"/>
    <w:rsid w:val="009B431A"/>
    <w:rsid w:val="009B4A4E"/>
    <w:rsid w:val="009B55B1"/>
    <w:rsid w:val="009B61BC"/>
    <w:rsid w:val="009C27B0"/>
    <w:rsid w:val="009C2F95"/>
    <w:rsid w:val="009C584F"/>
    <w:rsid w:val="009D0B13"/>
    <w:rsid w:val="009D28FA"/>
    <w:rsid w:val="009D72AD"/>
    <w:rsid w:val="009D7F80"/>
    <w:rsid w:val="009D7FBD"/>
    <w:rsid w:val="009E1E3F"/>
    <w:rsid w:val="009E32E0"/>
    <w:rsid w:val="009E49D6"/>
    <w:rsid w:val="009E51D4"/>
    <w:rsid w:val="009F0744"/>
    <w:rsid w:val="009F39D8"/>
    <w:rsid w:val="009F7588"/>
    <w:rsid w:val="00A00353"/>
    <w:rsid w:val="00A05492"/>
    <w:rsid w:val="00A054B5"/>
    <w:rsid w:val="00A06B8E"/>
    <w:rsid w:val="00A102B7"/>
    <w:rsid w:val="00A1207F"/>
    <w:rsid w:val="00A128D6"/>
    <w:rsid w:val="00A13A69"/>
    <w:rsid w:val="00A15B9E"/>
    <w:rsid w:val="00A16341"/>
    <w:rsid w:val="00A200AA"/>
    <w:rsid w:val="00A20B62"/>
    <w:rsid w:val="00A212BF"/>
    <w:rsid w:val="00A2147F"/>
    <w:rsid w:val="00A21CBE"/>
    <w:rsid w:val="00A22117"/>
    <w:rsid w:val="00A23DD8"/>
    <w:rsid w:val="00A25F77"/>
    <w:rsid w:val="00A36689"/>
    <w:rsid w:val="00A36ABF"/>
    <w:rsid w:val="00A36BEC"/>
    <w:rsid w:val="00A4246F"/>
    <w:rsid w:val="00A4343D"/>
    <w:rsid w:val="00A437BD"/>
    <w:rsid w:val="00A43F43"/>
    <w:rsid w:val="00A44EA4"/>
    <w:rsid w:val="00A46161"/>
    <w:rsid w:val="00A502F1"/>
    <w:rsid w:val="00A503BB"/>
    <w:rsid w:val="00A50722"/>
    <w:rsid w:val="00A53347"/>
    <w:rsid w:val="00A54717"/>
    <w:rsid w:val="00A579F1"/>
    <w:rsid w:val="00A60D05"/>
    <w:rsid w:val="00A62260"/>
    <w:rsid w:val="00A62BD3"/>
    <w:rsid w:val="00A64DC6"/>
    <w:rsid w:val="00A6521A"/>
    <w:rsid w:val="00A66127"/>
    <w:rsid w:val="00A672AD"/>
    <w:rsid w:val="00A70A73"/>
    <w:rsid w:val="00A70A83"/>
    <w:rsid w:val="00A70A9F"/>
    <w:rsid w:val="00A76974"/>
    <w:rsid w:val="00A77503"/>
    <w:rsid w:val="00A80D05"/>
    <w:rsid w:val="00A81EB3"/>
    <w:rsid w:val="00A82BCD"/>
    <w:rsid w:val="00A870B5"/>
    <w:rsid w:val="00A9123C"/>
    <w:rsid w:val="00A91DCE"/>
    <w:rsid w:val="00A92350"/>
    <w:rsid w:val="00A930E3"/>
    <w:rsid w:val="00A933DB"/>
    <w:rsid w:val="00A93E51"/>
    <w:rsid w:val="00A946A1"/>
    <w:rsid w:val="00A94B89"/>
    <w:rsid w:val="00A96A2F"/>
    <w:rsid w:val="00A96B90"/>
    <w:rsid w:val="00AA0F3B"/>
    <w:rsid w:val="00AA16C3"/>
    <w:rsid w:val="00AA1AC8"/>
    <w:rsid w:val="00AA2100"/>
    <w:rsid w:val="00AA44AD"/>
    <w:rsid w:val="00AA49EE"/>
    <w:rsid w:val="00AA4D6C"/>
    <w:rsid w:val="00AB0CB6"/>
    <w:rsid w:val="00AB0ED7"/>
    <w:rsid w:val="00AB3BD7"/>
    <w:rsid w:val="00AB4DC3"/>
    <w:rsid w:val="00AB514D"/>
    <w:rsid w:val="00AB6AC3"/>
    <w:rsid w:val="00AB7DD6"/>
    <w:rsid w:val="00AC13D9"/>
    <w:rsid w:val="00AC3A17"/>
    <w:rsid w:val="00AC4868"/>
    <w:rsid w:val="00AC540D"/>
    <w:rsid w:val="00AC60AE"/>
    <w:rsid w:val="00AD1F4B"/>
    <w:rsid w:val="00AD3C50"/>
    <w:rsid w:val="00AD502D"/>
    <w:rsid w:val="00AD5DC5"/>
    <w:rsid w:val="00AD7004"/>
    <w:rsid w:val="00AD778F"/>
    <w:rsid w:val="00AE0E87"/>
    <w:rsid w:val="00AE18C6"/>
    <w:rsid w:val="00AE423E"/>
    <w:rsid w:val="00AE59F2"/>
    <w:rsid w:val="00AE5B4F"/>
    <w:rsid w:val="00AF2060"/>
    <w:rsid w:val="00AF3F77"/>
    <w:rsid w:val="00AF47DF"/>
    <w:rsid w:val="00AF6530"/>
    <w:rsid w:val="00B00C1D"/>
    <w:rsid w:val="00B00D4F"/>
    <w:rsid w:val="00B024A6"/>
    <w:rsid w:val="00B02CF5"/>
    <w:rsid w:val="00B068E9"/>
    <w:rsid w:val="00B1052C"/>
    <w:rsid w:val="00B10A19"/>
    <w:rsid w:val="00B14061"/>
    <w:rsid w:val="00B208F3"/>
    <w:rsid w:val="00B21286"/>
    <w:rsid w:val="00B21F3A"/>
    <w:rsid w:val="00B3341A"/>
    <w:rsid w:val="00B33940"/>
    <w:rsid w:val="00B3622C"/>
    <w:rsid w:val="00B435A3"/>
    <w:rsid w:val="00B443B0"/>
    <w:rsid w:val="00B63A08"/>
    <w:rsid w:val="00B65047"/>
    <w:rsid w:val="00B67529"/>
    <w:rsid w:val="00B675BC"/>
    <w:rsid w:val="00B67D61"/>
    <w:rsid w:val="00B73BF6"/>
    <w:rsid w:val="00B775F2"/>
    <w:rsid w:val="00B8009A"/>
    <w:rsid w:val="00B813C1"/>
    <w:rsid w:val="00B82195"/>
    <w:rsid w:val="00B83DDC"/>
    <w:rsid w:val="00B859B6"/>
    <w:rsid w:val="00B90180"/>
    <w:rsid w:val="00B9031C"/>
    <w:rsid w:val="00B916D4"/>
    <w:rsid w:val="00B92694"/>
    <w:rsid w:val="00BA439F"/>
    <w:rsid w:val="00BA52C4"/>
    <w:rsid w:val="00BA5C42"/>
    <w:rsid w:val="00BA6370"/>
    <w:rsid w:val="00BA670B"/>
    <w:rsid w:val="00BB15DE"/>
    <w:rsid w:val="00BB6E7D"/>
    <w:rsid w:val="00BB6F60"/>
    <w:rsid w:val="00BC0D60"/>
    <w:rsid w:val="00BC176E"/>
    <w:rsid w:val="00BC3897"/>
    <w:rsid w:val="00BC3C28"/>
    <w:rsid w:val="00BC4F8E"/>
    <w:rsid w:val="00BC553A"/>
    <w:rsid w:val="00BC5B51"/>
    <w:rsid w:val="00BC648E"/>
    <w:rsid w:val="00BD0F4B"/>
    <w:rsid w:val="00BD2096"/>
    <w:rsid w:val="00BD47FA"/>
    <w:rsid w:val="00BD6638"/>
    <w:rsid w:val="00BE2761"/>
    <w:rsid w:val="00BE5D18"/>
    <w:rsid w:val="00BF1057"/>
    <w:rsid w:val="00BF10D7"/>
    <w:rsid w:val="00BF4725"/>
    <w:rsid w:val="00BF4783"/>
    <w:rsid w:val="00BF6645"/>
    <w:rsid w:val="00BF67F4"/>
    <w:rsid w:val="00BF7B4F"/>
    <w:rsid w:val="00C00E61"/>
    <w:rsid w:val="00C031D3"/>
    <w:rsid w:val="00C035A5"/>
    <w:rsid w:val="00C0411B"/>
    <w:rsid w:val="00C044F6"/>
    <w:rsid w:val="00C05B1F"/>
    <w:rsid w:val="00C05FDF"/>
    <w:rsid w:val="00C074F1"/>
    <w:rsid w:val="00C141FC"/>
    <w:rsid w:val="00C255D6"/>
    <w:rsid w:val="00C25F43"/>
    <w:rsid w:val="00C269D4"/>
    <w:rsid w:val="00C30B86"/>
    <w:rsid w:val="00C316D4"/>
    <w:rsid w:val="00C3303C"/>
    <w:rsid w:val="00C3369E"/>
    <w:rsid w:val="00C34EF1"/>
    <w:rsid w:val="00C364B0"/>
    <w:rsid w:val="00C369CC"/>
    <w:rsid w:val="00C4160D"/>
    <w:rsid w:val="00C445B1"/>
    <w:rsid w:val="00C44805"/>
    <w:rsid w:val="00C44E7E"/>
    <w:rsid w:val="00C45470"/>
    <w:rsid w:val="00C47DDD"/>
    <w:rsid w:val="00C5422E"/>
    <w:rsid w:val="00C57241"/>
    <w:rsid w:val="00C6071A"/>
    <w:rsid w:val="00C610D0"/>
    <w:rsid w:val="00C61908"/>
    <w:rsid w:val="00C61F89"/>
    <w:rsid w:val="00C62098"/>
    <w:rsid w:val="00C62BD9"/>
    <w:rsid w:val="00C66756"/>
    <w:rsid w:val="00C72280"/>
    <w:rsid w:val="00C72B82"/>
    <w:rsid w:val="00C72C1C"/>
    <w:rsid w:val="00C74175"/>
    <w:rsid w:val="00C74759"/>
    <w:rsid w:val="00C7770E"/>
    <w:rsid w:val="00C82A80"/>
    <w:rsid w:val="00C82ABF"/>
    <w:rsid w:val="00C8406E"/>
    <w:rsid w:val="00C84E3E"/>
    <w:rsid w:val="00C870C1"/>
    <w:rsid w:val="00C87842"/>
    <w:rsid w:val="00C87CA9"/>
    <w:rsid w:val="00C902E8"/>
    <w:rsid w:val="00C91326"/>
    <w:rsid w:val="00C91512"/>
    <w:rsid w:val="00C91664"/>
    <w:rsid w:val="00C919BD"/>
    <w:rsid w:val="00C91BCF"/>
    <w:rsid w:val="00C91D37"/>
    <w:rsid w:val="00C958D7"/>
    <w:rsid w:val="00CA2564"/>
    <w:rsid w:val="00CA2AB8"/>
    <w:rsid w:val="00CA2E57"/>
    <w:rsid w:val="00CA3670"/>
    <w:rsid w:val="00CA57D4"/>
    <w:rsid w:val="00CA6C71"/>
    <w:rsid w:val="00CA6DD9"/>
    <w:rsid w:val="00CB10B9"/>
    <w:rsid w:val="00CB2709"/>
    <w:rsid w:val="00CB4E14"/>
    <w:rsid w:val="00CB6A5B"/>
    <w:rsid w:val="00CB6F89"/>
    <w:rsid w:val="00CC2A03"/>
    <w:rsid w:val="00CC5AA8"/>
    <w:rsid w:val="00CC7A49"/>
    <w:rsid w:val="00CC7C4B"/>
    <w:rsid w:val="00CD2780"/>
    <w:rsid w:val="00CD327A"/>
    <w:rsid w:val="00CD39F8"/>
    <w:rsid w:val="00CD5425"/>
    <w:rsid w:val="00CD62A2"/>
    <w:rsid w:val="00CE1F09"/>
    <w:rsid w:val="00CE228C"/>
    <w:rsid w:val="00CE37AC"/>
    <w:rsid w:val="00CF1DC3"/>
    <w:rsid w:val="00CF545B"/>
    <w:rsid w:val="00CF66CB"/>
    <w:rsid w:val="00D00ACC"/>
    <w:rsid w:val="00D01DE5"/>
    <w:rsid w:val="00D02952"/>
    <w:rsid w:val="00D10991"/>
    <w:rsid w:val="00D1136C"/>
    <w:rsid w:val="00D15CEB"/>
    <w:rsid w:val="00D17EDC"/>
    <w:rsid w:val="00D22D03"/>
    <w:rsid w:val="00D24801"/>
    <w:rsid w:val="00D250E1"/>
    <w:rsid w:val="00D254F6"/>
    <w:rsid w:val="00D27D69"/>
    <w:rsid w:val="00D309BD"/>
    <w:rsid w:val="00D31DC8"/>
    <w:rsid w:val="00D337D3"/>
    <w:rsid w:val="00D41F59"/>
    <w:rsid w:val="00D42CE9"/>
    <w:rsid w:val="00D448C2"/>
    <w:rsid w:val="00D45F69"/>
    <w:rsid w:val="00D47BE8"/>
    <w:rsid w:val="00D47E06"/>
    <w:rsid w:val="00D5053B"/>
    <w:rsid w:val="00D52ABB"/>
    <w:rsid w:val="00D53941"/>
    <w:rsid w:val="00D539DE"/>
    <w:rsid w:val="00D540C5"/>
    <w:rsid w:val="00D55884"/>
    <w:rsid w:val="00D61282"/>
    <w:rsid w:val="00D61326"/>
    <w:rsid w:val="00D6496E"/>
    <w:rsid w:val="00D654A0"/>
    <w:rsid w:val="00D666C3"/>
    <w:rsid w:val="00D711E5"/>
    <w:rsid w:val="00D72473"/>
    <w:rsid w:val="00D74B07"/>
    <w:rsid w:val="00D758BD"/>
    <w:rsid w:val="00D7602D"/>
    <w:rsid w:val="00D80B09"/>
    <w:rsid w:val="00D817AE"/>
    <w:rsid w:val="00D8268A"/>
    <w:rsid w:val="00D83897"/>
    <w:rsid w:val="00D8547E"/>
    <w:rsid w:val="00D90197"/>
    <w:rsid w:val="00D92CB7"/>
    <w:rsid w:val="00D9470E"/>
    <w:rsid w:val="00D96F30"/>
    <w:rsid w:val="00DA1964"/>
    <w:rsid w:val="00DA1C66"/>
    <w:rsid w:val="00DA238B"/>
    <w:rsid w:val="00DA294B"/>
    <w:rsid w:val="00DA3C71"/>
    <w:rsid w:val="00DA6B7A"/>
    <w:rsid w:val="00DB2FD5"/>
    <w:rsid w:val="00DB37B8"/>
    <w:rsid w:val="00DB5C02"/>
    <w:rsid w:val="00DB5F13"/>
    <w:rsid w:val="00DB6760"/>
    <w:rsid w:val="00DB7708"/>
    <w:rsid w:val="00DC33C7"/>
    <w:rsid w:val="00DC3B01"/>
    <w:rsid w:val="00DC7261"/>
    <w:rsid w:val="00DC7E11"/>
    <w:rsid w:val="00DD0877"/>
    <w:rsid w:val="00DD1DE1"/>
    <w:rsid w:val="00DD2B59"/>
    <w:rsid w:val="00DD3723"/>
    <w:rsid w:val="00DD4EB7"/>
    <w:rsid w:val="00DD5198"/>
    <w:rsid w:val="00DD614E"/>
    <w:rsid w:val="00DD6324"/>
    <w:rsid w:val="00DD6EF7"/>
    <w:rsid w:val="00DE03B3"/>
    <w:rsid w:val="00DE182C"/>
    <w:rsid w:val="00DE260A"/>
    <w:rsid w:val="00DE332D"/>
    <w:rsid w:val="00DE386D"/>
    <w:rsid w:val="00DE4757"/>
    <w:rsid w:val="00DE479D"/>
    <w:rsid w:val="00DF1A32"/>
    <w:rsid w:val="00DF1AD8"/>
    <w:rsid w:val="00DF47FE"/>
    <w:rsid w:val="00DF54B1"/>
    <w:rsid w:val="00DF6D48"/>
    <w:rsid w:val="00DF7B0F"/>
    <w:rsid w:val="00E034AD"/>
    <w:rsid w:val="00E05590"/>
    <w:rsid w:val="00E11C3F"/>
    <w:rsid w:val="00E13529"/>
    <w:rsid w:val="00E13DD3"/>
    <w:rsid w:val="00E14F24"/>
    <w:rsid w:val="00E15509"/>
    <w:rsid w:val="00E15517"/>
    <w:rsid w:val="00E15EA2"/>
    <w:rsid w:val="00E238FC"/>
    <w:rsid w:val="00E264AB"/>
    <w:rsid w:val="00E26704"/>
    <w:rsid w:val="00E269D5"/>
    <w:rsid w:val="00E26BF9"/>
    <w:rsid w:val="00E30D74"/>
    <w:rsid w:val="00E31980"/>
    <w:rsid w:val="00E338DE"/>
    <w:rsid w:val="00E33C1A"/>
    <w:rsid w:val="00E34623"/>
    <w:rsid w:val="00E35C54"/>
    <w:rsid w:val="00E4134B"/>
    <w:rsid w:val="00E4147A"/>
    <w:rsid w:val="00E42E82"/>
    <w:rsid w:val="00E43DDC"/>
    <w:rsid w:val="00E44334"/>
    <w:rsid w:val="00E449CB"/>
    <w:rsid w:val="00E44CBE"/>
    <w:rsid w:val="00E460F6"/>
    <w:rsid w:val="00E4661A"/>
    <w:rsid w:val="00E507F8"/>
    <w:rsid w:val="00E50DEE"/>
    <w:rsid w:val="00E52651"/>
    <w:rsid w:val="00E57BC0"/>
    <w:rsid w:val="00E61FE9"/>
    <w:rsid w:val="00E62BDB"/>
    <w:rsid w:val="00E63FC3"/>
    <w:rsid w:val="00E6423C"/>
    <w:rsid w:val="00E66FC2"/>
    <w:rsid w:val="00E72735"/>
    <w:rsid w:val="00E7524B"/>
    <w:rsid w:val="00E767E8"/>
    <w:rsid w:val="00E769A0"/>
    <w:rsid w:val="00E821E1"/>
    <w:rsid w:val="00E83318"/>
    <w:rsid w:val="00E8583E"/>
    <w:rsid w:val="00E860C5"/>
    <w:rsid w:val="00E87480"/>
    <w:rsid w:val="00E90B62"/>
    <w:rsid w:val="00E92E9E"/>
    <w:rsid w:val="00E937C7"/>
    <w:rsid w:val="00E93830"/>
    <w:rsid w:val="00E93E0E"/>
    <w:rsid w:val="00E95384"/>
    <w:rsid w:val="00E95E00"/>
    <w:rsid w:val="00E974F1"/>
    <w:rsid w:val="00EA0493"/>
    <w:rsid w:val="00EA4411"/>
    <w:rsid w:val="00EB1E65"/>
    <w:rsid w:val="00EB1ED3"/>
    <w:rsid w:val="00EB43B6"/>
    <w:rsid w:val="00EB68DB"/>
    <w:rsid w:val="00EB6A02"/>
    <w:rsid w:val="00EB6AB9"/>
    <w:rsid w:val="00EB7206"/>
    <w:rsid w:val="00EC10EF"/>
    <w:rsid w:val="00EC4791"/>
    <w:rsid w:val="00EC64CC"/>
    <w:rsid w:val="00EC650B"/>
    <w:rsid w:val="00ED1506"/>
    <w:rsid w:val="00ED216F"/>
    <w:rsid w:val="00ED46AC"/>
    <w:rsid w:val="00ED7C5A"/>
    <w:rsid w:val="00EE0608"/>
    <w:rsid w:val="00EE11DC"/>
    <w:rsid w:val="00EE1552"/>
    <w:rsid w:val="00EE232F"/>
    <w:rsid w:val="00EE2F7F"/>
    <w:rsid w:val="00EE395B"/>
    <w:rsid w:val="00EE5683"/>
    <w:rsid w:val="00EE7519"/>
    <w:rsid w:val="00EF1CBA"/>
    <w:rsid w:val="00EF3D85"/>
    <w:rsid w:val="00EF5A86"/>
    <w:rsid w:val="00F0078B"/>
    <w:rsid w:val="00F02936"/>
    <w:rsid w:val="00F077A9"/>
    <w:rsid w:val="00F10692"/>
    <w:rsid w:val="00F108F9"/>
    <w:rsid w:val="00F1359C"/>
    <w:rsid w:val="00F1450A"/>
    <w:rsid w:val="00F14BA1"/>
    <w:rsid w:val="00F14D72"/>
    <w:rsid w:val="00F14EE9"/>
    <w:rsid w:val="00F15C49"/>
    <w:rsid w:val="00F16A61"/>
    <w:rsid w:val="00F21D94"/>
    <w:rsid w:val="00F23FD4"/>
    <w:rsid w:val="00F278D2"/>
    <w:rsid w:val="00F27FF5"/>
    <w:rsid w:val="00F32769"/>
    <w:rsid w:val="00F34B6E"/>
    <w:rsid w:val="00F376CD"/>
    <w:rsid w:val="00F37A72"/>
    <w:rsid w:val="00F37E2D"/>
    <w:rsid w:val="00F418D8"/>
    <w:rsid w:val="00F42BBF"/>
    <w:rsid w:val="00F42F64"/>
    <w:rsid w:val="00F4366F"/>
    <w:rsid w:val="00F4502F"/>
    <w:rsid w:val="00F4634C"/>
    <w:rsid w:val="00F471FC"/>
    <w:rsid w:val="00F5044D"/>
    <w:rsid w:val="00F5053A"/>
    <w:rsid w:val="00F50A1C"/>
    <w:rsid w:val="00F55215"/>
    <w:rsid w:val="00F56202"/>
    <w:rsid w:val="00F60602"/>
    <w:rsid w:val="00F64FE1"/>
    <w:rsid w:val="00F722AA"/>
    <w:rsid w:val="00F73327"/>
    <w:rsid w:val="00F73962"/>
    <w:rsid w:val="00F743F2"/>
    <w:rsid w:val="00F77D57"/>
    <w:rsid w:val="00F84606"/>
    <w:rsid w:val="00F87BB5"/>
    <w:rsid w:val="00F90E31"/>
    <w:rsid w:val="00F96816"/>
    <w:rsid w:val="00F97B64"/>
    <w:rsid w:val="00FA0338"/>
    <w:rsid w:val="00FA4856"/>
    <w:rsid w:val="00FA5720"/>
    <w:rsid w:val="00FA5C12"/>
    <w:rsid w:val="00FA674A"/>
    <w:rsid w:val="00FA6768"/>
    <w:rsid w:val="00FA77FB"/>
    <w:rsid w:val="00FA7F4C"/>
    <w:rsid w:val="00FB5BFE"/>
    <w:rsid w:val="00FB687C"/>
    <w:rsid w:val="00FC1A47"/>
    <w:rsid w:val="00FC2301"/>
    <w:rsid w:val="00FC2A53"/>
    <w:rsid w:val="00FC3B74"/>
    <w:rsid w:val="00FC5A7F"/>
    <w:rsid w:val="00FD1127"/>
    <w:rsid w:val="00FD5E96"/>
    <w:rsid w:val="00FD7882"/>
    <w:rsid w:val="00FE03D7"/>
    <w:rsid w:val="00FE4083"/>
    <w:rsid w:val="00FE6E5A"/>
    <w:rsid w:val="00FE7A8E"/>
    <w:rsid w:val="00FE7BB0"/>
    <w:rsid w:val="00FE7CDF"/>
    <w:rsid w:val="00FF07F9"/>
    <w:rsid w:val="00FF5CA7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yperlink" Target="mailto:jiri.trexler@czso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47DE-1559-47F7-996F-7BB4AA4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3</TotalTime>
  <Pages>12</Pages>
  <Words>1653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11390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3</cp:revision>
  <cp:lastPrinted>2014-10-08T12:30:00Z</cp:lastPrinted>
  <dcterms:created xsi:type="dcterms:W3CDTF">2017-01-12T10:23:00Z</dcterms:created>
  <dcterms:modified xsi:type="dcterms:W3CDTF">2017-01-12T10:25:00Z</dcterms:modified>
</cp:coreProperties>
</file>