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F5029" w14:textId="77777777" w:rsidR="008F509F" w:rsidRPr="00C41D54" w:rsidRDefault="008F509F" w:rsidP="008F509F">
      <w:pPr>
        <w:pStyle w:val="Nadpis11"/>
        <w:rPr>
          <w:b w:val="0"/>
          <w:sz w:val="2"/>
          <w:szCs w:val="2"/>
          <w:highlight w:val="yellow"/>
        </w:rPr>
      </w:pPr>
      <w:bookmarkStart w:id="0" w:name="_Toc532558284"/>
      <w:bookmarkStart w:id="1" w:name="_Toc26539341"/>
      <w:bookmarkStart w:id="2" w:name="_Toc11237634"/>
    </w:p>
    <w:p w14:paraId="5C2789AF" w14:textId="77777777" w:rsidR="00295E96" w:rsidRDefault="00295E96" w:rsidP="00295E96">
      <w:pPr>
        <w:pStyle w:val="Nadpis11"/>
      </w:pPr>
      <w:bookmarkStart w:id="3" w:name="_Toc511215218"/>
      <w:bookmarkStart w:id="4" w:name="_Toc37403644"/>
      <w:bookmarkStart w:id="5" w:name="_Toc19090678"/>
      <w:bookmarkStart w:id="6" w:name="_Toc50712129"/>
      <w:bookmarkStart w:id="7" w:name="_Toc26539342"/>
      <w:bookmarkStart w:id="8" w:name="_Toc532558287"/>
      <w:bookmarkEnd w:id="0"/>
      <w:bookmarkEnd w:id="1"/>
      <w:bookmarkEnd w:id="2"/>
      <w:bookmarkEnd w:id="3"/>
      <w:r>
        <w:t>5. Ceny</w:t>
      </w:r>
      <w:bookmarkEnd w:id="4"/>
      <w:bookmarkEnd w:id="5"/>
      <w:bookmarkEnd w:id="6"/>
    </w:p>
    <w:tbl>
      <w:tblPr>
        <w:tblW w:w="9639" w:type="dxa"/>
        <w:tblInd w:w="-15" w:type="dxa"/>
        <w:tblCellMar>
          <w:left w:w="0" w:type="dxa"/>
          <w:right w:w="0" w:type="dxa"/>
        </w:tblCellMar>
        <w:tblLook w:val="00A0" w:firstRow="1" w:lastRow="0" w:firstColumn="1" w:lastColumn="0" w:noHBand="0" w:noVBand="0"/>
      </w:tblPr>
      <w:tblGrid>
        <w:gridCol w:w="1805"/>
        <w:gridCol w:w="224"/>
        <w:gridCol w:w="7610"/>
      </w:tblGrid>
      <w:tr w:rsidR="00295E96" w14:paraId="1849DB63" w14:textId="77777777" w:rsidTr="003F1624">
        <w:trPr>
          <w:trHeight w:val="145"/>
        </w:trPr>
        <w:tc>
          <w:tcPr>
            <w:tcW w:w="1805" w:type="dxa"/>
            <w:hideMark/>
          </w:tcPr>
          <w:p w14:paraId="73D9F82E" w14:textId="77777777" w:rsidR="00295E96" w:rsidRDefault="00295E96" w:rsidP="003F1624">
            <w:pPr>
              <w:pStyle w:val="Marginlie"/>
              <w:rPr>
                <w:spacing w:val="0"/>
                <w:lang w:eastAsia="en-US"/>
              </w:rPr>
            </w:pPr>
            <w:r>
              <w:rPr>
                <w:spacing w:val="0"/>
                <w:lang w:eastAsia="en-US"/>
              </w:rPr>
              <w:t>Meziroční růst cenové hladiny ve 2. čtvrtletí posílil.</w:t>
            </w:r>
          </w:p>
        </w:tc>
        <w:tc>
          <w:tcPr>
            <w:tcW w:w="224" w:type="dxa"/>
          </w:tcPr>
          <w:p w14:paraId="0C12F559" w14:textId="77777777" w:rsidR="00295E96" w:rsidRDefault="00295E96" w:rsidP="003F1624">
            <w:pPr>
              <w:pStyle w:val="Textpoznpodarou1"/>
              <w:jc w:val="both"/>
              <w:rPr>
                <w:lang w:eastAsia="en-US"/>
              </w:rPr>
            </w:pPr>
          </w:p>
        </w:tc>
        <w:tc>
          <w:tcPr>
            <w:tcW w:w="7610" w:type="dxa"/>
            <w:hideMark/>
          </w:tcPr>
          <w:p w14:paraId="4E5B1BE4" w14:textId="77777777" w:rsidR="00295E96" w:rsidRDefault="00295E96" w:rsidP="003F1624">
            <w:pPr>
              <w:rPr>
                <w:szCs w:val="20"/>
                <w:lang w:eastAsia="en-US"/>
              </w:rPr>
            </w:pPr>
            <w:r>
              <w:rPr>
                <w:szCs w:val="20"/>
                <w:lang w:eastAsia="en-US"/>
              </w:rPr>
              <w:t>Meziroční růst cenové hladiny</w:t>
            </w:r>
            <w:r>
              <w:rPr>
                <w:rStyle w:val="Znakapoznpodarou"/>
                <w:szCs w:val="20"/>
                <w:lang w:eastAsia="en-US"/>
              </w:rPr>
              <w:footnoteReference w:id="1"/>
            </w:r>
            <w:r>
              <w:rPr>
                <w:szCs w:val="20"/>
                <w:lang w:eastAsia="en-US"/>
              </w:rPr>
              <w:t xml:space="preserve"> ve 2. čtvrtletí zrychlil na 4,2 %. Jde o nejvyšší přírůstek od 1. čtvrtletí 2009. Ve srovnání s 1. čtvrtletím meziroční dynamika posílila. Cenová hladina u spotřebních statků vzrostla o 3,3 %, což je méně než v 1. kvartálu. Zvolnilo tempo u statků spotřebovávaných domácnostmi i vládním sektorem. Ceny kapitálových statků ve 2. čtvrtletí meziročně rostly o 1,9 % a pokračoval tak propad tempa patrný již v předchozím čtvrtletí. Oslabení cenového růstu u domácích výdajových položek kompenzovalo výrazné zvýšení směnných relací. Ty ve 2. čtvrtletí činily 102,1 %, nejvíce od 4. čtvrtletí 2009. Kladné byly směnné relace u obchodu se zbožím (102,1 %) i službami (101,8 %).</w:t>
            </w:r>
          </w:p>
        </w:tc>
      </w:tr>
      <w:tr w:rsidR="00295E96" w14:paraId="265A9150" w14:textId="77777777" w:rsidTr="003F1624">
        <w:trPr>
          <w:trHeight w:val="145"/>
        </w:trPr>
        <w:tc>
          <w:tcPr>
            <w:tcW w:w="1805" w:type="dxa"/>
            <w:hideMark/>
          </w:tcPr>
          <w:p w14:paraId="64722B78" w14:textId="77777777" w:rsidR="00295E96" w:rsidRDefault="00295E96" w:rsidP="003F1624">
            <w:pPr>
              <w:pStyle w:val="Marginlie"/>
              <w:rPr>
                <w:spacing w:val="0"/>
                <w:lang w:eastAsia="en-US"/>
              </w:rPr>
            </w:pPr>
            <w:r>
              <w:rPr>
                <w:spacing w:val="0"/>
                <w:lang w:eastAsia="en-US"/>
              </w:rPr>
              <w:t>Meziroční růst spotřebitelských cen ve 2. čtvrtletí mírně zpomalil.</w:t>
            </w:r>
          </w:p>
        </w:tc>
        <w:tc>
          <w:tcPr>
            <w:tcW w:w="224" w:type="dxa"/>
          </w:tcPr>
          <w:p w14:paraId="0AFA97E1" w14:textId="77777777" w:rsidR="00295E96" w:rsidRDefault="00295E96" w:rsidP="003F1624">
            <w:pPr>
              <w:pStyle w:val="Textpoznpodarou1"/>
              <w:jc w:val="both"/>
              <w:rPr>
                <w:highlight w:val="yellow"/>
                <w:lang w:eastAsia="en-US"/>
              </w:rPr>
            </w:pPr>
          </w:p>
        </w:tc>
        <w:tc>
          <w:tcPr>
            <w:tcW w:w="7610" w:type="dxa"/>
            <w:hideMark/>
          </w:tcPr>
          <w:p w14:paraId="4AA13AD3" w14:textId="77777777" w:rsidR="00295E96" w:rsidRDefault="00295E96" w:rsidP="003F1624">
            <w:pPr>
              <w:rPr>
                <w:lang w:eastAsia="en-US"/>
              </w:rPr>
            </w:pPr>
            <w:r>
              <w:rPr>
                <w:lang w:eastAsia="en-US"/>
              </w:rPr>
              <w:t>Celkový meziroční nárůst spotřebitelských cen za 1. pololetí činil 3,4 %. Meziroční dynamika indexu spotřebitelských cen ve 2. čtvrtletí mírně zvolnila a dosáhla 3,1 %. Na meziročním srovnání se projevoval zejména silný lednový meziměsíční přírůstek (1,5 %). Následně meziměsíční dynamika zvolnila, ale meziroční nárůsty se držely nad 3% úrovní. V březnu i dubnu došlo k mírnému meziměsíčnímu poklesu, ale květen i červen přinesly zrychlení. Ve směru meziročního růstu cen ve 2. čtvrtletí nejvíce působily potraviny a nealkoholické nápoje a dále bydlení a energie. Výrazně posílil příspěvek alkoholických nápojů a tabáku (v květnu a červnu došlo k jejich prudkému meziměsíčnímu i meziročnímu zvýšení). Naopak ve směru poklesu působily ceny dopravy.</w:t>
            </w:r>
          </w:p>
        </w:tc>
      </w:tr>
      <w:tr w:rsidR="00295E96" w14:paraId="17E4A025" w14:textId="77777777" w:rsidTr="003F1624">
        <w:trPr>
          <w:trHeight w:val="145"/>
        </w:trPr>
        <w:tc>
          <w:tcPr>
            <w:tcW w:w="1805" w:type="dxa"/>
            <w:hideMark/>
          </w:tcPr>
          <w:p w14:paraId="7B8569AC" w14:textId="77777777" w:rsidR="00295E96" w:rsidRDefault="00295E96" w:rsidP="003F1624">
            <w:pPr>
              <w:pStyle w:val="Marginlie"/>
              <w:rPr>
                <w:spacing w:val="0"/>
                <w:lang w:eastAsia="en-US"/>
              </w:rPr>
            </w:pPr>
            <w:r>
              <w:rPr>
                <w:spacing w:val="0"/>
                <w:lang w:eastAsia="en-US"/>
              </w:rPr>
              <w:t>Nejvíce k růstu přispívaly potraviny a nealkoholické nápoje.</w:t>
            </w:r>
          </w:p>
        </w:tc>
        <w:tc>
          <w:tcPr>
            <w:tcW w:w="224" w:type="dxa"/>
          </w:tcPr>
          <w:p w14:paraId="4833F3DB" w14:textId="77777777" w:rsidR="00295E96" w:rsidRDefault="00295E96" w:rsidP="003F1624">
            <w:pPr>
              <w:pStyle w:val="Textpoznpodarou1"/>
              <w:jc w:val="both"/>
              <w:rPr>
                <w:highlight w:val="yellow"/>
                <w:lang w:eastAsia="en-US"/>
              </w:rPr>
            </w:pPr>
          </w:p>
        </w:tc>
        <w:tc>
          <w:tcPr>
            <w:tcW w:w="7610" w:type="dxa"/>
            <w:hideMark/>
          </w:tcPr>
          <w:p w14:paraId="0C1EE284" w14:textId="77777777" w:rsidR="00295E96" w:rsidRDefault="00295E96" w:rsidP="003F1624">
            <w:pPr>
              <w:rPr>
                <w:lang w:eastAsia="en-US"/>
              </w:rPr>
            </w:pPr>
            <w:r>
              <w:rPr>
                <w:lang w:eastAsia="en-US"/>
              </w:rPr>
              <w:t>Potraviny a nealkoholické nápoje ve 2. čtvrtletí ovlivňovaly růst celkového indexu nejvíce. Meziroční přírůstek jejich cen oproti 1. kvartálu dále zrychlil na 6,5 %. Rostly ceny většiny druhů potravin s výjimkou olejů a tuků (–2,8 %). Nejvyššího přírůstku dosáhly ceny ovoce (25,8 %), kde tempo zrychlilo. Velmi silný zůstal přírůstek cen masa (10,8 %) a také ostatních potravinářských výrobků (10,5 %). Výrazně se zvyšovaly i ceny zeleniny (6,5 %), cukru, marmelády, medu, čokolády a cukrovinek (5,4 %). Zrychlila meziroční dynamika cen pekárenských výrobků a obilovin (3,2 %) i mléka, sýrů a vajec (2,2 %).</w:t>
            </w:r>
          </w:p>
        </w:tc>
      </w:tr>
      <w:tr w:rsidR="00295E96" w14:paraId="02A9DD46" w14:textId="77777777" w:rsidTr="003F1624">
        <w:trPr>
          <w:trHeight w:val="145"/>
        </w:trPr>
        <w:tc>
          <w:tcPr>
            <w:tcW w:w="1805" w:type="dxa"/>
            <w:hideMark/>
          </w:tcPr>
          <w:p w14:paraId="38E07C24" w14:textId="77777777" w:rsidR="00295E96" w:rsidRDefault="00295E96" w:rsidP="003F1624">
            <w:pPr>
              <w:pStyle w:val="Marginlie"/>
              <w:rPr>
                <w:spacing w:val="0"/>
                <w:lang w:eastAsia="en-US"/>
              </w:rPr>
            </w:pPr>
            <w:r>
              <w:rPr>
                <w:spacing w:val="0"/>
                <w:lang w:eastAsia="en-US"/>
              </w:rPr>
              <w:t>Růst cen bydlení a energií zvolnil.</w:t>
            </w:r>
          </w:p>
        </w:tc>
        <w:tc>
          <w:tcPr>
            <w:tcW w:w="224" w:type="dxa"/>
          </w:tcPr>
          <w:p w14:paraId="17073C9C" w14:textId="77777777" w:rsidR="00295E96" w:rsidRDefault="00295E96" w:rsidP="003F1624">
            <w:pPr>
              <w:pStyle w:val="Textpoznpodarou1"/>
              <w:jc w:val="both"/>
              <w:rPr>
                <w:highlight w:val="yellow"/>
                <w:lang w:eastAsia="en-US"/>
              </w:rPr>
            </w:pPr>
          </w:p>
        </w:tc>
        <w:tc>
          <w:tcPr>
            <w:tcW w:w="7610" w:type="dxa"/>
            <w:hideMark/>
          </w:tcPr>
          <w:p w14:paraId="0BACE3BF" w14:textId="77777777" w:rsidR="00295E96" w:rsidRDefault="00295E96" w:rsidP="003F1624">
            <w:pPr>
              <w:rPr>
                <w:lang w:eastAsia="en-US"/>
              </w:rPr>
            </w:pPr>
            <w:r>
              <w:rPr>
                <w:lang w:eastAsia="en-US"/>
              </w:rPr>
              <w:t>Bydlení a energie ve 2. čtvrtletí sestoupily z pozice položky nejvíce přispívající k meziročnímu růstu spotřebitelských cen. Meziročně se ceny bydlení a energií zvýšily o 3,2 %, což je nejméně od 2. čtvrtletí 2018. Zpomalení bylo patrné napříč celým oddílem spotřebitelského koše. Zvolnilo tak tempo růstu nájemného z bytu (3,7 %) i imputovaného nájemného (2,6 %). Důležitým faktorem bylo i zpomalení u cen elektrické a tepelné energie, plynu a ostatních paliv (3,7 %). Ceny běžné údržby (3,3 %) a ostatních služeb souvisejících s bydlením (4,3 %) také rostly pomaleji než v předchozím kvartálu.</w:t>
            </w:r>
          </w:p>
        </w:tc>
      </w:tr>
      <w:tr w:rsidR="00295E96" w14:paraId="377663FE" w14:textId="77777777" w:rsidTr="003F1624">
        <w:trPr>
          <w:trHeight w:val="145"/>
        </w:trPr>
        <w:tc>
          <w:tcPr>
            <w:tcW w:w="1805" w:type="dxa"/>
            <w:hideMark/>
          </w:tcPr>
          <w:p w14:paraId="499A7376" w14:textId="77777777" w:rsidR="00295E96" w:rsidRDefault="00295E96" w:rsidP="003F1624">
            <w:pPr>
              <w:pStyle w:val="Marginlie"/>
              <w:rPr>
                <w:spacing w:val="0"/>
                <w:lang w:eastAsia="en-US"/>
              </w:rPr>
            </w:pPr>
            <w:r>
              <w:rPr>
                <w:spacing w:val="0"/>
                <w:lang w:eastAsia="en-US"/>
              </w:rPr>
              <w:t>Poměrně silně k růstu spotřebitelských cen přispívaly i alkoholické nápoje a tabák.</w:t>
            </w:r>
          </w:p>
        </w:tc>
        <w:tc>
          <w:tcPr>
            <w:tcW w:w="224" w:type="dxa"/>
          </w:tcPr>
          <w:p w14:paraId="454C5614" w14:textId="77777777" w:rsidR="00295E96" w:rsidRDefault="00295E96" w:rsidP="003F1624">
            <w:pPr>
              <w:pStyle w:val="Textpoznpodarou1"/>
              <w:jc w:val="both"/>
              <w:rPr>
                <w:highlight w:val="yellow"/>
                <w:lang w:eastAsia="en-US"/>
              </w:rPr>
            </w:pPr>
          </w:p>
        </w:tc>
        <w:tc>
          <w:tcPr>
            <w:tcW w:w="7610" w:type="dxa"/>
            <w:hideMark/>
          </w:tcPr>
          <w:p w14:paraId="1C8F1070" w14:textId="77777777" w:rsidR="00295E96" w:rsidRDefault="00295E96" w:rsidP="003F1624">
            <w:pPr>
              <w:rPr>
                <w:lang w:eastAsia="en-US"/>
              </w:rPr>
            </w:pPr>
            <w:r>
              <w:rPr>
                <w:lang w:eastAsia="en-US"/>
              </w:rPr>
              <w:t>Výrazně do vývoje spotřebitelských cen promluvily rovněž ceny alkoholických nápojů a tabáku. Ty se ve 2. čtvrtletí meziročně zvýšily o 6,6 %. Poměrně silného růstu dosahoval tento oddíl již v 1. kvartálu (3,5 %), důvodem bylo zvýšení spotřební daně. To ovlivňuje alkoholické nápoje i tabák. Zatímco alkohol zdražoval hned od počátku roku (4,5 %), na vývoji u tabáku se projevovalo předzásobení výrobky se staršími kolky (2,6 %). Tento efekt ale vyprchal a od května došlo k prudkému navýšení cen tabáku (7,5 % za celé 2. čtvrtletí). Mírné zrychlení proběhlo také u alkoholických nápojů (5,5 %).</w:t>
            </w:r>
          </w:p>
        </w:tc>
      </w:tr>
      <w:tr w:rsidR="00295E96" w14:paraId="4698EA54" w14:textId="77777777" w:rsidTr="003F1624">
        <w:trPr>
          <w:trHeight w:val="145"/>
        </w:trPr>
        <w:tc>
          <w:tcPr>
            <w:tcW w:w="1805" w:type="dxa"/>
            <w:hideMark/>
          </w:tcPr>
          <w:p w14:paraId="53E6CFCE" w14:textId="77777777" w:rsidR="00295E96" w:rsidRDefault="00295E96" w:rsidP="003F1624">
            <w:pPr>
              <w:pStyle w:val="Marginlie"/>
              <w:rPr>
                <w:spacing w:val="0"/>
                <w:lang w:eastAsia="en-US"/>
              </w:rPr>
            </w:pPr>
            <w:r>
              <w:rPr>
                <w:spacing w:val="0"/>
                <w:lang w:eastAsia="en-US"/>
              </w:rPr>
              <w:t>Ve směru poklesu působily ceny dopravy.</w:t>
            </w:r>
          </w:p>
        </w:tc>
        <w:tc>
          <w:tcPr>
            <w:tcW w:w="224" w:type="dxa"/>
          </w:tcPr>
          <w:p w14:paraId="58BEE515" w14:textId="77777777" w:rsidR="00295E96" w:rsidRDefault="00295E96" w:rsidP="003F1624">
            <w:pPr>
              <w:pStyle w:val="Textpoznpodarou1"/>
              <w:jc w:val="both"/>
              <w:rPr>
                <w:highlight w:val="yellow"/>
                <w:lang w:eastAsia="en-US"/>
              </w:rPr>
            </w:pPr>
          </w:p>
        </w:tc>
        <w:tc>
          <w:tcPr>
            <w:tcW w:w="7610" w:type="dxa"/>
            <w:hideMark/>
          </w:tcPr>
          <w:p w14:paraId="2E6728E7" w14:textId="77777777" w:rsidR="00295E96" w:rsidRDefault="00295E96" w:rsidP="003F1624">
            <w:pPr>
              <w:rPr>
                <w:lang w:eastAsia="en-US"/>
              </w:rPr>
            </w:pPr>
            <w:r>
              <w:rPr>
                <w:lang w:eastAsia="en-US"/>
              </w:rPr>
              <w:t xml:space="preserve">Z dalších oddílů, které měly významnější vliv na růst spotřebitelských cen, lze zmínit ceny stravování a ubytování, jež ve 2. čtvrtletí vzrostly o 5,1 %. Poměrně vysokého </w:t>
            </w:r>
            <w:r>
              <w:rPr>
                <w:lang w:eastAsia="en-US"/>
              </w:rPr>
              <w:lastRenderedPageBreak/>
              <w:t>meziročního tempa zde ceny dosahují již od konce roku 2016 a od počátku letošního roku došlo k dalšímu posílení. Výrazněji se ale zvyšovaly ceny stravování (5,5 %), tempo u cen ubytování ve 2. čtvrtletí výrazně zvolnilo (2,5 %). K růstu spotřebitelských cen přispívala i rekreace a kultura (nárůst o 2,0 %). Byly za tím především dovolené s komplexními službami (5,1 %), které výrazně zdražily na počátku roku. Oproti 1. kvartálu zrychlil růst cen bytového vybavení a zařízení domácnosti (3,3 %). Výrazně protiinflačně působily ceny dopravy (–3,4 %). Důvodem byl propad cen provozu osobních dopravních prostředků o 11,1 % (pozůstatek březnového propadu cen ropy na historicky nízké hodnoty). Naopak ceny nákupu automobilů, motocyklů a jízdních kol vzrostly o 3,1 %. Ceny dopravních služeb se zvýšily o 2,0 %.</w:t>
            </w:r>
          </w:p>
        </w:tc>
      </w:tr>
      <w:tr w:rsidR="00295E96" w14:paraId="73B66E6A" w14:textId="77777777" w:rsidTr="003F1624">
        <w:trPr>
          <w:trHeight w:val="170"/>
        </w:trPr>
        <w:tc>
          <w:tcPr>
            <w:tcW w:w="1805" w:type="dxa"/>
            <w:vMerge w:val="restart"/>
          </w:tcPr>
          <w:p w14:paraId="73626C22" w14:textId="77777777" w:rsidR="00295E96" w:rsidRDefault="00295E96" w:rsidP="003F1624">
            <w:pPr>
              <w:pStyle w:val="Marginlie"/>
              <w:rPr>
                <w:spacing w:val="0"/>
                <w:lang w:eastAsia="en-US"/>
              </w:rPr>
            </w:pPr>
          </w:p>
        </w:tc>
        <w:tc>
          <w:tcPr>
            <w:tcW w:w="224" w:type="dxa"/>
            <w:vMerge w:val="restart"/>
          </w:tcPr>
          <w:p w14:paraId="21DB4977" w14:textId="77777777" w:rsidR="00295E96" w:rsidRDefault="00295E96" w:rsidP="003F1624">
            <w:pPr>
              <w:pStyle w:val="Textpoznpodarou1"/>
              <w:jc w:val="both"/>
              <w:rPr>
                <w:highlight w:val="yellow"/>
                <w:lang w:eastAsia="en-US"/>
              </w:rPr>
            </w:pPr>
          </w:p>
        </w:tc>
        <w:tc>
          <w:tcPr>
            <w:tcW w:w="7610" w:type="dxa"/>
            <w:hideMark/>
          </w:tcPr>
          <w:p w14:paraId="749E3078" w14:textId="77777777" w:rsidR="00295E96" w:rsidRDefault="00295E96" w:rsidP="003F1624">
            <w:pPr>
              <w:spacing w:after="0"/>
              <w:rPr>
                <w:b/>
                <w:szCs w:val="20"/>
                <w:lang w:eastAsia="en-US"/>
              </w:rPr>
            </w:pPr>
            <w:r>
              <w:rPr>
                <w:rFonts w:cs="Arial"/>
                <w:b/>
                <w:bCs/>
                <w:color w:val="000000"/>
                <w:sz w:val="18"/>
                <w:szCs w:val="18"/>
                <w:lang w:eastAsia="en-US"/>
              </w:rPr>
              <w:t>Graf č. 9  Ceny ve vybraných oddílech indexu spotřebitelských cen</w:t>
            </w:r>
            <w:r>
              <w:rPr>
                <w:rFonts w:cs="Arial"/>
                <w:b/>
                <w:color w:val="000000"/>
                <w:sz w:val="18"/>
                <w:szCs w:val="18"/>
                <w:lang w:eastAsia="en-US"/>
              </w:rPr>
              <w:t xml:space="preserve"> </w:t>
            </w:r>
            <w:r>
              <w:rPr>
                <w:rFonts w:cs="Arial"/>
                <w:color w:val="000000"/>
                <w:sz w:val="18"/>
                <w:szCs w:val="18"/>
                <w:lang w:eastAsia="en-US"/>
              </w:rPr>
              <w:t>(meziročně v %)</w:t>
            </w:r>
          </w:p>
        </w:tc>
      </w:tr>
      <w:tr w:rsidR="00295E96" w14:paraId="59FDE074" w14:textId="77777777" w:rsidTr="003F1624">
        <w:trPr>
          <w:trHeight w:val="170"/>
        </w:trPr>
        <w:tc>
          <w:tcPr>
            <w:tcW w:w="0" w:type="auto"/>
            <w:vMerge/>
            <w:vAlign w:val="center"/>
            <w:hideMark/>
          </w:tcPr>
          <w:p w14:paraId="38B6DE68" w14:textId="77777777" w:rsidR="00295E96" w:rsidRDefault="00295E96" w:rsidP="003F1624">
            <w:pPr>
              <w:spacing w:after="0" w:line="240" w:lineRule="auto"/>
              <w:jc w:val="left"/>
              <w:rPr>
                <w:sz w:val="16"/>
                <w:szCs w:val="16"/>
                <w:lang w:eastAsia="en-US"/>
              </w:rPr>
            </w:pPr>
          </w:p>
        </w:tc>
        <w:tc>
          <w:tcPr>
            <w:tcW w:w="0" w:type="auto"/>
            <w:vMerge/>
            <w:vAlign w:val="center"/>
            <w:hideMark/>
          </w:tcPr>
          <w:p w14:paraId="5A7F0609" w14:textId="77777777" w:rsidR="00295E96" w:rsidRDefault="00295E96" w:rsidP="003F1624">
            <w:pPr>
              <w:spacing w:after="0" w:line="240" w:lineRule="auto"/>
              <w:jc w:val="left"/>
              <w:rPr>
                <w:rFonts w:eastAsia="Calibri"/>
                <w:szCs w:val="20"/>
                <w:highlight w:val="yellow"/>
                <w:lang w:eastAsia="en-US"/>
              </w:rPr>
            </w:pPr>
          </w:p>
        </w:tc>
        <w:tc>
          <w:tcPr>
            <w:tcW w:w="7610" w:type="dxa"/>
            <w:tcMar>
              <w:top w:w="0" w:type="dxa"/>
              <w:left w:w="70" w:type="dxa"/>
              <w:bottom w:w="0" w:type="dxa"/>
              <w:right w:w="70" w:type="dxa"/>
            </w:tcMar>
            <w:hideMark/>
          </w:tcPr>
          <w:p w14:paraId="56176155" w14:textId="77777777" w:rsidR="00295E96" w:rsidRDefault="00295E96" w:rsidP="003F1624">
            <w:pPr>
              <w:spacing w:after="0"/>
              <w:rPr>
                <w:lang w:eastAsia="en-US"/>
              </w:rPr>
            </w:pPr>
            <w:r>
              <w:rPr>
                <w:noProof/>
              </w:rPr>
              <w:drawing>
                <wp:inline distT="0" distB="0" distL="0" distR="0" wp14:anchorId="277E42B3" wp14:editId="31D18E11">
                  <wp:extent cx="4737100" cy="3441700"/>
                  <wp:effectExtent l="0" t="0" r="6350" b="6350"/>
                  <wp:docPr id="27" name="Graf 27">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295E96" w14:paraId="328F1485" w14:textId="77777777" w:rsidTr="003F1624">
        <w:trPr>
          <w:trHeight w:val="170"/>
        </w:trPr>
        <w:tc>
          <w:tcPr>
            <w:tcW w:w="0" w:type="auto"/>
            <w:vMerge/>
            <w:vAlign w:val="center"/>
            <w:hideMark/>
          </w:tcPr>
          <w:p w14:paraId="7B98B587" w14:textId="77777777" w:rsidR="00295E96" w:rsidRDefault="00295E96" w:rsidP="003F1624">
            <w:pPr>
              <w:spacing w:after="0" w:line="240" w:lineRule="auto"/>
              <w:jc w:val="left"/>
              <w:rPr>
                <w:sz w:val="16"/>
                <w:szCs w:val="16"/>
                <w:lang w:eastAsia="en-US"/>
              </w:rPr>
            </w:pPr>
          </w:p>
        </w:tc>
        <w:tc>
          <w:tcPr>
            <w:tcW w:w="0" w:type="auto"/>
            <w:vMerge/>
            <w:vAlign w:val="center"/>
            <w:hideMark/>
          </w:tcPr>
          <w:p w14:paraId="2C78F1C2" w14:textId="77777777" w:rsidR="00295E96" w:rsidRDefault="00295E96" w:rsidP="003F1624">
            <w:pPr>
              <w:spacing w:after="0" w:line="240" w:lineRule="auto"/>
              <w:jc w:val="left"/>
              <w:rPr>
                <w:rFonts w:eastAsia="Calibri"/>
                <w:szCs w:val="20"/>
                <w:highlight w:val="yellow"/>
                <w:lang w:eastAsia="en-US"/>
              </w:rPr>
            </w:pPr>
          </w:p>
        </w:tc>
        <w:tc>
          <w:tcPr>
            <w:tcW w:w="7610" w:type="dxa"/>
            <w:hideMark/>
          </w:tcPr>
          <w:p w14:paraId="36DF60BD" w14:textId="77777777" w:rsidR="00295E96" w:rsidRDefault="00295E96" w:rsidP="003F1624">
            <w:pPr>
              <w:rPr>
                <w:sz w:val="14"/>
                <w:szCs w:val="14"/>
                <w:lang w:eastAsia="en-US"/>
              </w:rPr>
            </w:pPr>
            <w:r>
              <w:rPr>
                <w:sz w:val="14"/>
                <w:szCs w:val="14"/>
                <w:lang w:eastAsia="en-US"/>
              </w:rPr>
              <w:t>Zdroj: ČSÚ</w:t>
            </w:r>
          </w:p>
        </w:tc>
      </w:tr>
      <w:tr w:rsidR="00295E96" w14:paraId="0A5F07AF" w14:textId="77777777" w:rsidTr="003F1624">
        <w:trPr>
          <w:trHeight w:val="145"/>
        </w:trPr>
        <w:tc>
          <w:tcPr>
            <w:tcW w:w="1805" w:type="dxa"/>
            <w:hideMark/>
          </w:tcPr>
          <w:p w14:paraId="3612EE56" w14:textId="77777777" w:rsidR="00295E96" w:rsidRDefault="00295E96" w:rsidP="003F1624">
            <w:pPr>
              <w:pStyle w:val="Marginlie"/>
              <w:rPr>
                <w:spacing w:val="0"/>
                <w:lang w:eastAsia="en-US"/>
              </w:rPr>
            </w:pPr>
            <w:r>
              <w:rPr>
                <w:spacing w:val="0"/>
                <w:lang w:eastAsia="en-US"/>
              </w:rPr>
              <w:t>Zejména ceny dopravy ve 2. čtvrtletí tlumily meziroční růst spotřebitelských cen.</w:t>
            </w:r>
          </w:p>
        </w:tc>
        <w:tc>
          <w:tcPr>
            <w:tcW w:w="224" w:type="dxa"/>
          </w:tcPr>
          <w:p w14:paraId="0F4E1FAE" w14:textId="77777777" w:rsidR="00295E96" w:rsidRDefault="00295E96" w:rsidP="003F1624">
            <w:pPr>
              <w:pStyle w:val="Textpoznpodarou1"/>
              <w:jc w:val="both"/>
              <w:rPr>
                <w:lang w:eastAsia="en-US"/>
              </w:rPr>
            </w:pPr>
          </w:p>
        </w:tc>
        <w:tc>
          <w:tcPr>
            <w:tcW w:w="7610" w:type="dxa"/>
            <w:hideMark/>
          </w:tcPr>
          <w:p w14:paraId="4321FFCC" w14:textId="77777777" w:rsidR="00295E96" w:rsidRDefault="00295E96" w:rsidP="003F1624">
            <w:pPr>
              <w:rPr>
                <w:lang w:eastAsia="en-US"/>
              </w:rPr>
            </w:pPr>
            <w:r>
              <w:rPr>
                <w:lang w:eastAsia="en-US"/>
              </w:rPr>
              <w:t>Meziroční růst spotřebitelských cen v EU</w:t>
            </w:r>
            <w:r>
              <w:rPr>
                <w:rStyle w:val="Znakapoznpodarou"/>
                <w:lang w:eastAsia="en-US"/>
              </w:rPr>
              <w:footnoteReference w:id="2"/>
            </w:r>
            <w:r>
              <w:rPr>
                <w:lang w:eastAsia="en-US"/>
              </w:rPr>
              <w:t xml:space="preserve"> ve 2. čtvrtletí oproti 1. kvartálu výrazně zpomalil a dosáhl 0,6 %. Zatímco v 1. čtvrtletí celkový přírůstek cen v EU činil 1,5 % a ceny meziročně rostly ve všech zemích, ve 2. čtvrtletí meziročně rostly ceny jen ve 13 státech. Zpomalení tempa oproti 1. čtvrtletí se týkalo všech zemí Unie. Důvodem byl hlavně propad cen dopravy v návaznosti na rekordní pokles cen ropy. Meziročně se ale ve 2. čtvrtletí celkově snižovaly i ceny bydlení a energií. Nejvíce ve 2. čtvrtletí ceny vzrostly v Polsku (3,4 %), Česku (3,3 %) a Maďarsku (2,5 %). Výraznějšího navýšení dosáhly spotřebitelské ceny také v Rumunsku (2,1 %) a na Slovensku (2,0 %). Šlo o skupinu zemí, které se zbytku Evropy cenovou dynamikou vzdálily. Společný jim byl zejména vysoký růst cen potravin a nealkoholických nápojů, ale také alkoholických nápojů a tabáku nebo bydlení a energií. Největší meziroční pokles cen byl ve 2. čtvrtletí zaznamenán na Kypru (–1,6 %), v Estonsku (–1,4 %) a ve Slovinsku a Řecku (shodně –1,2 %).</w:t>
            </w:r>
          </w:p>
        </w:tc>
      </w:tr>
      <w:tr w:rsidR="00295E96" w14:paraId="73E1AD4A" w14:textId="77777777" w:rsidTr="003F1624">
        <w:trPr>
          <w:trHeight w:val="145"/>
        </w:trPr>
        <w:tc>
          <w:tcPr>
            <w:tcW w:w="1805" w:type="dxa"/>
            <w:hideMark/>
          </w:tcPr>
          <w:p w14:paraId="7AB67E7E" w14:textId="77777777" w:rsidR="00295E96" w:rsidRDefault="00295E96" w:rsidP="003F1624">
            <w:pPr>
              <w:pStyle w:val="Marginlie"/>
              <w:rPr>
                <w:spacing w:val="0"/>
                <w:lang w:eastAsia="en-US"/>
              </w:rPr>
            </w:pPr>
            <w:r>
              <w:rPr>
                <w:spacing w:val="0"/>
                <w:lang w:eastAsia="en-US"/>
              </w:rPr>
              <w:t>Ceny bytů i ve 2. čtvrtletí rostly výraznými tempy.</w:t>
            </w:r>
          </w:p>
        </w:tc>
        <w:tc>
          <w:tcPr>
            <w:tcW w:w="224" w:type="dxa"/>
          </w:tcPr>
          <w:p w14:paraId="461F9146" w14:textId="77777777" w:rsidR="00295E96" w:rsidRDefault="00295E96" w:rsidP="003F1624">
            <w:pPr>
              <w:pStyle w:val="Textpoznpodarou1"/>
              <w:jc w:val="both"/>
              <w:rPr>
                <w:lang w:eastAsia="en-US"/>
              </w:rPr>
            </w:pPr>
          </w:p>
        </w:tc>
        <w:tc>
          <w:tcPr>
            <w:tcW w:w="7610" w:type="dxa"/>
            <w:hideMark/>
          </w:tcPr>
          <w:p w14:paraId="4414FAAE" w14:textId="52EFBB8E" w:rsidR="00295E96" w:rsidRDefault="00835FF1" w:rsidP="003F1624">
            <w:pPr>
              <w:rPr>
                <w:lang w:eastAsia="en-US"/>
              </w:rPr>
            </w:pPr>
            <w:r>
              <w:t xml:space="preserve">Ekonomická krize nepřinesla do vývoje nabídkových cen bytů žádný zlom. Oproti předchozímu čtvrtletí se ceny zvýšily o 1,6 %. Meziroční přírůstek nabídkových cen bytů v ČR ve 2. čtvrtletí dosáhl 7,1 %. Přitom se udržovalo velmi vysoké meziroční tempo u bytů mimo Prahu (9,7 %). Nabídkové ceny bytů v Praze meziročně vzrostly </w:t>
            </w:r>
            <w:r>
              <w:lastRenderedPageBreak/>
              <w:t>o 5,3 %, což je nejvíce od 1. čtvrtletí 2019. Realizované ceny starších bytů si také držely poměrně značné tempo. Oproti 1. čtvrtletí tak narostly o 2,6 %. Meziroční přírůstek v celé ČR byl opět více než desetinový (10,2 %) a stál za ním hlavně vývoj mimo Prahu (10,8 %). Realizované ceny starších bytů v Praze ve 2. čtvrtletí meziročně narostly o 8,0 % a tempo mírně zrychlilo oproti předchozím třem kvartálům. Nový dech nabrala dynamika realizovaných cen nových bytů v Praze. Po mírném zvolnění ve 2. pololetí 2019 se letos meziroční přírůstky opět pohybují okolo 10 %. Ve 2. čtvrtletí navýšení dosáhlo 9,5 %.</w:t>
            </w:r>
          </w:p>
        </w:tc>
      </w:tr>
      <w:tr w:rsidR="00295E96" w14:paraId="7AFE8ABF" w14:textId="77777777" w:rsidTr="003F1624">
        <w:trPr>
          <w:trHeight w:val="170"/>
        </w:trPr>
        <w:tc>
          <w:tcPr>
            <w:tcW w:w="1805" w:type="dxa"/>
            <w:vMerge w:val="restart"/>
          </w:tcPr>
          <w:p w14:paraId="33C1E60C" w14:textId="77777777" w:rsidR="00295E96" w:rsidRDefault="00295E96" w:rsidP="003F1624">
            <w:pPr>
              <w:pStyle w:val="Marginlie"/>
              <w:rPr>
                <w:spacing w:val="0"/>
                <w:lang w:eastAsia="en-US"/>
              </w:rPr>
            </w:pPr>
          </w:p>
        </w:tc>
        <w:tc>
          <w:tcPr>
            <w:tcW w:w="224" w:type="dxa"/>
            <w:vMerge w:val="restart"/>
          </w:tcPr>
          <w:p w14:paraId="30A31F12" w14:textId="77777777" w:rsidR="00295E96" w:rsidRDefault="00295E96" w:rsidP="003F1624">
            <w:pPr>
              <w:pStyle w:val="Textpoznpodarou1"/>
              <w:jc w:val="both"/>
              <w:rPr>
                <w:lang w:eastAsia="en-US"/>
              </w:rPr>
            </w:pPr>
          </w:p>
        </w:tc>
        <w:tc>
          <w:tcPr>
            <w:tcW w:w="7610" w:type="dxa"/>
            <w:hideMark/>
          </w:tcPr>
          <w:p w14:paraId="7CEBBEAA" w14:textId="77777777" w:rsidR="00295E96" w:rsidRDefault="00295E96" w:rsidP="003F1624">
            <w:pPr>
              <w:spacing w:after="0"/>
              <w:rPr>
                <w:lang w:eastAsia="en-US"/>
              </w:rPr>
            </w:pPr>
            <w:r>
              <w:rPr>
                <w:b/>
                <w:sz w:val="18"/>
                <w:szCs w:val="18"/>
                <w:lang w:eastAsia="en-US"/>
              </w:rPr>
              <w:t xml:space="preserve">Graf č. 10  Ceny nemovitostí </w:t>
            </w:r>
            <w:r>
              <w:rPr>
                <w:sz w:val="18"/>
                <w:szCs w:val="18"/>
                <w:lang w:eastAsia="en-US"/>
              </w:rPr>
              <w:t>(meziroční změna, v %)</w:t>
            </w:r>
          </w:p>
        </w:tc>
      </w:tr>
      <w:tr w:rsidR="00295E96" w14:paraId="25629FC4" w14:textId="77777777" w:rsidTr="003F1624">
        <w:trPr>
          <w:trHeight w:val="170"/>
        </w:trPr>
        <w:tc>
          <w:tcPr>
            <w:tcW w:w="0" w:type="auto"/>
            <w:vMerge/>
            <w:vAlign w:val="center"/>
            <w:hideMark/>
          </w:tcPr>
          <w:p w14:paraId="121DBF7F" w14:textId="77777777" w:rsidR="00295E96" w:rsidRDefault="00295E96" w:rsidP="003F1624">
            <w:pPr>
              <w:spacing w:after="0" w:line="240" w:lineRule="auto"/>
              <w:jc w:val="left"/>
              <w:rPr>
                <w:sz w:val="16"/>
                <w:szCs w:val="16"/>
                <w:lang w:eastAsia="en-US"/>
              </w:rPr>
            </w:pPr>
          </w:p>
        </w:tc>
        <w:tc>
          <w:tcPr>
            <w:tcW w:w="0" w:type="auto"/>
            <w:vMerge/>
            <w:vAlign w:val="center"/>
            <w:hideMark/>
          </w:tcPr>
          <w:p w14:paraId="1A48133A" w14:textId="77777777" w:rsidR="00295E96" w:rsidRDefault="00295E96" w:rsidP="003F1624">
            <w:pPr>
              <w:spacing w:after="0" w:line="240" w:lineRule="auto"/>
              <w:jc w:val="left"/>
              <w:rPr>
                <w:rFonts w:eastAsia="Calibri"/>
                <w:szCs w:val="20"/>
                <w:lang w:eastAsia="en-US"/>
              </w:rPr>
            </w:pPr>
          </w:p>
        </w:tc>
        <w:tc>
          <w:tcPr>
            <w:tcW w:w="7610" w:type="dxa"/>
            <w:tcMar>
              <w:top w:w="0" w:type="dxa"/>
              <w:left w:w="70" w:type="dxa"/>
              <w:bottom w:w="0" w:type="dxa"/>
              <w:right w:w="70" w:type="dxa"/>
            </w:tcMar>
            <w:hideMark/>
          </w:tcPr>
          <w:p w14:paraId="5A16525D" w14:textId="77777777" w:rsidR="00295E96" w:rsidRDefault="00295E96" w:rsidP="003F1624">
            <w:pPr>
              <w:rPr>
                <w:lang w:eastAsia="en-US"/>
              </w:rPr>
            </w:pPr>
            <w:r>
              <w:rPr>
                <w:noProof/>
              </w:rPr>
              <w:drawing>
                <wp:inline distT="0" distB="0" distL="0" distR="0" wp14:anchorId="4F43EF20" wp14:editId="7C398D5E">
                  <wp:extent cx="4737100" cy="3556000"/>
                  <wp:effectExtent l="0" t="0" r="6350" b="6350"/>
                  <wp:docPr id="25" name="Graf 25">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295E96" w14:paraId="44FC7E1A" w14:textId="77777777" w:rsidTr="003F1624">
        <w:trPr>
          <w:trHeight w:val="170"/>
        </w:trPr>
        <w:tc>
          <w:tcPr>
            <w:tcW w:w="0" w:type="auto"/>
            <w:vMerge/>
            <w:vAlign w:val="center"/>
            <w:hideMark/>
          </w:tcPr>
          <w:p w14:paraId="5397DDD8" w14:textId="77777777" w:rsidR="00295E96" w:rsidRDefault="00295E96" w:rsidP="003F1624">
            <w:pPr>
              <w:spacing w:after="0" w:line="240" w:lineRule="auto"/>
              <w:jc w:val="left"/>
              <w:rPr>
                <w:sz w:val="16"/>
                <w:szCs w:val="16"/>
                <w:lang w:eastAsia="en-US"/>
              </w:rPr>
            </w:pPr>
          </w:p>
        </w:tc>
        <w:tc>
          <w:tcPr>
            <w:tcW w:w="0" w:type="auto"/>
            <w:vMerge/>
            <w:vAlign w:val="center"/>
            <w:hideMark/>
          </w:tcPr>
          <w:p w14:paraId="042697CA" w14:textId="77777777" w:rsidR="00295E96" w:rsidRDefault="00295E96" w:rsidP="003F1624">
            <w:pPr>
              <w:spacing w:after="0" w:line="240" w:lineRule="auto"/>
              <w:jc w:val="left"/>
              <w:rPr>
                <w:rFonts w:eastAsia="Calibri"/>
                <w:szCs w:val="20"/>
                <w:lang w:eastAsia="en-US"/>
              </w:rPr>
            </w:pPr>
          </w:p>
        </w:tc>
        <w:tc>
          <w:tcPr>
            <w:tcW w:w="7610" w:type="dxa"/>
            <w:hideMark/>
          </w:tcPr>
          <w:p w14:paraId="5799DE92" w14:textId="77777777" w:rsidR="00295E96" w:rsidRDefault="00295E96" w:rsidP="003F1624">
            <w:pPr>
              <w:rPr>
                <w:lang w:eastAsia="en-US"/>
              </w:rPr>
            </w:pPr>
            <w:r>
              <w:rPr>
                <w:sz w:val="14"/>
                <w:szCs w:val="14"/>
                <w:lang w:eastAsia="en-US"/>
              </w:rPr>
              <w:t>Zdroj: ČSÚ</w:t>
            </w:r>
          </w:p>
        </w:tc>
      </w:tr>
      <w:tr w:rsidR="00295E96" w14:paraId="3B020773" w14:textId="77777777" w:rsidTr="003F1624">
        <w:trPr>
          <w:trHeight w:val="145"/>
        </w:trPr>
        <w:tc>
          <w:tcPr>
            <w:tcW w:w="1805" w:type="dxa"/>
            <w:hideMark/>
          </w:tcPr>
          <w:p w14:paraId="257E76FA" w14:textId="77777777" w:rsidR="00295E96" w:rsidRDefault="00295E96" w:rsidP="003F1624">
            <w:pPr>
              <w:pStyle w:val="Marginlie"/>
              <w:rPr>
                <w:spacing w:val="0"/>
                <w:lang w:eastAsia="en-US"/>
              </w:rPr>
            </w:pPr>
            <w:r>
              <w:rPr>
                <w:spacing w:val="0"/>
                <w:lang w:eastAsia="en-US"/>
              </w:rPr>
              <w:t>Ceny průmyslových výrobců ve 2. čtvrtletí klesly, zejména kvůli propadu cen koksu a rafinovaných ropných výrobků.</w:t>
            </w:r>
          </w:p>
        </w:tc>
        <w:tc>
          <w:tcPr>
            <w:tcW w:w="224" w:type="dxa"/>
          </w:tcPr>
          <w:p w14:paraId="7FA70BE4" w14:textId="77777777" w:rsidR="00295E96" w:rsidRDefault="00295E96" w:rsidP="003F1624">
            <w:pPr>
              <w:pStyle w:val="Textpoznpodarou1"/>
              <w:jc w:val="both"/>
              <w:rPr>
                <w:lang w:eastAsia="en-US"/>
              </w:rPr>
            </w:pPr>
          </w:p>
        </w:tc>
        <w:tc>
          <w:tcPr>
            <w:tcW w:w="7610" w:type="dxa"/>
            <w:hideMark/>
          </w:tcPr>
          <w:p w14:paraId="46801713" w14:textId="77777777" w:rsidR="00295E96" w:rsidRDefault="00295E96" w:rsidP="003F1624">
            <w:pPr>
              <w:rPr>
                <w:lang w:eastAsia="en-US"/>
              </w:rPr>
            </w:pPr>
            <w:r>
              <w:rPr>
                <w:lang w:eastAsia="en-US"/>
              </w:rPr>
              <w:t>Ceny průmyslových výrobců ve 2. čtvrtletí klesly o 0,6 %. V 1. čtvrtletí ještě ceny rostly o 1,4 %. Obrat v dynamice byl patrný již v březnu. Důvodem byl zejména vývoj u výrobků a služeb zpracovatelského průmyslu. U nich došlo k propadu o 2,3 %, především kvůli koksu a rafinovaným ropným výrobkům</w:t>
            </w:r>
            <w:r>
              <w:rPr>
                <w:rStyle w:val="Znakapoznpodarou"/>
                <w:lang w:eastAsia="en-US"/>
              </w:rPr>
              <w:footnoteReference w:id="3"/>
            </w:r>
            <w:r>
              <w:rPr>
                <w:lang w:eastAsia="en-US"/>
              </w:rPr>
              <w:t>. V návaznosti na ceny ropy klesaly i ceny chemických látek a výrobků (–14,6 %). Ve směru poklesu působily i obecné kovy a kovodělné výrobky (–1,3 %) a dřevo, papír a tisk (–2,1 %). Naopak k růstu přispívaly ceny potravinářských výrobků, nápojů a tabáku (3,0 %). Zde ale v průběhu čtvrtletí dynamika postupně zvolňovala. Zejména mzdový růst ještě tlačil vzhůru ceny nábytku a ostatních výrobků zpracovatelského průmyslu (4,8 %, hlavně opravy, údržba a instalace strojů a zařízení). Výrazně se zvýšily ceny počítačů, elektronických a optických přístrojů (3,7 %). K poměrně silnému přírůstku došlo rovněž u dopravních prostředků (3,5 %). Zrychlil růst cen strojů a zařízení (2,6 %) a elektrických zařízení (1,7 %).</w:t>
            </w:r>
          </w:p>
        </w:tc>
      </w:tr>
      <w:tr w:rsidR="00295E96" w14:paraId="5A824DD1" w14:textId="77777777" w:rsidTr="003F1624">
        <w:trPr>
          <w:trHeight w:val="145"/>
        </w:trPr>
        <w:tc>
          <w:tcPr>
            <w:tcW w:w="1805" w:type="dxa"/>
            <w:hideMark/>
          </w:tcPr>
          <w:p w14:paraId="57E48E8F" w14:textId="77777777" w:rsidR="00295E96" w:rsidRDefault="00295E96" w:rsidP="003F1624">
            <w:pPr>
              <w:pStyle w:val="Marginlie"/>
              <w:rPr>
                <w:spacing w:val="0"/>
                <w:lang w:eastAsia="en-US"/>
              </w:rPr>
            </w:pPr>
            <w:r>
              <w:rPr>
                <w:spacing w:val="0"/>
                <w:lang w:eastAsia="en-US"/>
              </w:rPr>
              <w:t>Pokračoval pokles cen těžby a dobývání.</w:t>
            </w:r>
          </w:p>
        </w:tc>
        <w:tc>
          <w:tcPr>
            <w:tcW w:w="224" w:type="dxa"/>
          </w:tcPr>
          <w:p w14:paraId="763DDE3C" w14:textId="77777777" w:rsidR="00295E96" w:rsidRDefault="00295E96" w:rsidP="003F1624">
            <w:pPr>
              <w:pStyle w:val="Textpoznpodarou1"/>
              <w:jc w:val="both"/>
              <w:rPr>
                <w:lang w:eastAsia="en-US"/>
              </w:rPr>
            </w:pPr>
          </w:p>
        </w:tc>
        <w:tc>
          <w:tcPr>
            <w:tcW w:w="7610" w:type="dxa"/>
            <w:hideMark/>
          </w:tcPr>
          <w:p w14:paraId="3E839F47" w14:textId="77777777" w:rsidR="00295E96" w:rsidRDefault="00295E96" w:rsidP="003F1624">
            <w:pPr>
              <w:rPr>
                <w:lang w:eastAsia="en-US"/>
              </w:rPr>
            </w:pPr>
            <w:r>
              <w:rPr>
                <w:lang w:eastAsia="en-US"/>
              </w:rPr>
              <w:t xml:space="preserve">Od začátku roku trvající pokles se prohloubil v případě těžby a dobývání (–3,5 %). Propadaly se ceny ropy a zemního plynu a pokračoval pokles u černého a hnědého uhlí a lignitu. Naopak na vysoké úrovni se drží meziroční růst cen elektřiny, plynu, páry </w:t>
            </w:r>
            <w:r>
              <w:rPr>
                <w:lang w:eastAsia="en-US"/>
              </w:rPr>
              <w:lastRenderedPageBreak/>
              <w:t>a klimatizovaného vzduchu (8,2 %). Růst zrychlil u zásobování vodou a služeb souvisejících s odpadními vodami (6,1 %).</w:t>
            </w:r>
          </w:p>
        </w:tc>
      </w:tr>
      <w:tr w:rsidR="00295E96" w14:paraId="108051E7" w14:textId="77777777" w:rsidTr="003F1624">
        <w:trPr>
          <w:trHeight w:val="170"/>
        </w:trPr>
        <w:tc>
          <w:tcPr>
            <w:tcW w:w="1805" w:type="dxa"/>
            <w:vMerge w:val="restart"/>
          </w:tcPr>
          <w:p w14:paraId="53F041C3" w14:textId="77777777" w:rsidR="00295E96" w:rsidRDefault="00295E96" w:rsidP="003F1624">
            <w:pPr>
              <w:pStyle w:val="Marginlie"/>
              <w:rPr>
                <w:spacing w:val="0"/>
                <w:lang w:eastAsia="en-US"/>
              </w:rPr>
            </w:pPr>
          </w:p>
        </w:tc>
        <w:tc>
          <w:tcPr>
            <w:tcW w:w="224" w:type="dxa"/>
            <w:vMerge w:val="restart"/>
          </w:tcPr>
          <w:p w14:paraId="4317B2D3" w14:textId="77777777" w:rsidR="00295E96" w:rsidRDefault="00295E96" w:rsidP="003F1624">
            <w:pPr>
              <w:pStyle w:val="Textpoznpodarou1"/>
              <w:jc w:val="both"/>
              <w:rPr>
                <w:highlight w:val="yellow"/>
                <w:lang w:eastAsia="en-US"/>
              </w:rPr>
            </w:pPr>
          </w:p>
        </w:tc>
        <w:tc>
          <w:tcPr>
            <w:tcW w:w="7610" w:type="dxa"/>
            <w:hideMark/>
          </w:tcPr>
          <w:p w14:paraId="7F343273" w14:textId="77777777" w:rsidR="00295E96" w:rsidRDefault="00295E96" w:rsidP="003F1624">
            <w:pPr>
              <w:spacing w:after="0"/>
              <w:rPr>
                <w:b/>
                <w:szCs w:val="20"/>
                <w:lang w:eastAsia="en-US"/>
              </w:rPr>
            </w:pPr>
            <w:r>
              <w:rPr>
                <w:b/>
                <w:sz w:val="18"/>
                <w:szCs w:val="18"/>
                <w:lang w:eastAsia="en-US"/>
              </w:rPr>
              <w:t xml:space="preserve">Graf č. 11  Ceny hlavních skupin průmyslových výrobců </w:t>
            </w:r>
            <w:r>
              <w:rPr>
                <w:sz w:val="18"/>
                <w:szCs w:val="18"/>
                <w:lang w:eastAsia="en-US"/>
              </w:rPr>
              <w:t>(meziroční změna, v %, podle klasifikace CPA)</w:t>
            </w:r>
          </w:p>
        </w:tc>
      </w:tr>
      <w:tr w:rsidR="00295E96" w14:paraId="19FA66EE" w14:textId="77777777" w:rsidTr="003F1624">
        <w:trPr>
          <w:trHeight w:val="170"/>
        </w:trPr>
        <w:tc>
          <w:tcPr>
            <w:tcW w:w="0" w:type="auto"/>
            <w:vMerge/>
            <w:vAlign w:val="center"/>
            <w:hideMark/>
          </w:tcPr>
          <w:p w14:paraId="25D2C297" w14:textId="77777777" w:rsidR="00295E96" w:rsidRDefault="00295E96" w:rsidP="003F1624">
            <w:pPr>
              <w:spacing w:after="0" w:line="240" w:lineRule="auto"/>
              <w:jc w:val="left"/>
              <w:rPr>
                <w:sz w:val="16"/>
                <w:szCs w:val="16"/>
                <w:lang w:eastAsia="en-US"/>
              </w:rPr>
            </w:pPr>
          </w:p>
        </w:tc>
        <w:tc>
          <w:tcPr>
            <w:tcW w:w="0" w:type="auto"/>
            <w:vMerge/>
            <w:vAlign w:val="center"/>
            <w:hideMark/>
          </w:tcPr>
          <w:p w14:paraId="217FF320" w14:textId="77777777" w:rsidR="00295E96" w:rsidRDefault="00295E96" w:rsidP="003F1624">
            <w:pPr>
              <w:spacing w:after="0" w:line="240" w:lineRule="auto"/>
              <w:jc w:val="left"/>
              <w:rPr>
                <w:rFonts w:eastAsia="Calibri"/>
                <w:szCs w:val="20"/>
                <w:highlight w:val="yellow"/>
                <w:lang w:eastAsia="en-US"/>
              </w:rPr>
            </w:pPr>
          </w:p>
        </w:tc>
        <w:tc>
          <w:tcPr>
            <w:tcW w:w="7610" w:type="dxa"/>
            <w:tcMar>
              <w:top w:w="0" w:type="dxa"/>
              <w:left w:w="70" w:type="dxa"/>
              <w:bottom w:w="0" w:type="dxa"/>
              <w:right w:w="70" w:type="dxa"/>
            </w:tcMar>
            <w:hideMark/>
          </w:tcPr>
          <w:p w14:paraId="449EC50D" w14:textId="77777777" w:rsidR="00295E96" w:rsidRDefault="00295E96" w:rsidP="003F1624">
            <w:pPr>
              <w:spacing w:after="0"/>
              <w:rPr>
                <w:lang w:eastAsia="en-US"/>
              </w:rPr>
            </w:pPr>
            <w:r>
              <w:rPr>
                <w:noProof/>
              </w:rPr>
              <w:drawing>
                <wp:inline distT="0" distB="0" distL="0" distR="0" wp14:anchorId="46F13AD2" wp14:editId="2F6A64E1">
                  <wp:extent cx="4737100" cy="3435350"/>
                  <wp:effectExtent l="0" t="0" r="6350" b="0"/>
                  <wp:docPr id="23" name="Graf 23">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295E96" w14:paraId="47E8CA62" w14:textId="77777777" w:rsidTr="003F1624">
        <w:trPr>
          <w:trHeight w:val="170"/>
        </w:trPr>
        <w:tc>
          <w:tcPr>
            <w:tcW w:w="0" w:type="auto"/>
            <w:vMerge/>
            <w:vAlign w:val="center"/>
            <w:hideMark/>
          </w:tcPr>
          <w:p w14:paraId="364B7ED2" w14:textId="77777777" w:rsidR="00295E96" w:rsidRDefault="00295E96" w:rsidP="003F1624">
            <w:pPr>
              <w:spacing w:after="0" w:line="240" w:lineRule="auto"/>
              <w:jc w:val="left"/>
              <w:rPr>
                <w:sz w:val="16"/>
                <w:szCs w:val="16"/>
                <w:lang w:eastAsia="en-US"/>
              </w:rPr>
            </w:pPr>
          </w:p>
        </w:tc>
        <w:tc>
          <w:tcPr>
            <w:tcW w:w="0" w:type="auto"/>
            <w:vMerge/>
            <w:vAlign w:val="center"/>
            <w:hideMark/>
          </w:tcPr>
          <w:p w14:paraId="094D0746" w14:textId="77777777" w:rsidR="00295E96" w:rsidRDefault="00295E96" w:rsidP="003F1624">
            <w:pPr>
              <w:spacing w:after="0" w:line="240" w:lineRule="auto"/>
              <w:jc w:val="left"/>
              <w:rPr>
                <w:rFonts w:eastAsia="Calibri"/>
                <w:szCs w:val="20"/>
                <w:highlight w:val="yellow"/>
                <w:lang w:eastAsia="en-US"/>
              </w:rPr>
            </w:pPr>
          </w:p>
        </w:tc>
        <w:tc>
          <w:tcPr>
            <w:tcW w:w="7610" w:type="dxa"/>
            <w:hideMark/>
          </w:tcPr>
          <w:p w14:paraId="6B1CB8C2" w14:textId="77777777" w:rsidR="00295E96" w:rsidRDefault="00295E96" w:rsidP="003F1624">
            <w:pPr>
              <w:rPr>
                <w:lang w:eastAsia="en-US"/>
              </w:rPr>
            </w:pPr>
            <w:r>
              <w:rPr>
                <w:sz w:val="14"/>
                <w:szCs w:val="14"/>
                <w:lang w:eastAsia="en-US"/>
              </w:rPr>
              <w:t>Zdroj: ČSÚ</w:t>
            </w:r>
          </w:p>
        </w:tc>
      </w:tr>
      <w:tr w:rsidR="00295E96" w14:paraId="5FDD50B7" w14:textId="77777777" w:rsidTr="003F1624">
        <w:trPr>
          <w:trHeight w:val="145"/>
        </w:trPr>
        <w:tc>
          <w:tcPr>
            <w:tcW w:w="1805" w:type="dxa"/>
            <w:hideMark/>
          </w:tcPr>
          <w:p w14:paraId="48A8FE9F" w14:textId="77777777" w:rsidR="00295E96" w:rsidRDefault="00295E96" w:rsidP="003F1624">
            <w:pPr>
              <w:pStyle w:val="Marginlie"/>
              <w:rPr>
                <w:spacing w:val="0"/>
                <w:lang w:eastAsia="en-US"/>
              </w:rPr>
            </w:pPr>
            <w:r>
              <w:rPr>
                <w:spacing w:val="0"/>
                <w:lang w:eastAsia="en-US"/>
              </w:rPr>
              <w:t>Ceny průmyslových výrobců v EU ve 2. čtvrtletí výrazně klesaly.</w:t>
            </w:r>
          </w:p>
        </w:tc>
        <w:tc>
          <w:tcPr>
            <w:tcW w:w="224" w:type="dxa"/>
          </w:tcPr>
          <w:p w14:paraId="163CFE9E" w14:textId="77777777" w:rsidR="00295E96" w:rsidRDefault="00295E96" w:rsidP="003F1624">
            <w:pPr>
              <w:pStyle w:val="Textpoznpodarou1"/>
              <w:jc w:val="both"/>
              <w:rPr>
                <w:lang w:eastAsia="en-US"/>
              </w:rPr>
            </w:pPr>
          </w:p>
        </w:tc>
        <w:tc>
          <w:tcPr>
            <w:tcW w:w="7610" w:type="dxa"/>
            <w:hideMark/>
          </w:tcPr>
          <w:p w14:paraId="3D00B99B" w14:textId="77777777" w:rsidR="00295E96" w:rsidRDefault="00295E96" w:rsidP="003F1624">
            <w:pPr>
              <w:rPr>
                <w:lang w:eastAsia="en-US"/>
              </w:rPr>
            </w:pPr>
            <w:r>
              <w:rPr>
                <w:lang w:eastAsia="en-US"/>
              </w:rPr>
              <w:t>Ceny průmyslových výrobců v EU v 1. i 2. čtvrtletí 2020 klesaly. Ve 2. kvartálu ale došlo k výraznému prohloubení meziročního propadu na 4,1 %. Důvodem byl podobně jako v ČR silný propad cen ropy, který měl globální dopad. Ve 2. čtvrtletí v Unii pokračoval výrazný propad cen těžby a dobývání (–13,2 %, zejména kvůli těžbě ropy), ale prohloubil se i pokles cen ve zpracovatelském průmyslu (–2,8 %). O 9,1 % se meziročně snížily ceny elektřiny, plynu, páry a klimatizovaného vzduchu. Ceny průmyslových výrobců se ve 2. čtvrtletí meziročně zvýšily jen na Maltě (1,4 %), ve Slovinsku (0,3 %) a na Slovensku (0,1 %). Nejhlubší pokles byl naopak v Litvě (–9,6 %), Španělsku (–7,7 %) a Belgii (–7,5 %).</w:t>
            </w:r>
          </w:p>
        </w:tc>
      </w:tr>
      <w:tr w:rsidR="00295E96" w14:paraId="51A048FD" w14:textId="77777777" w:rsidTr="003F1624">
        <w:trPr>
          <w:trHeight w:val="145"/>
        </w:trPr>
        <w:tc>
          <w:tcPr>
            <w:tcW w:w="1805" w:type="dxa"/>
            <w:hideMark/>
          </w:tcPr>
          <w:p w14:paraId="486E5B6A" w14:textId="77777777" w:rsidR="00295E96" w:rsidRDefault="00295E96" w:rsidP="003F1624">
            <w:pPr>
              <w:pStyle w:val="Marginlie"/>
              <w:rPr>
                <w:spacing w:val="0"/>
                <w:lang w:eastAsia="en-US"/>
              </w:rPr>
            </w:pPr>
            <w:r>
              <w:rPr>
                <w:spacing w:val="0"/>
                <w:lang w:eastAsia="en-US"/>
              </w:rPr>
              <w:t>Růst cen tržních služeb ve 2. čtvrtletí zvolnil.</w:t>
            </w:r>
          </w:p>
        </w:tc>
        <w:tc>
          <w:tcPr>
            <w:tcW w:w="224" w:type="dxa"/>
          </w:tcPr>
          <w:p w14:paraId="4CB5D0AB" w14:textId="77777777" w:rsidR="00295E96" w:rsidRDefault="00295E96" w:rsidP="003F1624">
            <w:pPr>
              <w:pStyle w:val="Textpoznpodarou1"/>
              <w:jc w:val="both"/>
              <w:rPr>
                <w:lang w:eastAsia="en-US"/>
              </w:rPr>
            </w:pPr>
          </w:p>
        </w:tc>
        <w:tc>
          <w:tcPr>
            <w:tcW w:w="7610" w:type="dxa"/>
            <w:hideMark/>
          </w:tcPr>
          <w:p w14:paraId="7612FDD2" w14:textId="77777777" w:rsidR="00295E96" w:rsidRDefault="00295E96" w:rsidP="003F1624">
            <w:pPr>
              <w:rPr>
                <w:lang w:eastAsia="en-US"/>
              </w:rPr>
            </w:pPr>
            <w:r>
              <w:rPr>
                <w:lang w:eastAsia="en-US"/>
              </w:rPr>
              <w:t>Meziroční růst cen tržních služeb ve 2. čtvrtletí zpomalil na 2,1 %. Zvolnění meziroční dynamiky bylo patrné napříč všemi obory. Nejvíce k celkovému růstu cen tržních služeb přispívalo skladování a podpůrné služby v dopravě (meziroční přírůstek 5,0 %). Dále to byly služby v oblasti programování a poradenství a související služby (3,1 %) a služby v oblasti nemovitostí (2,9 %, jeden z mála oborů, kde cenový růst mírně zrychlil). K celkové dynamice přispívala také pozemní a potrubní doprava (1,4 %), u které je mírný růst vyvažován velkou vahou odvětví v ekonomice. Ceny pojištění, zajištění a penzijního financování vzrostly o 3,1 %. Výraznější vliv měly také služby v oblasti zaměstnání, kde trval silný meziroční růst (7,2 %), i když mírnější než v předchozím kvartálu. Zpomalování růstu cen služeb lze spojit jednak s mírnějším růstem mezd, které mají na cenotvorbu velký vliv, souvislost ale má i propad poptávky. Ten pravděpodobně stál za výraznou redukcí tempa růstu cen reklamních služeb a průzkumu trhu (0,7 %).</w:t>
            </w:r>
          </w:p>
        </w:tc>
      </w:tr>
      <w:tr w:rsidR="00295E96" w14:paraId="12CA7EE8" w14:textId="77777777" w:rsidTr="003F1624">
        <w:trPr>
          <w:trHeight w:val="145"/>
        </w:trPr>
        <w:tc>
          <w:tcPr>
            <w:tcW w:w="1805" w:type="dxa"/>
            <w:hideMark/>
          </w:tcPr>
          <w:p w14:paraId="0D1CFABD" w14:textId="77777777" w:rsidR="00295E96" w:rsidRDefault="00295E96" w:rsidP="003F1624">
            <w:pPr>
              <w:pStyle w:val="Marginlie"/>
              <w:rPr>
                <w:spacing w:val="0"/>
                <w:lang w:eastAsia="en-US"/>
              </w:rPr>
            </w:pPr>
            <w:r>
              <w:rPr>
                <w:spacing w:val="0"/>
                <w:lang w:eastAsia="en-US"/>
              </w:rPr>
              <w:t>Ceny zemědělské výroby se snížily. Klesaly ceny rostlinné i živočišné výroby.</w:t>
            </w:r>
          </w:p>
        </w:tc>
        <w:tc>
          <w:tcPr>
            <w:tcW w:w="224" w:type="dxa"/>
          </w:tcPr>
          <w:p w14:paraId="2BCBDC8F" w14:textId="77777777" w:rsidR="00295E96" w:rsidRDefault="00295E96" w:rsidP="003F1624">
            <w:pPr>
              <w:pStyle w:val="Textpoznpodarou1"/>
              <w:jc w:val="both"/>
              <w:rPr>
                <w:lang w:eastAsia="en-US"/>
              </w:rPr>
            </w:pPr>
          </w:p>
        </w:tc>
        <w:tc>
          <w:tcPr>
            <w:tcW w:w="7610" w:type="dxa"/>
            <w:hideMark/>
          </w:tcPr>
          <w:p w14:paraId="46D920C2" w14:textId="77777777" w:rsidR="00295E96" w:rsidRDefault="00295E96" w:rsidP="003F1624">
            <w:pPr>
              <w:rPr>
                <w:spacing w:val="-2"/>
                <w:lang w:eastAsia="en-US"/>
              </w:rPr>
            </w:pPr>
            <w:r>
              <w:rPr>
                <w:spacing w:val="-2"/>
                <w:lang w:eastAsia="en-US"/>
              </w:rPr>
              <w:t xml:space="preserve">Ceny zemědělské výroby (včetně ryb) ve 2. čtvrtletí meziročně klesly o 3,2 %. Snížily se ceny rostlinné i živočišné výroby. U rostlinné výroby došlo ke zmírnění propadu na </w:t>
            </w:r>
            <w:r>
              <w:rPr>
                <w:spacing w:val="-2"/>
                <w:lang w:eastAsia="en-US"/>
              </w:rPr>
              <w:br/>
              <w:t xml:space="preserve">–5,6 %. Pokles pokračoval u cen obilovin (–7,5 %), zejména váhově významné pšenice </w:t>
            </w:r>
            <w:r>
              <w:rPr>
                <w:spacing w:val="-2"/>
                <w:lang w:eastAsia="en-US"/>
              </w:rPr>
              <w:lastRenderedPageBreak/>
              <w:t>(–7,3 %). Snižovaly se ale i ceny u dalších obilovin (žito –11,4 %, ječmen –8,4 %). Důvod lze vidět zejména ve vysoké srovnávací základně loňského roku. Ceny průmyslových plodin klesaly o 2,6 %, hlavně pod vlivem olejnin (–2,7 %), kde se ale rozcházel vývoj cen semen řepky olejné (růst o 5,7 %) a máku (propad o 34,2 %). Propadaly se i ceny brambor (–19,3 %), ale vzhledem k prudkému nárůstu v minulém roce (74,7 % ve 2. čtvrtletí 2019) zůstávají jejich ceny stále na vysoké úrovni (30,4 % nad průměrem roku 2015). Meziročně prudce narostly i ceny ovoce (38,7 %), zejména jablek (79,7 %). Ceny živočišné výroby klesly o 0,6 %. Výrazně totiž zmírnil růst cen hospodářských zvířat, zejména prasat a selat (11,2 %). V případě ostatních hospodářských zvířat ceny klesaly (skot –5,9 %, drůbež –1,5 %). Klesaly ceny mléka (–3,8 %) a naopak rostly ceny vajec (4,9 %).</w:t>
            </w:r>
          </w:p>
        </w:tc>
      </w:tr>
      <w:tr w:rsidR="00295E96" w14:paraId="1E549C85" w14:textId="77777777" w:rsidTr="003F1624">
        <w:trPr>
          <w:trHeight w:val="145"/>
        </w:trPr>
        <w:tc>
          <w:tcPr>
            <w:tcW w:w="1805" w:type="dxa"/>
            <w:hideMark/>
          </w:tcPr>
          <w:p w14:paraId="7D73483E" w14:textId="77777777" w:rsidR="00295E96" w:rsidRDefault="00295E96" w:rsidP="003F1624">
            <w:pPr>
              <w:pStyle w:val="Marginlie"/>
              <w:rPr>
                <w:spacing w:val="0"/>
                <w:lang w:eastAsia="en-US"/>
              </w:rPr>
            </w:pPr>
            <w:r>
              <w:rPr>
                <w:spacing w:val="0"/>
                <w:lang w:eastAsia="en-US"/>
              </w:rPr>
              <w:lastRenderedPageBreak/>
              <w:t>Oslabení koruny vůči euru i dolaru tlačilo vzhůru ceny dovozu i vývozu.</w:t>
            </w:r>
          </w:p>
        </w:tc>
        <w:tc>
          <w:tcPr>
            <w:tcW w:w="224" w:type="dxa"/>
          </w:tcPr>
          <w:p w14:paraId="4AA77B0B" w14:textId="77777777" w:rsidR="00295E96" w:rsidRDefault="00295E96" w:rsidP="003F1624">
            <w:pPr>
              <w:pStyle w:val="Textpoznpodarou1"/>
              <w:jc w:val="both"/>
              <w:rPr>
                <w:lang w:eastAsia="en-US"/>
              </w:rPr>
            </w:pPr>
          </w:p>
        </w:tc>
        <w:tc>
          <w:tcPr>
            <w:tcW w:w="7610" w:type="dxa"/>
            <w:hideMark/>
          </w:tcPr>
          <w:p w14:paraId="16282D0A" w14:textId="77777777" w:rsidR="00295E96" w:rsidRDefault="00295E96" w:rsidP="003F1624">
            <w:pPr>
              <w:rPr>
                <w:lang w:eastAsia="en-US"/>
              </w:rPr>
            </w:pPr>
            <w:r>
              <w:rPr>
                <w:lang w:eastAsia="en-US"/>
              </w:rPr>
              <w:t>Ceny exportu ve 2. čtvrtletí meziročně vzrostly o 2,6 %. Po dvou čtvrtletích meziročních propadů tak byla dynamika opět kladná. Hlavní podíl na tom mělo prudké oslabení směnného kurzu koruny vůči euru i dolaru. Vliv oslabení byl klíčový, protože po očištění o kurzové vlivy by ceny vývozu meziročně klesly o 1,4 %. Růst cen vývozu ve 2. čtvrtletí podporovaly ceny potravin a živých zvířat (meziroční přírůstek 5,4 %), nápojů a tabáku (8,0 %), polotovarů</w:t>
            </w:r>
            <w:r>
              <w:rPr>
                <w:rStyle w:val="Znakapoznpodarou"/>
                <w:lang w:eastAsia="en-US"/>
              </w:rPr>
              <w:footnoteReference w:id="4"/>
            </w:r>
            <w:r>
              <w:rPr>
                <w:lang w:eastAsia="en-US"/>
              </w:rPr>
              <w:t xml:space="preserve"> (1,6 %), strojů a dopravních prostředků (4,9 %) a průmyslového spotřebního zboží (5,7 %). Naopak výrazně se prohloubil meziroční propad cen vývozu minerálních paliv (–26,5 %) a klesaly i ceny ostatních surovin</w:t>
            </w:r>
            <w:r>
              <w:rPr>
                <w:rStyle w:val="Znakapoznpodarou"/>
                <w:lang w:eastAsia="en-US"/>
              </w:rPr>
              <w:footnoteReference w:id="5"/>
            </w:r>
            <w:r>
              <w:rPr>
                <w:lang w:eastAsia="en-US"/>
              </w:rPr>
              <w:t xml:space="preserve"> (–8,5 %). Snížení cen se nevyhnulo ani chemikáliím a příbuzným výrobkům (–1,4 %).</w:t>
            </w:r>
          </w:p>
        </w:tc>
      </w:tr>
      <w:tr w:rsidR="00295E96" w14:paraId="44D23371" w14:textId="77777777" w:rsidTr="003F1624">
        <w:trPr>
          <w:trHeight w:val="145"/>
        </w:trPr>
        <w:tc>
          <w:tcPr>
            <w:tcW w:w="1805" w:type="dxa"/>
            <w:hideMark/>
          </w:tcPr>
          <w:p w14:paraId="2F056386" w14:textId="77777777" w:rsidR="00295E96" w:rsidRDefault="00295E96" w:rsidP="003F1624">
            <w:pPr>
              <w:pStyle w:val="Marginlie"/>
              <w:rPr>
                <w:spacing w:val="0"/>
                <w:lang w:eastAsia="en-US"/>
              </w:rPr>
            </w:pPr>
            <w:r>
              <w:rPr>
                <w:spacing w:val="0"/>
                <w:lang w:eastAsia="en-US"/>
              </w:rPr>
              <w:t>Zejména kvůli cenám ropy klesly ceny dovozu.</w:t>
            </w:r>
          </w:p>
        </w:tc>
        <w:tc>
          <w:tcPr>
            <w:tcW w:w="224" w:type="dxa"/>
          </w:tcPr>
          <w:p w14:paraId="7CC7D0E9" w14:textId="77777777" w:rsidR="00295E96" w:rsidRDefault="00295E96" w:rsidP="003F1624">
            <w:pPr>
              <w:pStyle w:val="Textpoznpodarou1"/>
              <w:jc w:val="both"/>
              <w:rPr>
                <w:lang w:eastAsia="en-US"/>
              </w:rPr>
            </w:pPr>
          </w:p>
        </w:tc>
        <w:tc>
          <w:tcPr>
            <w:tcW w:w="7610" w:type="dxa"/>
            <w:hideMark/>
          </w:tcPr>
          <w:p w14:paraId="18A6748E" w14:textId="77777777" w:rsidR="00295E96" w:rsidRDefault="00295E96" w:rsidP="003F1624">
            <w:pPr>
              <w:rPr>
                <w:lang w:eastAsia="en-US"/>
              </w:rPr>
            </w:pPr>
            <w:r>
              <w:rPr>
                <w:lang w:eastAsia="en-US"/>
              </w:rPr>
              <w:t xml:space="preserve">Ceny dovozu ve 2. čtvrtletí meziročně klesly o 0,5 %. I zde ale velké oslabení koruny tlumilo propad cen (po očištění o kurzové vlivy pokles činil 4,4 %). Klesaly zejména ceny minerálních paliv (–40,1 %), dále chemikálií a příbuzných výrobků (–2,1 %) a ostatních surovin (–1,4 %). Mírně poklesly ceny dovozu nápojů a tabáku (–0,8 %). Naopak výrazné navýšení ve 2. čtvrtletí proběhlo u cen potravin a živých zvířat (6,9 %), strojů a dopravních prostředků (4,9 %) a průmyslového spotřebního zboží (3,7 %). Velký rozdíl mezi tempy růstu cen vývozu a dovozu také vedl ke </w:t>
            </w:r>
            <w:r w:rsidRPr="0085334C">
              <w:rPr>
                <w:lang w:eastAsia="en-US"/>
              </w:rPr>
              <w:t>zvýšení směnných relací ve 2. čtvrtletí na 103,1 %.</w:t>
            </w:r>
            <w:r>
              <w:rPr>
                <w:lang w:eastAsia="en-US"/>
              </w:rPr>
              <w:t xml:space="preserve"> Kladné byly směnné relace obchodu s minerálními palivy (122,7 %), nápoji a tabákem (108,9 %), průmyslovým spotřebním zbožím (101,9 %), polotovary (101,4 %) a chemikáliemi a příbuznými výrobky (100,7 %). Záporných směnných relací dosahoval obchod s ostatními surovinami (92,8 %) a potravinami a živými zvířaty (98,6 %).</w:t>
            </w:r>
          </w:p>
        </w:tc>
      </w:tr>
      <w:bookmarkEnd w:id="7"/>
    </w:tbl>
    <w:p w14:paraId="4F0C574F" w14:textId="77777777" w:rsidR="00295E96" w:rsidRDefault="00295E96" w:rsidP="00295E96">
      <w:pPr>
        <w:spacing w:after="0" w:line="240" w:lineRule="auto"/>
        <w:jc w:val="left"/>
        <w:rPr>
          <w:b/>
          <w:sz w:val="2"/>
          <w:szCs w:val="2"/>
          <w:highlight w:val="yellow"/>
        </w:rPr>
      </w:pPr>
    </w:p>
    <w:p w14:paraId="5BCF3DC5" w14:textId="6BE085D8" w:rsidR="00E42054" w:rsidRPr="00E42054" w:rsidRDefault="00E42054" w:rsidP="00E42054">
      <w:pPr>
        <w:pStyle w:val="Nadpis11"/>
        <w:spacing w:after="0"/>
        <w:rPr>
          <w:b w:val="0"/>
          <w:sz w:val="2"/>
          <w:szCs w:val="2"/>
        </w:rPr>
      </w:pPr>
      <w:bookmarkStart w:id="9" w:name="_GoBack"/>
      <w:bookmarkEnd w:id="8"/>
      <w:bookmarkEnd w:id="9"/>
    </w:p>
    <w:sectPr w:rsidR="00E42054" w:rsidRPr="00E42054" w:rsidSect="00BA0A75">
      <w:headerReference w:type="even" r:id="rId12"/>
      <w:headerReference w:type="default" r:id="rId13"/>
      <w:footerReference w:type="even" r:id="rId14"/>
      <w:footerReference w:type="default" r:id="rId15"/>
      <w:pgSz w:w="11906" w:h="16838" w:code="9"/>
      <w:pgMar w:top="1134" w:right="1134" w:bottom="1418" w:left="1134" w:header="680" w:footer="737"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4E349" w14:textId="77777777" w:rsidR="00FD32FA" w:rsidRDefault="00FD32FA" w:rsidP="00E71A58">
      <w:r>
        <w:separator/>
      </w:r>
    </w:p>
  </w:endnote>
  <w:endnote w:type="continuationSeparator" w:id="0">
    <w:p w14:paraId="6C2B11E3" w14:textId="77777777" w:rsidR="00FD32FA" w:rsidRDefault="00FD32FA"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51A0D" w14:textId="3FDBE7CA" w:rsidR="00E1168B" w:rsidRPr="00932443" w:rsidRDefault="00E1168B" w:rsidP="00A418BC">
    <w:pPr>
      <w:pStyle w:val="Zpat"/>
      <w:rPr>
        <w:szCs w:val="16"/>
      </w:rPr>
    </w:pPr>
    <w:r>
      <w:rPr>
        <w:szCs w:val="16"/>
        <w:lang w:eastAsia="cs-CZ"/>
      </w:rPr>
      <w:drawing>
        <wp:anchor distT="0" distB="0" distL="114300" distR="114300" simplePos="0" relativeHeight="251667968" behindDoc="0" locked="0" layoutInCell="1" allowOverlap="1" wp14:anchorId="71F0B6E3" wp14:editId="3AA519D4">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BA0A75">
      <w:rPr>
        <w:szCs w:val="16"/>
      </w:rPr>
      <w:t>22</w:t>
    </w:r>
    <w:r w:rsidRPr="00932443">
      <w:rPr>
        <w:szCs w:val="16"/>
      </w:rPr>
      <w:fldChar w:fldCharType="end"/>
    </w:r>
    <w:r w:rsidRPr="00932443">
      <w:rPr>
        <w:szCs w:val="16"/>
      </w:rPr>
      <w:tab/>
    </w:r>
    <w:r>
      <w:rPr>
        <w:szCs w:val="16"/>
      </w:rPr>
      <w:t>1. pololetí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17E4B" w14:textId="1F9BD8C4" w:rsidR="00E1168B" w:rsidRPr="00932443" w:rsidRDefault="00E1168B" w:rsidP="00FA6CB6">
    <w:pPr>
      <w:pStyle w:val="Zpat"/>
      <w:rPr>
        <w:szCs w:val="16"/>
      </w:rPr>
    </w:pPr>
    <w:r w:rsidRPr="00FA6CB6">
      <w:rPr>
        <w:szCs w:val="16"/>
      </w:rPr>
      <w:tab/>
    </w:r>
    <w:r>
      <w:rPr>
        <w:szCs w:val="16"/>
      </w:rPr>
      <w:t xml:space="preserve">1. pololetí </w:t>
    </w:r>
    <w:r>
      <w:rPr>
        <w:szCs w:val="16"/>
        <w:lang w:eastAsia="cs-CZ"/>
      </w:rPr>
      <w:drawing>
        <wp:anchor distT="0" distB="0" distL="114300" distR="114300" simplePos="0" relativeHeight="251658752" behindDoc="0" locked="0" layoutInCell="1" allowOverlap="1" wp14:anchorId="6ADC9B20" wp14:editId="2C3814E9">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2</w:t>
    </w:r>
    <w:r>
      <w:t>020</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BA0A75">
      <w:rPr>
        <w:rStyle w:val="ZpatChar"/>
        <w:szCs w:val="16"/>
      </w:rPr>
      <w:t>21</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5847C" w14:textId="77777777" w:rsidR="00FD32FA" w:rsidRDefault="00FD32FA" w:rsidP="00A21B4D">
      <w:pPr>
        <w:spacing w:after="0"/>
      </w:pPr>
      <w:r>
        <w:separator/>
      </w:r>
    </w:p>
  </w:footnote>
  <w:footnote w:type="continuationSeparator" w:id="0">
    <w:p w14:paraId="503DDAED" w14:textId="77777777" w:rsidR="00FD32FA" w:rsidRDefault="00FD32FA" w:rsidP="00E71A58">
      <w:r>
        <w:continuationSeparator/>
      </w:r>
    </w:p>
  </w:footnote>
  <w:footnote w:id="1">
    <w:p w14:paraId="1FACD65F" w14:textId="77777777" w:rsidR="00295E96" w:rsidRDefault="00295E96" w:rsidP="00295E96">
      <w:pPr>
        <w:pStyle w:val="Textpoznpodarou"/>
        <w:rPr>
          <w:sz w:val="16"/>
          <w:szCs w:val="16"/>
        </w:rPr>
      </w:pPr>
      <w:r>
        <w:rPr>
          <w:rStyle w:val="Znakapoznpodarou"/>
        </w:rPr>
        <w:footnoteRef/>
      </w:r>
      <w:r>
        <w:rPr>
          <w:sz w:val="16"/>
          <w:szCs w:val="16"/>
        </w:rPr>
        <w:t xml:space="preserve"> Měřeno deflátorem HDP.</w:t>
      </w:r>
    </w:p>
  </w:footnote>
  <w:footnote w:id="2">
    <w:p w14:paraId="44A8AAB1" w14:textId="77777777" w:rsidR="00295E96" w:rsidRDefault="00295E96" w:rsidP="00295E96">
      <w:pPr>
        <w:pStyle w:val="Textpoznpodarou"/>
        <w:rPr>
          <w:sz w:val="16"/>
          <w:szCs w:val="16"/>
        </w:rPr>
      </w:pPr>
      <w:r>
        <w:rPr>
          <w:rStyle w:val="Znakapoznpodarou"/>
        </w:rPr>
        <w:footnoteRef/>
      </w:r>
      <w:r>
        <w:rPr>
          <w:sz w:val="16"/>
          <w:szCs w:val="16"/>
        </w:rPr>
        <w:t xml:space="preserve"> Podle harmonizovaného indexu spotřebitelských cen. Ten se může metodicky i číselně lišit od publikovaných národních výsledků.</w:t>
      </w:r>
    </w:p>
  </w:footnote>
  <w:footnote w:id="3">
    <w:p w14:paraId="15A91A46" w14:textId="77777777" w:rsidR="00295E96" w:rsidRDefault="00295E96" w:rsidP="00295E96">
      <w:pPr>
        <w:pStyle w:val="Textpoznpodarou"/>
        <w:rPr>
          <w:sz w:val="16"/>
          <w:szCs w:val="16"/>
        </w:rPr>
      </w:pPr>
      <w:r>
        <w:rPr>
          <w:rStyle w:val="Znakapoznpodarou"/>
        </w:rPr>
        <w:footnoteRef/>
      </w:r>
      <w:r>
        <w:rPr>
          <w:sz w:val="16"/>
          <w:szCs w:val="16"/>
        </w:rPr>
        <w:t xml:space="preserve"> Individuální data.</w:t>
      </w:r>
    </w:p>
  </w:footnote>
  <w:footnote w:id="4">
    <w:p w14:paraId="1361BE55" w14:textId="77777777" w:rsidR="00295E96" w:rsidRDefault="00295E96" w:rsidP="00295E96">
      <w:pPr>
        <w:pStyle w:val="Textpoznpodarou"/>
        <w:rPr>
          <w:sz w:val="16"/>
          <w:szCs w:val="16"/>
        </w:rPr>
      </w:pPr>
      <w:r>
        <w:rPr>
          <w:rStyle w:val="Znakapoznpodarou"/>
        </w:rPr>
        <w:footnoteRef/>
      </w:r>
      <w:r>
        <w:rPr>
          <w:sz w:val="16"/>
          <w:szCs w:val="16"/>
        </w:rPr>
        <w:t xml:space="preserve"> SITC 6 – tržní výrobky tříděné hlavně podle materiálu.</w:t>
      </w:r>
    </w:p>
  </w:footnote>
  <w:footnote w:id="5">
    <w:p w14:paraId="27CF809F" w14:textId="77777777" w:rsidR="00295E96" w:rsidRDefault="00295E96" w:rsidP="00295E96">
      <w:pPr>
        <w:pStyle w:val="Textpoznpodarou"/>
        <w:rPr>
          <w:sz w:val="16"/>
          <w:szCs w:val="16"/>
        </w:rPr>
      </w:pPr>
      <w:r>
        <w:rPr>
          <w:rStyle w:val="Znakapoznpodarou"/>
        </w:rPr>
        <w:footnoteRef/>
      </w:r>
      <w:r>
        <w:rPr>
          <w:sz w:val="16"/>
          <w:szCs w:val="16"/>
        </w:rPr>
        <w:t xml:space="preserve"> SITC 2 – suroviny nepoživatelné s výjimkou paliv.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985C8" w14:textId="77777777" w:rsidR="00E1168B" w:rsidRDefault="00E1168B" w:rsidP="00937AE2">
    <w:pPr>
      <w:pStyle w:val="Zhlav"/>
    </w:pPr>
    <w:r>
      <w:t>Vývoj ekonomiky České republiky</w:t>
    </w:r>
  </w:p>
  <w:p w14:paraId="675E4C41" w14:textId="77777777" w:rsidR="00E1168B" w:rsidRPr="006F5416" w:rsidRDefault="00E1168B"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812FB" w14:textId="77777777" w:rsidR="00E1168B" w:rsidRDefault="00E1168B" w:rsidP="00937AE2">
    <w:pPr>
      <w:pStyle w:val="Zhlav"/>
    </w:pPr>
    <w:r>
      <w:t>Vývoj ekonomiky České republiky</w:t>
    </w:r>
  </w:p>
  <w:p w14:paraId="0CDCFD48" w14:textId="77777777" w:rsidR="00E1168B" w:rsidRPr="006F5416" w:rsidRDefault="00E1168B"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3"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1"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24"/>
  </w:num>
  <w:num w:numId="14">
    <w:abstractNumId w:val="12"/>
  </w:num>
  <w:num w:numId="15">
    <w:abstractNumId w:val="18"/>
  </w:num>
  <w:num w:numId="16">
    <w:abstractNumId w:val="14"/>
  </w:num>
  <w:num w:numId="17">
    <w:abstractNumId w:val="25"/>
  </w:num>
  <w:num w:numId="18">
    <w:abstractNumId w:val="19"/>
  </w:num>
  <w:num w:numId="19">
    <w:abstractNumId w:val="26"/>
  </w:num>
  <w:num w:numId="20">
    <w:abstractNumId w:val="27"/>
  </w:num>
  <w:num w:numId="21">
    <w:abstractNumId w:val="23"/>
  </w:num>
  <w:num w:numId="22">
    <w:abstractNumId w:val="17"/>
  </w:num>
  <w:num w:numId="23">
    <w:abstractNumId w:val="15"/>
  </w:num>
  <w:num w:numId="24">
    <w:abstractNumId w:val="16"/>
  </w:num>
  <w:num w:numId="25">
    <w:abstractNumId w:val="11"/>
  </w:num>
  <w:num w:numId="26">
    <w:abstractNumId w:val="21"/>
  </w:num>
  <w:num w:numId="27">
    <w:abstractNumId w:val="20"/>
  </w:num>
  <w:num w:numId="28">
    <w:abstractNumId w:val="1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B55"/>
    <w:rsid w:val="0000209D"/>
    <w:rsid w:val="00002566"/>
    <w:rsid w:val="00003849"/>
    <w:rsid w:val="00003F5C"/>
    <w:rsid w:val="00004D5A"/>
    <w:rsid w:val="000056D5"/>
    <w:rsid w:val="00005D9E"/>
    <w:rsid w:val="000063D5"/>
    <w:rsid w:val="00006625"/>
    <w:rsid w:val="00006ABD"/>
    <w:rsid w:val="00006B67"/>
    <w:rsid w:val="00006C0B"/>
    <w:rsid w:val="000073A0"/>
    <w:rsid w:val="0000767A"/>
    <w:rsid w:val="00007ABE"/>
    <w:rsid w:val="00010256"/>
    <w:rsid w:val="00010702"/>
    <w:rsid w:val="0001128E"/>
    <w:rsid w:val="00011912"/>
    <w:rsid w:val="0001387D"/>
    <w:rsid w:val="00014ED0"/>
    <w:rsid w:val="00016420"/>
    <w:rsid w:val="00017B01"/>
    <w:rsid w:val="000205D1"/>
    <w:rsid w:val="00020F22"/>
    <w:rsid w:val="0002195D"/>
    <w:rsid w:val="000228AE"/>
    <w:rsid w:val="000233D1"/>
    <w:rsid w:val="000234D6"/>
    <w:rsid w:val="00023D29"/>
    <w:rsid w:val="00024348"/>
    <w:rsid w:val="00026389"/>
    <w:rsid w:val="0002669F"/>
    <w:rsid w:val="000279E5"/>
    <w:rsid w:val="00031AE0"/>
    <w:rsid w:val="00031BB2"/>
    <w:rsid w:val="000322EF"/>
    <w:rsid w:val="00033FCD"/>
    <w:rsid w:val="00034DF7"/>
    <w:rsid w:val="00034E68"/>
    <w:rsid w:val="000350C8"/>
    <w:rsid w:val="00036195"/>
    <w:rsid w:val="000374B2"/>
    <w:rsid w:val="000376C0"/>
    <w:rsid w:val="000403A7"/>
    <w:rsid w:val="00040632"/>
    <w:rsid w:val="00041AFC"/>
    <w:rsid w:val="00041CEC"/>
    <w:rsid w:val="00042596"/>
    <w:rsid w:val="00044183"/>
    <w:rsid w:val="0004431D"/>
    <w:rsid w:val="0004694F"/>
    <w:rsid w:val="00046F2F"/>
    <w:rsid w:val="00047AD4"/>
    <w:rsid w:val="00047D54"/>
    <w:rsid w:val="0005054A"/>
    <w:rsid w:val="00051506"/>
    <w:rsid w:val="000522E4"/>
    <w:rsid w:val="00053713"/>
    <w:rsid w:val="0005434E"/>
    <w:rsid w:val="00055CB6"/>
    <w:rsid w:val="000572DD"/>
    <w:rsid w:val="00057B1E"/>
    <w:rsid w:val="000610E1"/>
    <w:rsid w:val="000616AD"/>
    <w:rsid w:val="000622A6"/>
    <w:rsid w:val="00062EC5"/>
    <w:rsid w:val="00062F22"/>
    <w:rsid w:val="00063975"/>
    <w:rsid w:val="00063CEA"/>
    <w:rsid w:val="0006444D"/>
    <w:rsid w:val="000645FC"/>
    <w:rsid w:val="0006533F"/>
    <w:rsid w:val="00065348"/>
    <w:rsid w:val="00065A75"/>
    <w:rsid w:val="00066558"/>
    <w:rsid w:val="00070A87"/>
    <w:rsid w:val="000712B3"/>
    <w:rsid w:val="00071A7C"/>
    <w:rsid w:val="00072FF5"/>
    <w:rsid w:val="0007474E"/>
    <w:rsid w:val="00074988"/>
    <w:rsid w:val="0007512B"/>
    <w:rsid w:val="00075551"/>
    <w:rsid w:val="000767F5"/>
    <w:rsid w:val="00076D90"/>
    <w:rsid w:val="00077FF0"/>
    <w:rsid w:val="00081A55"/>
    <w:rsid w:val="0008263E"/>
    <w:rsid w:val="00082C19"/>
    <w:rsid w:val="00082F89"/>
    <w:rsid w:val="000837CD"/>
    <w:rsid w:val="00084BFF"/>
    <w:rsid w:val="00085395"/>
    <w:rsid w:val="00086896"/>
    <w:rsid w:val="00086AC1"/>
    <w:rsid w:val="00086D19"/>
    <w:rsid w:val="00087634"/>
    <w:rsid w:val="00087F2B"/>
    <w:rsid w:val="00090694"/>
    <w:rsid w:val="00090EE2"/>
    <w:rsid w:val="00090FC6"/>
    <w:rsid w:val="000913B1"/>
    <w:rsid w:val="00093241"/>
    <w:rsid w:val="00093868"/>
    <w:rsid w:val="00094A84"/>
    <w:rsid w:val="00095025"/>
    <w:rsid w:val="00095135"/>
    <w:rsid w:val="0009626E"/>
    <w:rsid w:val="00097191"/>
    <w:rsid w:val="000974D1"/>
    <w:rsid w:val="00097784"/>
    <w:rsid w:val="0009799E"/>
    <w:rsid w:val="000A07CB"/>
    <w:rsid w:val="000A0BC0"/>
    <w:rsid w:val="000A1183"/>
    <w:rsid w:val="000A12ED"/>
    <w:rsid w:val="000A212B"/>
    <w:rsid w:val="000A242D"/>
    <w:rsid w:val="000A256D"/>
    <w:rsid w:val="000A3A2C"/>
    <w:rsid w:val="000A3D9E"/>
    <w:rsid w:val="000A4A54"/>
    <w:rsid w:val="000A4ED9"/>
    <w:rsid w:val="000A5DB7"/>
    <w:rsid w:val="000A6D94"/>
    <w:rsid w:val="000A7377"/>
    <w:rsid w:val="000A7FF4"/>
    <w:rsid w:val="000B03CC"/>
    <w:rsid w:val="000B4212"/>
    <w:rsid w:val="000C0EA8"/>
    <w:rsid w:val="000C13A2"/>
    <w:rsid w:val="000C21E7"/>
    <w:rsid w:val="000C23EC"/>
    <w:rsid w:val="000C30C3"/>
    <w:rsid w:val="000C3408"/>
    <w:rsid w:val="000C35AB"/>
    <w:rsid w:val="000C3F7B"/>
    <w:rsid w:val="000C4769"/>
    <w:rsid w:val="000C4D56"/>
    <w:rsid w:val="000C5DFA"/>
    <w:rsid w:val="000C6AFD"/>
    <w:rsid w:val="000C6C90"/>
    <w:rsid w:val="000D0A26"/>
    <w:rsid w:val="000D3058"/>
    <w:rsid w:val="000D310A"/>
    <w:rsid w:val="000D3EF4"/>
    <w:rsid w:val="000D4DC0"/>
    <w:rsid w:val="000D5637"/>
    <w:rsid w:val="000D6F4E"/>
    <w:rsid w:val="000D73BB"/>
    <w:rsid w:val="000E0E96"/>
    <w:rsid w:val="000E298B"/>
    <w:rsid w:val="000E2C7D"/>
    <w:rsid w:val="000E440D"/>
    <w:rsid w:val="000E4AC5"/>
    <w:rsid w:val="000E6253"/>
    <w:rsid w:val="000E6E4D"/>
    <w:rsid w:val="000E6FBD"/>
    <w:rsid w:val="000E6FCB"/>
    <w:rsid w:val="000F090B"/>
    <w:rsid w:val="000F3F3B"/>
    <w:rsid w:val="000F47E8"/>
    <w:rsid w:val="000F70E4"/>
    <w:rsid w:val="000F76EA"/>
    <w:rsid w:val="00100F5C"/>
    <w:rsid w:val="00101CDA"/>
    <w:rsid w:val="00102037"/>
    <w:rsid w:val="00103DCB"/>
    <w:rsid w:val="00104C4C"/>
    <w:rsid w:val="00105015"/>
    <w:rsid w:val="001055D2"/>
    <w:rsid w:val="001057C2"/>
    <w:rsid w:val="0011038E"/>
    <w:rsid w:val="001125EF"/>
    <w:rsid w:val="00112CAB"/>
    <w:rsid w:val="00116D3F"/>
    <w:rsid w:val="00117474"/>
    <w:rsid w:val="00117623"/>
    <w:rsid w:val="00117FEA"/>
    <w:rsid w:val="001200CF"/>
    <w:rsid w:val="001208E3"/>
    <w:rsid w:val="0012192F"/>
    <w:rsid w:val="00122994"/>
    <w:rsid w:val="00124B46"/>
    <w:rsid w:val="001257E0"/>
    <w:rsid w:val="00125D69"/>
    <w:rsid w:val="0012799C"/>
    <w:rsid w:val="00127BC2"/>
    <w:rsid w:val="00127E15"/>
    <w:rsid w:val="00130ADC"/>
    <w:rsid w:val="00130D9F"/>
    <w:rsid w:val="00132C4D"/>
    <w:rsid w:val="00133FC1"/>
    <w:rsid w:val="00134659"/>
    <w:rsid w:val="001405FA"/>
    <w:rsid w:val="00140D1A"/>
    <w:rsid w:val="00141184"/>
    <w:rsid w:val="00141315"/>
    <w:rsid w:val="00141AA0"/>
    <w:rsid w:val="001425C3"/>
    <w:rsid w:val="0014262D"/>
    <w:rsid w:val="00144588"/>
    <w:rsid w:val="001447DD"/>
    <w:rsid w:val="001459BC"/>
    <w:rsid w:val="00152F4F"/>
    <w:rsid w:val="001544A1"/>
    <w:rsid w:val="001553B8"/>
    <w:rsid w:val="001554C2"/>
    <w:rsid w:val="001571C0"/>
    <w:rsid w:val="0015753D"/>
    <w:rsid w:val="00157CC9"/>
    <w:rsid w:val="00160C21"/>
    <w:rsid w:val="001612F4"/>
    <w:rsid w:val="00161553"/>
    <w:rsid w:val="0016256B"/>
    <w:rsid w:val="00162F81"/>
    <w:rsid w:val="00163793"/>
    <w:rsid w:val="00165313"/>
    <w:rsid w:val="00167485"/>
    <w:rsid w:val="001679F5"/>
    <w:rsid w:val="00167B92"/>
    <w:rsid w:val="00167CB9"/>
    <w:rsid w:val="00167DD8"/>
    <w:rsid w:val="001705AD"/>
    <w:rsid w:val="001706D6"/>
    <w:rsid w:val="001714F2"/>
    <w:rsid w:val="00171FEA"/>
    <w:rsid w:val="00175B9F"/>
    <w:rsid w:val="001762F4"/>
    <w:rsid w:val="00181BBC"/>
    <w:rsid w:val="0018385F"/>
    <w:rsid w:val="00184017"/>
    <w:rsid w:val="001847BB"/>
    <w:rsid w:val="00184B08"/>
    <w:rsid w:val="00185010"/>
    <w:rsid w:val="00185C22"/>
    <w:rsid w:val="00186BA9"/>
    <w:rsid w:val="0019196C"/>
    <w:rsid w:val="00192F05"/>
    <w:rsid w:val="00194729"/>
    <w:rsid w:val="00194850"/>
    <w:rsid w:val="00195234"/>
    <w:rsid w:val="00196016"/>
    <w:rsid w:val="00196117"/>
    <w:rsid w:val="00197A70"/>
    <w:rsid w:val="00197C0F"/>
    <w:rsid w:val="001A0487"/>
    <w:rsid w:val="001A1F68"/>
    <w:rsid w:val="001A21FA"/>
    <w:rsid w:val="001A4EF0"/>
    <w:rsid w:val="001A552F"/>
    <w:rsid w:val="001A70B1"/>
    <w:rsid w:val="001B0738"/>
    <w:rsid w:val="001B2CA9"/>
    <w:rsid w:val="001B3110"/>
    <w:rsid w:val="001B3E38"/>
    <w:rsid w:val="001B40F5"/>
    <w:rsid w:val="001B4729"/>
    <w:rsid w:val="001B4F0E"/>
    <w:rsid w:val="001B6310"/>
    <w:rsid w:val="001B6C09"/>
    <w:rsid w:val="001B6E12"/>
    <w:rsid w:val="001C05CD"/>
    <w:rsid w:val="001C0F17"/>
    <w:rsid w:val="001C1B24"/>
    <w:rsid w:val="001C1B66"/>
    <w:rsid w:val="001C31A2"/>
    <w:rsid w:val="001C351D"/>
    <w:rsid w:val="001C4BB8"/>
    <w:rsid w:val="001C4FD0"/>
    <w:rsid w:val="001C5E46"/>
    <w:rsid w:val="001C6B3B"/>
    <w:rsid w:val="001C7E3F"/>
    <w:rsid w:val="001D0EF1"/>
    <w:rsid w:val="001D22C2"/>
    <w:rsid w:val="001D2C99"/>
    <w:rsid w:val="001D452E"/>
    <w:rsid w:val="001D54C1"/>
    <w:rsid w:val="001D556E"/>
    <w:rsid w:val="001D5DF2"/>
    <w:rsid w:val="001D68B2"/>
    <w:rsid w:val="001D7EFD"/>
    <w:rsid w:val="001D7F60"/>
    <w:rsid w:val="001E3306"/>
    <w:rsid w:val="001E504C"/>
    <w:rsid w:val="001E5A17"/>
    <w:rsid w:val="001E74C5"/>
    <w:rsid w:val="001F1236"/>
    <w:rsid w:val="001F2F90"/>
    <w:rsid w:val="001F4597"/>
    <w:rsid w:val="001F4826"/>
    <w:rsid w:val="001F6CD3"/>
    <w:rsid w:val="001F7CE0"/>
    <w:rsid w:val="00200085"/>
    <w:rsid w:val="00203332"/>
    <w:rsid w:val="00203CD5"/>
    <w:rsid w:val="00203D8F"/>
    <w:rsid w:val="00203DA4"/>
    <w:rsid w:val="00204EA6"/>
    <w:rsid w:val="00205186"/>
    <w:rsid w:val="00206516"/>
    <w:rsid w:val="002071D5"/>
    <w:rsid w:val="002111E5"/>
    <w:rsid w:val="002118B9"/>
    <w:rsid w:val="002142C0"/>
    <w:rsid w:val="00217C5B"/>
    <w:rsid w:val="00220A43"/>
    <w:rsid w:val="0022139E"/>
    <w:rsid w:val="00222729"/>
    <w:rsid w:val="00223185"/>
    <w:rsid w:val="002233D6"/>
    <w:rsid w:val="0022441D"/>
    <w:rsid w:val="00224574"/>
    <w:rsid w:val="00224E3F"/>
    <w:rsid w:val="002252E0"/>
    <w:rsid w:val="002255F6"/>
    <w:rsid w:val="00226032"/>
    <w:rsid w:val="0022738D"/>
    <w:rsid w:val="00227605"/>
    <w:rsid w:val="00227850"/>
    <w:rsid w:val="00227A53"/>
    <w:rsid w:val="00227E2E"/>
    <w:rsid w:val="00227F53"/>
    <w:rsid w:val="00230C6E"/>
    <w:rsid w:val="00230E21"/>
    <w:rsid w:val="00231066"/>
    <w:rsid w:val="002316A8"/>
    <w:rsid w:val="002320C9"/>
    <w:rsid w:val="0023288F"/>
    <w:rsid w:val="0023359B"/>
    <w:rsid w:val="00233603"/>
    <w:rsid w:val="002340EF"/>
    <w:rsid w:val="00234B82"/>
    <w:rsid w:val="00236443"/>
    <w:rsid w:val="00236700"/>
    <w:rsid w:val="00240391"/>
    <w:rsid w:val="00240AF3"/>
    <w:rsid w:val="002418D5"/>
    <w:rsid w:val="00241B06"/>
    <w:rsid w:val="002436BA"/>
    <w:rsid w:val="00244652"/>
    <w:rsid w:val="00244A15"/>
    <w:rsid w:val="002452D9"/>
    <w:rsid w:val="00247319"/>
    <w:rsid w:val="0024799E"/>
    <w:rsid w:val="00247E60"/>
    <w:rsid w:val="00251B08"/>
    <w:rsid w:val="00251C53"/>
    <w:rsid w:val="00252AB9"/>
    <w:rsid w:val="00253C0F"/>
    <w:rsid w:val="002558C1"/>
    <w:rsid w:val="00256207"/>
    <w:rsid w:val="002575F3"/>
    <w:rsid w:val="002603E1"/>
    <w:rsid w:val="0026120E"/>
    <w:rsid w:val="00262582"/>
    <w:rsid w:val="0026291D"/>
    <w:rsid w:val="00262CF3"/>
    <w:rsid w:val="00264309"/>
    <w:rsid w:val="0026564B"/>
    <w:rsid w:val="00265C83"/>
    <w:rsid w:val="00265E85"/>
    <w:rsid w:val="00267B49"/>
    <w:rsid w:val="002700D9"/>
    <w:rsid w:val="0027025F"/>
    <w:rsid w:val="002709CC"/>
    <w:rsid w:val="00270D25"/>
    <w:rsid w:val="00271022"/>
    <w:rsid w:val="00271465"/>
    <w:rsid w:val="00271E47"/>
    <w:rsid w:val="002721F5"/>
    <w:rsid w:val="00272DF4"/>
    <w:rsid w:val="0027583D"/>
    <w:rsid w:val="00275DEF"/>
    <w:rsid w:val="002763A2"/>
    <w:rsid w:val="00276B33"/>
    <w:rsid w:val="002812E3"/>
    <w:rsid w:val="0028341F"/>
    <w:rsid w:val="002837AE"/>
    <w:rsid w:val="00283C13"/>
    <w:rsid w:val="00283F7B"/>
    <w:rsid w:val="0028431A"/>
    <w:rsid w:val="002853FA"/>
    <w:rsid w:val="00285412"/>
    <w:rsid w:val="00286220"/>
    <w:rsid w:val="00291640"/>
    <w:rsid w:val="0029237E"/>
    <w:rsid w:val="00292997"/>
    <w:rsid w:val="00293D24"/>
    <w:rsid w:val="0029509B"/>
    <w:rsid w:val="0029588F"/>
    <w:rsid w:val="00295E96"/>
    <w:rsid w:val="00297256"/>
    <w:rsid w:val="00297A5C"/>
    <w:rsid w:val="00297D51"/>
    <w:rsid w:val="002A0122"/>
    <w:rsid w:val="002A016B"/>
    <w:rsid w:val="002A16D4"/>
    <w:rsid w:val="002A1E4F"/>
    <w:rsid w:val="002A230C"/>
    <w:rsid w:val="002A2AF7"/>
    <w:rsid w:val="002A3209"/>
    <w:rsid w:val="002A3EA2"/>
    <w:rsid w:val="002A51AC"/>
    <w:rsid w:val="002A532A"/>
    <w:rsid w:val="002A5846"/>
    <w:rsid w:val="002A5D97"/>
    <w:rsid w:val="002A603E"/>
    <w:rsid w:val="002A63B9"/>
    <w:rsid w:val="002A7089"/>
    <w:rsid w:val="002B1619"/>
    <w:rsid w:val="002B3EF4"/>
    <w:rsid w:val="002B4845"/>
    <w:rsid w:val="002B5567"/>
    <w:rsid w:val="002B5812"/>
    <w:rsid w:val="002B72AA"/>
    <w:rsid w:val="002C1110"/>
    <w:rsid w:val="002C1BC2"/>
    <w:rsid w:val="002C1F09"/>
    <w:rsid w:val="002C22A4"/>
    <w:rsid w:val="002C260B"/>
    <w:rsid w:val="002C27A6"/>
    <w:rsid w:val="002C398D"/>
    <w:rsid w:val="002C40D2"/>
    <w:rsid w:val="002C43BD"/>
    <w:rsid w:val="002C5245"/>
    <w:rsid w:val="002C59D8"/>
    <w:rsid w:val="002D05CB"/>
    <w:rsid w:val="002D0E59"/>
    <w:rsid w:val="002D2C4F"/>
    <w:rsid w:val="002D3EBB"/>
    <w:rsid w:val="002D455C"/>
    <w:rsid w:val="002D6066"/>
    <w:rsid w:val="002E02A1"/>
    <w:rsid w:val="002E196A"/>
    <w:rsid w:val="002E20C7"/>
    <w:rsid w:val="002E20CD"/>
    <w:rsid w:val="002E222E"/>
    <w:rsid w:val="002E28D8"/>
    <w:rsid w:val="002E37D1"/>
    <w:rsid w:val="002E3BEE"/>
    <w:rsid w:val="002E4E4C"/>
    <w:rsid w:val="002E4EA7"/>
    <w:rsid w:val="002E5846"/>
    <w:rsid w:val="002E792B"/>
    <w:rsid w:val="002F1B09"/>
    <w:rsid w:val="002F1D56"/>
    <w:rsid w:val="002F1DCB"/>
    <w:rsid w:val="002F1DE4"/>
    <w:rsid w:val="002F333D"/>
    <w:rsid w:val="002F351A"/>
    <w:rsid w:val="002F46D6"/>
    <w:rsid w:val="002F498A"/>
    <w:rsid w:val="002F4AD8"/>
    <w:rsid w:val="002F5285"/>
    <w:rsid w:val="002F5820"/>
    <w:rsid w:val="002F64BB"/>
    <w:rsid w:val="00300C31"/>
    <w:rsid w:val="003017EC"/>
    <w:rsid w:val="00302165"/>
    <w:rsid w:val="00304771"/>
    <w:rsid w:val="003052D4"/>
    <w:rsid w:val="003060E9"/>
    <w:rsid w:val="00306C5B"/>
    <w:rsid w:val="00307529"/>
    <w:rsid w:val="00307DB3"/>
    <w:rsid w:val="00307ED2"/>
    <w:rsid w:val="0031076D"/>
    <w:rsid w:val="00311AA6"/>
    <w:rsid w:val="00311C4D"/>
    <w:rsid w:val="003121AB"/>
    <w:rsid w:val="00315169"/>
    <w:rsid w:val="003153C8"/>
    <w:rsid w:val="00315524"/>
    <w:rsid w:val="0032058C"/>
    <w:rsid w:val="003208D0"/>
    <w:rsid w:val="003209D6"/>
    <w:rsid w:val="003217B9"/>
    <w:rsid w:val="00321924"/>
    <w:rsid w:val="00321EB6"/>
    <w:rsid w:val="003220A5"/>
    <w:rsid w:val="00323A1C"/>
    <w:rsid w:val="00324B59"/>
    <w:rsid w:val="0032656E"/>
    <w:rsid w:val="0032788F"/>
    <w:rsid w:val="00332190"/>
    <w:rsid w:val="00332A98"/>
    <w:rsid w:val="00333973"/>
    <w:rsid w:val="00333CD0"/>
    <w:rsid w:val="0033448D"/>
    <w:rsid w:val="00334AD2"/>
    <w:rsid w:val="00334CB6"/>
    <w:rsid w:val="0033709C"/>
    <w:rsid w:val="003370C5"/>
    <w:rsid w:val="003373C6"/>
    <w:rsid w:val="00340BF3"/>
    <w:rsid w:val="00341D26"/>
    <w:rsid w:val="00341F05"/>
    <w:rsid w:val="0034335E"/>
    <w:rsid w:val="00344668"/>
    <w:rsid w:val="00344940"/>
    <w:rsid w:val="00346234"/>
    <w:rsid w:val="003462D9"/>
    <w:rsid w:val="0034723F"/>
    <w:rsid w:val="00347247"/>
    <w:rsid w:val="003474B6"/>
    <w:rsid w:val="00347DD4"/>
    <w:rsid w:val="00352B43"/>
    <w:rsid w:val="00352C28"/>
    <w:rsid w:val="0036077F"/>
    <w:rsid w:val="00360C86"/>
    <w:rsid w:val="00360F7A"/>
    <w:rsid w:val="00360FBC"/>
    <w:rsid w:val="00361537"/>
    <w:rsid w:val="0036242A"/>
    <w:rsid w:val="00362C23"/>
    <w:rsid w:val="00362E90"/>
    <w:rsid w:val="00364FA0"/>
    <w:rsid w:val="003657F3"/>
    <w:rsid w:val="00365844"/>
    <w:rsid w:val="00367F84"/>
    <w:rsid w:val="003712BC"/>
    <w:rsid w:val="00372164"/>
    <w:rsid w:val="003738BD"/>
    <w:rsid w:val="00374263"/>
    <w:rsid w:val="003746F0"/>
    <w:rsid w:val="00374A20"/>
    <w:rsid w:val="00374E21"/>
    <w:rsid w:val="00377B2E"/>
    <w:rsid w:val="003810F0"/>
    <w:rsid w:val="003818DC"/>
    <w:rsid w:val="00382513"/>
    <w:rsid w:val="00383388"/>
    <w:rsid w:val="003834F8"/>
    <w:rsid w:val="003838D0"/>
    <w:rsid w:val="003840C2"/>
    <w:rsid w:val="00384327"/>
    <w:rsid w:val="00384A89"/>
    <w:rsid w:val="00385086"/>
    <w:rsid w:val="00385D98"/>
    <w:rsid w:val="00390306"/>
    <w:rsid w:val="003908A6"/>
    <w:rsid w:val="0039109D"/>
    <w:rsid w:val="00391989"/>
    <w:rsid w:val="00391A6C"/>
    <w:rsid w:val="003927F6"/>
    <w:rsid w:val="00396739"/>
    <w:rsid w:val="003A04F6"/>
    <w:rsid w:val="003A0837"/>
    <w:rsid w:val="003A2B4D"/>
    <w:rsid w:val="003A2D12"/>
    <w:rsid w:val="003A2EBA"/>
    <w:rsid w:val="003A45E3"/>
    <w:rsid w:val="003A478C"/>
    <w:rsid w:val="003A4A38"/>
    <w:rsid w:val="003A5525"/>
    <w:rsid w:val="003A5889"/>
    <w:rsid w:val="003A6B38"/>
    <w:rsid w:val="003A6B83"/>
    <w:rsid w:val="003A6C97"/>
    <w:rsid w:val="003A722F"/>
    <w:rsid w:val="003A7373"/>
    <w:rsid w:val="003A7D09"/>
    <w:rsid w:val="003B039F"/>
    <w:rsid w:val="003B0DF4"/>
    <w:rsid w:val="003B1F9D"/>
    <w:rsid w:val="003B2A8D"/>
    <w:rsid w:val="003B2AD1"/>
    <w:rsid w:val="003B2D2E"/>
    <w:rsid w:val="003B461F"/>
    <w:rsid w:val="003B483F"/>
    <w:rsid w:val="003B4998"/>
    <w:rsid w:val="003B5A32"/>
    <w:rsid w:val="003B7B50"/>
    <w:rsid w:val="003C0B07"/>
    <w:rsid w:val="003C2CE7"/>
    <w:rsid w:val="003C3490"/>
    <w:rsid w:val="003C3608"/>
    <w:rsid w:val="003C3AE8"/>
    <w:rsid w:val="003C3D2C"/>
    <w:rsid w:val="003C4E13"/>
    <w:rsid w:val="003C6221"/>
    <w:rsid w:val="003C63D7"/>
    <w:rsid w:val="003C68CC"/>
    <w:rsid w:val="003C7E62"/>
    <w:rsid w:val="003D12B9"/>
    <w:rsid w:val="003D1E7A"/>
    <w:rsid w:val="003D242B"/>
    <w:rsid w:val="003D2492"/>
    <w:rsid w:val="003D29AA"/>
    <w:rsid w:val="003D2A99"/>
    <w:rsid w:val="003D6920"/>
    <w:rsid w:val="003E0249"/>
    <w:rsid w:val="003E1EF8"/>
    <w:rsid w:val="003E2DFB"/>
    <w:rsid w:val="003E4C91"/>
    <w:rsid w:val="003E52D8"/>
    <w:rsid w:val="003E62F1"/>
    <w:rsid w:val="003F313C"/>
    <w:rsid w:val="003F37FC"/>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1D"/>
    <w:rsid w:val="00403F57"/>
    <w:rsid w:val="00405318"/>
    <w:rsid w:val="004059D2"/>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DAC"/>
    <w:rsid w:val="00420880"/>
    <w:rsid w:val="00421179"/>
    <w:rsid w:val="00430C96"/>
    <w:rsid w:val="00431BFF"/>
    <w:rsid w:val="00432199"/>
    <w:rsid w:val="00432A58"/>
    <w:rsid w:val="004331C3"/>
    <w:rsid w:val="00433C17"/>
    <w:rsid w:val="00434617"/>
    <w:rsid w:val="00435051"/>
    <w:rsid w:val="00435C69"/>
    <w:rsid w:val="004360FB"/>
    <w:rsid w:val="00437CED"/>
    <w:rsid w:val="004407BF"/>
    <w:rsid w:val="00440900"/>
    <w:rsid w:val="0044121D"/>
    <w:rsid w:val="00441BF6"/>
    <w:rsid w:val="00441D2B"/>
    <w:rsid w:val="00441F8B"/>
    <w:rsid w:val="00442085"/>
    <w:rsid w:val="0044279E"/>
    <w:rsid w:val="004441A0"/>
    <w:rsid w:val="00445861"/>
    <w:rsid w:val="00445A8E"/>
    <w:rsid w:val="00446D44"/>
    <w:rsid w:val="0045078A"/>
    <w:rsid w:val="0045086D"/>
    <w:rsid w:val="00450DAB"/>
    <w:rsid w:val="0045125B"/>
    <w:rsid w:val="00451EF1"/>
    <w:rsid w:val="00452E60"/>
    <w:rsid w:val="0045321B"/>
    <w:rsid w:val="00456FE5"/>
    <w:rsid w:val="00457490"/>
    <w:rsid w:val="00457953"/>
    <w:rsid w:val="004604D8"/>
    <w:rsid w:val="00460656"/>
    <w:rsid w:val="00460FB3"/>
    <w:rsid w:val="00463D3C"/>
    <w:rsid w:val="00464851"/>
    <w:rsid w:val="0046746A"/>
    <w:rsid w:val="00467B14"/>
    <w:rsid w:val="004707FE"/>
    <w:rsid w:val="00470EDC"/>
    <w:rsid w:val="0047276D"/>
    <w:rsid w:val="00472AF6"/>
    <w:rsid w:val="00473482"/>
    <w:rsid w:val="00474A04"/>
    <w:rsid w:val="00476240"/>
    <w:rsid w:val="00476439"/>
    <w:rsid w:val="00476450"/>
    <w:rsid w:val="004769E1"/>
    <w:rsid w:val="0047735C"/>
    <w:rsid w:val="004776BC"/>
    <w:rsid w:val="00477820"/>
    <w:rsid w:val="00477B96"/>
    <w:rsid w:val="00480BAE"/>
    <w:rsid w:val="0048139F"/>
    <w:rsid w:val="00481E40"/>
    <w:rsid w:val="00482405"/>
    <w:rsid w:val="004826A7"/>
    <w:rsid w:val="0048368C"/>
    <w:rsid w:val="0048372F"/>
    <w:rsid w:val="00484ECE"/>
    <w:rsid w:val="00485E82"/>
    <w:rsid w:val="00486132"/>
    <w:rsid w:val="0048686D"/>
    <w:rsid w:val="00486A4D"/>
    <w:rsid w:val="004915CB"/>
    <w:rsid w:val="004924DC"/>
    <w:rsid w:val="00492879"/>
    <w:rsid w:val="00493E85"/>
    <w:rsid w:val="00495145"/>
    <w:rsid w:val="004979A5"/>
    <w:rsid w:val="004A0144"/>
    <w:rsid w:val="004A036E"/>
    <w:rsid w:val="004A0498"/>
    <w:rsid w:val="004A0D0E"/>
    <w:rsid w:val="004A14E4"/>
    <w:rsid w:val="004A204E"/>
    <w:rsid w:val="004A26A5"/>
    <w:rsid w:val="004A27F0"/>
    <w:rsid w:val="004A3212"/>
    <w:rsid w:val="004A37CD"/>
    <w:rsid w:val="004A40D9"/>
    <w:rsid w:val="004A49A5"/>
    <w:rsid w:val="004A4F8A"/>
    <w:rsid w:val="004A5494"/>
    <w:rsid w:val="004A5D4E"/>
    <w:rsid w:val="004A61C5"/>
    <w:rsid w:val="004A62A0"/>
    <w:rsid w:val="004A77DF"/>
    <w:rsid w:val="004B1417"/>
    <w:rsid w:val="004B305C"/>
    <w:rsid w:val="004B31B8"/>
    <w:rsid w:val="004B339A"/>
    <w:rsid w:val="004B4C83"/>
    <w:rsid w:val="004B55B7"/>
    <w:rsid w:val="004B5BFA"/>
    <w:rsid w:val="004B6468"/>
    <w:rsid w:val="004B6EF8"/>
    <w:rsid w:val="004B7125"/>
    <w:rsid w:val="004B756A"/>
    <w:rsid w:val="004B7FB1"/>
    <w:rsid w:val="004C0B3F"/>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2E03"/>
    <w:rsid w:val="004D3296"/>
    <w:rsid w:val="004D4056"/>
    <w:rsid w:val="004D4CB0"/>
    <w:rsid w:val="004D5B0F"/>
    <w:rsid w:val="004D7626"/>
    <w:rsid w:val="004E186A"/>
    <w:rsid w:val="004E1A40"/>
    <w:rsid w:val="004E200A"/>
    <w:rsid w:val="004E23FC"/>
    <w:rsid w:val="004E2409"/>
    <w:rsid w:val="004E261D"/>
    <w:rsid w:val="004E57BF"/>
    <w:rsid w:val="004E5F41"/>
    <w:rsid w:val="004E6DE6"/>
    <w:rsid w:val="004E765E"/>
    <w:rsid w:val="004E7815"/>
    <w:rsid w:val="004F06F5"/>
    <w:rsid w:val="004F12A4"/>
    <w:rsid w:val="004F253F"/>
    <w:rsid w:val="004F33A0"/>
    <w:rsid w:val="004F3BD2"/>
    <w:rsid w:val="004F46ED"/>
    <w:rsid w:val="004F4C99"/>
    <w:rsid w:val="004F5358"/>
    <w:rsid w:val="004F6484"/>
    <w:rsid w:val="004F6539"/>
    <w:rsid w:val="00503D54"/>
    <w:rsid w:val="005048E2"/>
    <w:rsid w:val="00505FC8"/>
    <w:rsid w:val="00506603"/>
    <w:rsid w:val="0050689D"/>
    <w:rsid w:val="005077F5"/>
    <w:rsid w:val="005108C0"/>
    <w:rsid w:val="0051094F"/>
    <w:rsid w:val="00511217"/>
    <w:rsid w:val="00511873"/>
    <w:rsid w:val="00512461"/>
    <w:rsid w:val="00512585"/>
    <w:rsid w:val="00512A2F"/>
    <w:rsid w:val="00513B7E"/>
    <w:rsid w:val="00513E9D"/>
    <w:rsid w:val="0051475D"/>
    <w:rsid w:val="00514B11"/>
    <w:rsid w:val="00515485"/>
    <w:rsid w:val="00515BE9"/>
    <w:rsid w:val="00515C74"/>
    <w:rsid w:val="0051630F"/>
    <w:rsid w:val="00517113"/>
    <w:rsid w:val="0052007E"/>
    <w:rsid w:val="00521CAD"/>
    <w:rsid w:val="0052200D"/>
    <w:rsid w:val="00522E01"/>
    <w:rsid w:val="0052337A"/>
    <w:rsid w:val="00524385"/>
    <w:rsid w:val="005246BE"/>
    <w:rsid w:val="00525137"/>
    <w:rsid w:val="005251DD"/>
    <w:rsid w:val="0053012B"/>
    <w:rsid w:val="005301A6"/>
    <w:rsid w:val="00530A68"/>
    <w:rsid w:val="00530AD4"/>
    <w:rsid w:val="00531C5A"/>
    <w:rsid w:val="00532CE7"/>
    <w:rsid w:val="00532D8B"/>
    <w:rsid w:val="0053324C"/>
    <w:rsid w:val="00533A8D"/>
    <w:rsid w:val="00534A28"/>
    <w:rsid w:val="00535018"/>
    <w:rsid w:val="0053595E"/>
    <w:rsid w:val="00537571"/>
    <w:rsid w:val="00540056"/>
    <w:rsid w:val="005410E2"/>
    <w:rsid w:val="00541508"/>
    <w:rsid w:val="00541AE3"/>
    <w:rsid w:val="00543498"/>
    <w:rsid w:val="00544011"/>
    <w:rsid w:val="00544BE5"/>
    <w:rsid w:val="005455F6"/>
    <w:rsid w:val="0054582F"/>
    <w:rsid w:val="005500F9"/>
    <w:rsid w:val="00550160"/>
    <w:rsid w:val="005523A8"/>
    <w:rsid w:val="00552F2C"/>
    <w:rsid w:val="00553A25"/>
    <w:rsid w:val="005547EB"/>
    <w:rsid w:val="005555E0"/>
    <w:rsid w:val="0055599F"/>
    <w:rsid w:val="00556D68"/>
    <w:rsid w:val="005570D6"/>
    <w:rsid w:val="00557E0E"/>
    <w:rsid w:val="00557E45"/>
    <w:rsid w:val="00560C41"/>
    <w:rsid w:val="00561F44"/>
    <w:rsid w:val="00562B4D"/>
    <w:rsid w:val="00563EB8"/>
    <w:rsid w:val="005647BF"/>
    <w:rsid w:val="00564AF1"/>
    <w:rsid w:val="005655DB"/>
    <w:rsid w:val="00565E88"/>
    <w:rsid w:val="005678EE"/>
    <w:rsid w:val="00570270"/>
    <w:rsid w:val="00570464"/>
    <w:rsid w:val="00570BC3"/>
    <w:rsid w:val="0057182A"/>
    <w:rsid w:val="00571E59"/>
    <w:rsid w:val="00572079"/>
    <w:rsid w:val="00572900"/>
    <w:rsid w:val="00573602"/>
    <w:rsid w:val="0057364B"/>
    <w:rsid w:val="00574773"/>
    <w:rsid w:val="005761EC"/>
    <w:rsid w:val="00577C07"/>
    <w:rsid w:val="00577DB1"/>
    <w:rsid w:val="00580AD3"/>
    <w:rsid w:val="00580DE7"/>
    <w:rsid w:val="005810E1"/>
    <w:rsid w:val="00583E52"/>
    <w:rsid w:val="00583FFD"/>
    <w:rsid w:val="00584252"/>
    <w:rsid w:val="0058519A"/>
    <w:rsid w:val="005856BD"/>
    <w:rsid w:val="00586BCA"/>
    <w:rsid w:val="00587038"/>
    <w:rsid w:val="00590B28"/>
    <w:rsid w:val="005911BE"/>
    <w:rsid w:val="00591273"/>
    <w:rsid w:val="00591E9E"/>
    <w:rsid w:val="005927A4"/>
    <w:rsid w:val="00593152"/>
    <w:rsid w:val="005956A3"/>
    <w:rsid w:val="00595958"/>
    <w:rsid w:val="00595CAB"/>
    <w:rsid w:val="0059622E"/>
    <w:rsid w:val="00597671"/>
    <w:rsid w:val="00597BBF"/>
    <w:rsid w:val="005A0948"/>
    <w:rsid w:val="005A0A03"/>
    <w:rsid w:val="005A10F2"/>
    <w:rsid w:val="005A21E0"/>
    <w:rsid w:val="005A28FF"/>
    <w:rsid w:val="005A2C09"/>
    <w:rsid w:val="005A3778"/>
    <w:rsid w:val="005A3DF8"/>
    <w:rsid w:val="005A5549"/>
    <w:rsid w:val="005A7CF8"/>
    <w:rsid w:val="005B0EDA"/>
    <w:rsid w:val="005B121D"/>
    <w:rsid w:val="005B26B0"/>
    <w:rsid w:val="005B41C9"/>
    <w:rsid w:val="005B44E6"/>
    <w:rsid w:val="005B4853"/>
    <w:rsid w:val="005B6CA1"/>
    <w:rsid w:val="005B770C"/>
    <w:rsid w:val="005C06ED"/>
    <w:rsid w:val="005C11B8"/>
    <w:rsid w:val="005C216C"/>
    <w:rsid w:val="005C2609"/>
    <w:rsid w:val="005C2B30"/>
    <w:rsid w:val="005C412B"/>
    <w:rsid w:val="005C43EC"/>
    <w:rsid w:val="005C45DD"/>
    <w:rsid w:val="005C4CB1"/>
    <w:rsid w:val="005D3F06"/>
    <w:rsid w:val="005D4B73"/>
    <w:rsid w:val="005D5645"/>
    <w:rsid w:val="005D5802"/>
    <w:rsid w:val="005D5AA9"/>
    <w:rsid w:val="005D66E6"/>
    <w:rsid w:val="005D7119"/>
    <w:rsid w:val="005D76C8"/>
    <w:rsid w:val="005D7890"/>
    <w:rsid w:val="005E19C1"/>
    <w:rsid w:val="005E2194"/>
    <w:rsid w:val="005E24F0"/>
    <w:rsid w:val="005E36FE"/>
    <w:rsid w:val="005E3F66"/>
    <w:rsid w:val="005E490F"/>
    <w:rsid w:val="005E4BC9"/>
    <w:rsid w:val="005E5314"/>
    <w:rsid w:val="005E7C78"/>
    <w:rsid w:val="005F04A7"/>
    <w:rsid w:val="005F114F"/>
    <w:rsid w:val="005F18C5"/>
    <w:rsid w:val="005F2A08"/>
    <w:rsid w:val="005F36CC"/>
    <w:rsid w:val="005F3EB1"/>
    <w:rsid w:val="005F413E"/>
    <w:rsid w:val="005F466B"/>
    <w:rsid w:val="005F46D8"/>
    <w:rsid w:val="005F480F"/>
    <w:rsid w:val="005F5469"/>
    <w:rsid w:val="005F63F3"/>
    <w:rsid w:val="005F66F0"/>
    <w:rsid w:val="005F6D7F"/>
    <w:rsid w:val="005F7174"/>
    <w:rsid w:val="00601ADE"/>
    <w:rsid w:val="00601EEF"/>
    <w:rsid w:val="0060255A"/>
    <w:rsid w:val="00602EB3"/>
    <w:rsid w:val="00604307"/>
    <w:rsid w:val="0060487F"/>
    <w:rsid w:val="00604EAD"/>
    <w:rsid w:val="0060513F"/>
    <w:rsid w:val="0060694B"/>
    <w:rsid w:val="006104FB"/>
    <w:rsid w:val="0061176D"/>
    <w:rsid w:val="0061200F"/>
    <w:rsid w:val="00612756"/>
    <w:rsid w:val="00612A2F"/>
    <w:rsid w:val="00612AAE"/>
    <w:rsid w:val="00612FD9"/>
    <w:rsid w:val="006139E0"/>
    <w:rsid w:val="00614D35"/>
    <w:rsid w:val="006156B4"/>
    <w:rsid w:val="00615DAF"/>
    <w:rsid w:val="00616E05"/>
    <w:rsid w:val="00617985"/>
    <w:rsid w:val="00620B77"/>
    <w:rsid w:val="0062131B"/>
    <w:rsid w:val="00621E26"/>
    <w:rsid w:val="0062263A"/>
    <w:rsid w:val="006227DF"/>
    <w:rsid w:val="006236C8"/>
    <w:rsid w:val="00624093"/>
    <w:rsid w:val="00625A84"/>
    <w:rsid w:val="00626079"/>
    <w:rsid w:val="00631698"/>
    <w:rsid w:val="00631E44"/>
    <w:rsid w:val="00634C57"/>
    <w:rsid w:val="00634CE7"/>
    <w:rsid w:val="006350D5"/>
    <w:rsid w:val="0063642C"/>
    <w:rsid w:val="00637858"/>
    <w:rsid w:val="006404A7"/>
    <w:rsid w:val="00640A38"/>
    <w:rsid w:val="00640E6B"/>
    <w:rsid w:val="00641787"/>
    <w:rsid w:val="0064179B"/>
    <w:rsid w:val="00642489"/>
    <w:rsid w:val="00644055"/>
    <w:rsid w:val="00644137"/>
    <w:rsid w:val="0064478C"/>
    <w:rsid w:val="00645160"/>
    <w:rsid w:val="006451E4"/>
    <w:rsid w:val="00645B33"/>
    <w:rsid w:val="006516CB"/>
    <w:rsid w:val="00653BD0"/>
    <w:rsid w:val="00654110"/>
    <w:rsid w:val="00656C5D"/>
    <w:rsid w:val="00656CFB"/>
    <w:rsid w:val="00657E87"/>
    <w:rsid w:val="00660D2D"/>
    <w:rsid w:val="00661C41"/>
    <w:rsid w:val="00661EC9"/>
    <w:rsid w:val="00662469"/>
    <w:rsid w:val="0066411C"/>
    <w:rsid w:val="00664205"/>
    <w:rsid w:val="00664647"/>
    <w:rsid w:val="00664803"/>
    <w:rsid w:val="006653CC"/>
    <w:rsid w:val="00665982"/>
    <w:rsid w:val="00665BA4"/>
    <w:rsid w:val="00666BF3"/>
    <w:rsid w:val="00667856"/>
    <w:rsid w:val="00667AF2"/>
    <w:rsid w:val="00670489"/>
    <w:rsid w:val="006710C9"/>
    <w:rsid w:val="00672586"/>
    <w:rsid w:val="006741CD"/>
    <w:rsid w:val="00674D89"/>
    <w:rsid w:val="0067514E"/>
    <w:rsid w:val="00675E37"/>
    <w:rsid w:val="00676736"/>
    <w:rsid w:val="006769A4"/>
    <w:rsid w:val="006769C6"/>
    <w:rsid w:val="00676D76"/>
    <w:rsid w:val="00676F9F"/>
    <w:rsid w:val="00677591"/>
    <w:rsid w:val="00677594"/>
    <w:rsid w:val="0068032F"/>
    <w:rsid w:val="00680D37"/>
    <w:rsid w:val="0068174E"/>
    <w:rsid w:val="00681DCE"/>
    <w:rsid w:val="0068260E"/>
    <w:rsid w:val="006846B3"/>
    <w:rsid w:val="00684D59"/>
    <w:rsid w:val="00684E25"/>
    <w:rsid w:val="006858A4"/>
    <w:rsid w:val="00686718"/>
    <w:rsid w:val="00686BFA"/>
    <w:rsid w:val="00686DED"/>
    <w:rsid w:val="006875A0"/>
    <w:rsid w:val="006878C6"/>
    <w:rsid w:val="00687D27"/>
    <w:rsid w:val="00691943"/>
    <w:rsid w:val="00693550"/>
    <w:rsid w:val="00695065"/>
    <w:rsid w:val="00695BEF"/>
    <w:rsid w:val="00696251"/>
    <w:rsid w:val="006966C7"/>
    <w:rsid w:val="006968C1"/>
    <w:rsid w:val="006977F6"/>
    <w:rsid w:val="00697A13"/>
    <w:rsid w:val="006A0DD4"/>
    <w:rsid w:val="006A109C"/>
    <w:rsid w:val="006A5F4B"/>
    <w:rsid w:val="006A6565"/>
    <w:rsid w:val="006A7691"/>
    <w:rsid w:val="006A7EE2"/>
    <w:rsid w:val="006B0514"/>
    <w:rsid w:val="006B0F92"/>
    <w:rsid w:val="006B2785"/>
    <w:rsid w:val="006B27C7"/>
    <w:rsid w:val="006B344A"/>
    <w:rsid w:val="006B58C9"/>
    <w:rsid w:val="006B60ED"/>
    <w:rsid w:val="006B6CC5"/>
    <w:rsid w:val="006B74AC"/>
    <w:rsid w:val="006B78D8"/>
    <w:rsid w:val="006B79EA"/>
    <w:rsid w:val="006C0C5D"/>
    <w:rsid w:val="006C113F"/>
    <w:rsid w:val="006C123E"/>
    <w:rsid w:val="006C15A1"/>
    <w:rsid w:val="006C1752"/>
    <w:rsid w:val="006C1DDC"/>
    <w:rsid w:val="006C28CA"/>
    <w:rsid w:val="006C2BBF"/>
    <w:rsid w:val="006C2FBD"/>
    <w:rsid w:val="006C4355"/>
    <w:rsid w:val="006C469D"/>
    <w:rsid w:val="006C46B5"/>
    <w:rsid w:val="006C484F"/>
    <w:rsid w:val="006C52EC"/>
    <w:rsid w:val="006C56D4"/>
    <w:rsid w:val="006C6681"/>
    <w:rsid w:val="006C683C"/>
    <w:rsid w:val="006C6924"/>
    <w:rsid w:val="006C6C1E"/>
    <w:rsid w:val="006C7076"/>
    <w:rsid w:val="006C7AEC"/>
    <w:rsid w:val="006C7CA6"/>
    <w:rsid w:val="006D18B3"/>
    <w:rsid w:val="006D1E89"/>
    <w:rsid w:val="006D317E"/>
    <w:rsid w:val="006D3E8A"/>
    <w:rsid w:val="006D61F6"/>
    <w:rsid w:val="006E1332"/>
    <w:rsid w:val="006E279A"/>
    <w:rsid w:val="006E313B"/>
    <w:rsid w:val="006E34B2"/>
    <w:rsid w:val="006E3A45"/>
    <w:rsid w:val="006E4078"/>
    <w:rsid w:val="006E53AD"/>
    <w:rsid w:val="006E58CB"/>
    <w:rsid w:val="006E7227"/>
    <w:rsid w:val="006E761A"/>
    <w:rsid w:val="006F0741"/>
    <w:rsid w:val="006F1C27"/>
    <w:rsid w:val="006F2A65"/>
    <w:rsid w:val="006F3DD6"/>
    <w:rsid w:val="006F40DF"/>
    <w:rsid w:val="006F42BB"/>
    <w:rsid w:val="006F438E"/>
    <w:rsid w:val="006F440B"/>
    <w:rsid w:val="006F48A3"/>
    <w:rsid w:val="006F5416"/>
    <w:rsid w:val="006F624B"/>
    <w:rsid w:val="006F6D87"/>
    <w:rsid w:val="0070398A"/>
    <w:rsid w:val="00705242"/>
    <w:rsid w:val="007055E0"/>
    <w:rsid w:val="007056ED"/>
    <w:rsid w:val="00705F4E"/>
    <w:rsid w:val="007065C5"/>
    <w:rsid w:val="007068E1"/>
    <w:rsid w:val="00706AA0"/>
    <w:rsid w:val="00706AD4"/>
    <w:rsid w:val="00707150"/>
    <w:rsid w:val="007124D7"/>
    <w:rsid w:val="00712C20"/>
    <w:rsid w:val="00713549"/>
    <w:rsid w:val="007140BE"/>
    <w:rsid w:val="007147AB"/>
    <w:rsid w:val="00715502"/>
    <w:rsid w:val="00715E4D"/>
    <w:rsid w:val="0071677A"/>
    <w:rsid w:val="00716F48"/>
    <w:rsid w:val="00717114"/>
    <w:rsid w:val="0071779F"/>
    <w:rsid w:val="007211F5"/>
    <w:rsid w:val="00721601"/>
    <w:rsid w:val="00722777"/>
    <w:rsid w:val="00723435"/>
    <w:rsid w:val="00723436"/>
    <w:rsid w:val="007240E2"/>
    <w:rsid w:val="0072454C"/>
    <w:rsid w:val="0072583E"/>
    <w:rsid w:val="00725BB5"/>
    <w:rsid w:val="00727C02"/>
    <w:rsid w:val="0073008E"/>
    <w:rsid w:val="00730AE8"/>
    <w:rsid w:val="00730F1B"/>
    <w:rsid w:val="0073186D"/>
    <w:rsid w:val="0073333D"/>
    <w:rsid w:val="007343D9"/>
    <w:rsid w:val="00734F71"/>
    <w:rsid w:val="00735448"/>
    <w:rsid w:val="00736F07"/>
    <w:rsid w:val="007377BD"/>
    <w:rsid w:val="00737DEC"/>
    <w:rsid w:val="0074004D"/>
    <w:rsid w:val="00741493"/>
    <w:rsid w:val="007434E5"/>
    <w:rsid w:val="0074499B"/>
    <w:rsid w:val="007450BF"/>
    <w:rsid w:val="007471A1"/>
    <w:rsid w:val="007477BD"/>
    <w:rsid w:val="00747EE9"/>
    <w:rsid w:val="00752180"/>
    <w:rsid w:val="00752323"/>
    <w:rsid w:val="007532B7"/>
    <w:rsid w:val="00753CAB"/>
    <w:rsid w:val="00754A70"/>
    <w:rsid w:val="00754BC9"/>
    <w:rsid w:val="00755202"/>
    <w:rsid w:val="00755D3A"/>
    <w:rsid w:val="00757241"/>
    <w:rsid w:val="0075751D"/>
    <w:rsid w:val="0075763E"/>
    <w:rsid w:val="007578D3"/>
    <w:rsid w:val="007602CF"/>
    <w:rsid w:val="00760391"/>
    <w:rsid w:val="007609C6"/>
    <w:rsid w:val="007615F3"/>
    <w:rsid w:val="0076175D"/>
    <w:rsid w:val="00761CB5"/>
    <w:rsid w:val="007629D5"/>
    <w:rsid w:val="007635F8"/>
    <w:rsid w:val="00763B85"/>
    <w:rsid w:val="00764974"/>
    <w:rsid w:val="00764D18"/>
    <w:rsid w:val="0076521E"/>
    <w:rsid w:val="00765BCC"/>
    <w:rsid w:val="0076600D"/>
    <w:rsid w:val="007661E9"/>
    <w:rsid w:val="00766460"/>
    <w:rsid w:val="00767062"/>
    <w:rsid w:val="00767777"/>
    <w:rsid w:val="00770CFC"/>
    <w:rsid w:val="0077130E"/>
    <w:rsid w:val="007715EE"/>
    <w:rsid w:val="00771972"/>
    <w:rsid w:val="00772279"/>
    <w:rsid w:val="00772DAB"/>
    <w:rsid w:val="00772FF9"/>
    <w:rsid w:val="00774D2C"/>
    <w:rsid w:val="0077605B"/>
    <w:rsid w:val="00776169"/>
    <w:rsid w:val="00776527"/>
    <w:rsid w:val="00777040"/>
    <w:rsid w:val="00777CE6"/>
    <w:rsid w:val="00780EF1"/>
    <w:rsid w:val="00781A91"/>
    <w:rsid w:val="00781F36"/>
    <w:rsid w:val="00785778"/>
    <w:rsid w:val="00786C87"/>
    <w:rsid w:val="0078755E"/>
    <w:rsid w:val="007877C9"/>
    <w:rsid w:val="00790764"/>
    <w:rsid w:val="0079085F"/>
    <w:rsid w:val="00790E96"/>
    <w:rsid w:val="00791005"/>
    <w:rsid w:val="00793D78"/>
    <w:rsid w:val="0079420B"/>
    <w:rsid w:val="0079453C"/>
    <w:rsid w:val="00794677"/>
    <w:rsid w:val="00795759"/>
    <w:rsid w:val="007A170B"/>
    <w:rsid w:val="007A20EB"/>
    <w:rsid w:val="007A282C"/>
    <w:rsid w:val="007A293C"/>
    <w:rsid w:val="007A2A3A"/>
    <w:rsid w:val="007A33E2"/>
    <w:rsid w:val="007A3CAF"/>
    <w:rsid w:val="007A4782"/>
    <w:rsid w:val="007A516D"/>
    <w:rsid w:val="007A5E65"/>
    <w:rsid w:val="007A65E1"/>
    <w:rsid w:val="007A6AAA"/>
    <w:rsid w:val="007A7033"/>
    <w:rsid w:val="007A775D"/>
    <w:rsid w:val="007B0834"/>
    <w:rsid w:val="007B0E83"/>
    <w:rsid w:val="007B11FA"/>
    <w:rsid w:val="007B1396"/>
    <w:rsid w:val="007B16D6"/>
    <w:rsid w:val="007B2011"/>
    <w:rsid w:val="007B2CFE"/>
    <w:rsid w:val="007B309B"/>
    <w:rsid w:val="007B3D5E"/>
    <w:rsid w:val="007B3DCB"/>
    <w:rsid w:val="007B5725"/>
    <w:rsid w:val="007B5C1F"/>
    <w:rsid w:val="007B6689"/>
    <w:rsid w:val="007B6747"/>
    <w:rsid w:val="007B6F72"/>
    <w:rsid w:val="007C10BD"/>
    <w:rsid w:val="007C1F0C"/>
    <w:rsid w:val="007C1FFB"/>
    <w:rsid w:val="007C2D94"/>
    <w:rsid w:val="007C5F92"/>
    <w:rsid w:val="007C6227"/>
    <w:rsid w:val="007C6BBD"/>
    <w:rsid w:val="007C6D89"/>
    <w:rsid w:val="007C6F5E"/>
    <w:rsid w:val="007D0382"/>
    <w:rsid w:val="007D14FE"/>
    <w:rsid w:val="007D1A1F"/>
    <w:rsid w:val="007D2E18"/>
    <w:rsid w:val="007D40DF"/>
    <w:rsid w:val="007D42E5"/>
    <w:rsid w:val="007D4458"/>
    <w:rsid w:val="007D6AF9"/>
    <w:rsid w:val="007E0535"/>
    <w:rsid w:val="007E0D4A"/>
    <w:rsid w:val="007E1788"/>
    <w:rsid w:val="007E1EE3"/>
    <w:rsid w:val="007E29B4"/>
    <w:rsid w:val="007E2F12"/>
    <w:rsid w:val="007E435A"/>
    <w:rsid w:val="007E445C"/>
    <w:rsid w:val="007E49F7"/>
    <w:rsid w:val="007E4C70"/>
    <w:rsid w:val="007E5B5F"/>
    <w:rsid w:val="007E78B6"/>
    <w:rsid w:val="007E7E61"/>
    <w:rsid w:val="007F0845"/>
    <w:rsid w:val="007F0873"/>
    <w:rsid w:val="007F20F3"/>
    <w:rsid w:val="007F2353"/>
    <w:rsid w:val="007F2390"/>
    <w:rsid w:val="007F2CAC"/>
    <w:rsid w:val="007F4740"/>
    <w:rsid w:val="007F595A"/>
    <w:rsid w:val="007F5C38"/>
    <w:rsid w:val="007F708D"/>
    <w:rsid w:val="008006B3"/>
    <w:rsid w:val="00800B63"/>
    <w:rsid w:val="0080158A"/>
    <w:rsid w:val="00801E13"/>
    <w:rsid w:val="00803008"/>
    <w:rsid w:val="00803069"/>
    <w:rsid w:val="0080346B"/>
    <w:rsid w:val="00804155"/>
    <w:rsid w:val="0080559E"/>
    <w:rsid w:val="00805AF3"/>
    <w:rsid w:val="0080734C"/>
    <w:rsid w:val="00807C82"/>
    <w:rsid w:val="008117CC"/>
    <w:rsid w:val="00813D58"/>
    <w:rsid w:val="00813DCA"/>
    <w:rsid w:val="008161A6"/>
    <w:rsid w:val="008165B8"/>
    <w:rsid w:val="00816905"/>
    <w:rsid w:val="00816D98"/>
    <w:rsid w:val="00816E42"/>
    <w:rsid w:val="00817040"/>
    <w:rsid w:val="00817A17"/>
    <w:rsid w:val="00817EC1"/>
    <w:rsid w:val="0082112D"/>
    <w:rsid w:val="00821FF6"/>
    <w:rsid w:val="00822574"/>
    <w:rsid w:val="00822980"/>
    <w:rsid w:val="00822F08"/>
    <w:rsid w:val="00825C4D"/>
    <w:rsid w:val="00826A08"/>
    <w:rsid w:val="00826AC0"/>
    <w:rsid w:val="00827186"/>
    <w:rsid w:val="00827C8E"/>
    <w:rsid w:val="00830569"/>
    <w:rsid w:val="00830AEA"/>
    <w:rsid w:val="00830E86"/>
    <w:rsid w:val="0083143E"/>
    <w:rsid w:val="008315B8"/>
    <w:rsid w:val="008315D5"/>
    <w:rsid w:val="00831CDE"/>
    <w:rsid w:val="00831F2B"/>
    <w:rsid w:val="00832F77"/>
    <w:rsid w:val="00834304"/>
    <w:rsid w:val="00834FAA"/>
    <w:rsid w:val="008354FB"/>
    <w:rsid w:val="00835FF1"/>
    <w:rsid w:val="00836086"/>
    <w:rsid w:val="0083630F"/>
    <w:rsid w:val="00836A06"/>
    <w:rsid w:val="008374BC"/>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114D"/>
    <w:rsid w:val="008520A8"/>
    <w:rsid w:val="00852217"/>
    <w:rsid w:val="00853282"/>
    <w:rsid w:val="0085334C"/>
    <w:rsid w:val="00855408"/>
    <w:rsid w:val="00855D03"/>
    <w:rsid w:val="00856D65"/>
    <w:rsid w:val="00861B41"/>
    <w:rsid w:val="00861B9F"/>
    <w:rsid w:val="00861BE3"/>
    <w:rsid w:val="008625D3"/>
    <w:rsid w:val="00863434"/>
    <w:rsid w:val="0086344F"/>
    <w:rsid w:val="008641AC"/>
    <w:rsid w:val="00865E4C"/>
    <w:rsid w:val="00867546"/>
    <w:rsid w:val="0086796D"/>
    <w:rsid w:val="00867DAB"/>
    <w:rsid w:val="0087000B"/>
    <w:rsid w:val="008701E4"/>
    <w:rsid w:val="008704E9"/>
    <w:rsid w:val="00870ECD"/>
    <w:rsid w:val="0087347C"/>
    <w:rsid w:val="008734E7"/>
    <w:rsid w:val="0087368D"/>
    <w:rsid w:val="008740CC"/>
    <w:rsid w:val="00874FE8"/>
    <w:rsid w:val="00875A32"/>
    <w:rsid w:val="00876086"/>
    <w:rsid w:val="00876E83"/>
    <w:rsid w:val="008772BC"/>
    <w:rsid w:val="00880A0E"/>
    <w:rsid w:val="008817FE"/>
    <w:rsid w:val="00881CD7"/>
    <w:rsid w:val="00882911"/>
    <w:rsid w:val="00882F6E"/>
    <w:rsid w:val="00884E02"/>
    <w:rsid w:val="00885D40"/>
    <w:rsid w:val="008873D4"/>
    <w:rsid w:val="00891EDF"/>
    <w:rsid w:val="00892872"/>
    <w:rsid w:val="0089296D"/>
    <w:rsid w:val="00893E85"/>
    <w:rsid w:val="00893EBE"/>
    <w:rsid w:val="00894031"/>
    <w:rsid w:val="00894C5D"/>
    <w:rsid w:val="00895508"/>
    <w:rsid w:val="008967E9"/>
    <w:rsid w:val="00896A5C"/>
    <w:rsid w:val="008972D2"/>
    <w:rsid w:val="0089754C"/>
    <w:rsid w:val="008A0ADD"/>
    <w:rsid w:val="008A0D27"/>
    <w:rsid w:val="008A1C59"/>
    <w:rsid w:val="008A37E2"/>
    <w:rsid w:val="008A388E"/>
    <w:rsid w:val="008A394E"/>
    <w:rsid w:val="008A3CBA"/>
    <w:rsid w:val="008A4B59"/>
    <w:rsid w:val="008A63E1"/>
    <w:rsid w:val="008A66B7"/>
    <w:rsid w:val="008A68BB"/>
    <w:rsid w:val="008A6AA5"/>
    <w:rsid w:val="008A7127"/>
    <w:rsid w:val="008B3537"/>
    <w:rsid w:val="008B3690"/>
    <w:rsid w:val="008B3A80"/>
    <w:rsid w:val="008B3AEC"/>
    <w:rsid w:val="008B3C07"/>
    <w:rsid w:val="008B3F7B"/>
    <w:rsid w:val="008B5324"/>
    <w:rsid w:val="008B6106"/>
    <w:rsid w:val="008B7C02"/>
    <w:rsid w:val="008B7D2B"/>
    <w:rsid w:val="008B7EF9"/>
    <w:rsid w:val="008C0049"/>
    <w:rsid w:val="008C0314"/>
    <w:rsid w:val="008C0E88"/>
    <w:rsid w:val="008C1717"/>
    <w:rsid w:val="008C4B50"/>
    <w:rsid w:val="008C5A37"/>
    <w:rsid w:val="008C7569"/>
    <w:rsid w:val="008C79C3"/>
    <w:rsid w:val="008D033D"/>
    <w:rsid w:val="008D0DBD"/>
    <w:rsid w:val="008D117E"/>
    <w:rsid w:val="008D127E"/>
    <w:rsid w:val="008D1CA8"/>
    <w:rsid w:val="008D1E0A"/>
    <w:rsid w:val="008D1E6A"/>
    <w:rsid w:val="008D2A16"/>
    <w:rsid w:val="008D33F5"/>
    <w:rsid w:val="008D35E4"/>
    <w:rsid w:val="008D6C3A"/>
    <w:rsid w:val="008E0001"/>
    <w:rsid w:val="008E292B"/>
    <w:rsid w:val="008E2C57"/>
    <w:rsid w:val="008E31FF"/>
    <w:rsid w:val="008E3287"/>
    <w:rsid w:val="008E6DCB"/>
    <w:rsid w:val="008E6F06"/>
    <w:rsid w:val="008E7B8E"/>
    <w:rsid w:val="008E7FC9"/>
    <w:rsid w:val="008F0107"/>
    <w:rsid w:val="008F029B"/>
    <w:rsid w:val="008F0589"/>
    <w:rsid w:val="008F2A5D"/>
    <w:rsid w:val="008F3636"/>
    <w:rsid w:val="008F3FC9"/>
    <w:rsid w:val="008F509F"/>
    <w:rsid w:val="008F5383"/>
    <w:rsid w:val="008F585B"/>
    <w:rsid w:val="008F7FB0"/>
    <w:rsid w:val="009003A8"/>
    <w:rsid w:val="009005E4"/>
    <w:rsid w:val="00900977"/>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55E"/>
    <w:rsid w:val="00912437"/>
    <w:rsid w:val="00912A92"/>
    <w:rsid w:val="00915D07"/>
    <w:rsid w:val="009162AE"/>
    <w:rsid w:val="00917251"/>
    <w:rsid w:val="0091728D"/>
    <w:rsid w:val="009203CC"/>
    <w:rsid w:val="00920EC4"/>
    <w:rsid w:val="0092180B"/>
    <w:rsid w:val="00921F14"/>
    <w:rsid w:val="0092292F"/>
    <w:rsid w:val="00923CB0"/>
    <w:rsid w:val="00923D8C"/>
    <w:rsid w:val="00924871"/>
    <w:rsid w:val="00924AC8"/>
    <w:rsid w:val="00925429"/>
    <w:rsid w:val="00925615"/>
    <w:rsid w:val="0092597A"/>
    <w:rsid w:val="00926520"/>
    <w:rsid w:val="00926CF0"/>
    <w:rsid w:val="009273A9"/>
    <w:rsid w:val="00930251"/>
    <w:rsid w:val="0093033E"/>
    <w:rsid w:val="009305FC"/>
    <w:rsid w:val="00930FB1"/>
    <w:rsid w:val="0093139F"/>
    <w:rsid w:val="00932443"/>
    <w:rsid w:val="00932B32"/>
    <w:rsid w:val="00933F4A"/>
    <w:rsid w:val="009341F1"/>
    <w:rsid w:val="00934FF2"/>
    <w:rsid w:val="009358D7"/>
    <w:rsid w:val="00935BD4"/>
    <w:rsid w:val="00935DFE"/>
    <w:rsid w:val="00935F70"/>
    <w:rsid w:val="009373B2"/>
    <w:rsid w:val="00937AE2"/>
    <w:rsid w:val="0094061F"/>
    <w:rsid w:val="00940F0F"/>
    <w:rsid w:val="0094416B"/>
    <w:rsid w:val="0094427A"/>
    <w:rsid w:val="00944C7C"/>
    <w:rsid w:val="00945245"/>
    <w:rsid w:val="00945523"/>
    <w:rsid w:val="00950921"/>
    <w:rsid w:val="00951D68"/>
    <w:rsid w:val="00951E5B"/>
    <w:rsid w:val="00952B7B"/>
    <w:rsid w:val="00954F39"/>
    <w:rsid w:val="009555FD"/>
    <w:rsid w:val="0095664B"/>
    <w:rsid w:val="009568DC"/>
    <w:rsid w:val="00957445"/>
    <w:rsid w:val="0095759C"/>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A10"/>
    <w:rsid w:val="009670A3"/>
    <w:rsid w:val="009674BE"/>
    <w:rsid w:val="00970FB5"/>
    <w:rsid w:val="00971710"/>
    <w:rsid w:val="00971B87"/>
    <w:rsid w:val="00971C77"/>
    <w:rsid w:val="00972FCD"/>
    <w:rsid w:val="00973324"/>
    <w:rsid w:val="009736DF"/>
    <w:rsid w:val="009741AE"/>
    <w:rsid w:val="009741FC"/>
    <w:rsid w:val="00974782"/>
    <w:rsid w:val="00974923"/>
    <w:rsid w:val="00975909"/>
    <w:rsid w:val="00977C3D"/>
    <w:rsid w:val="00980D3D"/>
    <w:rsid w:val="0098103E"/>
    <w:rsid w:val="0098157D"/>
    <w:rsid w:val="00983101"/>
    <w:rsid w:val="00983E41"/>
    <w:rsid w:val="009845E1"/>
    <w:rsid w:val="00984D1B"/>
    <w:rsid w:val="00986246"/>
    <w:rsid w:val="00987A30"/>
    <w:rsid w:val="00990312"/>
    <w:rsid w:val="0099182E"/>
    <w:rsid w:val="00992CF3"/>
    <w:rsid w:val="00993194"/>
    <w:rsid w:val="0099321E"/>
    <w:rsid w:val="00994868"/>
    <w:rsid w:val="00994D28"/>
    <w:rsid w:val="00994F2C"/>
    <w:rsid w:val="009957CC"/>
    <w:rsid w:val="009968D6"/>
    <w:rsid w:val="00997953"/>
    <w:rsid w:val="009A0BFF"/>
    <w:rsid w:val="009A10A0"/>
    <w:rsid w:val="009A1CAB"/>
    <w:rsid w:val="009A2359"/>
    <w:rsid w:val="009A24F1"/>
    <w:rsid w:val="009A27E0"/>
    <w:rsid w:val="009A4D57"/>
    <w:rsid w:val="009A51A5"/>
    <w:rsid w:val="009A60D1"/>
    <w:rsid w:val="009A6225"/>
    <w:rsid w:val="009A64F5"/>
    <w:rsid w:val="009B00D2"/>
    <w:rsid w:val="009B05B3"/>
    <w:rsid w:val="009B284F"/>
    <w:rsid w:val="009B3764"/>
    <w:rsid w:val="009B52AC"/>
    <w:rsid w:val="009B59EA"/>
    <w:rsid w:val="009B66CE"/>
    <w:rsid w:val="009B6FD3"/>
    <w:rsid w:val="009B72BE"/>
    <w:rsid w:val="009B78A4"/>
    <w:rsid w:val="009B7DB2"/>
    <w:rsid w:val="009C03DB"/>
    <w:rsid w:val="009C1750"/>
    <w:rsid w:val="009C2E29"/>
    <w:rsid w:val="009C3E8F"/>
    <w:rsid w:val="009C554B"/>
    <w:rsid w:val="009C5E83"/>
    <w:rsid w:val="009C7126"/>
    <w:rsid w:val="009C719E"/>
    <w:rsid w:val="009C7799"/>
    <w:rsid w:val="009D07A9"/>
    <w:rsid w:val="009D0AE2"/>
    <w:rsid w:val="009D0D9F"/>
    <w:rsid w:val="009D0EBB"/>
    <w:rsid w:val="009D2C46"/>
    <w:rsid w:val="009D3ACD"/>
    <w:rsid w:val="009D4254"/>
    <w:rsid w:val="009D4F21"/>
    <w:rsid w:val="009D587D"/>
    <w:rsid w:val="009D7731"/>
    <w:rsid w:val="009E1120"/>
    <w:rsid w:val="009E1393"/>
    <w:rsid w:val="009E1922"/>
    <w:rsid w:val="009E1A3D"/>
    <w:rsid w:val="009E4715"/>
    <w:rsid w:val="009E4A58"/>
    <w:rsid w:val="009E5273"/>
    <w:rsid w:val="009E57A8"/>
    <w:rsid w:val="009E5B85"/>
    <w:rsid w:val="009E5DDB"/>
    <w:rsid w:val="009F2921"/>
    <w:rsid w:val="009F4982"/>
    <w:rsid w:val="009F4CA7"/>
    <w:rsid w:val="009F4F6A"/>
    <w:rsid w:val="009F55BA"/>
    <w:rsid w:val="009F7D36"/>
    <w:rsid w:val="009F7D61"/>
    <w:rsid w:val="00A00E71"/>
    <w:rsid w:val="00A0306F"/>
    <w:rsid w:val="00A03B10"/>
    <w:rsid w:val="00A03E2E"/>
    <w:rsid w:val="00A04616"/>
    <w:rsid w:val="00A04717"/>
    <w:rsid w:val="00A05D8F"/>
    <w:rsid w:val="00A05EE4"/>
    <w:rsid w:val="00A06F99"/>
    <w:rsid w:val="00A1053B"/>
    <w:rsid w:val="00A10D66"/>
    <w:rsid w:val="00A113A4"/>
    <w:rsid w:val="00A14114"/>
    <w:rsid w:val="00A16413"/>
    <w:rsid w:val="00A16545"/>
    <w:rsid w:val="00A16AED"/>
    <w:rsid w:val="00A16C37"/>
    <w:rsid w:val="00A16E1D"/>
    <w:rsid w:val="00A171D5"/>
    <w:rsid w:val="00A17A15"/>
    <w:rsid w:val="00A17D5B"/>
    <w:rsid w:val="00A201E1"/>
    <w:rsid w:val="00A20FE1"/>
    <w:rsid w:val="00A21B4D"/>
    <w:rsid w:val="00A22073"/>
    <w:rsid w:val="00A223E0"/>
    <w:rsid w:val="00A23158"/>
    <w:rsid w:val="00A23E43"/>
    <w:rsid w:val="00A24726"/>
    <w:rsid w:val="00A24DEB"/>
    <w:rsid w:val="00A24ED9"/>
    <w:rsid w:val="00A25216"/>
    <w:rsid w:val="00A2597D"/>
    <w:rsid w:val="00A2628E"/>
    <w:rsid w:val="00A266BF"/>
    <w:rsid w:val="00A2731E"/>
    <w:rsid w:val="00A309AC"/>
    <w:rsid w:val="00A30F65"/>
    <w:rsid w:val="00A3279E"/>
    <w:rsid w:val="00A35900"/>
    <w:rsid w:val="00A40EAC"/>
    <w:rsid w:val="00A418BC"/>
    <w:rsid w:val="00A41FCF"/>
    <w:rsid w:val="00A42936"/>
    <w:rsid w:val="00A43CF8"/>
    <w:rsid w:val="00A43DF2"/>
    <w:rsid w:val="00A445A8"/>
    <w:rsid w:val="00A44B0D"/>
    <w:rsid w:val="00A44D21"/>
    <w:rsid w:val="00A45087"/>
    <w:rsid w:val="00A45489"/>
    <w:rsid w:val="00A45CED"/>
    <w:rsid w:val="00A465E9"/>
    <w:rsid w:val="00A468E7"/>
    <w:rsid w:val="00A46DE0"/>
    <w:rsid w:val="00A478BA"/>
    <w:rsid w:val="00A50D73"/>
    <w:rsid w:val="00A518BB"/>
    <w:rsid w:val="00A52A88"/>
    <w:rsid w:val="00A52CAD"/>
    <w:rsid w:val="00A53FC7"/>
    <w:rsid w:val="00A55569"/>
    <w:rsid w:val="00A566A0"/>
    <w:rsid w:val="00A601E7"/>
    <w:rsid w:val="00A60AC1"/>
    <w:rsid w:val="00A626FF"/>
    <w:rsid w:val="00A62CE1"/>
    <w:rsid w:val="00A65469"/>
    <w:rsid w:val="00A65528"/>
    <w:rsid w:val="00A655D3"/>
    <w:rsid w:val="00A662D9"/>
    <w:rsid w:val="00A6741E"/>
    <w:rsid w:val="00A67E29"/>
    <w:rsid w:val="00A7016A"/>
    <w:rsid w:val="00A7018D"/>
    <w:rsid w:val="00A7191D"/>
    <w:rsid w:val="00A722F9"/>
    <w:rsid w:val="00A72D42"/>
    <w:rsid w:val="00A746C9"/>
    <w:rsid w:val="00A74C2A"/>
    <w:rsid w:val="00A75E40"/>
    <w:rsid w:val="00A76818"/>
    <w:rsid w:val="00A77D1D"/>
    <w:rsid w:val="00A81652"/>
    <w:rsid w:val="00A82C91"/>
    <w:rsid w:val="00A83150"/>
    <w:rsid w:val="00A83398"/>
    <w:rsid w:val="00A83D6E"/>
    <w:rsid w:val="00A83FD5"/>
    <w:rsid w:val="00A8521A"/>
    <w:rsid w:val="00A857C0"/>
    <w:rsid w:val="00A85ACB"/>
    <w:rsid w:val="00A90F2C"/>
    <w:rsid w:val="00A90FED"/>
    <w:rsid w:val="00A91482"/>
    <w:rsid w:val="00A9189D"/>
    <w:rsid w:val="00A91E71"/>
    <w:rsid w:val="00A925B1"/>
    <w:rsid w:val="00A92A3E"/>
    <w:rsid w:val="00A934F9"/>
    <w:rsid w:val="00A940E3"/>
    <w:rsid w:val="00A94983"/>
    <w:rsid w:val="00A95F1A"/>
    <w:rsid w:val="00A96116"/>
    <w:rsid w:val="00A9614E"/>
    <w:rsid w:val="00A96422"/>
    <w:rsid w:val="00A96C0F"/>
    <w:rsid w:val="00AA0E80"/>
    <w:rsid w:val="00AA17CD"/>
    <w:rsid w:val="00AA1D85"/>
    <w:rsid w:val="00AA212F"/>
    <w:rsid w:val="00AA26A9"/>
    <w:rsid w:val="00AA2996"/>
    <w:rsid w:val="00AA2AF4"/>
    <w:rsid w:val="00AA4282"/>
    <w:rsid w:val="00AA4790"/>
    <w:rsid w:val="00AA52BF"/>
    <w:rsid w:val="00AA559A"/>
    <w:rsid w:val="00AA6C31"/>
    <w:rsid w:val="00AA7752"/>
    <w:rsid w:val="00AA7CE8"/>
    <w:rsid w:val="00AB1457"/>
    <w:rsid w:val="00AB2AF1"/>
    <w:rsid w:val="00AB3EC7"/>
    <w:rsid w:val="00AB5A64"/>
    <w:rsid w:val="00AB5CA1"/>
    <w:rsid w:val="00AB6456"/>
    <w:rsid w:val="00AB75C5"/>
    <w:rsid w:val="00AC044E"/>
    <w:rsid w:val="00AC2118"/>
    <w:rsid w:val="00AC2395"/>
    <w:rsid w:val="00AC2960"/>
    <w:rsid w:val="00AC2AC4"/>
    <w:rsid w:val="00AC4284"/>
    <w:rsid w:val="00AC45BD"/>
    <w:rsid w:val="00AC50BB"/>
    <w:rsid w:val="00AD0B22"/>
    <w:rsid w:val="00AD0EE7"/>
    <w:rsid w:val="00AD168E"/>
    <w:rsid w:val="00AD306C"/>
    <w:rsid w:val="00AD44CD"/>
    <w:rsid w:val="00AD5AD2"/>
    <w:rsid w:val="00AD6462"/>
    <w:rsid w:val="00AD66C5"/>
    <w:rsid w:val="00AD68C4"/>
    <w:rsid w:val="00AD71F9"/>
    <w:rsid w:val="00AE09B3"/>
    <w:rsid w:val="00AE1A83"/>
    <w:rsid w:val="00AE30BE"/>
    <w:rsid w:val="00AE3E6A"/>
    <w:rsid w:val="00AE6414"/>
    <w:rsid w:val="00AE7269"/>
    <w:rsid w:val="00AE797C"/>
    <w:rsid w:val="00AE7CE7"/>
    <w:rsid w:val="00AE7FAB"/>
    <w:rsid w:val="00AF0DE4"/>
    <w:rsid w:val="00AF1E87"/>
    <w:rsid w:val="00AF436B"/>
    <w:rsid w:val="00AF5179"/>
    <w:rsid w:val="00AF5CC2"/>
    <w:rsid w:val="00AF6776"/>
    <w:rsid w:val="00AF6F98"/>
    <w:rsid w:val="00B00913"/>
    <w:rsid w:val="00B01593"/>
    <w:rsid w:val="00B01FF9"/>
    <w:rsid w:val="00B023F2"/>
    <w:rsid w:val="00B038CA"/>
    <w:rsid w:val="00B06DB4"/>
    <w:rsid w:val="00B0750D"/>
    <w:rsid w:val="00B0799C"/>
    <w:rsid w:val="00B102CE"/>
    <w:rsid w:val="00B10A4D"/>
    <w:rsid w:val="00B10C90"/>
    <w:rsid w:val="00B11002"/>
    <w:rsid w:val="00B1114F"/>
    <w:rsid w:val="00B121B2"/>
    <w:rsid w:val="00B141B6"/>
    <w:rsid w:val="00B14BC1"/>
    <w:rsid w:val="00B16DD1"/>
    <w:rsid w:val="00B16EB8"/>
    <w:rsid w:val="00B17E71"/>
    <w:rsid w:val="00B17FDE"/>
    <w:rsid w:val="00B20632"/>
    <w:rsid w:val="00B2379C"/>
    <w:rsid w:val="00B23D5D"/>
    <w:rsid w:val="00B2687D"/>
    <w:rsid w:val="00B3108D"/>
    <w:rsid w:val="00B32DDB"/>
    <w:rsid w:val="00B32F57"/>
    <w:rsid w:val="00B3345C"/>
    <w:rsid w:val="00B34528"/>
    <w:rsid w:val="00B34CC9"/>
    <w:rsid w:val="00B3563B"/>
    <w:rsid w:val="00B36BDC"/>
    <w:rsid w:val="00B37D3A"/>
    <w:rsid w:val="00B37D96"/>
    <w:rsid w:val="00B402FC"/>
    <w:rsid w:val="00B422E2"/>
    <w:rsid w:val="00B42D5F"/>
    <w:rsid w:val="00B43216"/>
    <w:rsid w:val="00B439DA"/>
    <w:rsid w:val="00B4411A"/>
    <w:rsid w:val="00B45FE8"/>
    <w:rsid w:val="00B46604"/>
    <w:rsid w:val="00B47089"/>
    <w:rsid w:val="00B47587"/>
    <w:rsid w:val="00B52151"/>
    <w:rsid w:val="00B530CD"/>
    <w:rsid w:val="00B53C7D"/>
    <w:rsid w:val="00B53E56"/>
    <w:rsid w:val="00B55A97"/>
    <w:rsid w:val="00B55F5E"/>
    <w:rsid w:val="00B5642C"/>
    <w:rsid w:val="00B5658D"/>
    <w:rsid w:val="00B56B6F"/>
    <w:rsid w:val="00B5752E"/>
    <w:rsid w:val="00B60AC1"/>
    <w:rsid w:val="00B61FF6"/>
    <w:rsid w:val="00B62316"/>
    <w:rsid w:val="00B63A11"/>
    <w:rsid w:val="00B64425"/>
    <w:rsid w:val="00B64C24"/>
    <w:rsid w:val="00B65CEF"/>
    <w:rsid w:val="00B6608F"/>
    <w:rsid w:val="00B67749"/>
    <w:rsid w:val="00B679FB"/>
    <w:rsid w:val="00B71FBF"/>
    <w:rsid w:val="00B734A0"/>
    <w:rsid w:val="00B73A14"/>
    <w:rsid w:val="00B748BD"/>
    <w:rsid w:val="00B7680F"/>
    <w:rsid w:val="00B76B48"/>
    <w:rsid w:val="00B76D1E"/>
    <w:rsid w:val="00B77543"/>
    <w:rsid w:val="00B77584"/>
    <w:rsid w:val="00B80EC6"/>
    <w:rsid w:val="00B81288"/>
    <w:rsid w:val="00B81D70"/>
    <w:rsid w:val="00B833B9"/>
    <w:rsid w:val="00B83E07"/>
    <w:rsid w:val="00B84CF6"/>
    <w:rsid w:val="00B85016"/>
    <w:rsid w:val="00B8561A"/>
    <w:rsid w:val="00B86643"/>
    <w:rsid w:val="00B868F7"/>
    <w:rsid w:val="00B90131"/>
    <w:rsid w:val="00B92951"/>
    <w:rsid w:val="00B92D1D"/>
    <w:rsid w:val="00B92D7E"/>
    <w:rsid w:val="00B930CE"/>
    <w:rsid w:val="00B938C5"/>
    <w:rsid w:val="00B940A8"/>
    <w:rsid w:val="00B9554A"/>
    <w:rsid w:val="00B95940"/>
    <w:rsid w:val="00B95ACA"/>
    <w:rsid w:val="00B97ACC"/>
    <w:rsid w:val="00B97FE2"/>
    <w:rsid w:val="00BA0A75"/>
    <w:rsid w:val="00BA0E0B"/>
    <w:rsid w:val="00BA201A"/>
    <w:rsid w:val="00BA3787"/>
    <w:rsid w:val="00BA46E8"/>
    <w:rsid w:val="00BA4E19"/>
    <w:rsid w:val="00BA6436"/>
    <w:rsid w:val="00BA64F2"/>
    <w:rsid w:val="00BA684E"/>
    <w:rsid w:val="00BA6C2B"/>
    <w:rsid w:val="00BA7B64"/>
    <w:rsid w:val="00BB02A3"/>
    <w:rsid w:val="00BB0351"/>
    <w:rsid w:val="00BB15C3"/>
    <w:rsid w:val="00BB1AF4"/>
    <w:rsid w:val="00BB2202"/>
    <w:rsid w:val="00BB3C6B"/>
    <w:rsid w:val="00BB3FD6"/>
    <w:rsid w:val="00BB453F"/>
    <w:rsid w:val="00BB46F3"/>
    <w:rsid w:val="00BB4A71"/>
    <w:rsid w:val="00BB4CB1"/>
    <w:rsid w:val="00BB4F98"/>
    <w:rsid w:val="00BB5AB2"/>
    <w:rsid w:val="00BB5ABF"/>
    <w:rsid w:val="00BB6EA2"/>
    <w:rsid w:val="00BB7B5B"/>
    <w:rsid w:val="00BB7EB1"/>
    <w:rsid w:val="00BC003F"/>
    <w:rsid w:val="00BC0930"/>
    <w:rsid w:val="00BC327F"/>
    <w:rsid w:val="00BC3512"/>
    <w:rsid w:val="00BC50BE"/>
    <w:rsid w:val="00BC5332"/>
    <w:rsid w:val="00BC5715"/>
    <w:rsid w:val="00BC5C12"/>
    <w:rsid w:val="00BC7154"/>
    <w:rsid w:val="00BC731E"/>
    <w:rsid w:val="00BC7614"/>
    <w:rsid w:val="00BD25BB"/>
    <w:rsid w:val="00BD2AF8"/>
    <w:rsid w:val="00BD366B"/>
    <w:rsid w:val="00BD3C09"/>
    <w:rsid w:val="00BD410B"/>
    <w:rsid w:val="00BD4A73"/>
    <w:rsid w:val="00BD6C75"/>
    <w:rsid w:val="00BD6D50"/>
    <w:rsid w:val="00BD73D2"/>
    <w:rsid w:val="00BE0AD1"/>
    <w:rsid w:val="00BE0EF9"/>
    <w:rsid w:val="00BE10A1"/>
    <w:rsid w:val="00BE18B9"/>
    <w:rsid w:val="00BE190A"/>
    <w:rsid w:val="00BE2495"/>
    <w:rsid w:val="00BE24DD"/>
    <w:rsid w:val="00BE386D"/>
    <w:rsid w:val="00BE557B"/>
    <w:rsid w:val="00BE7F5F"/>
    <w:rsid w:val="00BF02C8"/>
    <w:rsid w:val="00BF1578"/>
    <w:rsid w:val="00BF15CA"/>
    <w:rsid w:val="00BF1D12"/>
    <w:rsid w:val="00BF1D3A"/>
    <w:rsid w:val="00BF2B5B"/>
    <w:rsid w:val="00BF2D41"/>
    <w:rsid w:val="00BF3274"/>
    <w:rsid w:val="00BF32DC"/>
    <w:rsid w:val="00BF4329"/>
    <w:rsid w:val="00BF4E43"/>
    <w:rsid w:val="00BF5C4C"/>
    <w:rsid w:val="00BF77FC"/>
    <w:rsid w:val="00C006D6"/>
    <w:rsid w:val="00C00BD7"/>
    <w:rsid w:val="00C01410"/>
    <w:rsid w:val="00C04B78"/>
    <w:rsid w:val="00C052AA"/>
    <w:rsid w:val="00C06EE3"/>
    <w:rsid w:val="00C07749"/>
    <w:rsid w:val="00C11244"/>
    <w:rsid w:val="00C11D48"/>
    <w:rsid w:val="00C1493E"/>
    <w:rsid w:val="00C15DBD"/>
    <w:rsid w:val="00C2010D"/>
    <w:rsid w:val="00C20CB5"/>
    <w:rsid w:val="00C21430"/>
    <w:rsid w:val="00C216DF"/>
    <w:rsid w:val="00C21E61"/>
    <w:rsid w:val="00C21F94"/>
    <w:rsid w:val="00C234DB"/>
    <w:rsid w:val="00C2479A"/>
    <w:rsid w:val="00C24903"/>
    <w:rsid w:val="00C2590D"/>
    <w:rsid w:val="00C25D9C"/>
    <w:rsid w:val="00C27913"/>
    <w:rsid w:val="00C300E2"/>
    <w:rsid w:val="00C31F21"/>
    <w:rsid w:val="00C32631"/>
    <w:rsid w:val="00C33301"/>
    <w:rsid w:val="00C33311"/>
    <w:rsid w:val="00C33B68"/>
    <w:rsid w:val="00C35570"/>
    <w:rsid w:val="00C35A2A"/>
    <w:rsid w:val="00C36A79"/>
    <w:rsid w:val="00C401A9"/>
    <w:rsid w:val="00C401D2"/>
    <w:rsid w:val="00C4031A"/>
    <w:rsid w:val="00C405D4"/>
    <w:rsid w:val="00C419D5"/>
    <w:rsid w:val="00C41D54"/>
    <w:rsid w:val="00C42EBB"/>
    <w:rsid w:val="00C4513B"/>
    <w:rsid w:val="00C475E8"/>
    <w:rsid w:val="00C50E79"/>
    <w:rsid w:val="00C5197D"/>
    <w:rsid w:val="00C525FB"/>
    <w:rsid w:val="00C5390B"/>
    <w:rsid w:val="00C54257"/>
    <w:rsid w:val="00C54697"/>
    <w:rsid w:val="00C550CE"/>
    <w:rsid w:val="00C553A5"/>
    <w:rsid w:val="00C55402"/>
    <w:rsid w:val="00C5603B"/>
    <w:rsid w:val="00C61F47"/>
    <w:rsid w:val="00C62828"/>
    <w:rsid w:val="00C715CC"/>
    <w:rsid w:val="00C719A3"/>
    <w:rsid w:val="00C71D2F"/>
    <w:rsid w:val="00C72984"/>
    <w:rsid w:val="00C73885"/>
    <w:rsid w:val="00C73C93"/>
    <w:rsid w:val="00C7435A"/>
    <w:rsid w:val="00C747B1"/>
    <w:rsid w:val="00C75510"/>
    <w:rsid w:val="00C755F9"/>
    <w:rsid w:val="00C75752"/>
    <w:rsid w:val="00C770C9"/>
    <w:rsid w:val="00C81070"/>
    <w:rsid w:val="00C8174E"/>
    <w:rsid w:val="00C82191"/>
    <w:rsid w:val="00C83134"/>
    <w:rsid w:val="00C831E7"/>
    <w:rsid w:val="00C832F3"/>
    <w:rsid w:val="00C845A4"/>
    <w:rsid w:val="00C85545"/>
    <w:rsid w:val="00C855B5"/>
    <w:rsid w:val="00C85F0E"/>
    <w:rsid w:val="00C90CF4"/>
    <w:rsid w:val="00C91C20"/>
    <w:rsid w:val="00C922DE"/>
    <w:rsid w:val="00C92843"/>
    <w:rsid w:val="00C92EB6"/>
    <w:rsid w:val="00C93389"/>
    <w:rsid w:val="00C948E6"/>
    <w:rsid w:val="00C94CDD"/>
    <w:rsid w:val="00C97588"/>
    <w:rsid w:val="00CA0346"/>
    <w:rsid w:val="00CA1BD6"/>
    <w:rsid w:val="00CA37FF"/>
    <w:rsid w:val="00CA423A"/>
    <w:rsid w:val="00CA47BC"/>
    <w:rsid w:val="00CA5EAD"/>
    <w:rsid w:val="00CA6AB4"/>
    <w:rsid w:val="00CA7255"/>
    <w:rsid w:val="00CB1BEE"/>
    <w:rsid w:val="00CB2351"/>
    <w:rsid w:val="00CB4930"/>
    <w:rsid w:val="00CB4BA9"/>
    <w:rsid w:val="00CB4C63"/>
    <w:rsid w:val="00CB5A48"/>
    <w:rsid w:val="00CB5E10"/>
    <w:rsid w:val="00CB613B"/>
    <w:rsid w:val="00CB6152"/>
    <w:rsid w:val="00CB64E1"/>
    <w:rsid w:val="00CB6E4D"/>
    <w:rsid w:val="00CC0834"/>
    <w:rsid w:val="00CC20FE"/>
    <w:rsid w:val="00CC2E7D"/>
    <w:rsid w:val="00CC612B"/>
    <w:rsid w:val="00CC655F"/>
    <w:rsid w:val="00CC66F9"/>
    <w:rsid w:val="00CC6C2A"/>
    <w:rsid w:val="00CC6FE5"/>
    <w:rsid w:val="00CC7458"/>
    <w:rsid w:val="00CC76BD"/>
    <w:rsid w:val="00CC7A87"/>
    <w:rsid w:val="00CD10A5"/>
    <w:rsid w:val="00CD1129"/>
    <w:rsid w:val="00CD1A80"/>
    <w:rsid w:val="00CD1CB5"/>
    <w:rsid w:val="00CD2076"/>
    <w:rsid w:val="00CD24CE"/>
    <w:rsid w:val="00CD29B5"/>
    <w:rsid w:val="00CD2B78"/>
    <w:rsid w:val="00CD3FAB"/>
    <w:rsid w:val="00CD5456"/>
    <w:rsid w:val="00CD5C3E"/>
    <w:rsid w:val="00CD6331"/>
    <w:rsid w:val="00CE14BE"/>
    <w:rsid w:val="00CE17A4"/>
    <w:rsid w:val="00CE1BA9"/>
    <w:rsid w:val="00CE2D8F"/>
    <w:rsid w:val="00CE3E48"/>
    <w:rsid w:val="00CE47B8"/>
    <w:rsid w:val="00CE62FA"/>
    <w:rsid w:val="00CE670B"/>
    <w:rsid w:val="00CE6833"/>
    <w:rsid w:val="00CF020B"/>
    <w:rsid w:val="00CF2E4D"/>
    <w:rsid w:val="00CF4205"/>
    <w:rsid w:val="00CF4908"/>
    <w:rsid w:val="00CF51EC"/>
    <w:rsid w:val="00CF545D"/>
    <w:rsid w:val="00CF5873"/>
    <w:rsid w:val="00CF73AE"/>
    <w:rsid w:val="00CF7777"/>
    <w:rsid w:val="00D0085A"/>
    <w:rsid w:val="00D0197F"/>
    <w:rsid w:val="00D01B31"/>
    <w:rsid w:val="00D0242D"/>
    <w:rsid w:val="00D02716"/>
    <w:rsid w:val="00D03A72"/>
    <w:rsid w:val="00D040DD"/>
    <w:rsid w:val="00D04134"/>
    <w:rsid w:val="00D05C65"/>
    <w:rsid w:val="00D06B56"/>
    <w:rsid w:val="00D06D68"/>
    <w:rsid w:val="00D075BE"/>
    <w:rsid w:val="00D07AFF"/>
    <w:rsid w:val="00D10C15"/>
    <w:rsid w:val="00D11476"/>
    <w:rsid w:val="00D12C25"/>
    <w:rsid w:val="00D133B4"/>
    <w:rsid w:val="00D13986"/>
    <w:rsid w:val="00D14C5B"/>
    <w:rsid w:val="00D15FED"/>
    <w:rsid w:val="00D16712"/>
    <w:rsid w:val="00D214EF"/>
    <w:rsid w:val="00D215B0"/>
    <w:rsid w:val="00D21D6D"/>
    <w:rsid w:val="00D21D83"/>
    <w:rsid w:val="00D235B7"/>
    <w:rsid w:val="00D23FAE"/>
    <w:rsid w:val="00D25F28"/>
    <w:rsid w:val="00D26071"/>
    <w:rsid w:val="00D269B9"/>
    <w:rsid w:val="00D27973"/>
    <w:rsid w:val="00D27F3A"/>
    <w:rsid w:val="00D31537"/>
    <w:rsid w:val="00D31E1E"/>
    <w:rsid w:val="00D322A0"/>
    <w:rsid w:val="00D32824"/>
    <w:rsid w:val="00D334E2"/>
    <w:rsid w:val="00D350B1"/>
    <w:rsid w:val="00D35AD6"/>
    <w:rsid w:val="00D35BBB"/>
    <w:rsid w:val="00D35E1A"/>
    <w:rsid w:val="00D36B0A"/>
    <w:rsid w:val="00D36DFB"/>
    <w:rsid w:val="00D36E1C"/>
    <w:rsid w:val="00D373AF"/>
    <w:rsid w:val="00D40556"/>
    <w:rsid w:val="00D41F74"/>
    <w:rsid w:val="00D428C8"/>
    <w:rsid w:val="00D43034"/>
    <w:rsid w:val="00D43ED2"/>
    <w:rsid w:val="00D50F46"/>
    <w:rsid w:val="00D5384E"/>
    <w:rsid w:val="00D544E7"/>
    <w:rsid w:val="00D5499F"/>
    <w:rsid w:val="00D5560A"/>
    <w:rsid w:val="00D56FBF"/>
    <w:rsid w:val="00D57677"/>
    <w:rsid w:val="00D5781F"/>
    <w:rsid w:val="00D60415"/>
    <w:rsid w:val="00D60E3C"/>
    <w:rsid w:val="00D61FAB"/>
    <w:rsid w:val="00D63BE5"/>
    <w:rsid w:val="00D6475F"/>
    <w:rsid w:val="00D66223"/>
    <w:rsid w:val="00D667B8"/>
    <w:rsid w:val="00D70289"/>
    <w:rsid w:val="00D70822"/>
    <w:rsid w:val="00D72076"/>
    <w:rsid w:val="00D726A9"/>
    <w:rsid w:val="00D72DBA"/>
    <w:rsid w:val="00D743E0"/>
    <w:rsid w:val="00D7490C"/>
    <w:rsid w:val="00D75AC1"/>
    <w:rsid w:val="00D77252"/>
    <w:rsid w:val="00D8084C"/>
    <w:rsid w:val="00D81809"/>
    <w:rsid w:val="00D82EF1"/>
    <w:rsid w:val="00D84F43"/>
    <w:rsid w:val="00D85114"/>
    <w:rsid w:val="00D85821"/>
    <w:rsid w:val="00D8598C"/>
    <w:rsid w:val="00D87C06"/>
    <w:rsid w:val="00D915EA"/>
    <w:rsid w:val="00D919ED"/>
    <w:rsid w:val="00D922A1"/>
    <w:rsid w:val="00D928BE"/>
    <w:rsid w:val="00D95302"/>
    <w:rsid w:val="00D95C5D"/>
    <w:rsid w:val="00D97D00"/>
    <w:rsid w:val="00DA096C"/>
    <w:rsid w:val="00DA1AB6"/>
    <w:rsid w:val="00DA2E65"/>
    <w:rsid w:val="00DA3ADF"/>
    <w:rsid w:val="00DA4174"/>
    <w:rsid w:val="00DA544C"/>
    <w:rsid w:val="00DA5F8E"/>
    <w:rsid w:val="00DA6364"/>
    <w:rsid w:val="00DA7114"/>
    <w:rsid w:val="00DA7C0C"/>
    <w:rsid w:val="00DB03DD"/>
    <w:rsid w:val="00DB08A9"/>
    <w:rsid w:val="00DB2DFA"/>
    <w:rsid w:val="00DB2EC8"/>
    <w:rsid w:val="00DB321D"/>
    <w:rsid w:val="00DB459B"/>
    <w:rsid w:val="00DB47FD"/>
    <w:rsid w:val="00DB5E3A"/>
    <w:rsid w:val="00DB5E9A"/>
    <w:rsid w:val="00DB613B"/>
    <w:rsid w:val="00DB657E"/>
    <w:rsid w:val="00DB7342"/>
    <w:rsid w:val="00DB7489"/>
    <w:rsid w:val="00DC17D0"/>
    <w:rsid w:val="00DC2B41"/>
    <w:rsid w:val="00DC3128"/>
    <w:rsid w:val="00DC435B"/>
    <w:rsid w:val="00DC53D8"/>
    <w:rsid w:val="00DC56FE"/>
    <w:rsid w:val="00DC5B3B"/>
    <w:rsid w:val="00DC6C2D"/>
    <w:rsid w:val="00DC7B1A"/>
    <w:rsid w:val="00DD04B0"/>
    <w:rsid w:val="00DD129F"/>
    <w:rsid w:val="00DD13FC"/>
    <w:rsid w:val="00DD1A3F"/>
    <w:rsid w:val="00DD29B5"/>
    <w:rsid w:val="00DD32DD"/>
    <w:rsid w:val="00DD33E8"/>
    <w:rsid w:val="00DD5287"/>
    <w:rsid w:val="00DD5B36"/>
    <w:rsid w:val="00DD7849"/>
    <w:rsid w:val="00DE0D8B"/>
    <w:rsid w:val="00DE1237"/>
    <w:rsid w:val="00DE140F"/>
    <w:rsid w:val="00DE2491"/>
    <w:rsid w:val="00DE5CA6"/>
    <w:rsid w:val="00DE7AC8"/>
    <w:rsid w:val="00DF2C5D"/>
    <w:rsid w:val="00DF3643"/>
    <w:rsid w:val="00DF42FF"/>
    <w:rsid w:val="00DF4369"/>
    <w:rsid w:val="00DF4423"/>
    <w:rsid w:val="00DF4ADF"/>
    <w:rsid w:val="00DF5D1E"/>
    <w:rsid w:val="00DF77E4"/>
    <w:rsid w:val="00DF7F88"/>
    <w:rsid w:val="00E01C0E"/>
    <w:rsid w:val="00E0368F"/>
    <w:rsid w:val="00E03D73"/>
    <w:rsid w:val="00E03F9A"/>
    <w:rsid w:val="00E040DA"/>
    <w:rsid w:val="00E04694"/>
    <w:rsid w:val="00E1168B"/>
    <w:rsid w:val="00E12191"/>
    <w:rsid w:val="00E129E7"/>
    <w:rsid w:val="00E12ABE"/>
    <w:rsid w:val="00E12B1E"/>
    <w:rsid w:val="00E1444C"/>
    <w:rsid w:val="00E17262"/>
    <w:rsid w:val="00E20016"/>
    <w:rsid w:val="00E2009B"/>
    <w:rsid w:val="00E20BB9"/>
    <w:rsid w:val="00E20BCC"/>
    <w:rsid w:val="00E2251C"/>
    <w:rsid w:val="00E2363D"/>
    <w:rsid w:val="00E23C6A"/>
    <w:rsid w:val="00E2484B"/>
    <w:rsid w:val="00E253A2"/>
    <w:rsid w:val="00E260F6"/>
    <w:rsid w:val="00E27127"/>
    <w:rsid w:val="00E27233"/>
    <w:rsid w:val="00E30F15"/>
    <w:rsid w:val="00E31771"/>
    <w:rsid w:val="00E3186D"/>
    <w:rsid w:val="00E31A3E"/>
    <w:rsid w:val="00E32080"/>
    <w:rsid w:val="00E3309D"/>
    <w:rsid w:val="00E350B1"/>
    <w:rsid w:val="00E35A53"/>
    <w:rsid w:val="00E3656B"/>
    <w:rsid w:val="00E3724A"/>
    <w:rsid w:val="00E378B1"/>
    <w:rsid w:val="00E417BE"/>
    <w:rsid w:val="00E41CD5"/>
    <w:rsid w:val="00E42054"/>
    <w:rsid w:val="00E4372D"/>
    <w:rsid w:val="00E43A9E"/>
    <w:rsid w:val="00E44243"/>
    <w:rsid w:val="00E453F9"/>
    <w:rsid w:val="00E45D7D"/>
    <w:rsid w:val="00E4623F"/>
    <w:rsid w:val="00E4665D"/>
    <w:rsid w:val="00E47854"/>
    <w:rsid w:val="00E47EBA"/>
    <w:rsid w:val="00E50156"/>
    <w:rsid w:val="00E504EB"/>
    <w:rsid w:val="00E5076C"/>
    <w:rsid w:val="00E50D2E"/>
    <w:rsid w:val="00E50D7D"/>
    <w:rsid w:val="00E53470"/>
    <w:rsid w:val="00E539F6"/>
    <w:rsid w:val="00E54698"/>
    <w:rsid w:val="00E54FB4"/>
    <w:rsid w:val="00E5539A"/>
    <w:rsid w:val="00E55791"/>
    <w:rsid w:val="00E55E1A"/>
    <w:rsid w:val="00E578A2"/>
    <w:rsid w:val="00E60043"/>
    <w:rsid w:val="00E61740"/>
    <w:rsid w:val="00E61EB5"/>
    <w:rsid w:val="00E6324D"/>
    <w:rsid w:val="00E65084"/>
    <w:rsid w:val="00E6519D"/>
    <w:rsid w:val="00E66062"/>
    <w:rsid w:val="00E6660E"/>
    <w:rsid w:val="00E66768"/>
    <w:rsid w:val="00E67305"/>
    <w:rsid w:val="00E67696"/>
    <w:rsid w:val="00E70C5F"/>
    <w:rsid w:val="00E71A58"/>
    <w:rsid w:val="00E72A26"/>
    <w:rsid w:val="00E72A7A"/>
    <w:rsid w:val="00E7335A"/>
    <w:rsid w:val="00E7467D"/>
    <w:rsid w:val="00E747DC"/>
    <w:rsid w:val="00E74A2D"/>
    <w:rsid w:val="00E75C94"/>
    <w:rsid w:val="00E76A08"/>
    <w:rsid w:val="00E76B9B"/>
    <w:rsid w:val="00E76E61"/>
    <w:rsid w:val="00E77CC0"/>
    <w:rsid w:val="00E80B3D"/>
    <w:rsid w:val="00E80CA3"/>
    <w:rsid w:val="00E82618"/>
    <w:rsid w:val="00E84E09"/>
    <w:rsid w:val="00E90CA8"/>
    <w:rsid w:val="00E930A1"/>
    <w:rsid w:val="00E93820"/>
    <w:rsid w:val="00E94A86"/>
    <w:rsid w:val="00E953F6"/>
    <w:rsid w:val="00E96143"/>
    <w:rsid w:val="00E96833"/>
    <w:rsid w:val="00E97506"/>
    <w:rsid w:val="00E97BB5"/>
    <w:rsid w:val="00EA0C68"/>
    <w:rsid w:val="00EA1D0E"/>
    <w:rsid w:val="00EA2072"/>
    <w:rsid w:val="00EA2841"/>
    <w:rsid w:val="00EA32BC"/>
    <w:rsid w:val="00EA35A7"/>
    <w:rsid w:val="00EA3B32"/>
    <w:rsid w:val="00EA3D05"/>
    <w:rsid w:val="00EA4402"/>
    <w:rsid w:val="00EA4B8D"/>
    <w:rsid w:val="00EA513E"/>
    <w:rsid w:val="00EA7419"/>
    <w:rsid w:val="00EB0E32"/>
    <w:rsid w:val="00EB3E60"/>
    <w:rsid w:val="00EB4511"/>
    <w:rsid w:val="00EB48D7"/>
    <w:rsid w:val="00EB4A8E"/>
    <w:rsid w:val="00EB4BC5"/>
    <w:rsid w:val="00EB5BF7"/>
    <w:rsid w:val="00EB5E79"/>
    <w:rsid w:val="00EB6FAC"/>
    <w:rsid w:val="00EB7BAC"/>
    <w:rsid w:val="00EC03D7"/>
    <w:rsid w:val="00EC13A7"/>
    <w:rsid w:val="00EC2EB6"/>
    <w:rsid w:val="00ED0EF0"/>
    <w:rsid w:val="00ED12B9"/>
    <w:rsid w:val="00ED16B8"/>
    <w:rsid w:val="00ED1DF0"/>
    <w:rsid w:val="00ED2386"/>
    <w:rsid w:val="00ED2EA1"/>
    <w:rsid w:val="00ED3851"/>
    <w:rsid w:val="00ED3F10"/>
    <w:rsid w:val="00ED4D04"/>
    <w:rsid w:val="00ED566D"/>
    <w:rsid w:val="00ED5907"/>
    <w:rsid w:val="00ED5F5B"/>
    <w:rsid w:val="00ED62C6"/>
    <w:rsid w:val="00ED64C1"/>
    <w:rsid w:val="00ED781F"/>
    <w:rsid w:val="00EE2EB4"/>
    <w:rsid w:val="00EE3446"/>
    <w:rsid w:val="00EE3E78"/>
    <w:rsid w:val="00EE41FD"/>
    <w:rsid w:val="00EE460E"/>
    <w:rsid w:val="00EE4B1B"/>
    <w:rsid w:val="00EE5FBA"/>
    <w:rsid w:val="00EE6E06"/>
    <w:rsid w:val="00EE7179"/>
    <w:rsid w:val="00EF0D90"/>
    <w:rsid w:val="00EF150D"/>
    <w:rsid w:val="00EF1F5A"/>
    <w:rsid w:val="00EF23B5"/>
    <w:rsid w:val="00EF47BF"/>
    <w:rsid w:val="00EF59B1"/>
    <w:rsid w:val="00EF5A13"/>
    <w:rsid w:val="00EF5FF9"/>
    <w:rsid w:val="00EF77D4"/>
    <w:rsid w:val="00EF7CC7"/>
    <w:rsid w:val="00F00853"/>
    <w:rsid w:val="00F00866"/>
    <w:rsid w:val="00F00EC8"/>
    <w:rsid w:val="00F0160B"/>
    <w:rsid w:val="00F0193E"/>
    <w:rsid w:val="00F03E2F"/>
    <w:rsid w:val="00F03F8D"/>
    <w:rsid w:val="00F04811"/>
    <w:rsid w:val="00F0488C"/>
    <w:rsid w:val="00F073ED"/>
    <w:rsid w:val="00F07C4C"/>
    <w:rsid w:val="00F10F11"/>
    <w:rsid w:val="00F11159"/>
    <w:rsid w:val="00F115E4"/>
    <w:rsid w:val="00F12CFB"/>
    <w:rsid w:val="00F13E60"/>
    <w:rsid w:val="00F13FDB"/>
    <w:rsid w:val="00F15AAA"/>
    <w:rsid w:val="00F15BEF"/>
    <w:rsid w:val="00F17898"/>
    <w:rsid w:val="00F207C2"/>
    <w:rsid w:val="00F21337"/>
    <w:rsid w:val="00F219A1"/>
    <w:rsid w:val="00F23E20"/>
    <w:rsid w:val="00F24407"/>
    <w:rsid w:val="00F24FAA"/>
    <w:rsid w:val="00F25040"/>
    <w:rsid w:val="00F27071"/>
    <w:rsid w:val="00F27331"/>
    <w:rsid w:val="00F27EE5"/>
    <w:rsid w:val="00F27FB1"/>
    <w:rsid w:val="00F27FD6"/>
    <w:rsid w:val="00F307CB"/>
    <w:rsid w:val="00F30C65"/>
    <w:rsid w:val="00F321D2"/>
    <w:rsid w:val="00F32649"/>
    <w:rsid w:val="00F33523"/>
    <w:rsid w:val="00F3364D"/>
    <w:rsid w:val="00F33914"/>
    <w:rsid w:val="00F349BF"/>
    <w:rsid w:val="00F34DDC"/>
    <w:rsid w:val="00F36191"/>
    <w:rsid w:val="00F3629F"/>
    <w:rsid w:val="00F36DF3"/>
    <w:rsid w:val="00F37EDC"/>
    <w:rsid w:val="00F437CC"/>
    <w:rsid w:val="00F44537"/>
    <w:rsid w:val="00F46185"/>
    <w:rsid w:val="00F46423"/>
    <w:rsid w:val="00F4696A"/>
    <w:rsid w:val="00F47067"/>
    <w:rsid w:val="00F47234"/>
    <w:rsid w:val="00F525AB"/>
    <w:rsid w:val="00F525EB"/>
    <w:rsid w:val="00F52CB5"/>
    <w:rsid w:val="00F53378"/>
    <w:rsid w:val="00F53A68"/>
    <w:rsid w:val="00F54934"/>
    <w:rsid w:val="00F55A92"/>
    <w:rsid w:val="00F62BFF"/>
    <w:rsid w:val="00F63AAE"/>
    <w:rsid w:val="00F63DDE"/>
    <w:rsid w:val="00F63FB7"/>
    <w:rsid w:val="00F6421B"/>
    <w:rsid w:val="00F647F1"/>
    <w:rsid w:val="00F649D2"/>
    <w:rsid w:val="00F6602B"/>
    <w:rsid w:val="00F7150B"/>
    <w:rsid w:val="00F717E4"/>
    <w:rsid w:val="00F71DE6"/>
    <w:rsid w:val="00F72D71"/>
    <w:rsid w:val="00F7381C"/>
    <w:rsid w:val="00F73A0C"/>
    <w:rsid w:val="00F7549F"/>
    <w:rsid w:val="00F756DB"/>
    <w:rsid w:val="00F767A8"/>
    <w:rsid w:val="00F82D14"/>
    <w:rsid w:val="00F84E7D"/>
    <w:rsid w:val="00F85066"/>
    <w:rsid w:val="00F87A4D"/>
    <w:rsid w:val="00F93688"/>
    <w:rsid w:val="00F939F3"/>
    <w:rsid w:val="00F93C6E"/>
    <w:rsid w:val="00F93F2C"/>
    <w:rsid w:val="00F9644E"/>
    <w:rsid w:val="00FA0105"/>
    <w:rsid w:val="00FA05A0"/>
    <w:rsid w:val="00FA0AEF"/>
    <w:rsid w:val="00FA17CC"/>
    <w:rsid w:val="00FA1F01"/>
    <w:rsid w:val="00FA26DF"/>
    <w:rsid w:val="00FA32BC"/>
    <w:rsid w:val="00FA48A4"/>
    <w:rsid w:val="00FA4CB7"/>
    <w:rsid w:val="00FA5112"/>
    <w:rsid w:val="00FA5526"/>
    <w:rsid w:val="00FA5D4D"/>
    <w:rsid w:val="00FA6CB6"/>
    <w:rsid w:val="00FA70D3"/>
    <w:rsid w:val="00FA7AEC"/>
    <w:rsid w:val="00FB0AEA"/>
    <w:rsid w:val="00FB0EE2"/>
    <w:rsid w:val="00FB1A79"/>
    <w:rsid w:val="00FB208B"/>
    <w:rsid w:val="00FB2B2D"/>
    <w:rsid w:val="00FB542E"/>
    <w:rsid w:val="00FB564F"/>
    <w:rsid w:val="00FB7DBB"/>
    <w:rsid w:val="00FC05F8"/>
    <w:rsid w:val="00FC0E5F"/>
    <w:rsid w:val="00FC1266"/>
    <w:rsid w:val="00FC1A95"/>
    <w:rsid w:val="00FC1ED4"/>
    <w:rsid w:val="00FC3BEC"/>
    <w:rsid w:val="00FC440B"/>
    <w:rsid w:val="00FC56DE"/>
    <w:rsid w:val="00FC63D9"/>
    <w:rsid w:val="00FC64DE"/>
    <w:rsid w:val="00FC684B"/>
    <w:rsid w:val="00FC7D98"/>
    <w:rsid w:val="00FD1135"/>
    <w:rsid w:val="00FD3265"/>
    <w:rsid w:val="00FD32FA"/>
    <w:rsid w:val="00FD3CF7"/>
    <w:rsid w:val="00FD4916"/>
    <w:rsid w:val="00FD4D12"/>
    <w:rsid w:val="00FD4F73"/>
    <w:rsid w:val="00FD595E"/>
    <w:rsid w:val="00FD7802"/>
    <w:rsid w:val="00FE27C7"/>
    <w:rsid w:val="00FE2C7E"/>
    <w:rsid w:val="00FE2F78"/>
    <w:rsid w:val="00FE3137"/>
    <w:rsid w:val="00FE346B"/>
    <w:rsid w:val="00FE346F"/>
    <w:rsid w:val="00FE48E4"/>
    <w:rsid w:val="00FE634C"/>
    <w:rsid w:val="00FE6E69"/>
    <w:rsid w:val="00FE6F59"/>
    <w:rsid w:val="00FF01B6"/>
    <w:rsid w:val="00FF1136"/>
    <w:rsid w:val="00FF3D76"/>
    <w:rsid w:val="00FF5B8C"/>
    <w:rsid w:val="00FF63E6"/>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74EEB6EC"/>
  <w15:docId w15:val="{02E7EBF8-5A4E-462D-AC4B-706FC6EE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dc6bece553a4e0ca/Dokumenty/Pr&#225;ce/Anal&#253;za/Q/2020Q2/Makroanal&#253;za%20graf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zabojnikova31519\Documents\Anal&#253;za\Q\2020Q2\Makroanal&#253;za%20graf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d.docs.live.net/dc6bece553a4e0ca/Dokumenty/Pr&#225;ce/Anal&#253;za/Q/2020Q2/Makroanal&#253;za%20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568840579710145E-2"/>
          <c:y val="2.1811315924220299E-2"/>
          <c:w val="0.92237743255066085"/>
          <c:h val="0.73318107621299833"/>
        </c:manualLayout>
      </c:layout>
      <c:barChart>
        <c:barDir val="col"/>
        <c:grouping val="clustered"/>
        <c:varyColors val="0"/>
        <c:ser>
          <c:idx val="0"/>
          <c:order val="0"/>
          <c:tx>
            <c:strRef>
              <c:f>'[Makroanalýza grafy.xlsx]Ceny 2'!$C$5</c:f>
              <c:strCache>
                <c:ptCount val="1"/>
                <c:pt idx="0">
                  <c:v>Celkem</c:v>
                </c:pt>
              </c:strCache>
            </c:strRef>
          </c:tx>
          <c:spPr>
            <a:solidFill>
              <a:schemeClr val="bg1">
                <a:lumMod val="65000"/>
              </a:schemeClr>
            </a:solidFill>
            <a:ln w="19050">
              <a:noFill/>
            </a:ln>
          </c:spPr>
          <c:invertIfNegative val="0"/>
          <c:cat>
            <c:multiLvlStrRef>
              <c:f>'[Makroanalýza grafy.xlsx]Ceny 2'!$A$18:$B$39</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2015</c:v>
                  </c:pt>
                  <c:pt idx="4">
                    <c:v>2016</c:v>
                  </c:pt>
                  <c:pt idx="8">
                    <c:v>2017</c:v>
                  </c:pt>
                  <c:pt idx="12">
                    <c:v>2018</c:v>
                  </c:pt>
                  <c:pt idx="16">
                    <c:v>2019</c:v>
                  </c:pt>
                  <c:pt idx="20">
                    <c:v>2020</c:v>
                  </c:pt>
                </c:lvl>
              </c:multiLvlStrCache>
            </c:multiLvlStrRef>
          </c:cat>
          <c:val>
            <c:numRef>
              <c:f>'[Makroanalýza grafy.xlsx]Ceny 2'!$C$18:$C$39</c:f>
              <c:numCache>
                <c:formatCode>0.0</c:formatCode>
                <c:ptCount val="22"/>
                <c:pt idx="0">
                  <c:v>9.9999999999994316E-2</c:v>
                </c:pt>
                <c:pt idx="1">
                  <c:v>0.70000000000000284</c:v>
                </c:pt>
                <c:pt idx="2">
                  <c:v>0.40000000000000568</c:v>
                </c:pt>
                <c:pt idx="3">
                  <c:v>9.9999999999994316E-2</c:v>
                </c:pt>
                <c:pt idx="4">
                  <c:v>0.5</c:v>
                </c:pt>
                <c:pt idx="5">
                  <c:v>0.20000000000000284</c:v>
                </c:pt>
                <c:pt idx="6">
                  <c:v>0.5</c:v>
                </c:pt>
                <c:pt idx="7">
                  <c:v>1.4000000000000057</c:v>
                </c:pt>
                <c:pt idx="8" formatCode="General">
                  <c:v>2.4000000000000057</c:v>
                </c:pt>
                <c:pt idx="9" formatCode="General">
                  <c:v>2.2000000000000028</c:v>
                </c:pt>
                <c:pt idx="10">
                  <c:v>2.5</c:v>
                </c:pt>
                <c:pt idx="11">
                  <c:v>2.6</c:v>
                </c:pt>
                <c:pt idx="12">
                  <c:v>1.9</c:v>
                </c:pt>
                <c:pt idx="13">
                  <c:v>2.2999999999999998</c:v>
                </c:pt>
                <c:pt idx="14">
                  <c:v>2.4</c:v>
                </c:pt>
                <c:pt idx="15">
                  <c:v>2.1</c:v>
                </c:pt>
                <c:pt idx="16">
                  <c:v>2.7</c:v>
                </c:pt>
                <c:pt idx="17">
                  <c:v>2.8</c:v>
                </c:pt>
                <c:pt idx="18">
                  <c:v>2.8</c:v>
                </c:pt>
                <c:pt idx="19">
                  <c:v>3</c:v>
                </c:pt>
                <c:pt idx="20">
                  <c:v>3.6</c:v>
                </c:pt>
                <c:pt idx="21">
                  <c:v>3.1</c:v>
                </c:pt>
              </c:numCache>
            </c:numRef>
          </c:val>
          <c:extLst>
            <c:ext xmlns:c16="http://schemas.microsoft.com/office/drawing/2014/chart" uri="{C3380CC4-5D6E-409C-BE32-E72D297353CC}">
              <c16:uniqueId val="{00000000-58A3-4B5C-BA22-76445118101A}"/>
            </c:ext>
          </c:extLst>
        </c:ser>
        <c:dLbls>
          <c:showLegendKey val="0"/>
          <c:showVal val="0"/>
          <c:showCatName val="0"/>
          <c:showSerName val="0"/>
          <c:showPercent val="0"/>
          <c:showBubbleSize val="0"/>
        </c:dLbls>
        <c:gapWidth val="95"/>
        <c:axId val="270120064"/>
        <c:axId val="270121600"/>
      </c:barChart>
      <c:lineChart>
        <c:grouping val="standard"/>
        <c:varyColors val="0"/>
        <c:ser>
          <c:idx val="1"/>
          <c:order val="1"/>
          <c:tx>
            <c:strRef>
              <c:f>'[Makroanalýza grafy.xlsx]Ceny 2'!$D$5</c:f>
              <c:strCache>
                <c:ptCount val="1"/>
                <c:pt idx="0">
                  <c:v>Potraviny a nealkoholické nápoje</c:v>
                </c:pt>
              </c:strCache>
            </c:strRef>
          </c:tx>
          <c:spPr>
            <a:ln w="19050">
              <a:solidFill>
                <a:srgbClr val="0071BC"/>
              </a:solidFill>
            </a:ln>
          </c:spPr>
          <c:marker>
            <c:symbol val="none"/>
          </c:marker>
          <c:cat>
            <c:multiLvlStrRef>
              <c:f>'[Makroanalýza grafy.xlsx]Ceny 2'!$A$18:$B$39</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2015</c:v>
                  </c:pt>
                  <c:pt idx="4">
                    <c:v>2016</c:v>
                  </c:pt>
                  <c:pt idx="8">
                    <c:v>2017</c:v>
                  </c:pt>
                  <c:pt idx="12">
                    <c:v>2018</c:v>
                  </c:pt>
                  <c:pt idx="16">
                    <c:v>2019</c:v>
                  </c:pt>
                  <c:pt idx="20">
                    <c:v>2020</c:v>
                  </c:pt>
                </c:lvl>
              </c:multiLvlStrCache>
            </c:multiLvlStrRef>
          </c:cat>
          <c:val>
            <c:numRef>
              <c:f>'[Makroanalýza grafy.xlsx]Ceny 2'!$D$18:$D$39</c:f>
              <c:numCache>
                <c:formatCode>0.0</c:formatCode>
                <c:ptCount val="22"/>
                <c:pt idx="0">
                  <c:v>-1.5999999999999943</c:v>
                </c:pt>
                <c:pt idx="1">
                  <c:v>-9.9999999999994316E-2</c:v>
                </c:pt>
                <c:pt idx="2">
                  <c:v>-0.90000000000000568</c:v>
                </c:pt>
                <c:pt idx="3">
                  <c:v>-1.5999999999999943</c:v>
                </c:pt>
                <c:pt idx="4">
                  <c:v>-1.7000000000000028</c:v>
                </c:pt>
                <c:pt idx="5">
                  <c:v>-2.4000000000000057</c:v>
                </c:pt>
                <c:pt idx="6">
                  <c:v>-0.79999999999999716</c:v>
                </c:pt>
                <c:pt idx="7">
                  <c:v>1.2000000000000028</c:v>
                </c:pt>
                <c:pt idx="8" formatCode="General">
                  <c:v>4.2000000000000028</c:v>
                </c:pt>
                <c:pt idx="9" formatCode="General">
                  <c:v>4.5</c:v>
                </c:pt>
                <c:pt idx="10">
                  <c:v>5.7</c:v>
                </c:pt>
                <c:pt idx="11">
                  <c:v>6.3</c:v>
                </c:pt>
                <c:pt idx="12">
                  <c:v>2.9</c:v>
                </c:pt>
                <c:pt idx="13" formatCode="#\ ##0.0_ ;\-#\ ##0.0\ ">
                  <c:v>2.2999999999999998</c:v>
                </c:pt>
                <c:pt idx="14">
                  <c:v>0.6</c:v>
                </c:pt>
                <c:pt idx="15">
                  <c:v>-0.5</c:v>
                </c:pt>
                <c:pt idx="16">
                  <c:v>1</c:v>
                </c:pt>
                <c:pt idx="17">
                  <c:v>2.5</c:v>
                </c:pt>
                <c:pt idx="18">
                  <c:v>3.5</c:v>
                </c:pt>
                <c:pt idx="19">
                  <c:v>4.3</c:v>
                </c:pt>
                <c:pt idx="20">
                  <c:v>6.1</c:v>
                </c:pt>
                <c:pt idx="21">
                  <c:v>6.5</c:v>
                </c:pt>
              </c:numCache>
            </c:numRef>
          </c:val>
          <c:smooth val="0"/>
          <c:extLst>
            <c:ext xmlns:c16="http://schemas.microsoft.com/office/drawing/2014/chart" uri="{C3380CC4-5D6E-409C-BE32-E72D297353CC}">
              <c16:uniqueId val="{00000001-58A3-4B5C-BA22-76445118101A}"/>
            </c:ext>
          </c:extLst>
        </c:ser>
        <c:ser>
          <c:idx val="3"/>
          <c:order val="2"/>
          <c:tx>
            <c:strRef>
              <c:f>'[Makroanalýza grafy.xlsx]Ceny 2'!$F$5</c:f>
              <c:strCache>
                <c:ptCount val="1"/>
                <c:pt idx="0">
                  <c:v>Bydlení a energie</c:v>
                </c:pt>
              </c:strCache>
            </c:strRef>
          </c:tx>
          <c:spPr>
            <a:ln w="19050">
              <a:solidFill>
                <a:srgbClr val="7DBB2D"/>
              </a:solidFill>
            </a:ln>
          </c:spPr>
          <c:marker>
            <c:symbol val="none"/>
          </c:marker>
          <c:cat>
            <c:multiLvlStrRef>
              <c:f>'[Makroanalýza grafy.xlsx]Ceny 2'!$A$18:$B$39</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2015</c:v>
                  </c:pt>
                  <c:pt idx="4">
                    <c:v>2016</c:v>
                  </c:pt>
                  <c:pt idx="8">
                    <c:v>2017</c:v>
                  </c:pt>
                  <c:pt idx="12">
                    <c:v>2018</c:v>
                  </c:pt>
                  <c:pt idx="16">
                    <c:v>2019</c:v>
                  </c:pt>
                  <c:pt idx="20">
                    <c:v>2020</c:v>
                  </c:pt>
                </c:lvl>
              </c:multiLvlStrCache>
            </c:multiLvlStrRef>
          </c:cat>
          <c:val>
            <c:numRef>
              <c:f>'[Makroanalýza grafy.xlsx]Ceny 2'!$F$18:$F$39</c:f>
              <c:numCache>
                <c:formatCode>0.0</c:formatCode>
                <c:ptCount val="22"/>
                <c:pt idx="0">
                  <c:v>1.0999999999999943</c:v>
                </c:pt>
                <c:pt idx="1">
                  <c:v>1.2000000000000028</c:v>
                </c:pt>
                <c:pt idx="2">
                  <c:v>0.79999999999999716</c:v>
                </c:pt>
                <c:pt idx="3">
                  <c:v>0.90000000000000568</c:v>
                </c:pt>
                <c:pt idx="4">
                  <c:v>0.90000000000000568</c:v>
                </c:pt>
                <c:pt idx="5">
                  <c:v>0.5</c:v>
                </c:pt>
                <c:pt idx="6">
                  <c:v>0.40000000000000568</c:v>
                </c:pt>
                <c:pt idx="7">
                  <c:v>0.59999999999999432</c:v>
                </c:pt>
                <c:pt idx="8" formatCode="General">
                  <c:v>0.79999999999999716</c:v>
                </c:pt>
                <c:pt idx="9" formatCode="General">
                  <c:v>1.5</c:v>
                </c:pt>
                <c:pt idx="10">
                  <c:v>2.1</c:v>
                </c:pt>
                <c:pt idx="11">
                  <c:v>2.2000000000000002</c:v>
                </c:pt>
                <c:pt idx="12">
                  <c:v>2.2999999999999998</c:v>
                </c:pt>
                <c:pt idx="13">
                  <c:v>2.6</c:v>
                </c:pt>
                <c:pt idx="14">
                  <c:v>3.2</c:v>
                </c:pt>
                <c:pt idx="15">
                  <c:v>3.8</c:v>
                </c:pt>
                <c:pt idx="16">
                  <c:v>5.4</c:v>
                </c:pt>
                <c:pt idx="17">
                  <c:v>5.7</c:v>
                </c:pt>
                <c:pt idx="18">
                  <c:v>5.2</c:v>
                </c:pt>
                <c:pt idx="19">
                  <c:v>5</c:v>
                </c:pt>
                <c:pt idx="20">
                  <c:v>4.2</c:v>
                </c:pt>
                <c:pt idx="21">
                  <c:v>3.2</c:v>
                </c:pt>
              </c:numCache>
            </c:numRef>
          </c:val>
          <c:smooth val="0"/>
          <c:extLst>
            <c:ext xmlns:c16="http://schemas.microsoft.com/office/drawing/2014/chart" uri="{C3380CC4-5D6E-409C-BE32-E72D297353CC}">
              <c16:uniqueId val="{00000002-58A3-4B5C-BA22-76445118101A}"/>
            </c:ext>
          </c:extLst>
        </c:ser>
        <c:ser>
          <c:idx val="4"/>
          <c:order val="3"/>
          <c:tx>
            <c:strRef>
              <c:f>'[Makroanalýza grafy.xlsx]Ceny 2'!$G$5</c:f>
              <c:strCache>
                <c:ptCount val="1"/>
                <c:pt idx="0">
                  <c:v>Doprava</c:v>
                </c:pt>
              </c:strCache>
            </c:strRef>
          </c:tx>
          <c:spPr>
            <a:ln w="19050">
              <a:solidFill>
                <a:srgbClr val="FFC000"/>
              </a:solidFill>
            </a:ln>
          </c:spPr>
          <c:marker>
            <c:symbol val="none"/>
          </c:marker>
          <c:cat>
            <c:multiLvlStrRef>
              <c:f>'[Makroanalýza grafy.xlsx]Ceny 2'!$A$18:$B$39</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2015</c:v>
                  </c:pt>
                  <c:pt idx="4">
                    <c:v>2016</c:v>
                  </c:pt>
                  <c:pt idx="8">
                    <c:v>2017</c:v>
                  </c:pt>
                  <c:pt idx="12">
                    <c:v>2018</c:v>
                  </c:pt>
                  <c:pt idx="16">
                    <c:v>2019</c:v>
                  </c:pt>
                  <c:pt idx="20">
                    <c:v>2020</c:v>
                  </c:pt>
                </c:lvl>
              </c:multiLvlStrCache>
            </c:multiLvlStrRef>
          </c:cat>
          <c:val>
            <c:numRef>
              <c:f>'[Makroanalýza grafy.xlsx]Ceny 2'!$G$18:$G$39</c:f>
              <c:numCache>
                <c:formatCode>General</c:formatCode>
                <c:ptCount val="22"/>
                <c:pt idx="0">
                  <c:v>-4.9000000000000057</c:v>
                </c:pt>
                <c:pt idx="1">
                  <c:v>-3.2999999999999972</c:v>
                </c:pt>
                <c:pt idx="2">
                  <c:v>-3.7999999999999972</c:v>
                </c:pt>
                <c:pt idx="3">
                  <c:v>-4.7000000000000028</c:v>
                </c:pt>
                <c:pt idx="4">
                  <c:v>-2.7000000000000028</c:v>
                </c:pt>
                <c:pt idx="5">
                  <c:v>-2.9000000000000057</c:v>
                </c:pt>
                <c:pt idx="6">
                  <c:v>-2.2999999999999972</c:v>
                </c:pt>
                <c:pt idx="7">
                  <c:v>1.0999999999999943</c:v>
                </c:pt>
                <c:pt idx="8">
                  <c:v>6</c:v>
                </c:pt>
                <c:pt idx="9">
                  <c:v>3.9000000000000057</c:v>
                </c:pt>
                <c:pt idx="10" formatCode="0.0">
                  <c:v>2.5</c:v>
                </c:pt>
                <c:pt idx="11" formatCode="0.0">
                  <c:v>2.5</c:v>
                </c:pt>
                <c:pt idx="12" formatCode="0.0">
                  <c:v>1</c:v>
                </c:pt>
                <c:pt idx="13" formatCode="0.0">
                  <c:v>3</c:v>
                </c:pt>
                <c:pt idx="14" formatCode="0.0">
                  <c:v>4.5</c:v>
                </c:pt>
                <c:pt idx="15" formatCode="0.0">
                  <c:v>2.6</c:v>
                </c:pt>
                <c:pt idx="16" formatCode="0.0">
                  <c:v>0.6</c:v>
                </c:pt>
                <c:pt idx="17" formatCode="0.0">
                  <c:v>0.8</c:v>
                </c:pt>
                <c:pt idx="18" formatCode="0.0">
                  <c:v>-0.2</c:v>
                </c:pt>
                <c:pt idx="19" formatCode="0.0">
                  <c:v>0.5</c:v>
                </c:pt>
                <c:pt idx="20">
                  <c:v>1.7</c:v>
                </c:pt>
                <c:pt idx="21" formatCode="0.0">
                  <c:v>-3.4</c:v>
                </c:pt>
              </c:numCache>
            </c:numRef>
          </c:val>
          <c:smooth val="0"/>
          <c:extLst>
            <c:ext xmlns:c16="http://schemas.microsoft.com/office/drawing/2014/chart" uri="{C3380CC4-5D6E-409C-BE32-E72D297353CC}">
              <c16:uniqueId val="{00000003-58A3-4B5C-BA22-76445118101A}"/>
            </c:ext>
          </c:extLst>
        </c:ser>
        <c:ser>
          <c:idx val="2"/>
          <c:order val="4"/>
          <c:tx>
            <c:strRef>
              <c:f>'[Makroanalýza grafy.xlsx]Ceny 2'!$E$5</c:f>
              <c:strCache>
                <c:ptCount val="1"/>
                <c:pt idx="0">
                  <c:v>Alkoholické nápoje a tabák</c:v>
                </c:pt>
              </c:strCache>
            </c:strRef>
          </c:tx>
          <c:spPr>
            <a:ln w="19050">
              <a:solidFill>
                <a:schemeClr val="accent2"/>
              </a:solidFill>
            </a:ln>
          </c:spPr>
          <c:marker>
            <c:symbol val="none"/>
          </c:marker>
          <c:cat>
            <c:multiLvlStrRef>
              <c:f>'[Makroanalýza grafy.xlsx]Ceny 2'!$A$18:$B$39</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2015</c:v>
                  </c:pt>
                  <c:pt idx="4">
                    <c:v>2016</c:v>
                  </c:pt>
                  <c:pt idx="8">
                    <c:v>2017</c:v>
                  </c:pt>
                  <c:pt idx="12">
                    <c:v>2018</c:v>
                  </c:pt>
                  <c:pt idx="16">
                    <c:v>2019</c:v>
                  </c:pt>
                  <c:pt idx="20">
                    <c:v>2020</c:v>
                  </c:pt>
                </c:lvl>
              </c:multiLvlStrCache>
            </c:multiLvlStrRef>
          </c:cat>
          <c:val>
            <c:numRef>
              <c:f>'[Makroanalýza grafy.xlsx]Ceny 2'!$E$18:$E$39</c:f>
              <c:numCache>
                <c:formatCode>0.0</c:formatCode>
                <c:ptCount val="22"/>
                <c:pt idx="0">
                  <c:v>3.4000000000000057</c:v>
                </c:pt>
                <c:pt idx="1">
                  <c:v>5.4000000000000057</c:v>
                </c:pt>
                <c:pt idx="2">
                  <c:v>5.2000000000000028</c:v>
                </c:pt>
                <c:pt idx="3">
                  <c:v>4.7000000000000028</c:v>
                </c:pt>
                <c:pt idx="4">
                  <c:v>3.5</c:v>
                </c:pt>
                <c:pt idx="5">
                  <c:v>4.4000000000000057</c:v>
                </c:pt>
                <c:pt idx="6">
                  <c:v>4.5</c:v>
                </c:pt>
                <c:pt idx="7">
                  <c:v>5.2000000000000028</c:v>
                </c:pt>
                <c:pt idx="8" formatCode="General">
                  <c:v>3.4000000000000057</c:v>
                </c:pt>
                <c:pt idx="9" formatCode="General">
                  <c:v>0.79999999999999716</c:v>
                </c:pt>
                <c:pt idx="10">
                  <c:v>1.3</c:v>
                </c:pt>
                <c:pt idx="11">
                  <c:v>1.5</c:v>
                </c:pt>
                <c:pt idx="12">
                  <c:v>2.5</c:v>
                </c:pt>
                <c:pt idx="13">
                  <c:v>3.6</c:v>
                </c:pt>
                <c:pt idx="14">
                  <c:v>2.8</c:v>
                </c:pt>
                <c:pt idx="15">
                  <c:v>3.1</c:v>
                </c:pt>
                <c:pt idx="16">
                  <c:v>3.3</c:v>
                </c:pt>
                <c:pt idx="17">
                  <c:v>1.7</c:v>
                </c:pt>
                <c:pt idx="18">
                  <c:v>1.9</c:v>
                </c:pt>
                <c:pt idx="19">
                  <c:v>1.8</c:v>
                </c:pt>
                <c:pt idx="20" formatCode="General">
                  <c:v>3.5</c:v>
                </c:pt>
                <c:pt idx="21">
                  <c:v>6.6</c:v>
                </c:pt>
              </c:numCache>
            </c:numRef>
          </c:val>
          <c:smooth val="0"/>
          <c:extLst>
            <c:ext xmlns:c16="http://schemas.microsoft.com/office/drawing/2014/chart" uri="{C3380CC4-5D6E-409C-BE32-E72D297353CC}">
              <c16:uniqueId val="{00000004-58A3-4B5C-BA22-76445118101A}"/>
            </c:ext>
          </c:extLst>
        </c:ser>
        <c:ser>
          <c:idx val="5"/>
          <c:order val="5"/>
          <c:tx>
            <c:strRef>
              <c:f>'[Makroanalýza grafy.xlsx]Ceny 2'!$H$5</c:f>
              <c:strCache>
                <c:ptCount val="1"/>
                <c:pt idx="0">
                  <c:v>Stravování a ubytování</c:v>
                </c:pt>
              </c:strCache>
            </c:strRef>
          </c:tx>
          <c:spPr>
            <a:ln w="19050">
              <a:solidFill>
                <a:srgbClr val="7030A0"/>
              </a:solidFill>
            </a:ln>
          </c:spPr>
          <c:marker>
            <c:symbol val="none"/>
          </c:marker>
          <c:val>
            <c:numRef>
              <c:f>'[Makroanalýza grafy.xlsx]Ceny 2'!$H$18:$H$39</c:f>
              <c:numCache>
                <c:formatCode>###\ ###\ ##0.0</c:formatCode>
                <c:ptCount val="22"/>
                <c:pt idx="0">
                  <c:v>1.7000000000000028</c:v>
                </c:pt>
                <c:pt idx="1">
                  <c:v>1.5999999999999943</c:v>
                </c:pt>
                <c:pt idx="2">
                  <c:v>1.4000000000000057</c:v>
                </c:pt>
                <c:pt idx="3">
                  <c:v>1.2999999999999972</c:v>
                </c:pt>
                <c:pt idx="4">
                  <c:v>1.2000000000000028</c:v>
                </c:pt>
                <c:pt idx="5">
                  <c:v>1.0999999999999943</c:v>
                </c:pt>
                <c:pt idx="6">
                  <c:v>1.2000000000000028</c:v>
                </c:pt>
                <c:pt idx="7">
                  <c:v>2.7000000000000028</c:v>
                </c:pt>
                <c:pt idx="8">
                  <c:v>5.2000000000000028</c:v>
                </c:pt>
                <c:pt idx="9">
                  <c:v>5.7999999999999972</c:v>
                </c:pt>
                <c:pt idx="10">
                  <c:v>6.2999999999999972</c:v>
                </c:pt>
                <c:pt idx="11" formatCode="0.0">
                  <c:v>5.6</c:v>
                </c:pt>
                <c:pt idx="12" formatCode="0.0">
                  <c:v>3.5</c:v>
                </c:pt>
                <c:pt idx="13" formatCode="0.0">
                  <c:v>3.6</c:v>
                </c:pt>
                <c:pt idx="14" formatCode="0.0">
                  <c:v>3.5</c:v>
                </c:pt>
                <c:pt idx="15" formatCode="0.0">
                  <c:v>3.7</c:v>
                </c:pt>
                <c:pt idx="16" formatCode="0.0">
                  <c:v>3.8</c:v>
                </c:pt>
                <c:pt idx="17" formatCode="0.0">
                  <c:v>4</c:v>
                </c:pt>
                <c:pt idx="18" formatCode="0.0">
                  <c:v>4.5</c:v>
                </c:pt>
                <c:pt idx="19" formatCode="0.0">
                  <c:v>4.5999999999999996</c:v>
                </c:pt>
                <c:pt idx="20" formatCode="0.0">
                  <c:v>5.5</c:v>
                </c:pt>
                <c:pt idx="21" formatCode="0.0">
                  <c:v>5.0999999999999996</c:v>
                </c:pt>
              </c:numCache>
            </c:numRef>
          </c:val>
          <c:smooth val="0"/>
          <c:extLst>
            <c:ext xmlns:c16="http://schemas.microsoft.com/office/drawing/2014/chart" uri="{C3380CC4-5D6E-409C-BE32-E72D297353CC}">
              <c16:uniqueId val="{00000005-58A3-4B5C-BA22-76445118101A}"/>
            </c:ext>
          </c:extLst>
        </c:ser>
        <c:dLbls>
          <c:showLegendKey val="0"/>
          <c:showVal val="0"/>
          <c:showCatName val="0"/>
          <c:showSerName val="0"/>
          <c:showPercent val="0"/>
          <c:showBubbleSize val="0"/>
        </c:dLbls>
        <c:marker val="1"/>
        <c:smooth val="0"/>
        <c:axId val="270120064"/>
        <c:axId val="270121600"/>
      </c:lineChart>
      <c:catAx>
        <c:axId val="270120064"/>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270121600"/>
        <c:crosses val="autoZero"/>
        <c:auto val="1"/>
        <c:lblAlgn val="ctr"/>
        <c:lblOffset val="100"/>
        <c:noMultiLvlLbl val="0"/>
      </c:catAx>
      <c:valAx>
        <c:axId val="270121600"/>
        <c:scaling>
          <c:orientation val="minMax"/>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70120064"/>
        <c:crosses val="autoZero"/>
        <c:crossBetween val="between"/>
        <c:majorUnit val="1"/>
      </c:valAx>
      <c:spPr>
        <a:ln>
          <a:solidFill>
            <a:schemeClr val="tx1"/>
          </a:solidFill>
        </a:ln>
      </c:spPr>
    </c:plotArea>
    <c:legend>
      <c:legendPos val="b"/>
      <c:layout>
        <c:manualLayout>
          <c:xMode val="edge"/>
          <c:yMode val="edge"/>
          <c:x val="5.6562816616008108E-2"/>
          <c:y val="0.86183552853765621"/>
          <c:w val="0.92202296521445437"/>
          <c:h val="0.1381645293553171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70373184734885E-2"/>
          <c:y val="2.9569886214146503E-2"/>
          <c:w val="0.90493308848362042"/>
          <c:h val="0.73556653157716956"/>
        </c:manualLayout>
      </c:layout>
      <c:barChart>
        <c:barDir val="col"/>
        <c:grouping val="clustered"/>
        <c:varyColors val="0"/>
        <c:ser>
          <c:idx val="0"/>
          <c:order val="0"/>
          <c:tx>
            <c:strRef>
              <c:f>'Ceny 1'!$C$5</c:f>
              <c:strCache>
                <c:ptCount val="1"/>
                <c:pt idx="0">
                  <c:v>Realizované ceny starších bytů, ČR</c:v>
                </c:pt>
              </c:strCache>
            </c:strRef>
          </c:tx>
          <c:spPr>
            <a:solidFill>
              <a:schemeClr val="bg1">
                <a:lumMod val="65000"/>
              </a:schemeClr>
            </a:solidFill>
            <a:ln w="19050">
              <a:noFill/>
            </a:ln>
          </c:spPr>
          <c:invertIfNegative val="0"/>
          <c:cat>
            <c:multiLvlStrRef>
              <c:f>'Ceny 1'!$A$18:$B$39</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2015</c:v>
                  </c:pt>
                  <c:pt idx="4">
                    <c:v>2016</c:v>
                  </c:pt>
                  <c:pt idx="8">
                    <c:v>2017</c:v>
                  </c:pt>
                  <c:pt idx="12">
                    <c:v>2018</c:v>
                  </c:pt>
                  <c:pt idx="16">
                    <c:v>2019</c:v>
                  </c:pt>
                  <c:pt idx="20">
                    <c:v>2020</c:v>
                  </c:pt>
                </c:lvl>
              </c:multiLvlStrCache>
            </c:multiLvlStrRef>
          </c:cat>
          <c:val>
            <c:numRef>
              <c:f>'Ceny 1'!$C$18:$C$39</c:f>
              <c:numCache>
                <c:formatCode>General</c:formatCode>
                <c:ptCount val="22"/>
                <c:pt idx="0">
                  <c:v>4.2999999999999972</c:v>
                </c:pt>
                <c:pt idx="1">
                  <c:v>4.9000000000000057</c:v>
                </c:pt>
                <c:pt idx="2">
                  <c:v>6</c:v>
                </c:pt>
                <c:pt idx="3">
                  <c:v>6.7999999999999972</c:v>
                </c:pt>
                <c:pt idx="4">
                  <c:v>8.9000000000000057</c:v>
                </c:pt>
                <c:pt idx="5">
                  <c:v>10.299999999999997</c:v>
                </c:pt>
                <c:pt idx="6">
                  <c:v>12.299999999999997</c:v>
                </c:pt>
                <c:pt idx="7">
                  <c:v>14.599999999999994</c:v>
                </c:pt>
                <c:pt idx="8">
                  <c:v>17.200000000000003</c:v>
                </c:pt>
                <c:pt idx="9">
                  <c:v>18.700000000000003</c:v>
                </c:pt>
                <c:pt idx="10">
                  <c:v>15.799999999999997</c:v>
                </c:pt>
                <c:pt idx="11">
                  <c:v>12</c:v>
                </c:pt>
                <c:pt idx="12">
                  <c:v>9.2000000000000028</c:v>
                </c:pt>
                <c:pt idx="13">
                  <c:v>8</c:v>
                </c:pt>
                <c:pt idx="14">
                  <c:v>9.4000000000000057</c:v>
                </c:pt>
                <c:pt idx="15">
                  <c:v>11.400000000000006</c:v>
                </c:pt>
                <c:pt idx="16">
                  <c:v>11.299999999999997</c:v>
                </c:pt>
                <c:pt idx="17">
                  <c:v>10.599999999999994</c:v>
                </c:pt>
                <c:pt idx="18">
                  <c:v>9.5</c:v>
                </c:pt>
                <c:pt idx="19">
                  <c:v>9.4000000000000057</c:v>
                </c:pt>
                <c:pt idx="20">
                  <c:v>10.599999999999994</c:v>
                </c:pt>
                <c:pt idx="21">
                  <c:v>10.200000000000003</c:v>
                </c:pt>
              </c:numCache>
            </c:numRef>
          </c:val>
          <c:extLst>
            <c:ext xmlns:c16="http://schemas.microsoft.com/office/drawing/2014/chart" uri="{C3380CC4-5D6E-409C-BE32-E72D297353CC}">
              <c16:uniqueId val="{00000000-1689-45A3-86DB-E6C0F0C935DC}"/>
            </c:ext>
          </c:extLst>
        </c:ser>
        <c:ser>
          <c:idx val="1"/>
          <c:order val="1"/>
          <c:tx>
            <c:strRef>
              <c:f>'Ceny 1'!$D$5</c:f>
              <c:strCache>
                <c:ptCount val="1"/>
                <c:pt idx="0">
                  <c:v>Realizované ceny starších bytů, Praha</c:v>
                </c:pt>
              </c:strCache>
            </c:strRef>
          </c:tx>
          <c:spPr>
            <a:solidFill>
              <a:prstClr val="black">
                <a:lumMod val="50000"/>
                <a:lumOff val="50000"/>
              </a:prstClr>
            </a:solidFill>
            <a:ln w="19050">
              <a:noFill/>
            </a:ln>
          </c:spPr>
          <c:invertIfNegative val="0"/>
          <c:cat>
            <c:multiLvlStrRef>
              <c:f>'Ceny 1'!$A$18:$B$39</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2015</c:v>
                  </c:pt>
                  <c:pt idx="4">
                    <c:v>2016</c:v>
                  </c:pt>
                  <c:pt idx="8">
                    <c:v>2017</c:v>
                  </c:pt>
                  <c:pt idx="12">
                    <c:v>2018</c:v>
                  </c:pt>
                  <c:pt idx="16">
                    <c:v>2019</c:v>
                  </c:pt>
                  <c:pt idx="20">
                    <c:v>2020</c:v>
                  </c:pt>
                </c:lvl>
              </c:multiLvlStrCache>
            </c:multiLvlStrRef>
          </c:cat>
          <c:val>
            <c:numRef>
              <c:f>'Ceny 1'!$D$18:$D$39</c:f>
              <c:numCache>
                <c:formatCode>General</c:formatCode>
                <c:ptCount val="22"/>
                <c:pt idx="0">
                  <c:v>5</c:v>
                </c:pt>
                <c:pt idx="1">
                  <c:v>5.9000000000000057</c:v>
                </c:pt>
                <c:pt idx="2">
                  <c:v>5.5999999999999943</c:v>
                </c:pt>
                <c:pt idx="3">
                  <c:v>4.5999999999999943</c:v>
                </c:pt>
                <c:pt idx="4">
                  <c:v>5.7999999999999972</c:v>
                </c:pt>
                <c:pt idx="5">
                  <c:v>7.5</c:v>
                </c:pt>
                <c:pt idx="6">
                  <c:v>9.4000000000000057</c:v>
                </c:pt>
                <c:pt idx="7">
                  <c:v>13.900000000000006</c:v>
                </c:pt>
                <c:pt idx="8">
                  <c:v>16.200000000000003</c:v>
                </c:pt>
                <c:pt idx="9">
                  <c:v>19</c:v>
                </c:pt>
                <c:pt idx="10">
                  <c:v>16.400000000000006</c:v>
                </c:pt>
                <c:pt idx="11">
                  <c:v>11.099999999999994</c:v>
                </c:pt>
                <c:pt idx="12">
                  <c:v>8.2999999999999972</c:v>
                </c:pt>
                <c:pt idx="13">
                  <c:v>4</c:v>
                </c:pt>
                <c:pt idx="14">
                  <c:v>6</c:v>
                </c:pt>
                <c:pt idx="15">
                  <c:v>8.7000000000000028</c:v>
                </c:pt>
                <c:pt idx="16">
                  <c:v>9.4000000000000057</c:v>
                </c:pt>
                <c:pt idx="17">
                  <c:v>8.7000000000000028</c:v>
                </c:pt>
                <c:pt idx="18">
                  <c:v>6.5</c:v>
                </c:pt>
                <c:pt idx="19">
                  <c:v>7.0999999999999943</c:v>
                </c:pt>
                <c:pt idx="20">
                  <c:v>6.2000000000000028</c:v>
                </c:pt>
                <c:pt idx="21">
                  <c:v>8</c:v>
                </c:pt>
              </c:numCache>
            </c:numRef>
          </c:val>
          <c:extLst>
            <c:ext xmlns:c16="http://schemas.microsoft.com/office/drawing/2014/chart" uri="{C3380CC4-5D6E-409C-BE32-E72D297353CC}">
              <c16:uniqueId val="{00000001-1689-45A3-86DB-E6C0F0C935DC}"/>
            </c:ext>
          </c:extLst>
        </c:ser>
        <c:dLbls>
          <c:showLegendKey val="0"/>
          <c:showVal val="0"/>
          <c:showCatName val="0"/>
          <c:showSerName val="0"/>
          <c:showPercent val="0"/>
          <c:showBubbleSize val="0"/>
        </c:dLbls>
        <c:gapWidth val="95"/>
        <c:axId val="270057856"/>
        <c:axId val="270059392"/>
      </c:barChart>
      <c:lineChart>
        <c:grouping val="standard"/>
        <c:varyColors val="0"/>
        <c:ser>
          <c:idx val="2"/>
          <c:order val="2"/>
          <c:tx>
            <c:strRef>
              <c:f>'Ceny 1'!$E$5</c:f>
              <c:strCache>
                <c:ptCount val="1"/>
                <c:pt idx="0">
                  <c:v>Nabídkové ceny bytů, ČR</c:v>
                </c:pt>
              </c:strCache>
            </c:strRef>
          </c:tx>
          <c:spPr>
            <a:ln w="19050">
              <a:solidFill>
                <a:schemeClr val="accent2"/>
              </a:solidFill>
            </a:ln>
          </c:spPr>
          <c:marker>
            <c:symbol val="none"/>
          </c:marker>
          <c:cat>
            <c:multiLvlStrRef>
              <c:f>'Ceny 1'!$A$18:$B$39</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2015</c:v>
                  </c:pt>
                  <c:pt idx="4">
                    <c:v>2016</c:v>
                  </c:pt>
                  <c:pt idx="8">
                    <c:v>2017</c:v>
                  </c:pt>
                  <c:pt idx="12">
                    <c:v>2018</c:v>
                  </c:pt>
                  <c:pt idx="16">
                    <c:v>2019</c:v>
                  </c:pt>
                  <c:pt idx="20">
                    <c:v>2020</c:v>
                  </c:pt>
                </c:lvl>
              </c:multiLvlStrCache>
            </c:multiLvlStrRef>
          </c:cat>
          <c:val>
            <c:numRef>
              <c:f>'Ceny 1'!$E$18:$E$39</c:f>
              <c:numCache>
                <c:formatCode>0.0</c:formatCode>
                <c:ptCount val="22"/>
                <c:pt idx="0">
                  <c:v>3.6253776435045406</c:v>
                </c:pt>
                <c:pt idx="1">
                  <c:v>4.9701789264413518</c:v>
                </c:pt>
                <c:pt idx="2">
                  <c:v>6.0843964671246207</c:v>
                </c:pt>
                <c:pt idx="3">
                  <c:v>9.5849802371541539</c:v>
                </c:pt>
                <c:pt idx="4">
                  <c:v>10.204081632653059</c:v>
                </c:pt>
                <c:pt idx="5">
                  <c:v>10.321969696969703</c:v>
                </c:pt>
                <c:pt idx="6">
                  <c:v>9.8982423681776162</c:v>
                </c:pt>
                <c:pt idx="7">
                  <c:v>9.9188458070333638</c:v>
                </c:pt>
                <c:pt idx="8">
                  <c:v>9.5238095238095202</c:v>
                </c:pt>
                <c:pt idx="9" formatCode="General">
                  <c:v>9.5278969957081507</c:v>
                </c:pt>
                <c:pt idx="10" formatCode="General">
                  <c:v>12.542087542087534</c:v>
                </c:pt>
                <c:pt idx="11" formatCode="General">
                  <c:v>12.469237079573411</c:v>
                </c:pt>
                <c:pt idx="12" formatCode="General">
                  <c:v>12.801932367149751</c:v>
                </c:pt>
                <c:pt idx="13" formatCode="General">
                  <c:v>12.2257053291536</c:v>
                </c:pt>
                <c:pt idx="14" formatCode="General">
                  <c:v>9.4988780852655328</c:v>
                </c:pt>
                <c:pt idx="15" formatCode="General">
                  <c:v>8.4609773887673203</c:v>
                </c:pt>
                <c:pt idx="16" formatCode="General">
                  <c:v>7.4232690935046435</c:v>
                </c:pt>
                <c:pt idx="17" formatCode="General">
                  <c:v>5.7262569832402361</c:v>
                </c:pt>
                <c:pt idx="18" formatCode="General">
                  <c:v>5.1912568306010893</c:v>
                </c:pt>
                <c:pt idx="19" formatCode="General">
                  <c:v>5.5144586415601999</c:v>
                </c:pt>
                <c:pt idx="20" formatCode="General">
                  <c:v>6.0465116279069733</c:v>
                </c:pt>
                <c:pt idx="21" formatCode="General">
                  <c:v>7.1334214002641891</c:v>
                </c:pt>
              </c:numCache>
            </c:numRef>
          </c:val>
          <c:smooth val="0"/>
          <c:extLst>
            <c:ext xmlns:c16="http://schemas.microsoft.com/office/drawing/2014/chart" uri="{C3380CC4-5D6E-409C-BE32-E72D297353CC}">
              <c16:uniqueId val="{00000002-1689-45A3-86DB-E6C0F0C935DC}"/>
            </c:ext>
          </c:extLst>
        </c:ser>
        <c:ser>
          <c:idx val="3"/>
          <c:order val="3"/>
          <c:tx>
            <c:strRef>
              <c:f>'Ceny 1'!$F$5</c:f>
              <c:strCache>
                <c:ptCount val="1"/>
                <c:pt idx="0">
                  <c:v>Nabídkové ceny bytů, Praha</c:v>
                </c:pt>
              </c:strCache>
            </c:strRef>
          </c:tx>
          <c:spPr>
            <a:ln>
              <a:solidFill>
                <a:schemeClr val="accent1"/>
              </a:solidFill>
            </a:ln>
          </c:spPr>
          <c:marker>
            <c:symbol val="none"/>
          </c:marker>
          <c:cat>
            <c:multiLvlStrRef>
              <c:f>'Ceny 1'!$A$18:$B$39</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2015</c:v>
                  </c:pt>
                  <c:pt idx="4">
                    <c:v>2016</c:v>
                  </c:pt>
                  <c:pt idx="8">
                    <c:v>2017</c:v>
                  </c:pt>
                  <c:pt idx="12">
                    <c:v>2018</c:v>
                  </c:pt>
                  <c:pt idx="16">
                    <c:v>2019</c:v>
                  </c:pt>
                  <c:pt idx="20">
                    <c:v>2020</c:v>
                  </c:pt>
                </c:lvl>
              </c:multiLvlStrCache>
            </c:multiLvlStrRef>
          </c:cat>
          <c:val>
            <c:numRef>
              <c:f>'Ceny 1'!$F$18:$F$39</c:f>
              <c:numCache>
                <c:formatCode>0.0</c:formatCode>
                <c:ptCount val="22"/>
                <c:pt idx="0">
                  <c:v>5.7710501419110631</c:v>
                </c:pt>
                <c:pt idx="1">
                  <c:v>6.4995357474466111</c:v>
                </c:pt>
                <c:pt idx="2">
                  <c:v>6.7089755213055353</c:v>
                </c:pt>
                <c:pt idx="3">
                  <c:v>8.7862318840579601</c:v>
                </c:pt>
                <c:pt idx="4">
                  <c:v>10.196779964221831</c:v>
                </c:pt>
                <c:pt idx="5">
                  <c:v>10.549258936355706</c:v>
                </c:pt>
                <c:pt idx="6">
                  <c:v>9.7706032285471416</c:v>
                </c:pt>
                <c:pt idx="7">
                  <c:v>11.323896752706073</c:v>
                </c:pt>
                <c:pt idx="8">
                  <c:v>13.636363636363633</c:v>
                </c:pt>
                <c:pt idx="9" formatCode="General">
                  <c:v>14.589905362776037</c:v>
                </c:pt>
                <c:pt idx="10" formatCode="General">
                  <c:v>18.266253869969059</c:v>
                </c:pt>
                <c:pt idx="11" formatCode="General">
                  <c:v>18.773373223635023</c:v>
                </c:pt>
                <c:pt idx="12" formatCode="General">
                  <c:v>15.071428571428566</c:v>
                </c:pt>
                <c:pt idx="13" formatCode="General">
                  <c:v>14.246386785960075</c:v>
                </c:pt>
                <c:pt idx="14" formatCode="General">
                  <c:v>10.732984293193702</c:v>
                </c:pt>
                <c:pt idx="15" formatCode="General">
                  <c:v>8.7531486146095574</c:v>
                </c:pt>
                <c:pt idx="16" formatCode="General">
                  <c:v>8.3178150217256395</c:v>
                </c:pt>
                <c:pt idx="17" formatCode="General">
                  <c:v>4.9397590361445713</c:v>
                </c:pt>
                <c:pt idx="18" formatCode="General">
                  <c:v>3.3096926713948127</c:v>
                </c:pt>
                <c:pt idx="19" formatCode="General">
                  <c:v>2.9530978575564695</c:v>
                </c:pt>
                <c:pt idx="20" formatCode="General">
                  <c:v>3.553008595988532</c:v>
                </c:pt>
                <c:pt idx="21" formatCode="General">
                  <c:v>5.2812858783008139</c:v>
                </c:pt>
              </c:numCache>
            </c:numRef>
          </c:val>
          <c:smooth val="0"/>
          <c:extLst>
            <c:ext xmlns:c16="http://schemas.microsoft.com/office/drawing/2014/chart" uri="{C3380CC4-5D6E-409C-BE32-E72D297353CC}">
              <c16:uniqueId val="{00000003-1689-45A3-86DB-E6C0F0C935DC}"/>
            </c:ext>
          </c:extLst>
        </c:ser>
        <c:dLbls>
          <c:showLegendKey val="0"/>
          <c:showVal val="0"/>
          <c:showCatName val="0"/>
          <c:showSerName val="0"/>
          <c:showPercent val="0"/>
          <c:showBubbleSize val="0"/>
        </c:dLbls>
        <c:marker val="1"/>
        <c:smooth val="0"/>
        <c:axId val="270057856"/>
        <c:axId val="270059392"/>
      </c:lineChart>
      <c:catAx>
        <c:axId val="270057856"/>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270059392"/>
        <c:crosses val="autoZero"/>
        <c:auto val="1"/>
        <c:lblAlgn val="ctr"/>
        <c:lblOffset val="100"/>
        <c:noMultiLvlLbl val="0"/>
      </c:catAx>
      <c:valAx>
        <c:axId val="270059392"/>
        <c:scaling>
          <c:orientation val="minMax"/>
          <c:min val="-6"/>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70057856"/>
        <c:crosses val="autoZero"/>
        <c:crossBetween val="between"/>
        <c:majorUnit val="2"/>
      </c:valAx>
      <c:spPr>
        <a:ln>
          <a:solidFill>
            <a:schemeClr val="tx1"/>
          </a:solidFill>
        </a:ln>
      </c:spPr>
    </c:plotArea>
    <c:legend>
      <c:legendPos val="b"/>
      <c:layout>
        <c:manualLayout>
          <c:xMode val="edge"/>
          <c:yMode val="edge"/>
          <c:x val="7.3334810874704504E-2"/>
          <c:y val="0.88817854328492629"/>
          <c:w val="0.89999282337048292"/>
          <c:h val="9.8380614657210319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510469436001351E-2"/>
          <c:y val="2.181131592422042E-2"/>
          <c:w val="0.90860161263086792"/>
          <c:h val="0.71663233141956562"/>
        </c:manualLayout>
      </c:layout>
      <c:barChart>
        <c:barDir val="col"/>
        <c:grouping val="clustered"/>
        <c:varyColors val="0"/>
        <c:ser>
          <c:idx val="0"/>
          <c:order val="0"/>
          <c:tx>
            <c:strRef>
              <c:f>'[Makroanalýza grafy.xlsx]Ceny 4'!$C$5</c:f>
              <c:strCache>
                <c:ptCount val="1"/>
                <c:pt idx="0">
                  <c:v>Celkem</c:v>
                </c:pt>
              </c:strCache>
            </c:strRef>
          </c:tx>
          <c:spPr>
            <a:solidFill>
              <a:schemeClr val="bg1">
                <a:lumMod val="65000"/>
              </a:schemeClr>
            </a:solidFill>
            <a:ln w="19050">
              <a:noFill/>
            </a:ln>
          </c:spPr>
          <c:invertIfNegative val="0"/>
          <c:cat>
            <c:multiLvlStrRef>
              <c:f>'[Makroanalýza grafy.xlsx]Ceny 4'!$A$30:$B$95</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2015</c:v>
                  </c:pt>
                  <c:pt idx="12">
                    <c:v>2016</c:v>
                  </c:pt>
                  <c:pt idx="24">
                    <c:v>2017</c:v>
                  </c:pt>
                  <c:pt idx="36">
                    <c:v>2018</c:v>
                  </c:pt>
                  <c:pt idx="48">
                    <c:v>2019</c:v>
                  </c:pt>
                  <c:pt idx="60">
                    <c:v>2020</c:v>
                  </c:pt>
                </c:lvl>
              </c:multiLvlStrCache>
            </c:multiLvlStrRef>
          </c:cat>
          <c:val>
            <c:numRef>
              <c:f>'[Makroanalýza grafy.xlsx]Ceny 4'!$C$30:$C$95</c:f>
              <c:numCache>
                <c:formatCode>0.0</c:formatCode>
                <c:ptCount val="66"/>
                <c:pt idx="0">
                  <c:v>-3.5</c:v>
                </c:pt>
                <c:pt idx="1">
                  <c:v>-3.5999999999999943</c:v>
                </c:pt>
                <c:pt idx="2">
                  <c:v>-2.9000000000000057</c:v>
                </c:pt>
                <c:pt idx="3">
                  <c:v>-2.5999999999999943</c:v>
                </c:pt>
                <c:pt idx="4">
                  <c:v>-2.0999999999999943</c:v>
                </c:pt>
                <c:pt idx="5">
                  <c:v>-2.2999999999999972</c:v>
                </c:pt>
                <c:pt idx="6">
                  <c:v>-3</c:v>
                </c:pt>
                <c:pt idx="7">
                  <c:v>-3.7000000000000028</c:v>
                </c:pt>
                <c:pt idx="8">
                  <c:v>-4.2000000000000028</c:v>
                </c:pt>
                <c:pt idx="9">
                  <c:v>-3.9000000000000057</c:v>
                </c:pt>
                <c:pt idx="10">
                  <c:v>-3.7000000000000028</c:v>
                </c:pt>
                <c:pt idx="11">
                  <c:v>-2.9000000000000057</c:v>
                </c:pt>
                <c:pt idx="12">
                  <c:v>-3.4000000000000057</c:v>
                </c:pt>
                <c:pt idx="13">
                  <c:v>-4</c:v>
                </c:pt>
                <c:pt idx="14">
                  <c:v>-4.5</c:v>
                </c:pt>
                <c:pt idx="15">
                  <c:v>-4.7000000000000028</c:v>
                </c:pt>
                <c:pt idx="16">
                  <c:v>-4.7999999999999972</c:v>
                </c:pt>
                <c:pt idx="17">
                  <c:v>-4.4000000000000057</c:v>
                </c:pt>
                <c:pt idx="18">
                  <c:v>-4</c:v>
                </c:pt>
                <c:pt idx="19">
                  <c:v>-3.4000000000000057</c:v>
                </c:pt>
                <c:pt idx="20">
                  <c:v>-2.4000000000000057</c:v>
                </c:pt>
                <c:pt idx="21">
                  <c:v>-1.7000000000000028</c:v>
                </c:pt>
                <c:pt idx="22">
                  <c:v>-1.2999999999999972</c:v>
                </c:pt>
                <c:pt idx="23">
                  <c:v>-0.40000000000000568</c:v>
                </c:pt>
                <c:pt idx="24" formatCode="General">
                  <c:v>2.0999999999999943</c:v>
                </c:pt>
                <c:pt idx="25" formatCode="General">
                  <c:v>3.0999999999999943</c:v>
                </c:pt>
                <c:pt idx="26">
                  <c:v>3</c:v>
                </c:pt>
                <c:pt idx="27">
                  <c:v>3.2000000000000028</c:v>
                </c:pt>
                <c:pt idx="28" formatCode="General">
                  <c:v>2.2999999999999972</c:v>
                </c:pt>
                <c:pt idx="29" formatCode="General">
                  <c:v>1.2999999999999972</c:v>
                </c:pt>
                <c:pt idx="30" formatCode="General">
                  <c:v>1.1000000000000001</c:v>
                </c:pt>
                <c:pt idx="31" formatCode="General">
                  <c:v>1.4</c:v>
                </c:pt>
                <c:pt idx="32" formatCode="General">
                  <c:v>1.7</c:v>
                </c:pt>
                <c:pt idx="33" formatCode="General">
                  <c:v>1.1000000000000001</c:v>
                </c:pt>
                <c:pt idx="34" formatCode="General">
                  <c:v>0.9</c:v>
                </c:pt>
                <c:pt idx="35" formatCode="General">
                  <c:v>0.7</c:v>
                </c:pt>
                <c:pt idx="36" formatCode="General">
                  <c:v>0.5</c:v>
                </c:pt>
                <c:pt idx="37" formatCode="General">
                  <c:v>-0.3</c:v>
                </c:pt>
                <c:pt idx="38" formatCode="General">
                  <c:v>0.1</c:v>
                </c:pt>
                <c:pt idx="39" formatCode="General">
                  <c:v>0</c:v>
                </c:pt>
                <c:pt idx="40" formatCode="General">
                  <c:v>1.5</c:v>
                </c:pt>
                <c:pt idx="41" formatCode="General">
                  <c:v>2.9</c:v>
                </c:pt>
                <c:pt idx="42" formatCode="General">
                  <c:v>3.4</c:v>
                </c:pt>
                <c:pt idx="43" formatCode="General">
                  <c:v>3.3</c:v>
                </c:pt>
                <c:pt idx="44" formatCode="General">
                  <c:v>3.2</c:v>
                </c:pt>
                <c:pt idx="45" formatCode="General">
                  <c:v>3.9</c:v>
                </c:pt>
                <c:pt idx="46" formatCode="General">
                  <c:v>3.9</c:v>
                </c:pt>
                <c:pt idx="47" formatCode="General">
                  <c:v>2.4</c:v>
                </c:pt>
                <c:pt idx="48" formatCode="General">
                  <c:v>2.9</c:v>
                </c:pt>
                <c:pt idx="49" formatCode="General">
                  <c:v>3.6</c:v>
                </c:pt>
                <c:pt idx="50" formatCode="General">
                  <c:v>3.8</c:v>
                </c:pt>
                <c:pt idx="51" formatCode="General">
                  <c:v>4.3</c:v>
                </c:pt>
                <c:pt idx="52" formatCode="General">
                  <c:v>3.8</c:v>
                </c:pt>
                <c:pt idx="53" formatCode="General">
                  <c:v>2.5</c:v>
                </c:pt>
                <c:pt idx="54" formatCode="General">
                  <c:v>2.1</c:v>
                </c:pt>
                <c:pt idx="55" formatCode="General">
                  <c:v>2.1</c:v>
                </c:pt>
                <c:pt idx="56" formatCode="General">
                  <c:v>1.9</c:v>
                </c:pt>
                <c:pt idx="57" formatCode="General">
                  <c:v>0.9</c:v>
                </c:pt>
                <c:pt idx="58" formatCode="General">
                  <c:v>0.9</c:v>
                </c:pt>
                <c:pt idx="59" formatCode="General">
                  <c:v>2.1</c:v>
                </c:pt>
                <c:pt idx="60" formatCode="General">
                  <c:v>2.4</c:v>
                </c:pt>
                <c:pt idx="61" formatCode="General">
                  <c:v>1.4</c:v>
                </c:pt>
                <c:pt idx="62" formatCode="General">
                  <c:v>0.4</c:v>
                </c:pt>
                <c:pt idx="63" formatCode="General">
                  <c:v>-0.8</c:v>
                </c:pt>
                <c:pt idx="64" formatCode="General">
                  <c:v>-0.9</c:v>
                </c:pt>
                <c:pt idx="65" formatCode="General">
                  <c:v>-0.3</c:v>
                </c:pt>
              </c:numCache>
            </c:numRef>
          </c:val>
          <c:extLst>
            <c:ext xmlns:c16="http://schemas.microsoft.com/office/drawing/2014/chart" uri="{C3380CC4-5D6E-409C-BE32-E72D297353CC}">
              <c16:uniqueId val="{00000000-E6CE-4035-A690-44763ABA8D64}"/>
            </c:ext>
          </c:extLst>
        </c:ser>
        <c:dLbls>
          <c:showLegendKey val="0"/>
          <c:showVal val="0"/>
          <c:showCatName val="0"/>
          <c:showSerName val="0"/>
          <c:showPercent val="0"/>
          <c:showBubbleSize val="0"/>
        </c:dLbls>
        <c:gapWidth val="96"/>
        <c:axId val="271374208"/>
        <c:axId val="271375744"/>
      </c:barChart>
      <c:lineChart>
        <c:grouping val="standard"/>
        <c:varyColors val="0"/>
        <c:ser>
          <c:idx val="1"/>
          <c:order val="1"/>
          <c:tx>
            <c:strRef>
              <c:f>'[Makroanalýza grafy.xlsx]Ceny 4'!$D$5</c:f>
              <c:strCache>
                <c:ptCount val="1"/>
                <c:pt idx="0">
                  <c:v>Těžba a dobývání</c:v>
                </c:pt>
              </c:strCache>
            </c:strRef>
          </c:tx>
          <c:spPr>
            <a:ln w="19050">
              <a:solidFill>
                <a:srgbClr val="7DBB2D"/>
              </a:solidFill>
            </a:ln>
          </c:spPr>
          <c:marker>
            <c:symbol val="none"/>
          </c:marker>
          <c:cat>
            <c:multiLvlStrRef>
              <c:f>'[Makroanalýza grafy.xlsx]Ceny 4'!$A$30:$B$95</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2015</c:v>
                  </c:pt>
                  <c:pt idx="12">
                    <c:v>2016</c:v>
                  </c:pt>
                  <c:pt idx="24">
                    <c:v>2017</c:v>
                  </c:pt>
                  <c:pt idx="36">
                    <c:v>2018</c:v>
                  </c:pt>
                  <c:pt idx="48">
                    <c:v>2019</c:v>
                  </c:pt>
                  <c:pt idx="60">
                    <c:v>2020</c:v>
                  </c:pt>
                </c:lvl>
              </c:multiLvlStrCache>
            </c:multiLvlStrRef>
          </c:cat>
          <c:val>
            <c:numRef>
              <c:f>'[Makroanalýza grafy.xlsx]Ceny 4'!$D$30:$D$95</c:f>
              <c:numCache>
                <c:formatCode>0.0</c:formatCode>
                <c:ptCount val="66"/>
                <c:pt idx="0">
                  <c:v>-0.90000000000000568</c:v>
                </c:pt>
                <c:pt idx="1">
                  <c:v>-1.5</c:v>
                </c:pt>
                <c:pt idx="2">
                  <c:v>-0.90000000000000568</c:v>
                </c:pt>
                <c:pt idx="3">
                  <c:v>-0.90000000000000568</c:v>
                </c:pt>
                <c:pt idx="4">
                  <c:v>0.29999999999999716</c:v>
                </c:pt>
                <c:pt idx="5">
                  <c:v>0.59999999999999432</c:v>
                </c:pt>
                <c:pt idx="6">
                  <c:v>0.40000000000000568</c:v>
                </c:pt>
                <c:pt idx="7">
                  <c:v>-0.29999999999999716</c:v>
                </c:pt>
                <c:pt idx="8">
                  <c:v>-1.7000000000000028</c:v>
                </c:pt>
                <c:pt idx="9">
                  <c:v>-1.4000000000000057</c:v>
                </c:pt>
                <c:pt idx="10">
                  <c:v>-0.59999999999999432</c:v>
                </c:pt>
                <c:pt idx="11">
                  <c:v>-0.5</c:v>
                </c:pt>
                <c:pt idx="12">
                  <c:v>-6.5999999999999943</c:v>
                </c:pt>
                <c:pt idx="13">
                  <c:v>-6.0999999999999943</c:v>
                </c:pt>
                <c:pt idx="14">
                  <c:v>-6.5</c:v>
                </c:pt>
                <c:pt idx="15">
                  <c:v>-7</c:v>
                </c:pt>
                <c:pt idx="16">
                  <c:v>-7.0999999999999943</c:v>
                </c:pt>
                <c:pt idx="17">
                  <c:v>-7.2999999999999972</c:v>
                </c:pt>
                <c:pt idx="18">
                  <c:v>-6.5999999999999943</c:v>
                </c:pt>
                <c:pt idx="19">
                  <c:v>-6</c:v>
                </c:pt>
                <c:pt idx="20">
                  <c:v>-4.9000000000000057</c:v>
                </c:pt>
                <c:pt idx="21">
                  <c:v>-5.2000000000000028</c:v>
                </c:pt>
                <c:pt idx="22">
                  <c:v>-5.2999999999999972</c:v>
                </c:pt>
                <c:pt idx="23">
                  <c:v>-5.0999999999999943</c:v>
                </c:pt>
                <c:pt idx="24" formatCode="General">
                  <c:v>2.2999999999999972</c:v>
                </c:pt>
                <c:pt idx="25" formatCode="General">
                  <c:v>5.7999999999999972</c:v>
                </c:pt>
                <c:pt idx="26">
                  <c:v>6.2000000000000028</c:v>
                </c:pt>
                <c:pt idx="27">
                  <c:v>6.4000000000000057</c:v>
                </c:pt>
                <c:pt idx="28" formatCode="General">
                  <c:v>4.2999999999999972</c:v>
                </c:pt>
                <c:pt idx="29" formatCode="General">
                  <c:v>4.0999999999999943</c:v>
                </c:pt>
                <c:pt idx="30" formatCode="General">
                  <c:v>2.9</c:v>
                </c:pt>
                <c:pt idx="31" formatCode="General">
                  <c:v>1.7</c:v>
                </c:pt>
                <c:pt idx="32" formatCode="General">
                  <c:v>1.9</c:v>
                </c:pt>
                <c:pt idx="33" formatCode="General">
                  <c:v>3.4</c:v>
                </c:pt>
                <c:pt idx="34" formatCode="General">
                  <c:v>3.3</c:v>
                </c:pt>
                <c:pt idx="35" formatCode="General">
                  <c:v>3.6</c:v>
                </c:pt>
                <c:pt idx="36" formatCode="General">
                  <c:v>6.7</c:v>
                </c:pt>
                <c:pt idx="37" formatCode="General">
                  <c:v>5</c:v>
                </c:pt>
                <c:pt idx="38" formatCode="General">
                  <c:v>4.3</c:v>
                </c:pt>
                <c:pt idx="39" formatCode="General">
                  <c:v>4.5999999999999996</c:v>
                </c:pt>
                <c:pt idx="40" formatCode="General">
                  <c:v>7.4</c:v>
                </c:pt>
                <c:pt idx="41" formatCode="General">
                  <c:v>8</c:v>
                </c:pt>
                <c:pt idx="42" formatCode="General">
                  <c:v>8.4</c:v>
                </c:pt>
                <c:pt idx="43" formatCode="General">
                  <c:v>10.1</c:v>
                </c:pt>
                <c:pt idx="44" formatCode="General">
                  <c:v>9.9</c:v>
                </c:pt>
                <c:pt idx="45" formatCode="General">
                  <c:v>9</c:v>
                </c:pt>
                <c:pt idx="46" formatCode="General">
                  <c:v>9.1999999999999993</c:v>
                </c:pt>
                <c:pt idx="47" formatCode="General">
                  <c:v>8.3000000000000007</c:v>
                </c:pt>
                <c:pt idx="48" formatCode="General">
                  <c:v>7.9</c:v>
                </c:pt>
                <c:pt idx="49" formatCode="General">
                  <c:v>7.4</c:v>
                </c:pt>
                <c:pt idx="50" formatCode="General">
                  <c:v>8</c:v>
                </c:pt>
                <c:pt idx="51" formatCode="General">
                  <c:v>8.4</c:v>
                </c:pt>
                <c:pt idx="52" formatCode="General">
                  <c:v>7.5</c:v>
                </c:pt>
                <c:pt idx="53" formatCode="General">
                  <c:v>7.1</c:v>
                </c:pt>
                <c:pt idx="54" formatCode="General">
                  <c:v>6.9</c:v>
                </c:pt>
                <c:pt idx="55" formatCode="General">
                  <c:v>6.8</c:v>
                </c:pt>
                <c:pt idx="56" formatCode="General">
                  <c:v>6.6</c:v>
                </c:pt>
                <c:pt idx="57" formatCode="General">
                  <c:v>3.6</c:v>
                </c:pt>
                <c:pt idx="58" formatCode="General">
                  <c:v>3.2</c:v>
                </c:pt>
                <c:pt idx="59" formatCode="General">
                  <c:v>4.3</c:v>
                </c:pt>
                <c:pt idx="60" formatCode="General">
                  <c:v>-2.1</c:v>
                </c:pt>
                <c:pt idx="61" formatCode="General">
                  <c:v>-1.8</c:v>
                </c:pt>
                <c:pt idx="62" formatCode="General">
                  <c:v>-2.6</c:v>
                </c:pt>
                <c:pt idx="63" formatCode="General">
                  <c:v>-3.7</c:v>
                </c:pt>
                <c:pt idx="64" formatCode="General">
                  <c:v>-3.1</c:v>
                </c:pt>
                <c:pt idx="65" formatCode="General">
                  <c:v>-3.6</c:v>
                </c:pt>
              </c:numCache>
            </c:numRef>
          </c:val>
          <c:smooth val="0"/>
          <c:extLst>
            <c:ext xmlns:c16="http://schemas.microsoft.com/office/drawing/2014/chart" uri="{C3380CC4-5D6E-409C-BE32-E72D297353CC}">
              <c16:uniqueId val="{00000001-E6CE-4035-A690-44763ABA8D64}"/>
            </c:ext>
          </c:extLst>
        </c:ser>
        <c:ser>
          <c:idx val="2"/>
          <c:order val="2"/>
          <c:tx>
            <c:strRef>
              <c:f>'[Makroanalýza grafy.xlsx]Ceny 4'!$E$5</c:f>
              <c:strCache>
                <c:ptCount val="1"/>
                <c:pt idx="0">
                  <c:v>Zpracovatelský průmysl</c:v>
                </c:pt>
              </c:strCache>
            </c:strRef>
          </c:tx>
          <c:spPr>
            <a:ln w="19050">
              <a:solidFill>
                <a:srgbClr val="BD1B21"/>
              </a:solidFill>
            </a:ln>
          </c:spPr>
          <c:marker>
            <c:symbol val="none"/>
          </c:marker>
          <c:cat>
            <c:multiLvlStrRef>
              <c:f>'[Makroanalýza grafy.xlsx]Ceny 4'!$A$30:$B$95</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2015</c:v>
                  </c:pt>
                  <c:pt idx="12">
                    <c:v>2016</c:v>
                  </c:pt>
                  <c:pt idx="24">
                    <c:v>2017</c:v>
                  </c:pt>
                  <c:pt idx="36">
                    <c:v>2018</c:v>
                  </c:pt>
                  <c:pt idx="48">
                    <c:v>2019</c:v>
                  </c:pt>
                  <c:pt idx="60">
                    <c:v>2020</c:v>
                  </c:pt>
                </c:lvl>
              </c:multiLvlStrCache>
            </c:multiLvlStrRef>
          </c:cat>
          <c:val>
            <c:numRef>
              <c:f>'[Makroanalýza grafy.xlsx]Ceny 4'!$E$30:$E$95</c:f>
              <c:numCache>
                <c:formatCode>0.0</c:formatCode>
                <c:ptCount val="66"/>
                <c:pt idx="0">
                  <c:v>-4.2999999999999972</c:v>
                </c:pt>
                <c:pt idx="1">
                  <c:v>-4.4000000000000057</c:v>
                </c:pt>
                <c:pt idx="2">
                  <c:v>-3.5</c:v>
                </c:pt>
                <c:pt idx="3">
                  <c:v>-3.0999999999999943</c:v>
                </c:pt>
                <c:pt idx="4">
                  <c:v>-2.7000000000000028</c:v>
                </c:pt>
                <c:pt idx="5">
                  <c:v>-2.7999999999999972</c:v>
                </c:pt>
                <c:pt idx="6">
                  <c:v>-3.5999999999999943</c:v>
                </c:pt>
                <c:pt idx="7">
                  <c:v>-4.7000000000000028</c:v>
                </c:pt>
                <c:pt idx="8">
                  <c:v>-5.2000000000000028</c:v>
                </c:pt>
                <c:pt idx="9">
                  <c:v>-4.9000000000000057</c:v>
                </c:pt>
                <c:pt idx="10">
                  <c:v>-4.5999999999999943</c:v>
                </c:pt>
                <c:pt idx="11">
                  <c:v>-3.5</c:v>
                </c:pt>
                <c:pt idx="12">
                  <c:v>-3.2999999999999972</c:v>
                </c:pt>
                <c:pt idx="13">
                  <c:v>-4.0999999999999943</c:v>
                </c:pt>
                <c:pt idx="14">
                  <c:v>-4.5999999999999943</c:v>
                </c:pt>
                <c:pt idx="15">
                  <c:v>-4.9000000000000057</c:v>
                </c:pt>
                <c:pt idx="16">
                  <c:v>-5</c:v>
                </c:pt>
                <c:pt idx="17">
                  <c:v>-4.5</c:v>
                </c:pt>
                <c:pt idx="18">
                  <c:v>-4</c:v>
                </c:pt>
                <c:pt idx="19">
                  <c:v>-3.2000000000000028</c:v>
                </c:pt>
                <c:pt idx="20">
                  <c:v>-2</c:v>
                </c:pt>
                <c:pt idx="21">
                  <c:v>-1.0999999999999943</c:v>
                </c:pt>
                <c:pt idx="22">
                  <c:v>-0.59999999999999432</c:v>
                </c:pt>
                <c:pt idx="23">
                  <c:v>0.59999999999999432</c:v>
                </c:pt>
                <c:pt idx="24" formatCode="General">
                  <c:v>2.5999999999999943</c:v>
                </c:pt>
                <c:pt idx="25" formatCode="General">
                  <c:v>4</c:v>
                </c:pt>
                <c:pt idx="26">
                  <c:v>3.7999999999999972</c:v>
                </c:pt>
                <c:pt idx="27">
                  <c:v>4</c:v>
                </c:pt>
                <c:pt idx="28" formatCode="General">
                  <c:v>2.7999999999999972</c:v>
                </c:pt>
                <c:pt idx="29" formatCode="General">
                  <c:v>1.5</c:v>
                </c:pt>
                <c:pt idx="30" formatCode="General">
                  <c:v>1.4</c:v>
                </c:pt>
                <c:pt idx="31" formatCode="General">
                  <c:v>2</c:v>
                </c:pt>
                <c:pt idx="32" formatCode="General">
                  <c:v>2.1</c:v>
                </c:pt>
                <c:pt idx="33" formatCode="General">
                  <c:v>1.4</c:v>
                </c:pt>
                <c:pt idx="34" formatCode="General">
                  <c:v>1.1000000000000001</c:v>
                </c:pt>
                <c:pt idx="35" formatCode="General">
                  <c:v>0.9</c:v>
                </c:pt>
                <c:pt idx="36" formatCode="General">
                  <c:v>0.2</c:v>
                </c:pt>
                <c:pt idx="37" formatCode="General">
                  <c:v>-0.9</c:v>
                </c:pt>
                <c:pt idx="38" formatCode="General">
                  <c:v>-0.5</c:v>
                </c:pt>
                <c:pt idx="39" formatCode="General">
                  <c:v>-0.5</c:v>
                </c:pt>
                <c:pt idx="40" formatCode="General">
                  <c:v>1.3</c:v>
                </c:pt>
                <c:pt idx="41" formatCode="General">
                  <c:v>2.8</c:v>
                </c:pt>
                <c:pt idx="42" formatCode="General">
                  <c:v>3.4</c:v>
                </c:pt>
                <c:pt idx="43" formatCode="General">
                  <c:v>3.2</c:v>
                </c:pt>
                <c:pt idx="44" formatCode="General">
                  <c:v>3</c:v>
                </c:pt>
                <c:pt idx="45" formatCode="General">
                  <c:v>3.8</c:v>
                </c:pt>
                <c:pt idx="46" formatCode="General">
                  <c:v>3.9</c:v>
                </c:pt>
                <c:pt idx="47" formatCode="General">
                  <c:v>2.2000000000000002</c:v>
                </c:pt>
                <c:pt idx="48" formatCode="General">
                  <c:v>1.9</c:v>
                </c:pt>
                <c:pt idx="49" formatCode="General">
                  <c:v>2.9</c:v>
                </c:pt>
                <c:pt idx="50" formatCode="General">
                  <c:v>3</c:v>
                </c:pt>
                <c:pt idx="51" formatCode="General">
                  <c:v>3.5</c:v>
                </c:pt>
                <c:pt idx="52" formatCode="General">
                  <c:v>2.9</c:v>
                </c:pt>
                <c:pt idx="53" formatCode="General">
                  <c:v>1.4</c:v>
                </c:pt>
                <c:pt idx="54" formatCode="General">
                  <c:v>0.9</c:v>
                </c:pt>
                <c:pt idx="55" formatCode="General">
                  <c:v>0.8</c:v>
                </c:pt>
                <c:pt idx="56" formatCode="General">
                  <c:v>0.7</c:v>
                </c:pt>
                <c:pt idx="57" formatCode="General">
                  <c:v>-0.4</c:v>
                </c:pt>
                <c:pt idx="58" formatCode="General">
                  <c:v>-0.7</c:v>
                </c:pt>
                <c:pt idx="59" formatCode="General">
                  <c:v>0.8</c:v>
                </c:pt>
                <c:pt idx="60" formatCode="General">
                  <c:v>1.2</c:v>
                </c:pt>
                <c:pt idx="61" formatCode="General">
                  <c:v>-0.1</c:v>
                </c:pt>
                <c:pt idx="62" formatCode="General">
                  <c:v>-1.2</c:v>
                </c:pt>
                <c:pt idx="63" formatCode="General">
                  <c:v>-2.5</c:v>
                </c:pt>
                <c:pt idx="64" formatCode="General">
                  <c:v>-2.6</c:v>
                </c:pt>
                <c:pt idx="65" formatCode="General">
                  <c:v>-1.9</c:v>
                </c:pt>
              </c:numCache>
            </c:numRef>
          </c:val>
          <c:smooth val="0"/>
          <c:extLst>
            <c:ext xmlns:c16="http://schemas.microsoft.com/office/drawing/2014/chart" uri="{C3380CC4-5D6E-409C-BE32-E72D297353CC}">
              <c16:uniqueId val="{00000002-E6CE-4035-A690-44763ABA8D64}"/>
            </c:ext>
          </c:extLst>
        </c:ser>
        <c:ser>
          <c:idx val="3"/>
          <c:order val="3"/>
          <c:tx>
            <c:strRef>
              <c:f>'[Makroanalýza grafy.xlsx]Ceny 4'!$F$5</c:f>
              <c:strCache>
                <c:ptCount val="1"/>
                <c:pt idx="0">
                  <c:v>Elektřina, plyn, pára a klim. vzduch</c:v>
                </c:pt>
              </c:strCache>
            </c:strRef>
          </c:tx>
          <c:spPr>
            <a:ln w="19050">
              <a:solidFill>
                <a:srgbClr val="F8A124"/>
              </a:solidFill>
            </a:ln>
          </c:spPr>
          <c:marker>
            <c:symbol val="none"/>
          </c:marker>
          <c:cat>
            <c:multiLvlStrRef>
              <c:f>'[Makroanalýza grafy.xlsx]Ceny 4'!$A$30:$B$95</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2015</c:v>
                  </c:pt>
                  <c:pt idx="12">
                    <c:v>2016</c:v>
                  </c:pt>
                  <c:pt idx="24">
                    <c:v>2017</c:v>
                  </c:pt>
                  <c:pt idx="36">
                    <c:v>2018</c:v>
                  </c:pt>
                  <c:pt idx="48">
                    <c:v>2019</c:v>
                  </c:pt>
                  <c:pt idx="60">
                    <c:v>2020</c:v>
                  </c:pt>
                </c:lvl>
              </c:multiLvlStrCache>
            </c:multiLvlStrRef>
          </c:cat>
          <c:val>
            <c:numRef>
              <c:f>'[Makroanalýza grafy.xlsx]Ceny 4'!$F$30:$F$95</c:f>
              <c:numCache>
                <c:formatCode>0.0</c:formatCode>
                <c:ptCount val="66"/>
                <c:pt idx="0">
                  <c:v>-0.79999999999999716</c:v>
                </c:pt>
                <c:pt idx="1">
                  <c:v>-0.79999999999999716</c:v>
                </c:pt>
                <c:pt idx="2">
                  <c:v>-0.79999999999999716</c:v>
                </c:pt>
                <c:pt idx="3">
                  <c:v>-0.70000000000000284</c:v>
                </c:pt>
                <c:pt idx="4">
                  <c:v>-0.70000000000000284</c:v>
                </c:pt>
                <c:pt idx="5">
                  <c:v>-0.70000000000000284</c:v>
                </c:pt>
                <c:pt idx="6">
                  <c:v>-0.70000000000000284</c:v>
                </c:pt>
                <c:pt idx="7">
                  <c:v>-0.79999999999999716</c:v>
                </c:pt>
                <c:pt idx="8">
                  <c:v>-0.79999999999999716</c:v>
                </c:pt>
                <c:pt idx="9">
                  <c:v>-0.90000000000000568</c:v>
                </c:pt>
                <c:pt idx="10">
                  <c:v>-0.90000000000000568</c:v>
                </c:pt>
                <c:pt idx="11">
                  <c:v>-0.90000000000000568</c:v>
                </c:pt>
                <c:pt idx="12">
                  <c:v>-4</c:v>
                </c:pt>
                <c:pt idx="13">
                  <c:v>-4.0999999999999943</c:v>
                </c:pt>
                <c:pt idx="14">
                  <c:v>-4.0999999999999943</c:v>
                </c:pt>
                <c:pt idx="15">
                  <c:v>-4</c:v>
                </c:pt>
                <c:pt idx="16">
                  <c:v>-4</c:v>
                </c:pt>
                <c:pt idx="17">
                  <c:v>-4.0999999999999943</c:v>
                </c:pt>
                <c:pt idx="18">
                  <c:v>-4</c:v>
                </c:pt>
                <c:pt idx="19">
                  <c:v>-4</c:v>
                </c:pt>
                <c:pt idx="20">
                  <c:v>-4.0999999999999943</c:v>
                </c:pt>
                <c:pt idx="21">
                  <c:v>-4.0999999999999943</c:v>
                </c:pt>
                <c:pt idx="22">
                  <c:v>-4.0999999999999943</c:v>
                </c:pt>
                <c:pt idx="23">
                  <c:v>-4.0999999999999943</c:v>
                </c:pt>
                <c:pt idx="24" formatCode="General">
                  <c:v>-1.0999999999999943</c:v>
                </c:pt>
                <c:pt idx="25" formatCode="General">
                  <c:v>-1.2000000000000028</c:v>
                </c:pt>
                <c:pt idx="26">
                  <c:v>-1.2000000000000028</c:v>
                </c:pt>
                <c:pt idx="27">
                  <c:v>-1.4000000000000057</c:v>
                </c:pt>
                <c:pt idx="28" formatCode="General">
                  <c:v>-1.2999999999999972</c:v>
                </c:pt>
                <c:pt idx="29" formatCode="General">
                  <c:v>-1.0999999999999943</c:v>
                </c:pt>
                <c:pt idx="30" formatCode="General">
                  <c:v>-1.1000000000000001</c:v>
                </c:pt>
                <c:pt idx="31" formatCode="General">
                  <c:v>-1.3</c:v>
                </c:pt>
                <c:pt idx="32" formatCode="General">
                  <c:v>-1.1000000000000001</c:v>
                </c:pt>
                <c:pt idx="33" formatCode="General">
                  <c:v>-1.1000000000000001</c:v>
                </c:pt>
                <c:pt idx="34" formatCode="General">
                  <c:v>-1.1000000000000001</c:v>
                </c:pt>
                <c:pt idx="35" formatCode="General">
                  <c:v>-1.1000000000000001</c:v>
                </c:pt>
                <c:pt idx="36" formatCode="General">
                  <c:v>1.5</c:v>
                </c:pt>
                <c:pt idx="37" formatCode="General">
                  <c:v>1.6</c:v>
                </c:pt>
                <c:pt idx="38" formatCode="General">
                  <c:v>1.6</c:v>
                </c:pt>
                <c:pt idx="39" formatCode="General">
                  <c:v>1.7</c:v>
                </c:pt>
                <c:pt idx="40" formatCode="General">
                  <c:v>1.7</c:v>
                </c:pt>
                <c:pt idx="41" formatCode="General">
                  <c:v>2.2999999999999998</c:v>
                </c:pt>
                <c:pt idx="42" formatCode="General">
                  <c:v>2.2999999999999998</c:v>
                </c:pt>
                <c:pt idx="43" formatCode="General">
                  <c:v>2.6</c:v>
                </c:pt>
                <c:pt idx="44" formatCode="General">
                  <c:v>2.7</c:v>
                </c:pt>
                <c:pt idx="45" formatCode="General">
                  <c:v>2.8</c:v>
                </c:pt>
                <c:pt idx="46" formatCode="General">
                  <c:v>2.8</c:v>
                </c:pt>
                <c:pt idx="47" formatCode="General">
                  <c:v>2.8</c:v>
                </c:pt>
                <c:pt idx="48" formatCode="General">
                  <c:v>7.2</c:v>
                </c:pt>
                <c:pt idx="49" formatCode="General">
                  <c:v>7.5</c:v>
                </c:pt>
                <c:pt idx="50" formatCode="General">
                  <c:v>8.4</c:v>
                </c:pt>
                <c:pt idx="51" formatCode="General">
                  <c:v>8.1999999999999993</c:v>
                </c:pt>
                <c:pt idx="52" formatCode="General">
                  <c:v>8.6</c:v>
                </c:pt>
                <c:pt idx="53" formatCode="General">
                  <c:v>7.9</c:v>
                </c:pt>
                <c:pt idx="54" formatCode="General">
                  <c:v>8</c:v>
                </c:pt>
                <c:pt idx="55" formatCode="General">
                  <c:v>7.7</c:v>
                </c:pt>
                <c:pt idx="56" formatCode="General">
                  <c:v>7.7</c:v>
                </c:pt>
                <c:pt idx="57" formatCode="General">
                  <c:v>7.5</c:v>
                </c:pt>
                <c:pt idx="58" formatCode="General">
                  <c:v>8.6999999999999993</c:v>
                </c:pt>
                <c:pt idx="59" formatCode="General">
                  <c:v>8.8000000000000007</c:v>
                </c:pt>
                <c:pt idx="60" formatCode="General">
                  <c:v>9.3000000000000007</c:v>
                </c:pt>
                <c:pt idx="61" formatCode="General">
                  <c:v>9</c:v>
                </c:pt>
                <c:pt idx="62" formatCode="General">
                  <c:v>8.3000000000000007</c:v>
                </c:pt>
                <c:pt idx="63" formatCode="General">
                  <c:v>8.6</c:v>
                </c:pt>
                <c:pt idx="64" formatCode="General">
                  <c:v>8</c:v>
                </c:pt>
                <c:pt idx="65" formatCode="General">
                  <c:v>8</c:v>
                </c:pt>
              </c:numCache>
            </c:numRef>
          </c:val>
          <c:smooth val="0"/>
          <c:extLst>
            <c:ext xmlns:c16="http://schemas.microsoft.com/office/drawing/2014/chart" uri="{C3380CC4-5D6E-409C-BE32-E72D297353CC}">
              <c16:uniqueId val="{00000003-E6CE-4035-A690-44763ABA8D64}"/>
            </c:ext>
          </c:extLst>
        </c:ser>
        <c:ser>
          <c:idx val="4"/>
          <c:order val="4"/>
          <c:tx>
            <c:strRef>
              <c:f>'[Makroanalýza grafy.xlsx]Ceny 4'!$G$5</c:f>
              <c:strCache>
                <c:ptCount val="1"/>
                <c:pt idx="0">
                  <c:v>Zás. vodou; odpadní vody</c:v>
                </c:pt>
              </c:strCache>
            </c:strRef>
          </c:tx>
          <c:spPr>
            <a:ln w="19050">
              <a:solidFill>
                <a:schemeClr val="accent1"/>
              </a:solidFill>
            </a:ln>
          </c:spPr>
          <c:marker>
            <c:symbol val="none"/>
          </c:marker>
          <c:cat>
            <c:multiLvlStrRef>
              <c:f>'[Makroanalýza grafy.xlsx]Ceny 4'!$A$30:$B$95</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2015</c:v>
                  </c:pt>
                  <c:pt idx="12">
                    <c:v>2016</c:v>
                  </c:pt>
                  <c:pt idx="24">
                    <c:v>2017</c:v>
                  </c:pt>
                  <c:pt idx="36">
                    <c:v>2018</c:v>
                  </c:pt>
                  <c:pt idx="48">
                    <c:v>2019</c:v>
                  </c:pt>
                  <c:pt idx="60">
                    <c:v>2020</c:v>
                  </c:pt>
                </c:lvl>
              </c:multiLvlStrCache>
            </c:multiLvlStrRef>
          </c:cat>
          <c:val>
            <c:numRef>
              <c:f>'[Makroanalýza grafy.xlsx]Ceny 4'!$G$30:$G$95</c:f>
              <c:numCache>
                <c:formatCode>General</c:formatCode>
                <c:ptCount val="66"/>
                <c:pt idx="0">
                  <c:v>3.4000000000000057</c:v>
                </c:pt>
                <c:pt idx="1">
                  <c:v>3.4000000000000057</c:v>
                </c:pt>
                <c:pt idx="2">
                  <c:v>3.4000000000000057</c:v>
                </c:pt>
                <c:pt idx="3">
                  <c:v>3.4000000000000057</c:v>
                </c:pt>
                <c:pt idx="4">
                  <c:v>3.4000000000000057</c:v>
                </c:pt>
                <c:pt idx="5">
                  <c:v>3.4000000000000057</c:v>
                </c:pt>
                <c:pt idx="6">
                  <c:v>3.4000000000000057</c:v>
                </c:pt>
                <c:pt idx="7">
                  <c:v>3.4000000000000057</c:v>
                </c:pt>
                <c:pt idx="8">
                  <c:v>3.4000000000000057</c:v>
                </c:pt>
                <c:pt idx="9">
                  <c:v>3.4000000000000057</c:v>
                </c:pt>
                <c:pt idx="10">
                  <c:v>3.4000000000000057</c:v>
                </c:pt>
                <c:pt idx="11">
                  <c:v>3.4000000000000057</c:v>
                </c:pt>
                <c:pt idx="12">
                  <c:v>0.5</c:v>
                </c:pt>
                <c:pt idx="13">
                  <c:v>0.5</c:v>
                </c:pt>
                <c:pt idx="14">
                  <c:v>0.5</c:v>
                </c:pt>
                <c:pt idx="15">
                  <c:v>1.5999999999999943</c:v>
                </c:pt>
                <c:pt idx="16">
                  <c:v>1.5999999999999943</c:v>
                </c:pt>
                <c:pt idx="17">
                  <c:v>1.5999999999999943</c:v>
                </c:pt>
                <c:pt idx="18">
                  <c:v>1.5999999999999943</c:v>
                </c:pt>
                <c:pt idx="19">
                  <c:v>1.5999999999999943</c:v>
                </c:pt>
                <c:pt idx="20">
                  <c:v>1.5999999999999943</c:v>
                </c:pt>
                <c:pt idx="21">
                  <c:v>1.5999999999999943</c:v>
                </c:pt>
                <c:pt idx="22">
                  <c:v>1.5999999999999943</c:v>
                </c:pt>
                <c:pt idx="23">
                  <c:v>1.5999999999999943</c:v>
                </c:pt>
                <c:pt idx="24">
                  <c:v>2.0999999999999943</c:v>
                </c:pt>
                <c:pt idx="25">
                  <c:v>2.0999999999999943</c:v>
                </c:pt>
                <c:pt idx="26" formatCode="0.0">
                  <c:v>2.0999999999999943</c:v>
                </c:pt>
                <c:pt idx="27" formatCode="0.0">
                  <c:v>1</c:v>
                </c:pt>
                <c:pt idx="28">
                  <c:v>1</c:v>
                </c:pt>
                <c:pt idx="29">
                  <c:v>1</c:v>
                </c:pt>
                <c:pt idx="30">
                  <c:v>1</c:v>
                </c:pt>
                <c:pt idx="31">
                  <c:v>1</c:v>
                </c:pt>
                <c:pt idx="32">
                  <c:v>1</c:v>
                </c:pt>
                <c:pt idx="33">
                  <c:v>1</c:v>
                </c:pt>
                <c:pt idx="34">
                  <c:v>1</c:v>
                </c:pt>
                <c:pt idx="35">
                  <c:v>1</c:v>
                </c:pt>
                <c:pt idx="36">
                  <c:v>1.9</c:v>
                </c:pt>
                <c:pt idx="37">
                  <c:v>1.9</c:v>
                </c:pt>
                <c:pt idx="38">
                  <c:v>1.9</c:v>
                </c:pt>
                <c:pt idx="39">
                  <c:v>1.9</c:v>
                </c:pt>
                <c:pt idx="40">
                  <c:v>1.9</c:v>
                </c:pt>
                <c:pt idx="41">
                  <c:v>1.9</c:v>
                </c:pt>
                <c:pt idx="42">
                  <c:v>1.9</c:v>
                </c:pt>
                <c:pt idx="43">
                  <c:v>1.9</c:v>
                </c:pt>
                <c:pt idx="44">
                  <c:v>1.9</c:v>
                </c:pt>
                <c:pt idx="45">
                  <c:v>1.9</c:v>
                </c:pt>
                <c:pt idx="46">
                  <c:v>1.9</c:v>
                </c:pt>
                <c:pt idx="47">
                  <c:v>1.9</c:v>
                </c:pt>
                <c:pt idx="48">
                  <c:v>2.9</c:v>
                </c:pt>
                <c:pt idx="49">
                  <c:v>2.9</c:v>
                </c:pt>
                <c:pt idx="50">
                  <c:v>2.9</c:v>
                </c:pt>
                <c:pt idx="51">
                  <c:v>2.9</c:v>
                </c:pt>
                <c:pt idx="52">
                  <c:v>2.9</c:v>
                </c:pt>
                <c:pt idx="53">
                  <c:v>2.9</c:v>
                </c:pt>
                <c:pt idx="54">
                  <c:v>2.9</c:v>
                </c:pt>
                <c:pt idx="55">
                  <c:v>2.9</c:v>
                </c:pt>
                <c:pt idx="56">
                  <c:v>2.9</c:v>
                </c:pt>
                <c:pt idx="57">
                  <c:v>2.9</c:v>
                </c:pt>
                <c:pt idx="58">
                  <c:v>2.9</c:v>
                </c:pt>
                <c:pt idx="59">
                  <c:v>2.9</c:v>
                </c:pt>
                <c:pt idx="60">
                  <c:v>5.4</c:v>
                </c:pt>
                <c:pt idx="61">
                  <c:v>5.4</c:v>
                </c:pt>
                <c:pt idx="62">
                  <c:v>5.4</c:v>
                </c:pt>
                <c:pt idx="63">
                  <c:v>5.4</c:v>
                </c:pt>
                <c:pt idx="64">
                  <c:v>6.4</c:v>
                </c:pt>
                <c:pt idx="65">
                  <c:v>6.4</c:v>
                </c:pt>
              </c:numCache>
            </c:numRef>
          </c:val>
          <c:smooth val="0"/>
          <c:extLst>
            <c:ext xmlns:c16="http://schemas.microsoft.com/office/drawing/2014/chart" uri="{C3380CC4-5D6E-409C-BE32-E72D297353CC}">
              <c16:uniqueId val="{00000004-E6CE-4035-A690-44763ABA8D64}"/>
            </c:ext>
          </c:extLst>
        </c:ser>
        <c:dLbls>
          <c:showLegendKey val="0"/>
          <c:showVal val="0"/>
          <c:showCatName val="0"/>
          <c:showSerName val="0"/>
          <c:showPercent val="0"/>
          <c:showBubbleSize val="0"/>
        </c:dLbls>
        <c:marker val="1"/>
        <c:smooth val="0"/>
        <c:axId val="271374208"/>
        <c:axId val="271375744"/>
      </c:lineChart>
      <c:catAx>
        <c:axId val="271374208"/>
        <c:scaling>
          <c:orientation val="minMax"/>
        </c:scaling>
        <c:delete val="0"/>
        <c:axPos val="b"/>
        <c:numFmt formatCode="General" sourceLinked="0"/>
        <c:majorTickMark val="out"/>
        <c:minorTickMark val="none"/>
        <c:tickLblPos val="low"/>
        <c:spPr>
          <a:ln>
            <a:solidFill>
              <a:schemeClr val="tx1"/>
            </a:solidFill>
          </a:ln>
        </c:spPr>
        <c:crossAx val="271375744"/>
        <c:crosses val="autoZero"/>
        <c:auto val="1"/>
        <c:lblAlgn val="ctr"/>
        <c:lblOffset val="100"/>
        <c:noMultiLvlLbl val="0"/>
      </c:catAx>
      <c:valAx>
        <c:axId val="271375744"/>
        <c:scaling>
          <c:orientation val="minMax"/>
          <c:max val="12"/>
          <c:min val="-10"/>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71374208"/>
        <c:crosses val="autoZero"/>
        <c:crossBetween val="between"/>
        <c:majorUnit val="2"/>
      </c:valAx>
      <c:spPr>
        <a:ln>
          <a:solidFill>
            <a:schemeClr val="tx1"/>
          </a:solidFill>
        </a:ln>
      </c:spPr>
    </c:plotArea>
    <c:legend>
      <c:legendPos val="b"/>
      <c:layout>
        <c:manualLayout>
          <c:xMode val="edge"/>
          <c:yMode val="edge"/>
          <c:x val="6.1319022289766968E-2"/>
          <c:y val="0.86223931272106069"/>
          <c:w val="0.90901046943600139"/>
          <c:h val="0.12109402425765226"/>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00755-7DE9-4AAC-A771-4F6B2A095C22}">
  <ds:schemaRefs>
    <ds:schemaRef ds:uri="http://schemas.openxmlformats.org/officeDocument/2006/bibliography"/>
  </ds:schemaRefs>
</ds:datastoreItem>
</file>

<file path=customXml/itemProps2.xml><?xml version="1.0" encoding="utf-8"?>
<ds:datastoreItem xmlns:ds="http://schemas.openxmlformats.org/officeDocument/2006/customXml" ds:itemID="{A034961F-38CA-4644-8992-79801C52A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2</TotalTime>
  <Pages>1</Pages>
  <Words>1939</Words>
  <Characters>11443</Characters>
  <Application>Microsoft Office Word</Application>
  <DocSecurity>0</DocSecurity>
  <Lines>95</Lines>
  <Paragraphs>26</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13356</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Mgr. Karolína Zábojníková</cp:lastModifiedBy>
  <cp:revision>5</cp:revision>
  <cp:lastPrinted>2019-04-08T10:52:00Z</cp:lastPrinted>
  <dcterms:created xsi:type="dcterms:W3CDTF">2020-09-11T08:14:00Z</dcterms:created>
  <dcterms:modified xsi:type="dcterms:W3CDTF">2020-09-11T08:47:00Z</dcterms:modified>
</cp:coreProperties>
</file>