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34290978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1A27C4">
        <w:rPr>
          <w:rFonts w:ascii="Arial" w:hAnsi="Arial" w:cs="Arial"/>
          <w:sz w:val="32"/>
        </w:rPr>
        <w:t> prosinci 2025 a v roce 2025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4B75EB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4B75EB">
        <w:rPr>
          <w:rFonts w:ascii="Arial" w:hAnsi="Arial" w:cs="Arial"/>
          <w:b/>
          <w:sz w:val="20"/>
          <w:szCs w:val="20"/>
        </w:rPr>
        <w:t>Meziměsíční srovnání:</w:t>
      </w:r>
    </w:p>
    <w:p w14:paraId="1B3E6E77" w14:textId="77777777" w:rsidR="005E1F75" w:rsidRPr="004B75EB" w:rsidRDefault="005E1F75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14:paraId="480C38E6" w14:textId="77777777" w:rsid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 xml:space="preserve">Ceny </w:t>
      </w:r>
      <w:r w:rsidRPr="004B75EB">
        <w:rPr>
          <w:rFonts w:ascii="Arial" w:hAnsi="Arial" w:cs="Arial"/>
          <w:b/>
          <w:sz w:val="20"/>
          <w:szCs w:val="20"/>
        </w:rPr>
        <w:t xml:space="preserve">průmyslových výrobců meziměsíčně </w:t>
      </w:r>
      <w:r w:rsidRPr="004B75EB">
        <w:rPr>
          <w:rFonts w:ascii="Arial" w:hAnsi="Arial" w:cs="Arial"/>
          <w:sz w:val="20"/>
          <w:szCs w:val="20"/>
        </w:rPr>
        <w:t>klesly o 0,2 %.</w:t>
      </w:r>
    </w:p>
    <w:p w14:paraId="7E474E03" w14:textId="77777777" w:rsidR="00161FE6" w:rsidRDefault="00161FE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E4115FA" w14:textId="6F974D82" w:rsidR="004B75EB" w:rsidRDefault="00161FE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A856F69" wp14:editId="65B66A94">
            <wp:extent cx="5760720" cy="3926205"/>
            <wp:effectExtent l="0" t="0" r="11430" b="17145"/>
            <wp:docPr id="105955055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717CD1" w14:textId="77777777" w:rsidR="00161FE6" w:rsidRDefault="00161FE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30D00510" w14:textId="77777777" w:rsid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 xml:space="preserve">Snížily se zejména </w:t>
      </w:r>
      <w:r w:rsidRPr="004B75EB">
        <w:rPr>
          <w:rFonts w:ascii="Arial" w:hAnsi="Arial" w:cs="Arial"/>
          <w:bCs/>
          <w:sz w:val="20"/>
          <w:szCs w:val="20"/>
        </w:rPr>
        <w:t xml:space="preserve">ceny koksu a rafinovaných ropných výrobků. Nižší byly ceny </w:t>
      </w:r>
      <w:r w:rsidRPr="004B75EB">
        <w:rPr>
          <w:rFonts w:ascii="Arial" w:hAnsi="Arial" w:cs="Arial"/>
          <w:sz w:val="20"/>
          <w:szCs w:val="20"/>
        </w:rPr>
        <w:t>potravinářských výrobků o 0,4 %, z toho ceny mléčných výrobků o 1,6 % a zpracovaného a konzervovaného masa a výrobků z masa o 0,4 %. Vyšší byly ceny pekařských, cukrářských a jiných moučných výrobků a průmyslových krmiv shodně o 0,3 %.</w:t>
      </w:r>
    </w:p>
    <w:p w14:paraId="2CE41135" w14:textId="77777777" w:rsid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2E3FD561" w14:textId="40A8F5A2" w:rsid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Klesly ceny chemických látek a přípravků o 0,4 % a pryžových a plastových výrobků o 0,3 %.</w:t>
      </w:r>
    </w:p>
    <w:p w14:paraId="7B4C7ECA" w14:textId="77777777" w:rsid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0D41B98E" w14:textId="5E9E55C0" w:rsidR="004724F3" w:rsidRPr="004B75EB" w:rsidRDefault="004B75E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Ceny elektřiny, plynu, páry a klimatizovaného vzduchu vzrostly o 0,8 %, tiskařských a nahrávacích služeb o 2,3 % a ceny motorových vozidel (kromě motocyklů), přívěsů a návěsů a základních kovů o shodně 0,2 %.</w:t>
      </w:r>
    </w:p>
    <w:p w14:paraId="2D7836BB" w14:textId="4B8EE664" w:rsidR="00D32090" w:rsidRPr="004B75EB" w:rsidRDefault="00D3209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77777777" w:rsidR="007536DF" w:rsidRPr="004B75EB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4B75EB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0C203212" w14:textId="762CC82B" w:rsidR="008F025D" w:rsidRPr="004B75EB" w:rsidRDefault="004B75EB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drawing>
          <wp:inline distT="0" distB="0" distL="0" distR="0" wp14:anchorId="5E5E8405" wp14:editId="5B18A748">
            <wp:extent cx="5760720" cy="426085"/>
            <wp:effectExtent l="0" t="0" r="0" b="0"/>
            <wp:docPr id="18544609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9D34" w14:textId="77777777" w:rsidR="00CA0EDE" w:rsidRPr="004B75EB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F4A45D" w14:textId="77777777" w:rsidR="00CA0EDE" w:rsidRPr="004B75EB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E5260C6" w14:textId="77777777" w:rsidR="00CA0EDE" w:rsidRPr="004B75EB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4B75EB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4B75EB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Pr="004B75EB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9EBCF8" w14:textId="77777777" w:rsidR="00161FE6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42F00D" w14:textId="77777777" w:rsidR="00161FE6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86C027" w14:textId="77777777" w:rsidR="00161FE6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1EFFE1D1" w:rsidR="005E1F75" w:rsidRPr="004B75EB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B75EB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14:paraId="6186561D" w14:textId="77777777" w:rsidR="00162B49" w:rsidRPr="004B75EB" w:rsidRDefault="00162B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5A336FB" w14:textId="77777777" w:rsidR="004B75EB" w:rsidRDefault="004B75EB" w:rsidP="004B75EB">
      <w:pPr>
        <w:rPr>
          <w:rFonts w:ascii="Arial" w:hAnsi="Arial" w:cs="Arial"/>
          <w:bCs/>
          <w:sz w:val="20"/>
          <w:szCs w:val="20"/>
        </w:rPr>
      </w:pPr>
      <w:r w:rsidRPr="004B75EB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4B75EB">
        <w:rPr>
          <w:rFonts w:ascii="Arial" w:hAnsi="Arial" w:cs="Arial"/>
          <w:sz w:val="20"/>
          <w:szCs w:val="20"/>
        </w:rPr>
        <w:t xml:space="preserve">se ceny </w:t>
      </w:r>
      <w:r w:rsidRPr="004B75EB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4B75EB">
        <w:rPr>
          <w:rFonts w:ascii="Arial" w:hAnsi="Arial" w:cs="Arial"/>
          <w:bCs/>
          <w:sz w:val="20"/>
          <w:szCs w:val="20"/>
        </w:rPr>
        <w:t xml:space="preserve">snížily o 2,1 % (v listopadu o 1,3 %). </w:t>
      </w:r>
    </w:p>
    <w:p w14:paraId="4B489812" w14:textId="77777777" w:rsidR="008A16DB" w:rsidRPr="004B75EB" w:rsidRDefault="008A16DB" w:rsidP="004B75EB">
      <w:pPr>
        <w:rPr>
          <w:rFonts w:ascii="Arial" w:hAnsi="Arial" w:cs="Arial"/>
          <w:bCs/>
          <w:sz w:val="20"/>
          <w:szCs w:val="20"/>
        </w:rPr>
      </w:pPr>
    </w:p>
    <w:p w14:paraId="4D7B3699" w14:textId="27CCC1CB" w:rsidR="004B75EB" w:rsidRDefault="008A16DB" w:rsidP="004B75EB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5334EA7" wp14:editId="2549E03E">
            <wp:extent cx="5760720" cy="3498850"/>
            <wp:effectExtent l="0" t="0" r="11430" b="6350"/>
            <wp:docPr id="144841309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11AD4C" w14:textId="77777777" w:rsidR="00161FE6" w:rsidRDefault="00161FE6" w:rsidP="004B75EB">
      <w:pPr>
        <w:rPr>
          <w:rFonts w:ascii="Arial" w:hAnsi="Arial" w:cs="Arial"/>
          <w:bCs/>
          <w:sz w:val="20"/>
          <w:szCs w:val="20"/>
        </w:rPr>
      </w:pPr>
    </w:p>
    <w:p w14:paraId="33BF2983" w14:textId="59EF4FB8" w:rsidR="00161FE6" w:rsidRPr="004B75EB" w:rsidRDefault="008A16DB" w:rsidP="004B75EB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4CD23137" wp14:editId="79C7D7D7">
            <wp:extent cx="5760720" cy="4377055"/>
            <wp:effectExtent l="0" t="0" r="11430" b="4445"/>
            <wp:docPr id="19850078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81518B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Cs/>
          <w:sz w:val="20"/>
          <w:szCs w:val="20"/>
        </w:rPr>
        <w:lastRenderedPageBreak/>
        <w:t xml:space="preserve">Ceny </w:t>
      </w:r>
      <w:r w:rsidRPr="004B75EB">
        <w:rPr>
          <w:rFonts w:ascii="Arial" w:hAnsi="Arial" w:cs="Arial"/>
          <w:sz w:val="20"/>
          <w:szCs w:val="20"/>
        </w:rPr>
        <w:t xml:space="preserve">elektřiny, plynu, páry a klimatizovaného vzduchu byly nižší o 5,6 %. Klesly ceny </w:t>
      </w:r>
      <w:r w:rsidRPr="004B75EB">
        <w:rPr>
          <w:rFonts w:ascii="Arial" w:hAnsi="Arial" w:cs="Arial"/>
          <w:bCs/>
          <w:sz w:val="20"/>
          <w:szCs w:val="20"/>
        </w:rPr>
        <w:t xml:space="preserve">koksu a rafinovaných ropných výrobků. Nižší byly ceny </w:t>
      </w:r>
      <w:r w:rsidRPr="004B75EB">
        <w:rPr>
          <w:rFonts w:ascii="Arial" w:hAnsi="Arial" w:cs="Arial"/>
          <w:sz w:val="20"/>
          <w:szCs w:val="20"/>
        </w:rPr>
        <w:t>chemických látek a přípravků o 8,1 % a ceny motorových vozidel (kromě motocyklů), přívěsů a návěsů o 2,0 %.</w:t>
      </w:r>
    </w:p>
    <w:p w14:paraId="3996005A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34B39462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Ceny opravy, údržby a instalace strojů a zařízení se zvýšily o 3,8 %, dřeva a dřevěných a korkových výrobků, kromě nábytku o 7,9 % a ostatních nekovových minerálních výrobků o 2,5 %.</w:t>
      </w:r>
    </w:p>
    <w:p w14:paraId="6B55FE1E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4EA54980" w14:textId="5D02B750" w:rsidR="00686095" w:rsidRPr="004B75EB" w:rsidRDefault="004B75EB" w:rsidP="004B75EB">
      <w:pPr>
        <w:rPr>
          <w:rFonts w:ascii="Arial" w:hAnsi="Arial" w:cs="Arial"/>
          <w:b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Ceny potravinářských výrobků byly vyšší o 0,5 %, z toho ceny zpracovaného a konzervovaného masa a výrobků z masa o 1,5 % a průmyslových krmiv o 3,3 %. Ceny mléčných výrobků se snížily o 3,5 %.</w:t>
      </w:r>
    </w:p>
    <w:p w14:paraId="09B04E88" w14:textId="35A9EA79" w:rsidR="00686095" w:rsidRPr="004B75EB" w:rsidRDefault="0068609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FC07E9" w14:textId="57DC167B" w:rsidR="007536DF" w:rsidRPr="004B75EB" w:rsidRDefault="007536DF" w:rsidP="00672386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32D9C91" w14:textId="77777777" w:rsidR="009072D5" w:rsidRPr="004B75EB" w:rsidRDefault="009072D5" w:rsidP="00672386">
      <w:pPr>
        <w:rPr>
          <w:rFonts w:ascii="Arial" w:hAnsi="Arial" w:cs="Arial"/>
          <w:sz w:val="20"/>
          <w:szCs w:val="20"/>
        </w:rPr>
      </w:pPr>
    </w:p>
    <w:p w14:paraId="11C84E5D" w14:textId="183C74D9" w:rsidR="008766E9" w:rsidRPr="004B75EB" w:rsidRDefault="004B75EB" w:rsidP="00672386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drawing>
          <wp:inline distT="0" distB="0" distL="0" distR="0" wp14:anchorId="3E4F9862" wp14:editId="000FD984">
            <wp:extent cx="5760720" cy="2086610"/>
            <wp:effectExtent l="0" t="0" r="0" b="8890"/>
            <wp:docPr id="2285536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4CDF" w14:textId="5294E37F" w:rsidR="00B419F0" w:rsidRPr="004B75EB" w:rsidRDefault="00B419F0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2798F14" w14:textId="7081D1C9" w:rsidR="002103EA" w:rsidRPr="004B75EB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/>
          <w:sz w:val="20"/>
          <w:szCs w:val="20"/>
        </w:rPr>
        <w:t xml:space="preserve">Klouzavý průměr </w:t>
      </w:r>
      <w:r w:rsidRPr="004B75EB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4B75EB">
        <w:rPr>
          <w:rFonts w:ascii="Arial" w:hAnsi="Arial" w:cs="Arial"/>
          <w:sz w:val="20"/>
          <w:szCs w:val="20"/>
        </w:rPr>
        <w:t>xů za předchozích 12 měsíců) byl</w:t>
      </w:r>
      <w:r w:rsidR="003435B8" w:rsidRPr="004B75EB">
        <w:rPr>
          <w:rFonts w:ascii="Arial" w:hAnsi="Arial" w:cs="Arial"/>
          <w:sz w:val="20"/>
          <w:szCs w:val="20"/>
        </w:rPr>
        <w:t xml:space="preserve"> </w:t>
      </w:r>
      <w:r w:rsidR="004B75EB" w:rsidRPr="004B75EB">
        <w:rPr>
          <w:rFonts w:ascii="Arial" w:hAnsi="Arial" w:cs="Arial"/>
          <w:sz w:val="20"/>
          <w:szCs w:val="20"/>
        </w:rPr>
        <w:t>99,2</w:t>
      </w:r>
    </w:p>
    <w:p w14:paraId="166251DD" w14:textId="77777777" w:rsidR="00FB6EF1" w:rsidRPr="004B75EB" w:rsidRDefault="00FB6EF1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2FA172B6" w14:textId="222271DB" w:rsidR="004B75EB" w:rsidRPr="004B75EB" w:rsidRDefault="000223F3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 xml:space="preserve">Při hodnocení podle </w:t>
      </w:r>
      <w:r w:rsidRPr="004B75EB">
        <w:rPr>
          <w:rFonts w:ascii="Arial" w:hAnsi="Arial" w:cs="Arial"/>
          <w:b/>
          <w:sz w:val="20"/>
          <w:szCs w:val="20"/>
        </w:rPr>
        <w:t>hlavních průmyslových skupin</w:t>
      </w:r>
      <w:r w:rsidRPr="004B75EB">
        <w:rPr>
          <w:rFonts w:ascii="Arial" w:hAnsi="Arial" w:cs="Arial"/>
          <w:sz w:val="20"/>
          <w:szCs w:val="20"/>
        </w:rPr>
        <w:t xml:space="preserve"> </w:t>
      </w:r>
      <w:r w:rsidR="004B75EB" w:rsidRPr="004B75EB">
        <w:rPr>
          <w:rFonts w:ascii="Arial" w:hAnsi="Arial" w:cs="Arial"/>
          <w:sz w:val="20"/>
          <w:szCs w:val="20"/>
        </w:rPr>
        <w:t xml:space="preserve">se </w:t>
      </w:r>
      <w:r w:rsidR="004B75EB" w:rsidRPr="004B75EB">
        <w:rPr>
          <w:rFonts w:ascii="Arial" w:hAnsi="Arial" w:cs="Arial"/>
          <w:b/>
          <w:sz w:val="20"/>
          <w:szCs w:val="20"/>
        </w:rPr>
        <w:t>meziročně</w:t>
      </w:r>
      <w:r w:rsidR="004B75EB" w:rsidRPr="004B75EB">
        <w:rPr>
          <w:rFonts w:ascii="Arial" w:hAnsi="Arial" w:cs="Arial"/>
          <w:sz w:val="20"/>
          <w:szCs w:val="20"/>
        </w:rPr>
        <w:t xml:space="preserve"> snížily ceny energií o 6,4 % a meziproduktů o 0,8 %, zvýšily se ceny zboží dlouhodobé spotřeby o 2,2 % a ceny zboží krátkodobé spotřeby o 0,7 %. Ceny </w:t>
      </w:r>
      <w:r w:rsidR="004B75EB" w:rsidRPr="004B75EB">
        <w:rPr>
          <w:rFonts w:ascii="Arial" w:hAnsi="Arial" w:cs="Arial"/>
          <w:b/>
          <w:sz w:val="20"/>
          <w:szCs w:val="20"/>
        </w:rPr>
        <w:t>průmyslových výrobců</w:t>
      </w:r>
      <w:r w:rsidR="004B75EB" w:rsidRPr="004B75EB">
        <w:rPr>
          <w:rFonts w:ascii="Arial" w:hAnsi="Arial" w:cs="Arial"/>
          <w:sz w:val="20"/>
          <w:szCs w:val="20"/>
        </w:rPr>
        <w:t xml:space="preserve"> </w:t>
      </w:r>
      <w:r w:rsidR="004B75EB" w:rsidRPr="004B75EB">
        <w:rPr>
          <w:rFonts w:ascii="Arial" w:hAnsi="Arial" w:cs="Arial"/>
          <w:b/>
          <w:sz w:val="20"/>
          <w:szCs w:val="20"/>
        </w:rPr>
        <w:t>bez energií</w:t>
      </w:r>
      <w:r w:rsidR="004B75EB" w:rsidRPr="004B75EB">
        <w:rPr>
          <w:rFonts w:ascii="Arial" w:hAnsi="Arial" w:cs="Arial"/>
          <w:sz w:val="20"/>
          <w:szCs w:val="20"/>
        </w:rPr>
        <w:t xml:space="preserve"> klesly o 0,3 % (v listopadu o 0,5 %).</w:t>
      </w:r>
    </w:p>
    <w:p w14:paraId="258DE052" w14:textId="5FBA8516" w:rsidR="009072D5" w:rsidRPr="004B75EB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7DDD9001" w14:textId="77777777" w:rsidR="001A27C4" w:rsidRPr="004B75EB" w:rsidRDefault="001A27C4" w:rsidP="009072D5">
      <w:pPr>
        <w:rPr>
          <w:rFonts w:ascii="Arial" w:hAnsi="Arial" w:cs="Arial"/>
          <w:b/>
          <w:sz w:val="20"/>
          <w:szCs w:val="20"/>
        </w:rPr>
      </w:pPr>
    </w:p>
    <w:p w14:paraId="56F27107" w14:textId="11F5E6F3" w:rsidR="001A27C4" w:rsidRDefault="001A27C4" w:rsidP="001A27C4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B75EB">
        <w:rPr>
          <w:rFonts w:ascii="Arial" w:eastAsia="Calibri" w:hAnsi="Arial" w:cs="Arial"/>
          <w:b/>
          <w:sz w:val="20"/>
          <w:szCs w:val="20"/>
          <w:lang w:eastAsia="en-US"/>
        </w:rPr>
        <w:t>Vývoj cen v roce 2025</w:t>
      </w:r>
    </w:p>
    <w:p w14:paraId="555EADE6" w14:textId="77777777" w:rsidR="004B75EB" w:rsidRPr="004B75EB" w:rsidRDefault="004B75EB" w:rsidP="001A27C4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3AB764" w14:textId="77777777" w:rsid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>Ceny</w:t>
      </w:r>
      <w:r w:rsidRPr="004B75EB">
        <w:rPr>
          <w:rFonts w:ascii="Arial" w:hAnsi="Arial" w:cs="Arial"/>
          <w:b/>
          <w:bCs/>
          <w:sz w:val="20"/>
          <w:szCs w:val="20"/>
        </w:rPr>
        <w:t xml:space="preserve"> průmyslových výrobců </w:t>
      </w:r>
      <w:r w:rsidRPr="004B75EB">
        <w:rPr>
          <w:rFonts w:ascii="Arial" w:hAnsi="Arial" w:cs="Arial"/>
          <w:bCs/>
          <w:sz w:val="20"/>
          <w:szCs w:val="20"/>
        </w:rPr>
        <w:t>se</w:t>
      </w:r>
      <w:r w:rsidRPr="004B75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75EB">
        <w:rPr>
          <w:rFonts w:ascii="Arial" w:hAnsi="Arial" w:cs="Arial"/>
          <w:b/>
          <w:sz w:val="20"/>
          <w:szCs w:val="20"/>
        </w:rPr>
        <w:t>v roce 2025</w:t>
      </w:r>
      <w:r w:rsidRPr="004B75EB">
        <w:rPr>
          <w:rFonts w:ascii="Arial" w:hAnsi="Arial" w:cs="Arial"/>
          <w:sz w:val="20"/>
          <w:szCs w:val="20"/>
        </w:rPr>
        <w:t xml:space="preserve"> </w:t>
      </w:r>
      <w:r w:rsidRPr="004B75EB">
        <w:rPr>
          <w:rFonts w:ascii="Arial" w:hAnsi="Arial" w:cs="Arial"/>
          <w:b/>
          <w:sz w:val="20"/>
          <w:szCs w:val="20"/>
        </w:rPr>
        <w:t>meziročně průměrně</w:t>
      </w:r>
      <w:r w:rsidRPr="004B75EB">
        <w:rPr>
          <w:rFonts w:ascii="Arial" w:hAnsi="Arial" w:cs="Arial"/>
          <w:sz w:val="20"/>
          <w:szCs w:val="20"/>
        </w:rPr>
        <w:t xml:space="preserve"> snížily o 0,8 % (v roce 2024 se zvýšily o 0,8 %). Nejvíce klesly ceny ropy a zemního plynu o 15,5 %, černého a hnědého uhlí a lignitu o 9,6 % a ceny chemických látek a přípravků o 5,6 %. </w:t>
      </w:r>
    </w:p>
    <w:p w14:paraId="49FD64B4" w14:textId="48FE922D" w:rsid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 xml:space="preserve">Vzrostly ceny ostatní těžby a dobývání nerostných surovin o 5,8 %, dřeva a dřevěných a korkových výrobků, kromě nábytku o 4,8 % a ceny oprav, údržby a instalace strojů a zařízení a ceny přírodní vody; úpravy a rozvodu vody, obchodu s vodou, prostřednictvím sítí totožně o 4,1 %. </w:t>
      </w:r>
    </w:p>
    <w:p w14:paraId="385C6042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sz w:val="20"/>
          <w:szCs w:val="20"/>
        </w:rPr>
        <w:t xml:space="preserve">Ceny potravinářských výrobků byly vyšší o 2,6 %, z toho mléčných výrobků o 8,3 %, průmyslových krmiv o 4,0 % a ceny rostlinných a živočišných olejů a tuků o 6,4 %. Nižší byly ceny ostatních potravinářských výrobků o 2,7 % a mlýnských a škrobárenských výrobků o 0,7 %. </w:t>
      </w:r>
    </w:p>
    <w:p w14:paraId="474B8C91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2DE6F089" w14:textId="77777777" w:rsidR="001A27C4" w:rsidRPr="004B75EB" w:rsidRDefault="001A27C4" w:rsidP="001A27C4">
      <w:pPr>
        <w:rPr>
          <w:rFonts w:ascii="Arial" w:hAnsi="Arial" w:cs="Arial"/>
          <w:sz w:val="20"/>
          <w:szCs w:val="20"/>
        </w:rPr>
      </w:pPr>
    </w:p>
    <w:p w14:paraId="574724EF" w14:textId="3A7E27DB" w:rsidR="00D403E7" w:rsidRPr="004B75EB" w:rsidRDefault="00D403E7" w:rsidP="00D403E7">
      <w:pPr>
        <w:rPr>
          <w:rFonts w:ascii="Arial" w:hAnsi="Arial" w:cs="Arial"/>
          <w:sz w:val="20"/>
          <w:szCs w:val="20"/>
        </w:rPr>
      </w:pPr>
    </w:p>
    <w:p w14:paraId="2C7DF58B" w14:textId="3CA915AD" w:rsidR="00813F40" w:rsidRPr="004B75EB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B75EB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1A27C4" w:rsidRPr="004B75EB">
        <w:rPr>
          <w:rFonts w:ascii="Arial" w:hAnsi="Arial" w:cs="Arial"/>
          <w:b/>
          <w:sz w:val="20"/>
          <w:szCs w:val="20"/>
        </w:rPr>
        <w:t>prosinec 2025</w:t>
      </w:r>
    </w:p>
    <w:p w14:paraId="7E852856" w14:textId="77777777" w:rsidR="004058C9" w:rsidRPr="004B75EB" w:rsidRDefault="004058C9" w:rsidP="009072D5">
      <w:pPr>
        <w:rPr>
          <w:rFonts w:ascii="Arial" w:hAnsi="Arial" w:cs="Arial"/>
          <w:b/>
          <w:sz w:val="20"/>
          <w:szCs w:val="20"/>
        </w:rPr>
      </w:pPr>
    </w:p>
    <w:p w14:paraId="5F9B6188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/>
          <w:bCs/>
          <w:sz w:val="20"/>
          <w:szCs w:val="20"/>
        </w:rPr>
        <w:t>101314 Špekáčky:</w:t>
      </w:r>
      <w:r w:rsidRPr="004B75EB">
        <w:rPr>
          <w:rFonts w:ascii="Arial" w:hAnsi="Arial" w:cs="Arial"/>
          <w:sz w:val="20"/>
          <w:szCs w:val="20"/>
        </w:rPr>
        <w:t xml:space="preserve"> návrat cen po slevách</w:t>
      </w:r>
    </w:p>
    <w:p w14:paraId="66F99205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0F63AE13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/>
          <w:bCs/>
          <w:sz w:val="20"/>
          <w:szCs w:val="20"/>
        </w:rPr>
        <w:t xml:space="preserve">101314 Vysočina: </w:t>
      </w:r>
      <w:r w:rsidRPr="004B75EB">
        <w:rPr>
          <w:rFonts w:ascii="Arial" w:hAnsi="Arial" w:cs="Arial"/>
          <w:sz w:val="20"/>
          <w:szCs w:val="20"/>
        </w:rPr>
        <w:t>akční ceny</w:t>
      </w:r>
    </w:p>
    <w:p w14:paraId="7E19C3B9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3D769295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/>
          <w:bCs/>
          <w:sz w:val="20"/>
          <w:szCs w:val="20"/>
        </w:rPr>
        <w:t>105130 Máslo</w:t>
      </w:r>
      <w:r w:rsidRPr="004B75EB">
        <w:rPr>
          <w:rFonts w:ascii="Arial" w:hAnsi="Arial" w:cs="Arial"/>
          <w:sz w:val="20"/>
          <w:szCs w:val="20"/>
        </w:rPr>
        <w:t>: cena másla na trhu stále klesá</w:t>
      </w:r>
    </w:p>
    <w:p w14:paraId="08E23A12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</w:p>
    <w:p w14:paraId="69DA7324" w14:textId="77777777" w:rsidR="004B75EB" w:rsidRPr="004B75EB" w:rsidRDefault="004B75EB" w:rsidP="004B75EB">
      <w:pPr>
        <w:rPr>
          <w:rFonts w:ascii="Arial" w:hAnsi="Arial" w:cs="Arial"/>
          <w:sz w:val="20"/>
          <w:szCs w:val="20"/>
        </w:rPr>
      </w:pPr>
      <w:r w:rsidRPr="004B75EB">
        <w:rPr>
          <w:rFonts w:ascii="Arial" w:hAnsi="Arial" w:cs="Arial"/>
          <w:b/>
          <w:bCs/>
          <w:sz w:val="20"/>
          <w:szCs w:val="20"/>
        </w:rPr>
        <w:t>105140 Eidamská cihla</w:t>
      </w:r>
      <w:r w:rsidRPr="004B75EB">
        <w:rPr>
          <w:rFonts w:ascii="Arial" w:hAnsi="Arial" w:cs="Arial"/>
          <w:sz w:val="20"/>
          <w:szCs w:val="20"/>
        </w:rPr>
        <w:t>: vliv celorepublikového poklesu cen</w:t>
      </w:r>
    </w:p>
    <w:p w14:paraId="06540047" w14:textId="77777777" w:rsidR="004B75EB" w:rsidRPr="004B75EB" w:rsidRDefault="004B75EB" w:rsidP="009072D5">
      <w:pPr>
        <w:rPr>
          <w:rFonts w:ascii="Arial" w:hAnsi="Arial" w:cs="Arial"/>
          <w:b/>
          <w:sz w:val="20"/>
          <w:szCs w:val="20"/>
        </w:rPr>
      </w:pPr>
    </w:p>
    <w:sectPr w:rsidR="004B75EB" w:rsidRPr="004B75EB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427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61FE6"/>
    <w:rsid w:val="00162B49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27C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0DC"/>
    <w:rsid w:val="002442A3"/>
    <w:rsid w:val="00244757"/>
    <w:rsid w:val="00244FDA"/>
    <w:rsid w:val="00256B85"/>
    <w:rsid w:val="00257A86"/>
    <w:rsid w:val="00262BF3"/>
    <w:rsid w:val="00262C3B"/>
    <w:rsid w:val="002646F1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97183"/>
    <w:rsid w:val="004A0AE2"/>
    <w:rsid w:val="004B4730"/>
    <w:rsid w:val="004B4CA5"/>
    <w:rsid w:val="004B5F23"/>
    <w:rsid w:val="004B75EB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A16DB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3E6D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12-2025\0110442512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12-2025\0110442512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12-2025\0110442512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A0-45DF-966F-1A60CF4CC978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A0-45DF-966F-1A60CF4CC978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EA0-45DF-966F-1A60CF4CC978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A0-45DF-966F-1A60CF4CC978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A0-45DF-966F-1A60CF4CC978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A0-45DF-966F-1A60CF4CC978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A0-45DF-966F-1A60CF4CC978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A0-45DF-966F-1A60CF4CC978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A0-45DF-966F-1A60CF4CC978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EA0-45DF-966F-1A60CF4CC978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A0-45DF-966F-1A60CF4CC978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A0-45DF-966F-1A60CF4CC978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EA0-45DF-966F-1A60CF4CC978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A0-45DF-966F-1A60CF4CC978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EA0-45DF-966F-1A60CF4CC978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A0-45DF-966F-1A60CF4CC978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EA0-45DF-966F-1A60CF4CC978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5EA0-45DF-966F-1A60CF4CC978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EA0-45DF-966F-1A60CF4CC978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EA0-45DF-966F-1A60CF4CC978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EA0-45DF-966F-1A60CF4CC978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EA0-45DF-966F-1A60CF4CC978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EA0-45DF-966F-1A60CF4CC978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List1!$B$7:$Y$7</c:f>
              <c:numCache>
                <c:formatCode>General</c:formatCode>
                <c:ptCount val="24"/>
                <c:pt idx="0" formatCode="0.0">
                  <c:v>2.5</c:v>
                </c:pt>
                <c:pt idx="1">
                  <c:v>0.5</c:v>
                </c:pt>
                <c:pt idx="2" formatCode="0.0">
                  <c:v>-0.1</c:v>
                </c:pt>
                <c:pt idx="3" formatCode="0.0">
                  <c:v>0.2</c:v>
                </c:pt>
                <c:pt idx="4" formatCode="0.0">
                  <c:v>-1.2</c:v>
                </c:pt>
                <c:pt idx="5" formatCode="0.0">
                  <c:v>-0.3</c:v>
                </c:pt>
                <c:pt idx="6" formatCode="0.0">
                  <c:v>0.6</c:v>
                </c:pt>
                <c:pt idx="7" formatCode="0.0">
                  <c:v>-0.4</c:v>
                </c:pt>
                <c:pt idx="8" formatCode="0.0">
                  <c:v>-0.2</c:v>
                </c:pt>
                <c:pt idx="9" formatCode="0.0">
                  <c:v>0.1</c:v>
                </c:pt>
                <c:pt idx="10" formatCode="0.0">
                  <c:v>0.4</c:v>
                </c:pt>
                <c:pt idx="11">
                  <c:v>0.6</c:v>
                </c:pt>
                <c:pt idx="12" formatCode="0.0">
                  <c:v>0.2</c:v>
                </c:pt>
                <c:pt idx="13" formatCode="0.0">
                  <c:v>-0.1</c:v>
                </c:pt>
                <c:pt idx="14" formatCode="0.0">
                  <c:v>-0.3</c:v>
                </c:pt>
                <c:pt idx="15">
                  <c:v>-0.8</c:v>
                </c:pt>
                <c:pt idx="16" formatCode="0.0">
                  <c:v>-0.6</c:v>
                </c:pt>
                <c:pt idx="17" formatCode="0.0">
                  <c:v>-0.2</c:v>
                </c:pt>
                <c:pt idx="18" formatCode="0.0">
                  <c:v>0.1</c:v>
                </c:pt>
                <c:pt idx="19" formatCode="0.0">
                  <c:v>0</c:v>
                </c:pt>
                <c:pt idx="20" formatCode="0.0">
                  <c:v>-0.4</c:v>
                </c:pt>
                <c:pt idx="21" formatCode="0.0">
                  <c:v>-0.1</c:v>
                </c:pt>
                <c:pt idx="22" formatCode="0.0">
                  <c:v>0.3</c:v>
                </c:pt>
                <c:pt idx="23" formatCode="0.0">
                  <c:v>-0.2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EA0-45DF-966F-1A60CF4CC9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-1.8</c:v>
                </c:pt>
                <c:pt idx="1">
                  <c:v>-0.9</c:v>
                </c:pt>
                <c:pt idx="2">
                  <c:v>0</c:v>
                </c:pt>
                <c:pt idx="3">
                  <c:v>1.4</c:v>
                </c:pt>
                <c:pt idx="4">
                  <c:v>1</c:v>
                </c:pt>
                <c:pt idx="5" formatCode="0.0">
                  <c:v>1</c:v>
                </c:pt>
                <c:pt idx="6" formatCode="0.0">
                  <c:v>1.7</c:v>
                </c:pt>
                <c:pt idx="7">
                  <c:v>1.1000000000000001</c:v>
                </c:pt>
                <c:pt idx="8">
                  <c:v>0.6</c:v>
                </c:pt>
                <c:pt idx="9">
                  <c:v>0.8</c:v>
                </c:pt>
                <c:pt idx="10">
                  <c:v>1.7</c:v>
                </c:pt>
                <c:pt idx="11">
                  <c:v>2.8</c:v>
                </c:pt>
                <c:pt idx="12">
                  <c:v>0.5</c:v>
                </c:pt>
                <c:pt idx="13">
                  <c:v>-0.1</c:v>
                </c:pt>
                <c:pt idx="14">
                  <c:v>-0.3</c:v>
                </c:pt>
                <c:pt idx="15">
                  <c:v>-1.3</c:v>
                </c:pt>
                <c:pt idx="16">
                  <c:v>-0.8</c:v>
                </c:pt>
                <c:pt idx="17">
                  <c:v>-0.7</c:v>
                </c:pt>
                <c:pt idx="18">
                  <c:v>-1.2</c:v>
                </c:pt>
                <c:pt idx="19">
                  <c:v>-0.8</c:v>
                </c:pt>
                <c:pt idx="20" formatCode="0.0">
                  <c:v>-1</c:v>
                </c:pt>
                <c:pt idx="21">
                  <c:v>-1.2</c:v>
                </c:pt>
                <c:pt idx="22">
                  <c:v>-1.3</c:v>
                </c:pt>
                <c:pt idx="23">
                  <c:v>-2.1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3F-4D2A-8811-4B99E8977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List1!$B$11:$Y$11</c:f>
              <c:numCache>
                <c:formatCode>General</c:formatCode>
                <c:ptCount val="24"/>
                <c:pt idx="0" formatCode="0.0">
                  <c:v>-2.5</c:v>
                </c:pt>
                <c:pt idx="1">
                  <c:v>-1.7</c:v>
                </c:pt>
                <c:pt idx="2">
                  <c:v>-0.9</c:v>
                </c:pt>
                <c:pt idx="3" formatCode="0.0">
                  <c:v>0.3</c:v>
                </c:pt>
                <c:pt idx="4" formatCode="0.0">
                  <c:v>0</c:v>
                </c:pt>
                <c:pt idx="5" formatCode="0.0">
                  <c:v>0</c:v>
                </c:pt>
                <c:pt idx="6" formatCode="0.0">
                  <c:v>1</c:v>
                </c:pt>
                <c:pt idx="7" formatCode="0.0">
                  <c:v>0.2</c:v>
                </c:pt>
                <c:pt idx="8" formatCode="0.0">
                  <c:v>-0.8</c:v>
                </c:pt>
                <c:pt idx="9" formatCode="0.0">
                  <c:v>-0.3</c:v>
                </c:pt>
                <c:pt idx="10" formatCode="0.0">
                  <c:v>0.5</c:v>
                </c:pt>
                <c:pt idx="11" formatCode="0.0">
                  <c:v>1</c:v>
                </c:pt>
                <c:pt idx="12" formatCode="0.0">
                  <c:v>1.3</c:v>
                </c:pt>
                <c:pt idx="13" formatCode="0.0">
                  <c:v>0.4</c:v>
                </c:pt>
                <c:pt idx="14" formatCode="0.0">
                  <c:v>-0.4</c:v>
                </c:pt>
                <c:pt idx="15">
                  <c:v>-0.9</c:v>
                </c:pt>
                <c:pt idx="16" formatCode="0.0">
                  <c:v>0</c:v>
                </c:pt>
                <c:pt idx="17">
                  <c:v>0.3</c:v>
                </c:pt>
                <c:pt idx="18" formatCode="0.0">
                  <c:v>-0.4</c:v>
                </c:pt>
                <c:pt idx="19" formatCode="0.0">
                  <c:v>-0.4</c:v>
                </c:pt>
                <c:pt idx="20">
                  <c:v>-0.1</c:v>
                </c:pt>
                <c:pt idx="21" formatCode="0.0">
                  <c:v>-0.7</c:v>
                </c:pt>
                <c:pt idx="22">
                  <c:v>-0.8</c:v>
                </c:pt>
                <c:pt idx="23">
                  <c:v>-1.1000000000000001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25-4A38-8266-A132BAB884DD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List1!$B$12:$Y$12</c:f>
              <c:numCache>
                <c:formatCode>General</c:formatCode>
                <c:ptCount val="24"/>
                <c:pt idx="0" formatCode="0.0">
                  <c:v>-0.7</c:v>
                </c:pt>
                <c:pt idx="1">
                  <c:v>0.7</c:v>
                </c:pt>
                <c:pt idx="2">
                  <c:v>2.6</c:v>
                </c:pt>
                <c:pt idx="3" formatCode="0.0">
                  <c:v>5.0999999999999996</c:v>
                </c:pt>
                <c:pt idx="4" formatCode="0.0">
                  <c:v>4.2</c:v>
                </c:pt>
                <c:pt idx="5" formatCode="0.0">
                  <c:v>4.2</c:v>
                </c:pt>
                <c:pt idx="6" formatCode="0.0">
                  <c:v>4</c:v>
                </c:pt>
                <c:pt idx="7" formatCode="0.0">
                  <c:v>3.7</c:v>
                </c:pt>
                <c:pt idx="8" formatCode="0.0">
                  <c:v>5</c:v>
                </c:pt>
                <c:pt idx="9" formatCode="0.0">
                  <c:v>4.7</c:v>
                </c:pt>
                <c:pt idx="10" formatCode="0.0">
                  <c:v>6</c:v>
                </c:pt>
                <c:pt idx="11" formatCode="0.0">
                  <c:v>9.3000000000000007</c:v>
                </c:pt>
                <c:pt idx="12" formatCode="0.0">
                  <c:v>-2</c:v>
                </c:pt>
                <c:pt idx="13" formatCode="0.0">
                  <c:v>-1.6</c:v>
                </c:pt>
                <c:pt idx="14" formatCode="0.0">
                  <c:v>0</c:v>
                </c:pt>
                <c:pt idx="15">
                  <c:v>-2.9</c:v>
                </c:pt>
                <c:pt idx="16">
                  <c:v>-3.5</c:v>
                </c:pt>
                <c:pt idx="17">
                  <c:v>-3.7</c:v>
                </c:pt>
                <c:pt idx="18" formatCode="0.0">
                  <c:v>-4</c:v>
                </c:pt>
                <c:pt idx="19" formatCode="0.0">
                  <c:v>-2</c:v>
                </c:pt>
                <c:pt idx="20">
                  <c:v>-3.8</c:v>
                </c:pt>
                <c:pt idx="21">
                  <c:v>-2.6</c:v>
                </c:pt>
                <c:pt idx="22">
                  <c:v>-3.2</c:v>
                </c:pt>
                <c:pt idx="23">
                  <c:v>-5.6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25-4A38-8266-A132BAB88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List1!$B$10:$Y$10</c:f>
              <c:numCache>
                <c:formatCode>General</c:formatCode>
                <c:ptCount val="24"/>
                <c:pt idx="0" formatCode="0.0">
                  <c:v>-1.3</c:v>
                </c:pt>
                <c:pt idx="1">
                  <c:v>-0.4</c:v>
                </c:pt>
                <c:pt idx="2">
                  <c:v>-2</c:v>
                </c:pt>
                <c:pt idx="3" formatCode="0.0">
                  <c:v>-1.3</c:v>
                </c:pt>
                <c:pt idx="4" formatCode="0.0">
                  <c:v>-1.8</c:v>
                </c:pt>
                <c:pt idx="5" formatCode="0.0">
                  <c:v>-1.9</c:v>
                </c:pt>
                <c:pt idx="6" formatCode="0.0">
                  <c:v>-0.3</c:v>
                </c:pt>
                <c:pt idx="7" formatCode="0.0">
                  <c:v>-0.1</c:v>
                </c:pt>
                <c:pt idx="8" formatCode="0.0">
                  <c:v>-1.1000000000000001</c:v>
                </c:pt>
                <c:pt idx="9" formatCode="0.0">
                  <c:v>-1.8</c:v>
                </c:pt>
                <c:pt idx="10" formatCode="0.0">
                  <c:v>-1.9</c:v>
                </c:pt>
                <c:pt idx="11" formatCode="0.0">
                  <c:v>-1.6</c:v>
                </c:pt>
                <c:pt idx="12" formatCode="0.0">
                  <c:v>-0.8</c:v>
                </c:pt>
                <c:pt idx="13" formatCode="0.0">
                  <c:v>-2.8</c:v>
                </c:pt>
                <c:pt idx="14" formatCode="0.0">
                  <c:v>-4</c:v>
                </c:pt>
                <c:pt idx="15">
                  <c:v>-4.5</c:v>
                </c:pt>
                <c:pt idx="16">
                  <c:v>-4.2</c:v>
                </c:pt>
                <c:pt idx="17">
                  <c:v>-3.9</c:v>
                </c:pt>
                <c:pt idx="18" formatCode="0.0">
                  <c:v>-4.2</c:v>
                </c:pt>
                <c:pt idx="19" formatCode="0.0">
                  <c:v>-4.4000000000000004</c:v>
                </c:pt>
                <c:pt idx="20">
                  <c:v>-4.0999999999999996</c:v>
                </c:pt>
                <c:pt idx="21">
                  <c:v>-4.0999999999999996</c:v>
                </c:pt>
                <c:pt idx="22">
                  <c:v>-4.0999999999999996</c:v>
                </c:pt>
                <c:pt idx="23">
                  <c:v>-4.2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25-4A38-8266-A132BAB884DD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I.24</c:v>
                </c:pt>
                <c:pt idx="1">
                  <c:v>II.24</c:v>
                </c:pt>
                <c:pt idx="2">
                  <c:v>III.24</c:v>
                </c:pt>
                <c:pt idx="3">
                  <c:v>IV.24</c:v>
                </c:pt>
                <c:pt idx="4">
                  <c:v>V.24</c:v>
                </c:pt>
                <c:pt idx="5">
                  <c:v>VI.24</c:v>
                </c:pt>
                <c:pt idx="6">
                  <c:v>VII.24</c:v>
                </c:pt>
                <c:pt idx="7">
                  <c:v>VIII.24</c:v>
                </c:pt>
                <c:pt idx="8">
                  <c:v>IX.24</c:v>
                </c:pt>
                <c:pt idx="9">
                  <c:v>X.24</c:v>
                </c:pt>
                <c:pt idx="10">
                  <c:v>XI.24</c:v>
                </c:pt>
                <c:pt idx="11">
                  <c:v>XII.24</c:v>
                </c:pt>
                <c:pt idx="12">
                  <c:v>I.25</c:v>
                </c:pt>
                <c:pt idx="13">
                  <c:v>II.25</c:v>
                </c:pt>
                <c:pt idx="14">
                  <c:v>III.25</c:v>
                </c:pt>
                <c:pt idx="15">
                  <c:v>IV.25</c:v>
                </c:pt>
                <c:pt idx="16">
                  <c:v>V.25</c:v>
                </c:pt>
                <c:pt idx="17">
                  <c:v>VI.25</c:v>
                </c:pt>
                <c:pt idx="18">
                  <c:v>VII.25</c:v>
                </c:pt>
                <c:pt idx="19">
                  <c:v>VIII.25</c:v>
                </c:pt>
                <c:pt idx="20">
                  <c:v>IX.25</c:v>
                </c:pt>
                <c:pt idx="21">
                  <c:v>X.25</c:v>
                </c:pt>
                <c:pt idx="22">
                  <c:v>XI.25</c:v>
                </c:pt>
                <c:pt idx="23">
                  <c:v>XII.25</c:v>
                </c:pt>
              </c:strCache>
            </c:strRef>
          </c:cat>
          <c:val>
            <c:numRef>
              <c:f>List1!$B$13:$Y$13</c:f>
              <c:numCache>
                <c:formatCode>General</c:formatCode>
                <c:ptCount val="24"/>
                <c:pt idx="0" formatCode="0.0">
                  <c:v>9.1999999999999993</c:v>
                </c:pt>
                <c:pt idx="1">
                  <c:v>9.1999999999999993</c:v>
                </c:pt>
                <c:pt idx="2">
                  <c:v>9.1999999999999993</c:v>
                </c:pt>
                <c:pt idx="3" formatCode="0.0">
                  <c:v>9.1999999999999993</c:v>
                </c:pt>
                <c:pt idx="4" formatCode="0.0">
                  <c:v>9.1999999999999993</c:v>
                </c:pt>
                <c:pt idx="5" formatCode="0.0">
                  <c:v>9.1999999999999993</c:v>
                </c:pt>
                <c:pt idx="6" formatCode="0.0">
                  <c:v>9.1999999999999993</c:v>
                </c:pt>
                <c:pt idx="7" formatCode="0.0">
                  <c:v>9.1999999999999993</c:v>
                </c:pt>
                <c:pt idx="8" formatCode="0.0">
                  <c:v>9.1999999999999993</c:v>
                </c:pt>
                <c:pt idx="9" formatCode="0.0">
                  <c:v>9.1999999999999993</c:v>
                </c:pt>
                <c:pt idx="10" formatCode="0.0">
                  <c:v>9.1999999999999993</c:v>
                </c:pt>
                <c:pt idx="11" formatCode="0.0">
                  <c:v>9.1999999999999993</c:v>
                </c:pt>
                <c:pt idx="12" formatCode="0.0">
                  <c:v>4.0999999999999996</c:v>
                </c:pt>
                <c:pt idx="13" formatCode="0.0">
                  <c:v>4.0999999999999996</c:v>
                </c:pt>
                <c:pt idx="14" formatCode="0.0">
                  <c:v>4.0999999999999996</c:v>
                </c:pt>
                <c:pt idx="15">
                  <c:v>4.0999999999999996</c:v>
                </c:pt>
                <c:pt idx="16">
                  <c:v>4.0999999999999996</c:v>
                </c:pt>
                <c:pt idx="17">
                  <c:v>4.0999999999999996</c:v>
                </c:pt>
                <c:pt idx="18" formatCode="0.0">
                  <c:v>4.0999999999999996</c:v>
                </c:pt>
                <c:pt idx="19" formatCode="0.0">
                  <c:v>4.0999999999999996</c:v>
                </c:pt>
                <c:pt idx="20">
                  <c:v>4.0999999999999996</c:v>
                </c:pt>
                <c:pt idx="21">
                  <c:v>4.0999999999999996</c:v>
                </c:pt>
                <c:pt idx="22">
                  <c:v>4.0999999999999996</c:v>
                </c:pt>
                <c:pt idx="23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C25-4A38-8266-A132BAB88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10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2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53</cp:revision>
  <cp:lastPrinted>2024-11-13T08:41:00Z</cp:lastPrinted>
  <dcterms:created xsi:type="dcterms:W3CDTF">2024-10-10T07:26:00Z</dcterms:created>
  <dcterms:modified xsi:type="dcterms:W3CDTF">2026-01-14T14:34:00Z</dcterms:modified>
</cp:coreProperties>
</file>