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26D" w:rsidRPr="001328C6" w:rsidRDefault="00D7626D" w:rsidP="00176E42">
      <w:pPr>
        <w:pStyle w:val="Nadpis1"/>
        <w:rPr>
          <w:szCs w:val="24"/>
        </w:rPr>
      </w:pPr>
      <w:bookmarkStart w:id="0" w:name="_Toc451166913"/>
      <w:bookmarkStart w:id="1" w:name="_Toc451166929"/>
      <w:bookmarkStart w:id="2" w:name="_Toc451175102"/>
      <w:bookmarkStart w:id="3" w:name="_Toc451180158"/>
      <w:bookmarkStart w:id="4" w:name="_Toc514772615"/>
      <w:r w:rsidRPr="001328C6">
        <w:t>2. Hospodaření kulturních institucí v roce 201</w:t>
      </w:r>
      <w:bookmarkEnd w:id="0"/>
      <w:bookmarkEnd w:id="1"/>
      <w:bookmarkEnd w:id="2"/>
      <w:bookmarkEnd w:id="3"/>
      <w:bookmarkEnd w:id="4"/>
      <w:r w:rsidR="00F85E8C">
        <w:t>6</w:t>
      </w:r>
    </w:p>
    <w:p w:rsidR="00D7626D" w:rsidRPr="001328C6" w:rsidRDefault="00D7626D" w:rsidP="00DF5C19">
      <w:pPr>
        <w:pStyle w:val="Nadpis2"/>
        <w:rPr>
          <w:szCs w:val="24"/>
        </w:rPr>
      </w:pPr>
      <w:bookmarkStart w:id="5" w:name="_Toc451166914"/>
      <w:bookmarkStart w:id="6" w:name="_Toc451166930"/>
      <w:bookmarkStart w:id="7" w:name="_Toc451175103"/>
      <w:bookmarkStart w:id="8" w:name="_Toc451180159"/>
      <w:bookmarkStart w:id="9" w:name="_Toc514772616"/>
      <w:r w:rsidRPr="001328C6">
        <w:t>2.1. Zdroje financování kultury</w:t>
      </w:r>
      <w:bookmarkEnd w:id="5"/>
      <w:bookmarkEnd w:id="6"/>
      <w:bookmarkEnd w:id="7"/>
      <w:bookmarkEnd w:id="8"/>
      <w:bookmarkEnd w:id="9"/>
    </w:p>
    <w:p w:rsidR="00A04B0F" w:rsidRPr="001328C6" w:rsidRDefault="00A04B0F" w:rsidP="00A04B0F">
      <w:pPr>
        <w:widowControl w:val="0"/>
        <w:overflowPunct w:val="0"/>
        <w:autoSpaceDE w:val="0"/>
        <w:autoSpaceDN w:val="0"/>
        <w:adjustRightInd w:val="0"/>
        <w:ind w:right="102"/>
        <w:jc w:val="both"/>
        <w:rPr>
          <w:rFonts w:cs="Arial"/>
        </w:rPr>
      </w:pPr>
      <w:r w:rsidRPr="001328C6">
        <w:rPr>
          <w:rFonts w:cs="Arial"/>
        </w:rPr>
        <w:t xml:space="preserve">Celková výše finančních zdrojů vstupujících do sektoru kultury dosáhla v roce 2016 téměř 232,9 mld. Kč (viz tab. č. 1 v příloze). V porovnání s rokem předcházejícím to bylo o 6,3 mld. Kč (o téměř 2,8 %) více. Použitelnými zdroji se rozumí veškeré provozní příjmy (snížené o zaplacené daně), investiční dotace, přijaté úvěry a půjčky (bez splacených), vlastní vklady, dary apod. získané institucemi s převažujícími kulturními aktivitami během referenčního roku. </w:t>
      </w:r>
    </w:p>
    <w:p w:rsidR="00A04B0F" w:rsidRPr="001328C6" w:rsidRDefault="00A04B0F" w:rsidP="00A04B0F">
      <w:pPr>
        <w:widowControl w:val="0"/>
        <w:overflowPunct w:val="0"/>
        <w:autoSpaceDE w:val="0"/>
        <w:autoSpaceDN w:val="0"/>
        <w:adjustRightInd w:val="0"/>
        <w:ind w:right="102"/>
        <w:jc w:val="both"/>
        <w:rPr>
          <w:rFonts w:cs="Arial"/>
        </w:rPr>
      </w:pPr>
      <w:r w:rsidRPr="001328C6">
        <w:rPr>
          <w:rFonts w:cs="Arial"/>
        </w:rPr>
        <w:t>Co se původu finančních zdrojů týče, největší část jich poch</w:t>
      </w:r>
      <w:r w:rsidR="00176E42" w:rsidRPr="001328C6">
        <w:rPr>
          <w:rFonts w:cs="Arial"/>
        </w:rPr>
        <w:t>ází z oblasti finančních a nefi</w:t>
      </w:r>
      <w:r w:rsidRPr="001328C6">
        <w:rPr>
          <w:rFonts w:cs="Arial"/>
        </w:rPr>
        <w:t>nančních podniků (dále také “podniky”), na druhém míst</w:t>
      </w:r>
      <w:r w:rsidR="00176E42" w:rsidRPr="001328C6">
        <w:rPr>
          <w:rFonts w:cs="Arial"/>
        </w:rPr>
        <w:t>ě jsou domácnosti, na třetím ve</w:t>
      </w:r>
      <w:r w:rsidRPr="001328C6">
        <w:rPr>
          <w:rFonts w:cs="Arial"/>
        </w:rPr>
        <w:t xml:space="preserve">řejné rozpočty, dále neziskové instituce a na posledním místě je mezinárodní prostředí (uvedené pořadí se po řadu let nemění). </w:t>
      </w:r>
    </w:p>
    <w:p w:rsidR="00A04B0F" w:rsidRPr="001328C6" w:rsidRDefault="00A04B0F" w:rsidP="00A04B0F">
      <w:pPr>
        <w:widowControl w:val="0"/>
        <w:overflowPunct w:val="0"/>
        <w:autoSpaceDE w:val="0"/>
        <w:autoSpaceDN w:val="0"/>
        <w:adjustRightInd w:val="0"/>
        <w:ind w:right="102"/>
        <w:jc w:val="both"/>
        <w:rPr>
          <w:rFonts w:cs="Arial"/>
        </w:rPr>
      </w:pPr>
      <w:r w:rsidRPr="001328C6">
        <w:rPr>
          <w:rFonts w:cs="Arial"/>
        </w:rPr>
        <w:t>V jednotlivých oblastech (odvětvích) kultury je obrázek podílů zdrojů financování poněkud odlišný. Zatímco v kulturním dědictví, interpretačním uměn</w:t>
      </w:r>
      <w:r w:rsidR="00176E42" w:rsidRPr="001328C6">
        <w:rPr>
          <w:rFonts w:cs="Arial"/>
        </w:rPr>
        <w:t>í, uměleckém vzdělávání a v čin</w:t>
      </w:r>
      <w:r w:rsidRPr="001328C6">
        <w:rPr>
          <w:rFonts w:cs="Arial"/>
        </w:rPr>
        <w:t>nostech správního charakteru jsou rozhodující veřejné rozpoč</w:t>
      </w:r>
      <w:r w:rsidR="00677D30" w:rsidRPr="001328C6">
        <w:rPr>
          <w:rFonts w:cs="Arial"/>
        </w:rPr>
        <w:t xml:space="preserve">ty (se zhruba tříčtvrtinovým </w:t>
      </w:r>
      <w:r w:rsidRPr="001328C6">
        <w:rPr>
          <w:rFonts w:cs="Arial"/>
        </w:rPr>
        <w:t>podílem), v tržně orientovaných odvětvích (výtvarné umění</w:t>
      </w:r>
      <w:r w:rsidR="001328C6">
        <w:rPr>
          <w:rFonts w:cs="Arial"/>
        </w:rPr>
        <w:t>, tisk, média, architektura, re</w:t>
      </w:r>
      <w:r w:rsidRPr="001328C6">
        <w:rPr>
          <w:rFonts w:cs="Arial"/>
        </w:rPr>
        <w:t xml:space="preserve">klama) to jsou zdroje podniků a domácností. </w:t>
      </w:r>
    </w:p>
    <w:p w:rsidR="00DF5C19" w:rsidRPr="001328C6" w:rsidRDefault="00A04B0F" w:rsidP="00A04B0F">
      <w:pPr>
        <w:widowControl w:val="0"/>
        <w:overflowPunct w:val="0"/>
        <w:autoSpaceDE w:val="0"/>
        <w:autoSpaceDN w:val="0"/>
        <w:adjustRightInd w:val="0"/>
        <w:ind w:right="102"/>
        <w:jc w:val="both"/>
        <w:rPr>
          <w:rFonts w:cs="Arial"/>
        </w:rPr>
      </w:pPr>
      <w:r w:rsidRPr="001328C6">
        <w:rPr>
          <w:rFonts w:cs="Arial"/>
        </w:rPr>
        <w:t xml:space="preserve">Jak je zřejmé z následující tabulky zachycující strukturu finančních zdrojů, v pětileté časové řadě (2011 </w:t>
      </w:r>
      <w:r w:rsidR="00F85E8C" w:rsidRPr="001328C6">
        <w:rPr>
          <w:rFonts w:cs="Arial"/>
        </w:rPr>
        <w:t>–</w:t>
      </w:r>
      <w:r w:rsidRPr="001328C6">
        <w:rPr>
          <w:rFonts w:cs="Arial"/>
        </w:rPr>
        <w:t xml:space="preserve"> 2016) jsou patrné tendence růstu podílu domácností a zejména zahraničí na celkových zdrojích, dále stagnace podílu veřejných rozpo</w:t>
      </w:r>
      <w:r w:rsidR="00176E42" w:rsidRPr="001328C6">
        <w:rPr>
          <w:rFonts w:cs="Arial"/>
        </w:rPr>
        <w:t>čtů a naopak poklesu podílu pod</w:t>
      </w:r>
      <w:r w:rsidRPr="001328C6">
        <w:rPr>
          <w:rFonts w:cs="Arial"/>
        </w:rPr>
        <w:t>niků. S ohledem na poměrně nízkou absolutní úroveň ostatních zdrojů jsou výkyvy jejich relativních podílů velmi proměnlivé.</w:t>
      </w:r>
    </w:p>
    <w:tbl>
      <w:tblPr>
        <w:tblW w:w="10122" w:type="dxa"/>
        <w:tblInd w:w="55" w:type="dxa"/>
        <w:tblLayout w:type="fixed"/>
        <w:tblCellMar>
          <w:left w:w="70" w:type="dxa"/>
          <w:right w:w="70" w:type="dxa"/>
        </w:tblCellMar>
        <w:tblLook w:val="04A0"/>
      </w:tblPr>
      <w:tblGrid>
        <w:gridCol w:w="1300"/>
        <w:gridCol w:w="558"/>
        <w:gridCol w:w="1077"/>
        <w:gridCol w:w="766"/>
        <w:gridCol w:w="311"/>
        <w:gridCol w:w="965"/>
        <w:gridCol w:w="112"/>
        <w:gridCol w:w="1077"/>
        <w:gridCol w:w="86"/>
        <w:gridCol w:w="991"/>
        <w:gridCol w:w="309"/>
        <w:gridCol w:w="768"/>
        <w:gridCol w:w="508"/>
        <w:gridCol w:w="968"/>
        <w:gridCol w:w="24"/>
        <w:gridCol w:w="142"/>
        <w:gridCol w:w="160"/>
      </w:tblGrid>
      <w:tr w:rsidR="00A04B0F" w:rsidRPr="001328C6" w:rsidTr="00A04B0F">
        <w:trPr>
          <w:gridAfter w:val="2"/>
          <w:wAfter w:w="302" w:type="dxa"/>
          <w:trHeight w:val="465"/>
        </w:trPr>
        <w:tc>
          <w:tcPr>
            <w:tcW w:w="1300" w:type="dxa"/>
            <w:tcBorders>
              <w:left w:val="nil"/>
              <w:bottom w:val="single" w:sz="4" w:space="0" w:color="auto"/>
            </w:tcBorders>
          </w:tcPr>
          <w:p w:rsidR="00A04B0F" w:rsidRPr="001328C6" w:rsidRDefault="00A04B0F" w:rsidP="00435C42">
            <w:pPr>
              <w:pStyle w:val="Zkladnodstavec"/>
              <w:spacing w:line="240" w:lineRule="auto"/>
              <w:rPr>
                <w:rFonts w:cs="Arial"/>
              </w:rPr>
            </w:pPr>
          </w:p>
        </w:tc>
        <w:tc>
          <w:tcPr>
            <w:tcW w:w="8520" w:type="dxa"/>
            <w:gridSpan w:val="14"/>
            <w:tcBorders>
              <w:left w:val="nil"/>
              <w:bottom w:val="single" w:sz="4" w:space="0" w:color="auto"/>
            </w:tcBorders>
          </w:tcPr>
          <w:p w:rsidR="00A04B0F" w:rsidRPr="001328C6" w:rsidRDefault="00A04B0F" w:rsidP="00435C42">
            <w:pPr>
              <w:pStyle w:val="Zkladnodstavec"/>
              <w:spacing w:line="240" w:lineRule="auto"/>
              <w:rPr>
                <w:rFonts w:cs="Arial"/>
                <w:b/>
                <w:szCs w:val="16"/>
              </w:rPr>
            </w:pPr>
            <w:r w:rsidRPr="001328C6">
              <w:rPr>
                <w:rFonts w:cs="Arial"/>
              </w:rPr>
              <w:br w:type="page"/>
            </w:r>
            <w:r w:rsidRPr="001328C6">
              <w:rPr>
                <w:rFonts w:eastAsia="Times New Roman"/>
                <w:color w:val="auto"/>
              </w:rPr>
              <w:br w:type="page"/>
            </w:r>
            <w:r w:rsidRPr="001328C6">
              <w:rPr>
                <w:rFonts w:cs="Arial"/>
                <w:b/>
                <w:szCs w:val="16"/>
              </w:rPr>
              <w:t>Podíly jednotlivých zdrojů na financování kultury</w:t>
            </w:r>
          </w:p>
          <w:p w:rsidR="00A04B0F" w:rsidRPr="001328C6" w:rsidRDefault="00A04B0F" w:rsidP="00435C42">
            <w:pPr>
              <w:pStyle w:val="Zkladnodstavec"/>
              <w:spacing w:line="240" w:lineRule="auto"/>
              <w:jc w:val="right"/>
              <w:rPr>
                <w:rFonts w:cs="Arial"/>
                <w:szCs w:val="16"/>
              </w:rPr>
            </w:pPr>
            <w:r w:rsidRPr="001328C6">
              <w:rPr>
                <w:rFonts w:cs="Arial"/>
                <w:sz w:val="16"/>
                <w:szCs w:val="16"/>
              </w:rPr>
              <w:t xml:space="preserve">v % </w:t>
            </w:r>
          </w:p>
        </w:tc>
      </w:tr>
      <w:tr w:rsidR="00A04B0F" w:rsidRPr="001328C6" w:rsidTr="00A04B0F">
        <w:trPr>
          <w:gridAfter w:val="3"/>
          <w:wAfter w:w="326" w:type="dxa"/>
          <w:trHeight w:val="465"/>
        </w:trPr>
        <w:tc>
          <w:tcPr>
            <w:tcW w:w="1858" w:type="dxa"/>
            <w:gridSpan w:val="2"/>
            <w:tcBorders>
              <w:top w:val="single" w:sz="4" w:space="0" w:color="auto"/>
              <w:left w:val="nil"/>
              <w:bottom w:val="single" w:sz="8" w:space="0" w:color="000000"/>
              <w:right w:val="single" w:sz="8" w:space="0" w:color="auto"/>
            </w:tcBorders>
            <w:shd w:val="clear" w:color="auto" w:fill="F5DADD"/>
            <w:vAlign w:val="center"/>
            <w:hideMark/>
          </w:tcPr>
          <w:p w:rsidR="00A04B0F" w:rsidRPr="001328C6" w:rsidRDefault="00A04B0F" w:rsidP="00D14FA7">
            <w:pPr>
              <w:pStyle w:val="Zkladnodstavec"/>
              <w:jc w:val="center"/>
              <w:rPr>
                <w:rFonts w:cs="Arial"/>
                <w:b/>
                <w:sz w:val="16"/>
                <w:szCs w:val="16"/>
              </w:rPr>
            </w:pPr>
            <w:r w:rsidRPr="001328C6">
              <w:rPr>
                <w:rFonts w:cs="Arial"/>
                <w:b/>
                <w:sz w:val="16"/>
                <w:szCs w:val="16"/>
              </w:rPr>
              <w:t>Původ zdroje</w:t>
            </w:r>
          </w:p>
        </w:tc>
        <w:tc>
          <w:tcPr>
            <w:tcW w:w="1077" w:type="dxa"/>
            <w:tcBorders>
              <w:top w:val="single" w:sz="4" w:space="0" w:color="auto"/>
              <w:left w:val="nil"/>
              <w:bottom w:val="single" w:sz="8" w:space="0" w:color="auto"/>
              <w:right w:val="single" w:sz="8" w:space="0" w:color="auto"/>
            </w:tcBorders>
            <w:shd w:val="clear" w:color="auto" w:fill="F5DADD"/>
            <w:vAlign w:val="center"/>
            <w:hideMark/>
          </w:tcPr>
          <w:p w:rsidR="00A04B0F" w:rsidRPr="001328C6" w:rsidRDefault="00A04B0F" w:rsidP="00722C25">
            <w:pPr>
              <w:pStyle w:val="Zkladnodstavec"/>
              <w:jc w:val="center"/>
              <w:rPr>
                <w:rFonts w:cs="Arial"/>
                <w:b/>
                <w:sz w:val="16"/>
                <w:szCs w:val="16"/>
              </w:rPr>
            </w:pPr>
            <w:r w:rsidRPr="001328C6">
              <w:rPr>
                <w:rFonts w:cs="Arial"/>
                <w:b/>
                <w:sz w:val="16"/>
                <w:szCs w:val="16"/>
              </w:rPr>
              <w:t>2011</w:t>
            </w:r>
          </w:p>
        </w:tc>
        <w:tc>
          <w:tcPr>
            <w:tcW w:w="1077" w:type="dxa"/>
            <w:gridSpan w:val="2"/>
            <w:tcBorders>
              <w:top w:val="single" w:sz="4" w:space="0" w:color="auto"/>
              <w:left w:val="nil"/>
              <w:bottom w:val="single" w:sz="8" w:space="0" w:color="auto"/>
              <w:right w:val="single" w:sz="8" w:space="0" w:color="auto"/>
            </w:tcBorders>
            <w:shd w:val="clear" w:color="auto" w:fill="F5DADD"/>
            <w:vAlign w:val="center"/>
            <w:hideMark/>
          </w:tcPr>
          <w:p w:rsidR="00A04B0F" w:rsidRPr="001328C6" w:rsidRDefault="00A04B0F" w:rsidP="00722C25">
            <w:pPr>
              <w:pStyle w:val="Zkladnodstavec"/>
              <w:jc w:val="center"/>
              <w:rPr>
                <w:rFonts w:cs="Arial"/>
                <w:b/>
                <w:sz w:val="16"/>
                <w:szCs w:val="16"/>
              </w:rPr>
            </w:pPr>
            <w:r w:rsidRPr="001328C6">
              <w:rPr>
                <w:rFonts w:cs="Arial"/>
                <w:b/>
                <w:sz w:val="16"/>
                <w:szCs w:val="16"/>
              </w:rPr>
              <w:t>2012</w:t>
            </w:r>
          </w:p>
        </w:tc>
        <w:tc>
          <w:tcPr>
            <w:tcW w:w="1077" w:type="dxa"/>
            <w:gridSpan w:val="2"/>
            <w:tcBorders>
              <w:top w:val="single" w:sz="4" w:space="0" w:color="auto"/>
              <w:left w:val="nil"/>
              <w:bottom w:val="single" w:sz="8" w:space="0" w:color="auto"/>
              <w:right w:val="single" w:sz="8" w:space="0" w:color="auto"/>
            </w:tcBorders>
            <w:shd w:val="clear" w:color="auto" w:fill="F5DADD"/>
            <w:vAlign w:val="center"/>
            <w:hideMark/>
          </w:tcPr>
          <w:p w:rsidR="00A04B0F" w:rsidRPr="001328C6" w:rsidRDefault="00A04B0F" w:rsidP="00722C25">
            <w:pPr>
              <w:pStyle w:val="Zkladnodstavec"/>
              <w:jc w:val="center"/>
              <w:rPr>
                <w:rFonts w:cs="Arial"/>
                <w:b/>
                <w:sz w:val="16"/>
                <w:szCs w:val="16"/>
              </w:rPr>
            </w:pPr>
            <w:r w:rsidRPr="001328C6">
              <w:rPr>
                <w:rFonts w:cs="Arial"/>
                <w:b/>
                <w:sz w:val="16"/>
                <w:szCs w:val="16"/>
              </w:rPr>
              <w:t>2013</w:t>
            </w:r>
          </w:p>
        </w:tc>
        <w:tc>
          <w:tcPr>
            <w:tcW w:w="1077" w:type="dxa"/>
            <w:tcBorders>
              <w:top w:val="single" w:sz="4" w:space="0" w:color="auto"/>
              <w:left w:val="nil"/>
              <w:bottom w:val="single" w:sz="8" w:space="0" w:color="auto"/>
              <w:right w:val="single" w:sz="8" w:space="0" w:color="auto"/>
            </w:tcBorders>
            <w:shd w:val="clear" w:color="auto" w:fill="F5DADD"/>
            <w:vAlign w:val="center"/>
            <w:hideMark/>
          </w:tcPr>
          <w:p w:rsidR="00A04B0F" w:rsidRPr="001328C6" w:rsidRDefault="00A04B0F" w:rsidP="00722C25">
            <w:pPr>
              <w:pStyle w:val="Zkladnodstavec"/>
              <w:jc w:val="center"/>
              <w:rPr>
                <w:rFonts w:cs="Arial"/>
                <w:b/>
                <w:sz w:val="16"/>
                <w:szCs w:val="16"/>
              </w:rPr>
            </w:pPr>
            <w:r w:rsidRPr="001328C6">
              <w:rPr>
                <w:rFonts w:cs="Arial"/>
                <w:b/>
                <w:sz w:val="16"/>
                <w:szCs w:val="16"/>
              </w:rPr>
              <w:t>2014</w:t>
            </w:r>
          </w:p>
        </w:tc>
        <w:tc>
          <w:tcPr>
            <w:tcW w:w="1077" w:type="dxa"/>
            <w:gridSpan w:val="2"/>
            <w:tcBorders>
              <w:top w:val="single" w:sz="4" w:space="0" w:color="auto"/>
              <w:left w:val="nil"/>
              <w:bottom w:val="single" w:sz="8" w:space="0" w:color="auto"/>
              <w:right w:val="single" w:sz="4" w:space="0" w:color="auto"/>
            </w:tcBorders>
            <w:shd w:val="clear" w:color="auto" w:fill="F5DADD"/>
            <w:vAlign w:val="center"/>
          </w:tcPr>
          <w:p w:rsidR="00A04B0F" w:rsidRPr="001328C6" w:rsidRDefault="00A04B0F" w:rsidP="00722C25">
            <w:pPr>
              <w:pStyle w:val="Zkladnodstavec"/>
              <w:jc w:val="center"/>
              <w:rPr>
                <w:rFonts w:cs="Arial"/>
                <w:b/>
                <w:sz w:val="16"/>
                <w:szCs w:val="16"/>
              </w:rPr>
            </w:pPr>
            <w:r w:rsidRPr="001328C6">
              <w:rPr>
                <w:rFonts w:cs="Arial"/>
                <w:b/>
                <w:sz w:val="16"/>
                <w:szCs w:val="16"/>
              </w:rPr>
              <w:t>2015</w:t>
            </w:r>
          </w:p>
        </w:tc>
        <w:tc>
          <w:tcPr>
            <w:tcW w:w="1077" w:type="dxa"/>
            <w:gridSpan w:val="2"/>
            <w:tcBorders>
              <w:top w:val="single" w:sz="4" w:space="0" w:color="auto"/>
              <w:left w:val="single" w:sz="4" w:space="0" w:color="auto"/>
              <w:bottom w:val="single" w:sz="8" w:space="0" w:color="auto"/>
              <w:right w:val="single" w:sz="4" w:space="0" w:color="auto"/>
            </w:tcBorders>
            <w:shd w:val="clear" w:color="auto" w:fill="F5DADD"/>
            <w:vAlign w:val="center"/>
          </w:tcPr>
          <w:p w:rsidR="00A04B0F" w:rsidRPr="001328C6" w:rsidRDefault="00A04B0F" w:rsidP="00A04B0F">
            <w:pPr>
              <w:pStyle w:val="Zkladnodstavec"/>
              <w:jc w:val="center"/>
              <w:rPr>
                <w:rFonts w:cs="Arial"/>
                <w:b/>
                <w:sz w:val="16"/>
                <w:szCs w:val="16"/>
              </w:rPr>
            </w:pPr>
            <w:r w:rsidRPr="001328C6">
              <w:rPr>
                <w:rFonts w:cs="Arial"/>
                <w:b/>
                <w:sz w:val="16"/>
                <w:szCs w:val="16"/>
              </w:rPr>
              <w:t>2016</w:t>
            </w:r>
          </w:p>
        </w:tc>
        <w:tc>
          <w:tcPr>
            <w:tcW w:w="1476" w:type="dxa"/>
            <w:gridSpan w:val="2"/>
            <w:tcBorders>
              <w:top w:val="single" w:sz="4" w:space="0" w:color="auto"/>
              <w:left w:val="single" w:sz="4" w:space="0" w:color="auto"/>
              <w:bottom w:val="single" w:sz="8" w:space="0" w:color="auto"/>
              <w:right w:val="nil"/>
            </w:tcBorders>
            <w:shd w:val="clear" w:color="auto" w:fill="F5DADD"/>
            <w:vAlign w:val="center"/>
            <w:hideMark/>
          </w:tcPr>
          <w:p w:rsidR="00A04B0F" w:rsidRPr="001328C6" w:rsidRDefault="00A04B0F" w:rsidP="00722C25">
            <w:pPr>
              <w:pStyle w:val="Zkladnodstavec"/>
              <w:jc w:val="center"/>
              <w:rPr>
                <w:rFonts w:cs="Arial"/>
                <w:b/>
                <w:sz w:val="16"/>
                <w:szCs w:val="16"/>
              </w:rPr>
            </w:pPr>
            <w:r w:rsidRPr="001328C6">
              <w:rPr>
                <w:rFonts w:cs="Arial"/>
                <w:b/>
                <w:sz w:val="16"/>
                <w:szCs w:val="16"/>
              </w:rPr>
              <w:t>Index 2015/10</w:t>
            </w:r>
          </w:p>
        </w:tc>
      </w:tr>
      <w:tr w:rsidR="00A04B0F" w:rsidRPr="001328C6" w:rsidTr="00A04B0F">
        <w:trPr>
          <w:gridAfter w:val="3"/>
          <w:wAfter w:w="326" w:type="dxa"/>
          <w:trHeight w:val="282"/>
        </w:trPr>
        <w:tc>
          <w:tcPr>
            <w:tcW w:w="1858" w:type="dxa"/>
            <w:gridSpan w:val="2"/>
            <w:tcBorders>
              <w:top w:val="nil"/>
              <w:left w:val="nil"/>
              <w:bottom w:val="nil"/>
              <w:right w:val="nil"/>
            </w:tcBorders>
            <w:shd w:val="clear" w:color="auto" w:fill="auto"/>
            <w:noWrap/>
            <w:vAlign w:val="bottom"/>
            <w:hideMark/>
          </w:tcPr>
          <w:p w:rsidR="00A04B0F" w:rsidRPr="001328C6" w:rsidRDefault="00A04B0F" w:rsidP="00D14FA7">
            <w:pPr>
              <w:pStyle w:val="Zkladnodstavec"/>
              <w:rPr>
                <w:rFonts w:cs="Arial"/>
                <w:sz w:val="16"/>
                <w:szCs w:val="16"/>
              </w:rPr>
            </w:pPr>
            <w:r w:rsidRPr="001328C6">
              <w:rPr>
                <w:rFonts w:cs="Arial"/>
                <w:sz w:val="16"/>
                <w:szCs w:val="16"/>
              </w:rPr>
              <w:t>Veřejné rozpočty</w:t>
            </w:r>
          </w:p>
        </w:tc>
        <w:tc>
          <w:tcPr>
            <w:tcW w:w="1077" w:type="dxa"/>
            <w:tcBorders>
              <w:top w:val="nil"/>
              <w:left w:val="single" w:sz="8" w:space="0" w:color="auto"/>
              <w:bottom w:val="nil"/>
              <w:right w:val="single" w:sz="8" w:space="0" w:color="auto"/>
            </w:tcBorders>
            <w:shd w:val="clear" w:color="auto" w:fill="auto"/>
            <w:noWrap/>
            <w:vAlign w:val="center"/>
            <w:hideMark/>
          </w:tcPr>
          <w:p w:rsidR="00A04B0F" w:rsidRPr="001328C6" w:rsidRDefault="00A04B0F" w:rsidP="00722C25">
            <w:pPr>
              <w:pStyle w:val="Zkladnodstavec"/>
              <w:jc w:val="center"/>
              <w:rPr>
                <w:rFonts w:cs="Arial"/>
                <w:color w:val="auto"/>
                <w:sz w:val="16"/>
                <w:szCs w:val="16"/>
              </w:rPr>
            </w:pPr>
            <w:r w:rsidRPr="001328C6">
              <w:rPr>
                <w:rFonts w:cs="Arial"/>
                <w:color w:val="auto"/>
                <w:sz w:val="16"/>
                <w:szCs w:val="16"/>
              </w:rPr>
              <w:t>14,6</w:t>
            </w:r>
          </w:p>
        </w:tc>
        <w:tc>
          <w:tcPr>
            <w:tcW w:w="1077" w:type="dxa"/>
            <w:gridSpan w:val="2"/>
            <w:tcBorders>
              <w:top w:val="nil"/>
              <w:left w:val="nil"/>
              <w:bottom w:val="nil"/>
              <w:right w:val="single" w:sz="8" w:space="0" w:color="auto"/>
            </w:tcBorders>
            <w:shd w:val="clear" w:color="auto" w:fill="auto"/>
            <w:noWrap/>
            <w:vAlign w:val="center"/>
            <w:hideMark/>
          </w:tcPr>
          <w:p w:rsidR="00A04B0F" w:rsidRPr="001328C6" w:rsidRDefault="00A04B0F" w:rsidP="00722C25">
            <w:pPr>
              <w:pStyle w:val="Zkladnodstavec"/>
              <w:jc w:val="center"/>
              <w:rPr>
                <w:rFonts w:cs="Arial"/>
                <w:color w:val="auto"/>
                <w:sz w:val="16"/>
                <w:szCs w:val="16"/>
              </w:rPr>
            </w:pPr>
            <w:r w:rsidRPr="001328C6">
              <w:rPr>
                <w:rFonts w:cs="Arial"/>
                <w:color w:val="auto"/>
                <w:sz w:val="16"/>
                <w:szCs w:val="16"/>
              </w:rPr>
              <w:t>14,5</w:t>
            </w:r>
          </w:p>
        </w:tc>
        <w:tc>
          <w:tcPr>
            <w:tcW w:w="1077" w:type="dxa"/>
            <w:gridSpan w:val="2"/>
            <w:tcBorders>
              <w:top w:val="nil"/>
              <w:left w:val="nil"/>
              <w:bottom w:val="nil"/>
              <w:right w:val="single" w:sz="8" w:space="0" w:color="auto"/>
            </w:tcBorders>
            <w:shd w:val="clear" w:color="auto" w:fill="auto"/>
            <w:noWrap/>
            <w:vAlign w:val="center"/>
            <w:hideMark/>
          </w:tcPr>
          <w:p w:rsidR="00A04B0F" w:rsidRPr="001328C6" w:rsidRDefault="00A04B0F" w:rsidP="00722C25">
            <w:pPr>
              <w:pStyle w:val="Zkladnodstavec"/>
              <w:jc w:val="center"/>
              <w:rPr>
                <w:rFonts w:cs="Arial"/>
                <w:color w:val="auto"/>
                <w:sz w:val="16"/>
                <w:szCs w:val="16"/>
              </w:rPr>
            </w:pPr>
            <w:r w:rsidRPr="001328C6">
              <w:rPr>
                <w:rFonts w:cs="Arial"/>
                <w:color w:val="auto"/>
                <w:sz w:val="16"/>
                <w:szCs w:val="16"/>
              </w:rPr>
              <w:t>15,8</w:t>
            </w:r>
          </w:p>
        </w:tc>
        <w:tc>
          <w:tcPr>
            <w:tcW w:w="1077" w:type="dxa"/>
            <w:tcBorders>
              <w:top w:val="nil"/>
              <w:left w:val="nil"/>
              <w:bottom w:val="nil"/>
              <w:right w:val="single" w:sz="8" w:space="0" w:color="auto"/>
            </w:tcBorders>
            <w:shd w:val="clear" w:color="auto" w:fill="auto"/>
            <w:noWrap/>
            <w:vAlign w:val="center"/>
            <w:hideMark/>
          </w:tcPr>
          <w:p w:rsidR="00A04B0F" w:rsidRPr="001328C6" w:rsidRDefault="00A04B0F" w:rsidP="00722C25">
            <w:pPr>
              <w:pStyle w:val="Zkladnodstavec"/>
              <w:jc w:val="center"/>
              <w:rPr>
                <w:rFonts w:cs="Arial"/>
                <w:color w:val="auto"/>
                <w:sz w:val="16"/>
                <w:szCs w:val="16"/>
              </w:rPr>
            </w:pPr>
            <w:r w:rsidRPr="001328C6">
              <w:rPr>
                <w:rFonts w:cs="Arial"/>
                <w:color w:val="auto"/>
                <w:sz w:val="16"/>
                <w:szCs w:val="16"/>
              </w:rPr>
              <w:t>15,9</w:t>
            </w:r>
          </w:p>
        </w:tc>
        <w:tc>
          <w:tcPr>
            <w:tcW w:w="1077" w:type="dxa"/>
            <w:gridSpan w:val="2"/>
            <w:tcBorders>
              <w:top w:val="single" w:sz="8" w:space="0" w:color="auto"/>
              <w:left w:val="nil"/>
              <w:right w:val="single" w:sz="4" w:space="0" w:color="auto"/>
            </w:tcBorders>
            <w:vAlign w:val="center"/>
          </w:tcPr>
          <w:p w:rsidR="00A04B0F" w:rsidRPr="001328C6" w:rsidRDefault="00A04B0F" w:rsidP="00722C25">
            <w:pPr>
              <w:pStyle w:val="Zkladnodstavec"/>
              <w:jc w:val="center"/>
              <w:rPr>
                <w:rFonts w:cs="Arial"/>
                <w:color w:val="auto"/>
                <w:sz w:val="16"/>
                <w:szCs w:val="16"/>
              </w:rPr>
            </w:pPr>
            <w:r w:rsidRPr="001328C6">
              <w:rPr>
                <w:rFonts w:cs="Arial"/>
                <w:color w:val="auto"/>
                <w:sz w:val="16"/>
                <w:szCs w:val="16"/>
              </w:rPr>
              <w:t>15,1</w:t>
            </w:r>
          </w:p>
        </w:tc>
        <w:tc>
          <w:tcPr>
            <w:tcW w:w="1077" w:type="dxa"/>
            <w:gridSpan w:val="2"/>
            <w:tcBorders>
              <w:top w:val="nil"/>
              <w:left w:val="single" w:sz="4" w:space="0" w:color="auto"/>
              <w:right w:val="single" w:sz="4" w:space="0" w:color="auto"/>
            </w:tcBorders>
            <w:vAlign w:val="center"/>
          </w:tcPr>
          <w:p w:rsidR="00A04B0F" w:rsidRPr="001328C6" w:rsidRDefault="00A04B0F" w:rsidP="00A04B0F">
            <w:pPr>
              <w:pStyle w:val="Zkladnodstavec"/>
              <w:jc w:val="center"/>
              <w:rPr>
                <w:rFonts w:cs="Arial"/>
                <w:color w:val="auto"/>
                <w:sz w:val="16"/>
                <w:szCs w:val="16"/>
              </w:rPr>
            </w:pPr>
            <w:r w:rsidRPr="001328C6">
              <w:rPr>
                <w:rFonts w:cs="Arial"/>
                <w:color w:val="auto"/>
                <w:sz w:val="16"/>
                <w:szCs w:val="16"/>
              </w:rPr>
              <w:t>14,4</w:t>
            </w:r>
          </w:p>
        </w:tc>
        <w:tc>
          <w:tcPr>
            <w:tcW w:w="1476" w:type="dxa"/>
            <w:gridSpan w:val="2"/>
            <w:tcBorders>
              <w:top w:val="nil"/>
              <w:left w:val="single" w:sz="4" w:space="0" w:color="auto"/>
              <w:bottom w:val="nil"/>
              <w:right w:val="nil"/>
            </w:tcBorders>
            <w:shd w:val="clear" w:color="auto" w:fill="auto"/>
            <w:noWrap/>
            <w:vAlign w:val="center"/>
            <w:hideMark/>
          </w:tcPr>
          <w:p w:rsidR="00A04B0F" w:rsidRPr="001328C6" w:rsidRDefault="00A04B0F" w:rsidP="00722C25">
            <w:pPr>
              <w:pStyle w:val="Zkladnodstavec"/>
              <w:jc w:val="center"/>
              <w:rPr>
                <w:rFonts w:cs="Arial"/>
                <w:color w:val="auto"/>
                <w:sz w:val="16"/>
                <w:szCs w:val="16"/>
              </w:rPr>
            </w:pPr>
            <w:r w:rsidRPr="001328C6">
              <w:rPr>
                <w:rFonts w:cs="Arial"/>
                <w:color w:val="auto"/>
                <w:sz w:val="16"/>
                <w:szCs w:val="16"/>
              </w:rPr>
              <w:t>98,6</w:t>
            </w:r>
          </w:p>
        </w:tc>
      </w:tr>
      <w:tr w:rsidR="00A04B0F" w:rsidRPr="001328C6" w:rsidTr="00A04B0F">
        <w:trPr>
          <w:gridAfter w:val="3"/>
          <w:wAfter w:w="326" w:type="dxa"/>
          <w:trHeight w:val="282"/>
        </w:trPr>
        <w:tc>
          <w:tcPr>
            <w:tcW w:w="1858" w:type="dxa"/>
            <w:gridSpan w:val="2"/>
            <w:tcBorders>
              <w:top w:val="nil"/>
              <w:left w:val="nil"/>
              <w:bottom w:val="nil"/>
              <w:right w:val="nil"/>
            </w:tcBorders>
            <w:shd w:val="clear" w:color="auto" w:fill="auto"/>
            <w:noWrap/>
            <w:vAlign w:val="bottom"/>
            <w:hideMark/>
          </w:tcPr>
          <w:p w:rsidR="00A04B0F" w:rsidRPr="001328C6" w:rsidRDefault="00A04B0F" w:rsidP="00D14FA7">
            <w:pPr>
              <w:pStyle w:val="Zkladnodstavec"/>
              <w:rPr>
                <w:rFonts w:cs="Arial"/>
                <w:sz w:val="16"/>
                <w:szCs w:val="16"/>
              </w:rPr>
            </w:pPr>
            <w:r w:rsidRPr="001328C6">
              <w:rPr>
                <w:rFonts w:cs="Arial"/>
                <w:sz w:val="16"/>
                <w:szCs w:val="16"/>
              </w:rPr>
              <w:t>Domácnosti</w:t>
            </w:r>
          </w:p>
        </w:tc>
        <w:tc>
          <w:tcPr>
            <w:tcW w:w="1077" w:type="dxa"/>
            <w:tcBorders>
              <w:top w:val="nil"/>
              <w:left w:val="single" w:sz="8" w:space="0" w:color="auto"/>
              <w:bottom w:val="nil"/>
              <w:right w:val="single" w:sz="8" w:space="0" w:color="auto"/>
            </w:tcBorders>
            <w:shd w:val="clear" w:color="auto" w:fill="auto"/>
            <w:noWrap/>
            <w:vAlign w:val="center"/>
            <w:hideMark/>
          </w:tcPr>
          <w:p w:rsidR="00A04B0F" w:rsidRPr="001328C6" w:rsidRDefault="00A04B0F" w:rsidP="00722C25">
            <w:pPr>
              <w:pStyle w:val="Zkladnodstavec"/>
              <w:jc w:val="center"/>
              <w:rPr>
                <w:rFonts w:cs="Arial"/>
                <w:color w:val="auto"/>
                <w:sz w:val="16"/>
                <w:szCs w:val="16"/>
              </w:rPr>
            </w:pPr>
            <w:r w:rsidRPr="001328C6">
              <w:rPr>
                <w:rFonts w:cs="Arial"/>
                <w:color w:val="auto"/>
                <w:sz w:val="16"/>
                <w:szCs w:val="16"/>
              </w:rPr>
              <w:t>17,2</w:t>
            </w:r>
          </w:p>
        </w:tc>
        <w:tc>
          <w:tcPr>
            <w:tcW w:w="1077" w:type="dxa"/>
            <w:gridSpan w:val="2"/>
            <w:tcBorders>
              <w:top w:val="nil"/>
              <w:left w:val="nil"/>
              <w:bottom w:val="nil"/>
              <w:right w:val="single" w:sz="8" w:space="0" w:color="auto"/>
            </w:tcBorders>
            <w:shd w:val="clear" w:color="auto" w:fill="auto"/>
            <w:noWrap/>
            <w:vAlign w:val="center"/>
            <w:hideMark/>
          </w:tcPr>
          <w:p w:rsidR="00A04B0F" w:rsidRPr="001328C6" w:rsidRDefault="00A04B0F" w:rsidP="00722C25">
            <w:pPr>
              <w:pStyle w:val="Zkladnodstavec"/>
              <w:jc w:val="center"/>
              <w:rPr>
                <w:rFonts w:cs="Arial"/>
                <w:color w:val="auto"/>
                <w:sz w:val="16"/>
                <w:szCs w:val="16"/>
              </w:rPr>
            </w:pPr>
            <w:r w:rsidRPr="001328C6">
              <w:rPr>
                <w:rFonts w:cs="Arial"/>
                <w:color w:val="auto"/>
                <w:sz w:val="16"/>
                <w:szCs w:val="16"/>
              </w:rPr>
              <w:t>19,3</w:t>
            </w:r>
          </w:p>
        </w:tc>
        <w:tc>
          <w:tcPr>
            <w:tcW w:w="1077" w:type="dxa"/>
            <w:gridSpan w:val="2"/>
            <w:tcBorders>
              <w:top w:val="nil"/>
              <w:left w:val="nil"/>
              <w:bottom w:val="nil"/>
              <w:right w:val="single" w:sz="8" w:space="0" w:color="auto"/>
            </w:tcBorders>
            <w:shd w:val="clear" w:color="auto" w:fill="auto"/>
            <w:noWrap/>
            <w:vAlign w:val="center"/>
            <w:hideMark/>
          </w:tcPr>
          <w:p w:rsidR="00A04B0F" w:rsidRPr="001328C6" w:rsidRDefault="00A04B0F" w:rsidP="00722C25">
            <w:pPr>
              <w:pStyle w:val="Zkladnodstavec"/>
              <w:jc w:val="center"/>
              <w:rPr>
                <w:rFonts w:cs="Arial"/>
                <w:color w:val="auto"/>
                <w:sz w:val="16"/>
                <w:szCs w:val="16"/>
              </w:rPr>
            </w:pPr>
            <w:r w:rsidRPr="001328C6">
              <w:rPr>
                <w:rFonts w:cs="Arial"/>
                <w:color w:val="auto"/>
                <w:sz w:val="16"/>
                <w:szCs w:val="16"/>
              </w:rPr>
              <w:t>19,5</w:t>
            </w:r>
          </w:p>
        </w:tc>
        <w:tc>
          <w:tcPr>
            <w:tcW w:w="1077" w:type="dxa"/>
            <w:tcBorders>
              <w:top w:val="nil"/>
              <w:left w:val="nil"/>
              <w:bottom w:val="nil"/>
              <w:right w:val="single" w:sz="8" w:space="0" w:color="auto"/>
            </w:tcBorders>
            <w:shd w:val="clear" w:color="auto" w:fill="auto"/>
            <w:noWrap/>
            <w:vAlign w:val="center"/>
            <w:hideMark/>
          </w:tcPr>
          <w:p w:rsidR="00A04B0F" w:rsidRPr="001328C6" w:rsidRDefault="00A04B0F" w:rsidP="00722C25">
            <w:pPr>
              <w:pStyle w:val="Zkladnodstavec"/>
              <w:jc w:val="center"/>
              <w:rPr>
                <w:rFonts w:cs="Arial"/>
                <w:color w:val="auto"/>
                <w:sz w:val="16"/>
                <w:szCs w:val="16"/>
              </w:rPr>
            </w:pPr>
            <w:r w:rsidRPr="001328C6">
              <w:rPr>
                <w:rFonts w:cs="Arial"/>
                <w:color w:val="auto"/>
                <w:sz w:val="16"/>
                <w:szCs w:val="16"/>
              </w:rPr>
              <w:t>20,2</w:t>
            </w:r>
          </w:p>
        </w:tc>
        <w:tc>
          <w:tcPr>
            <w:tcW w:w="1077" w:type="dxa"/>
            <w:gridSpan w:val="2"/>
            <w:tcBorders>
              <w:top w:val="nil"/>
              <w:left w:val="nil"/>
              <w:bottom w:val="nil"/>
              <w:right w:val="single" w:sz="4" w:space="0" w:color="auto"/>
            </w:tcBorders>
            <w:vAlign w:val="center"/>
          </w:tcPr>
          <w:p w:rsidR="00A04B0F" w:rsidRPr="001328C6" w:rsidRDefault="00A04B0F" w:rsidP="00722C25">
            <w:pPr>
              <w:pStyle w:val="Zkladnodstavec"/>
              <w:jc w:val="center"/>
              <w:rPr>
                <w:rFonts w:cs="Arial"/>
                <w:color w:val="auto"/>
                <w:sz w:val="16"/>
                <w:szCs w:val="16"/>
              </w:rPr>
            </w:pPr>
            <w:r w:rsidRPr="001328C6">
              <w:rPr>
                <w:rFonts w:cs="Arial"/>
                <w:color w:val="auto"/>
                <w:sz w:val="16"/>
                <w:szCs w:val="16"/>
              </w:rPr>
              <w:t>19,8</w:t>
            </w:r>
          </w:p>
        </w:tc>
        <w:tc>
          <w:tcPr>
            <w:tcW w:w="1077" w:type="dxa"/>
            <w:gridSpan w:val="2"/>
            <w:tcBorders>
              <w:top w:val="nil"/>
              <w:left w:val="single" w:sz="4" w:space="0" w:color="auto"/>
              <w:bottom w:val="nil"/>
              <w:right w:val="single" w:sz="4" w:space="0" w:color="auto"/>
            </w:tcBorders>
            <w:vAlign w:val="center"/>
          </w:tcPr>
          <w:p w:rsidR="00A04B0F" w:rsidRPr="001328C6" w:rsidRDefault="00A04B0F" w:rsidP="00A04B0F">
            <w:pPr>
              <w:pStyle w:val="Zkladnodstavec"/>
              <w:jc w:val="center"/>
              <w:rPr>
                <w:rFonts w:cs="Arial"/>
                <w:color w:val="auto"/>
                <w:sz w:val="16"/>
                <w:szCs w:val="16"/>
              </w:rPr>
            </w:pPr>
            <w:r w:rsidRPr="001328C6">
              <w:rPr>
                <w:rFonts w:cs="Arial"/>
                <w:color w:val="auto"/>
                <w:sz w:val="16"/>
                <w:szCs w:val="16"/>
              </w:rPr>
              <w:t>20,6</w:t>
            </w:r>
          </w:p>
        </w:tc>
        <w:tc>
          <w:tcPr>
            <w:tcW w:w="1476" w:type="dxa"/>
            <w:gridSpan w:val="2"/>
            <w:tcBorders>
              <w:top w:val="nil"/>
              <w:left w:val="single" w:sz="4" w:space="0" w:color="auto"/>
              <w:bottom w:val="nil"/>
              <w:right w:val="nil"/>
            </w:tcBorders>
            <w:shd w:val="clear" w:color="auto" w:fill="auto"/>
            <w:noWrap/>
            <w:vAlign w:val="center"/>
            <w:hideMark/>
          </w:tcPr>
          <w:p w:rsidR="00A04B0F" w:rsidRPr="001328C6" w:rsidRDefault="00A04B0F" w:rsidP="00722C25">
            <w:pPr>
              <w:pStyle w:val="Zkladnodstavec"/>
              <w:jc w:val="center"/>
              <w:rPr>
                <w:rFonts w:cs="Arial"/>
                <w:color w:val="auto"/>
                <w:sz w:val="16"/>
                <w:szCs w:val="16"/>
              </w:rPr>
            </w:pPr>
            <w:r w:rsidRPr="001328C6">
              <w:rPr>
                <w:rFonts w:cs="Arial"/>
                <w:color w:val="auto"/>
                <w:sz w:val="16"/>
                <w:szCs w:val="16"/>
              </w:rPr>
              <w:t>119,8</w:t>
            </w:r>
          </w:p>
        </w:tc>
      </w:tr>
      <w:tr w:rsidR="00A04B0F" w:rsidRPr="001328C6" w:rsidTr="00A04B0F">
        <w:trPr>
          <w:gridAfter w:val="3"/>
          <w:wAfter w:w="326" w:type="dxa"/>
          <w:trHeight w:val="282"/>
        </w:trPr>
        <w:tc>
          <w:tcPr>
            <w:tcW w:w="1858" w:type="dxa"/>
            <w:gridSpan w:val="2"/>
            <w:tcBorders>
              <w:top w:val="nil"/>
              <w:left w:val="nil"/>
              <w:bottom w:val="nil"/>
              <w:right w:val="nil"/>
            </w:tcBorders>
            <w:shd w:val="clear" w:color="auto" w:fill="auto"/>
            <w:noWrap/>
            <w:vAlign w:val="bottom"/>
            <w:hideMark/>
          </w:tcPr>
          <w:p w:rsidR="00A04B0F" w:rsidRPr="001328C6" w:rsidRDefault="00A04B0F" w:rsidP="00D14FA7">
            <w:pPr>
              <w:pStyle w:val="Zkladnodstavec"/>
              <w:rPr>
                <w:rFonts w:cs="Arial"/>
                <w:sz w:val="16"/>
                <w:szCs w:val="16"/>
              </w:rPr>
            </w:pPr>
            <w:r w:rsidRPr="001328C6">
              <w:rPr>
                <w:rFonts w:cs="Arial"/>
                <w:sz w:val="16"/>
                <w:szCs w:val="16"/>
              </w:rPr>
              <w:t>Podniky</w:t>
            </w:r>
          </w:p>
        </w:tc>
        <w:tc>
          <w:tcPr>
            <w:tcW w:w="1077" w:type="dxa"/>
            <w:tcBorders>
              <w:top w:val="nil"/>
              <w:left w:val="single" w:sz="8" w:space="0" w:color="auto"/>
              <w:bottom w:val="nil"/>
              <w:right w:val="single" w:sz="8" w:space="0" w:color="auto"/>
            </w:tcBorders>
            <w:shd w:val="clear" w:color="auto" w:fill="auto"/>
            <w:noWrap/>
            <w:vAlign w:val="center"/>
            <w:hideMark/>
          </w:tcPr>
          <w:p w:rsidR="00A04B0F" w:rsidRPr="001328C6" w:rsidRDefault="00A04B0F" w:rsidP="00722C25">
            <w:pPr>
              <w:pStyle w:val="Zkladnodstavec"/>
              <w:jc w:val="center"/>
              <w:rPr>
                <w:rFonts w:cs="Arial"/>
                <w:color w:val="auto"/>
                <w:sz w:val="16"/>
                <w:szCs w:val="16"/>
              </w:rPr>
            </w:pPr>
            <w:r w:rsidRPr="001328C6">
              <w:rPr>
                <w:rFonts w:cs="Arial"/>
                <w:color w:val="auto"/>
                <w:sz w:val="16"/>
                <w:szCs w:val="16"/>
              </w:rPr>
              <w:t>65,9</w:t>
            </w:r>
          </w:p>
        </w:tc>
        <w:tc>
          <w:tcPr>
            <w:tcW w:w="1077" w:type="dxa"/>
            <w:gridSpan w:val="2"/>
            <w:tcBorders>
              <w:top w:val="nil"/>
              <w:left w:val="nil"/>
              <w:bottom w:val="nil"/>
              <w:right w:val="single" w:sz="8" w:space="0" w:color="auto"/>
            </w:tcBorders>
            <w:shd w:val="clear" w:color="auto" w:fill="auto"/>
            <w:noWrap/>
            <w:vAlign w:val="center"/>
            <w:hideMark/>
          </w:tcPr>
          <w:p w:rsidR="00A04B0F" w:rsidRPr="001328C6" w:rsidRDefault="00A04B0F" w:rsidP="00722C25">
            <w:pPr>
              <w:pStyle w:val="Zkladnodstavec"/>
              <w:jc w:val="center"/>
              <w:rPr>
                <w:rFonts w:cs="Arial"/>
                <w:color w:val="auto"/>
                <w:sz w:val="16"/>
                <w:szCs w:val="16"/>
              </w:rPr>
            </w:pPr>
            <w:r w:rsidRPr="001328C6">
              <w:rPr>
                <w:rFonts w:cs="Arial"/>
                <w:color w:val="auto"/>
                <w:sz w:val="16"/>
                <w:szCs w:val="16"/>
              </w:rPr>
              <w:t>62,2</w:t>
            </w:r>
          </w:p>
        </w:tc>
        <w:tc>
          <w:tcPr>
            <w:tcW w:w="1077" w:type="dxa"/>
            <w:gridSpan w:val="2"/>
            <w:tcBorders>
              <w:top w:val="nil"/>
              <w:left w:val="nil"/>
              <w:bottom w:val="nil"/>
              <w:right w:val="single" w:sz="8" w:space="0" w:color="auto"/>
            </w:tcBorders>
            <w:shd w:val="clear" w:color="auto" w:fill="auto"/>
            <w:noWrap/>
            <w:vAlign w:val="center"/>
            <w:hideMark/>
          </w:tcPr>
          <w:p w:rsidR="00A04B0F" w:rsidRPr="001328C6" w:rsidRDefault="00A04B0F" w:rsidP="00722C25">
            <w:pPr>
              <w:pStyle w:val="Zkladnodstavec"/>
              <w:jc w:val="center"/>
              <w:rPr>
                <w:rFonts w:cs="Arial"/>
                <w:color w:val="auto"/>
                <w:sz w:val="16"/>
                <w:szCs w:val="16"/>
              </w:rPr>
            </w:pPr>
            <w:r w:rsidRPr="001328C6">
              <w:rPr>
                <w:rFonts w:cs="Arial"/>
                <w:color w:val="auto"/>
                <w:sz w:val="16"/>
                <w:szCs w:val="16"/>
              </w:rPr>
              <w:t>62,5</w:t>
            </w:r>
          </w:p>
        </w:tc>
        <w:tc>
          <w:tcPr>
            <w:tcW w:w="1077" w:type="dxa"/>
            <w:tcBorders>
              <w:top w:val="nil"/>
              <w:left w:val="nil"/>
              <w:bottom w:val="nil"/>
              <w:right w:val="single" w:sz="8" w:space="0" w:color="auto"/>
            </w:tcBorders>
            <w:shd w:val="clear" w:color="auto" w:fill="auto"/>
            <w:noWrap/>
            <w:vAlign w:val="center"/>
            <w:hideMark/>
          </w:tcPr>
          <w:p w:rsidR="00A04B0F" w:rsidRPr="001328C6" w:rsidRDefault="00A04B0F" w:rsidP="00722C25">
            <w:pPr>
              <w:pStyle w:val="Zkladnodstavec"/>
              <w:jc w:val="center"/>
              <w:rPr>
                <w:rFonts w:cs="Arial"/>
                <w:color w:val="auto"/>
                <w:sz w:val="16"/>
                <w:szCs w:val="16"/>
              </w:rPr>
            </w:pPr>
            <w:r w:rsidRPr="001328C6">
              <w:rPr>
                <w:rFonts w:cs="Arial"/>
                <w:color w:val="auto"/>
                <w:sz w:val="16"/>
                <w:szCs w:val="16"/>
              </w:rPr>
              <w:t>61,8</w:t>
            </w:r>
          </w:p>
        </w:tc>
        <w:tc>
          <w:tcPr>
            <w:tcW w:w="1077" w:type="dxa"/>
            <w:gridSpan w:val="2"/>
            <w:tcBorders>
              <w:top w:val="nil"/>
              <w:left w:val="nil"/>
              <w:bottom w:val="nil"/>
              <w:right w:val="single" w:sz="4" w:space="0" w:color="auto"/>
            </w:tcBorders>
            <w:vAlign w:val="center"/>
          </w:tcPr>
          <w:p w:rsidR="00A04B0F" w:rsidRPr="001328C6" w:rsidRDefault="00A04B0F" w:rsidP="00722C25">
            <w:pPr>
              <w:pStyle w:val="Zkladnodstavec"/>
              <w:jc w:val="center"/>
              <w:rPr>
                <w:rFonts w:cs="Arial"/>
                <w:color w:val="auto"/>
                <w:sz w:val="16"/>
                <w:szCs w:val="16"/>
              </w:rPr>
            </w:pPr>
            <w:r w:rsidRPr="001328C6">
              <w:rPr>
                <w:rFonts w:cs="Arial"/>
                <w:color w:val="auto"/>
                <w:sz w:val="16"/>
                <w:szCs w:val="16"/>
              </w:rPr>
              <w:t>62,3</w:t>
            </w:r>
          </w:p>
        </w:tc>
        <w:tc>
          <w:tcPr>
            <w:tcW w:w="1077" w:type="dxa"/>
            <w:gridSpan w:val="2"/>
            <w:tcBorders>
              <w:top w:val="nil"/>
              <w:left w:val="single" w:sz="4" w:space="0" w:color="auto"/>
              <w:bottom w:val="nil"/>
              <w:right w:val="single" w:sz="4" w:space="0" w:color="auto"/>
            </w:tcBorders>
            <w:vAlign w:val="center"/>
          </w:tcPr>
          <w:p w:rsidR="00A04B0F" w:rsidRPr="001328C6" w:rsidRDefault="00A04B0F" w:rsidP="00A04B0F">
            <w:pPr>
              <w:pStyle w:val="Zkladnodstavec"/>
              <w:jc w:val="center"/>
              <w:rPr>
                <w:rFonts w:cs="Arial"/>
                <w:color w:val="auto"/>
                <w:sz w:val="16"/>
                <w:szCs w:val="16"/>
              </w:rPr>
            </w:pPr>
            <w:r w:rsidRPr="001328C6">
              <w:rPr>
                <w:rFonts w:cs="Arial"/>
                <w:color w:val="auto"/>
                <w:sz w:val="16"/>
                <w:szCs w:val="16"/>
              </w:rPr>
              <w:t>61,5</w:t>
            </w:r>
          </w:p>
        </w:tc>
        <w:tc>
          <w:tcPr>
            <w:tcW w:w="1476" w:type="dxa"/>
            <w:gridSpan w:val="2"/>
            <w:tcBorders>
              <w:top w:val="nil"/>
              <w:left w:val="single" w:sz="4" w:space="0" w:color="auto"/>
              <w:bottom w:val="nil"/>
              <w:right w:val="nil"/>
            </w:tcBorders>
            <w:shd w:val="clear" w:color="auto" w:fill="auto"/>
            <w:noWrap/>
            <w:vAlign w:val="center"/>
            <w:hideMark/>
          </w:tcPr>
          <w:p w:rsidR="00A04B0F" w:rsidRPr="001328C6" w:rsidRDefault="00A04B0F" w:rsidP="00722C25">
            <w:pPr>
              <w:pStyle w:val="Zkladnodstavec"/>
              <w:jc w:val="center"/>
              <w:rPr>
                <w:rFonts w:cs="Arial"/>
                <w:color w:val="auto"/>
                <w:sz w:val="16"/>
                <w:szCs w:val="16"/>
              </w:rPr>
            </w:pPr>
            <w:r w:rsidRPr="001328C6">
              <w:rPr>
                <w:rFonts w:cs="Arial"/>
                <w:color w:val="auto"/>
                <w:sz w:val="16"/>
                <w:szCs w:val="16"/>
              </w:rPr>
              <w:t>93,3</w:t>
            </w:r>
          </w:p>
        </w:tc>
      </w:tr>
      <w:tr w:rsidR="00A04B0F" w:rsidRPr="001328C6" w:rsidTr="00A04B0F">
        <w:trPr>
          <w:gridAfter w:val="3"/>
          <w:wAfter w:w="326" w:type="dxa"/>
          <w:trHeight w:val="282"/>
        </w:trPr>
        <w:tc>
          <w:tcPr>
            <w:tcW w:w="1858" w:type="dxa"/>
            <w:gridSpan w:val="2"/>
            <w:tcBorders>
              <w:top w:val="nil"/>
              <w:left w:val="nil"/>
              <w:bottom w:val="nil"/>
              <w:right w:val="nil"/>
            </w:tcBorders>
            <w:shd w:val="clear" w:color="auto" w:fill="auto"/>
            <w:noWrap/>
            <w:vAlign w:val="bottom"/>
            <w:hideMark/>
          </w:tcPr>
          <w:p w:rsidR="00A04B0F" w:rsidRPr="001328C6" w:rsidRDefault="00A04B0F" w:rsidP="00D14FA7">
            <w:pPr>
              <w:pStyle w:val="Zkladnodstavec"/>
              <w:rPr>
                <w:rFonts w:cs="Arial"/>
                <w:sz w:val="16"/>
                <w:szCs w:val="16"/>
              </w:rPr>
            </w:pPr>
            <w:r w:rsidRPr="001328C6">
              <w:rPr>
                <w:rFonts w:cs="Arial"/>
                <w:sz w:val="16"/>
                <w:szCs w:val="16"/>
              </w:rPr>
              <w:t>Neziskové instituce</w:t>
            </w:r>
          </w:p>
        </w:tc>
        <w:tc>
          <w:tcPr>
            <w:tcW w:w="1077" w:type="dxa"/>
            <w:tcBorders>
              <w:top w:val="nil"/>
              <w:left w:val="single" w:sz="8" w:space="0" w:color="auto"/>
              <w:bottom w:val="nil"/>
              <w:right w:val="single" w:sz="8" w:space="0" w:color="auto"/>
            </w:tcBorders>
            <w:shd w:val="clear" w:color="auto" w:fill="auto"/>
            <w:noWrap/>
            <w:vAlign w:val="center"/>
            <w:hideMark/>
          </w:tcPr>
          <w:p w:rsidR="00A04B0F" w:rsidRPr="001328C6" w:rsidRDefault="00A04B0F" w:rsidP="00722C25">
            <w:pPr>
              <w:pStyle w:val="Zkladnodstavec"/>
              <w:jc w:val="center"/>
              <w:rPr>
                <w:rFonts w:cs="Arial"/>
                <w:color w:val="auto"/>
                <w:sz w:val="16"/>
                <w:szCs w:val="16"/>
              </w:rPr>
            </w:pPr>
            <w:r w:rsidRPr="001328C6">
              <w:rPr>
                <w:rFonts w:cs="Arial"/>
                <w:color w:val="auto"/>
                <w:sz w:val="16"/>
                <w:szCs w:val="16"/>
              </w:rPr>
              <w:t>1,2</w:t>
            </w:r>
          </w:p>
        </w:tc>
        <w:tc>
          <w:tcPr>
            <w:tcW w:w="1077" w:type="dxa"/>
            <w:gridSpan w:val="2"/>
            <w:tcBorders>
              <w:top w:val="nil"/>
              <w:left w:val="nil"/>
              <w:bottom w:val="nil"/>
              <w:right w:val="single" w:sz="8" w:space="0" w:color="auto"/>
            </w:tcBorders>
            <w:shd w:val="clear" w:color="auto" w:fill="auto"/>
            <w:noWrap/>
            <w:vAlign w:val="center"/>
            <w:hideMark/>
          </w:tcPr>
          <w:p w:rsidR="00A04B0F" w:rsidRPr="001328C6" w:rsidRDefault="00A04B0F" w:rsidP="00722C25">
            <w:pPr>
              <w:pStyle w:val="Zkladnodstavec"/>
              <w:jc w:val="center"/>
              <w:rPr>
                <w:rFonts w:cs="Arial"/>
                <w:color w:val="auto"/>
                <w:sz w:val="16"/>
                <w:szCs w:val="16"/>
              </w:rPr>
            </w:pPr>
            <w:r w:rsidRPr="001328C6">
              <w:rPr>
                <w:rFonts w:cs="Arial"/>
                <w:color w:val="auto"/>
                <w:sz w:val="16"/>
                <w:szCs w:val="16"/>
              </w:rPr>
              <w:t>3,2</w:t>
            </w:r>
          </w:p>
        </w:tc>
        <w:tc>
          <w:tcPr>
            <w:tcW w:w="1077" w:type="dxa"/>
            <w:gridSpan w:val="2"/>
            <w:tcBorders>
              <w:top w:val="nil"/>
              <w:left w:val="nil"/>
              <w:bottom w:val="nil"/>
              <w:right w:val="single" w:sz="8" w:space="0" w:color="auto"/>
            </w:tcBorders>
            <w:shd w:val="clear" w:color="auto" w:fill="auto"/>
            <w:noWrap/>
            <w:vAlign w:val="center"/>
            <w:hideMark/>
          </w:tcPr>
          <w:p w:rsidR="00A04B0F" w:rsidRPr="001328C6" w:rsidRDefault="00A04B0F" w:rsidP="00722C25">
            <w:pPr>
              <w:pStyle w:val="Zkladnodstavec"/>
              <w:jc w:val="center"/>
              <w:rPr>
                <w:rFonts w:cs="Arial"/>
                <w:color w:val="auto"/>
                <w:sz w:val="16"/>
                <w:szCs w:val="16"/>
              </w:rPr>
            </w:pPr>
            <w:r w:rsidRPr="001328C6">
              <w:rPr>
                <w:rFonts w:cs="Arial"/>
                <w:color w:val="auto"/>
                <w:sz w:val="16"/>
                <w:szCs w:val="16"/>
              </w:rPr>
              <w:t>1,1</w:t>
            </w:r>
          </w:p>
        </w:tc>
        <w:tc>
          <w:tcPr>
            <w:tcW w:w="1077" w:type="dxa"/>
            <w:tcBorders>
              <w:top w:val="nil"/>
              <w:left w:val="nil"/>
              <w:bottom w:val="nil"/>
              <w:right w:val="single" w:sz="8" w:space="0" w:color="auto"/>
            </w:tcBorders>
            <w:shd w:val="clear" w:color="auto" w:fill="auto"/>
            <w:noWrap/>
            <w:vAlign w:val="center"/>
            <w:hideMark/>
          </w:tcPr>
          <w:p w:rsidR="00A04B0F" w:rsidRPr="001328C6" w:rsidRDefault="00A04B0F" w:rsidP="00722C25">
            <w:pPr>
              <w:pStyle w:val="Zkladnodstavec"/>
              <w:jc w:val="center"/>
              <w:rPr>
                <w:rFonts w:cs="Arial"/>
                <w:color w:val="auto"/>
                <w:sz w:val="16"/>
                <w:szCs w:val="16"/>
              </w:rPr>
            </w:pPr>
            <w:r w:rsidRPr="001328C6">
              <w:rPr>
                <w:rFonts w:cs="Arial"/>
                <w:color w:val="auto"/>
                <w:sz w:val="16"/>
                <w:szCs w:val="16"/>
              </w:rPr>
              <w:t>1,1</w:t>
            </w:r>
          </w:p>
        </w:tc>
        <w:tc>
          <w:tcPr>
            <w:tcW w:w="1077" w:type="dxa"/>
            <w:gridSpan w:val="2"/>
            <w:tcBorders>
              <w:top w:val="nil"/>
              <w:left w:val="nil"/>
              <w:bottom w:val="nil"/>
              <w:right w:val="single" w:sz="4" w:space="0" w:color="auto"/>
            </w:tcBorders>
            <w:vAlign w:val="center"/>
          </w:tcPr>
          <w:p w:rsidR="00A04B0F" w:rsidRPr="001328C6" w:rsidRDefault="00A04B0F" w:rsidP="00722C25">
            <w:pPr>
              <w:pStyle w:val="Zkladnodstavec"/>
              <w:jc w:val="center"/>
              <w:rPr>
                <w:rFonts w:cs="Arial"/>
                <w:color w:val="auto"/>
                <w:sz w:val="16"/>
                <w:szCs w:val="16"/>
              </w:rPr>
            </w:pPr>
            <w:r w:rsidRPr="001328C6">
              <w:rPr>
                <w:rFonts w:cs="Arial"/>
                <w:color w:val="auto"/>
                <w:sz w:val="16"/>
                <w:szCs w:val="16"/>
              </w:rPr>
              <w:t>1,6</w:t>
            </w:r>
          </w:p>
        </w:tc>
        <w:tc>
          <w:tcPr>
            <w:tcW w:w="1077" w:type="dxa"/>
            <w:gridSpan w:val="2"/>
            <w:tcBorders>
              <w:top w:val="nil"/>
              <w:left w:val="single" w:sz="4" w:space="0" w:color="auto"/>
              <w:bottom w:val="nil"/>
              <w:right w:val="single" w:sz="4" w:space="0" w:color="auto"/>
            </w:tcBorders>
            <w:vAlign w:val="center"/>
          </w:tcPr>
          <w:p w:rsidR="00A04B0F" w:rsidRPr="001328C6" w:rsidRDefault="00A04B0F" w:rsidP="00A04B0F">
            <w:pPr>
              <w:pStyle w:val="Zkladnodstavec"/>
              <w:jc w:val="center"/>
              <w:rPr>
                <w:rFonts w:cs="Arial"/>
                <w:color w:val="auto"/>
                <w:sz w:val="16"/>
                <w:szCs w:val="16"/>
              </w:rPr>
            </w:pPr>
            <w:r w:rsidRPr="001328C6">
              <w:rPr>
                <w:rFonts w:cs="Arial"/>
                <w:color w:val="auto"/>
                <w:sz w:val="16"/>
                <w:szCs w:val="16"/>
              </w:rPr>
              <w:t>2,6</w:t>
            </w:r>
          </w:p>
        </w:tc>
        <w:tc>
          <w:tcPr>
            <w:tcW w:w="1476" w:type="dxa"/>
            <w:gridSpan w:val="2"/>
            <w:tcBorders>
              <w:top w:val="nil"/>
              <w:left w:val="single" w:sz="4" w:space="0" w:color="auto"/>
              <w:bottom w:val="nil"/>
              <w:right w:val="nil"/>
            </w:tcBorders>
            <w:shd w:val="clear" w:color="auto" w:fill="auto"/>
            <w:noWrap/>
            <w:vAlign w:val="center"/>
            <w:hideMark/>
          </w:tcPr>
          <w:p w:rsidR="00A04B0F" w:rsidRPr="001328C6" w:rsidRDefault="00A04B0F" w:rsidP="00722C25">
            <w:pPr>
              <w:pStyle w:val="Zkladnodstavec"/>
              <w:jc w:val="center"/>
              <w:rPr>
                <w:rFonts w:cs="Arial"/>
                <w:color w:val="auto"/>
                <w:sz w:val="16"/>
                <w:szCs w:val="16"/>
              </w:rPr>
            </w:pPr>
            <w:r w:rsidRPr="001328C6">
              <w:rPr>
                <w:rFonts w:cs="Arial"/>
                <w:color w:val="auto"/>
                <w:sz w:val="16"/>
                <w:szCs w:val="16"/>
              </w:rPr>
              <w:t>216,7</w:t>
            </w:r>
          </w:p>
        </w:tc>
      </w:tr>
      <w:tr w:rsidR="00A04B0F" w:rsidRPr="001328C6" w:rsidTr="00A04B0F">
        <w:trPr>
          <w:gridAfter w:val="3"/>
          <w:wAfter w:w="326" w:type="dxa"/>
          <w:trHeight w:val="282"/>
        </w:trPr>
        <w:tc>
          <w:tcPr>
            <w:tcW w:w="1858" w:type="dxa"/>
            <w:gridSpan w:val="2"/>
            <w:tcBorders>
              <w:top w:val="nil"/>
              <w:left w:val="nil"/>
              <w:bottom w:val="nil"/>
              <w:right w:val="nil"/>
            </w:tcBorders>
            <w:shd w:val="clear" w:color="auto" w:fill="auto"/>
            <w:noWrap/>
            <w:vAlign w:val="bottom"/>
            <w:hideMark/>
          </w:tcPr>
          <w:p w:rsidR="00A04B0F" w:rsidRPr="001328C6" w:rsidRDefault="00A04B0F" w:rsidP="00D14FA7">
            <w:pPr>
              <w:pStyle w:val="Zkladnodstavec"/>
              <w:rPr>
                <w:rFonts w:cs="Arial"/>
                <w:sz w:val="16"/>
                <w:szCs w:val="16"/>
              </w:rPr>
            </w:pPr>
            <w:r w:rsidRPr="001328C6">
              <w:rPr>
                <w:rFonts w:cs="Arial"/>
                <w:sz w:val="16"/>
                <w:szCs w:val="16"/>
              </w:rPr>
              <w:t>Ostatní svět</w:t>
            </w:r>
          </w:p>
        </w:tc>
        <w:tc>
          <w:tcPr>
            <w:tcW w:w="1077" w:type="dxa"/>
            <w:tcBorders>
              <w:top w:val="nil"/>
              <w:left w:val="single" w:sz="8" w:space="0" w:color="auto"/>
              <w:bottom w:val="nil"/>
              <w:right w:val="single" w:sz="8" w:space="0" w:color="auto"/>
            </w:tcBorders>
            <w:shd w:val="clear" w:color="auto" w:fill="auto"/>
            <w:noWrap/>
            <w:vAlign w:val="center"/>
            <w:hideMark/>
          </w:tcPr>
          <w:p w:rsidR="00A04B0F" w:rsidRPr="001328C6" w:rsidRDefault="00A04B0F" w:rsidP="00722C25">
            <w:pPr>
              <w:pStyle w:val="Zkladnodstavec"/>
              <w:jc w:val="center"/>
              <w:rPr>
                <w:rFonts w:cs="Arial"/>
                <w:color w:val="auto"/>
                <w:sz w:val="16"/>
                <w:szCs w:val="16"/>
              </w:rPr>
            </w:pPr>
            <w:r w:rsidRPr="001328C6">
              <w:rPr>
                <w:rFonts w:cs="Arial"/>
                <w:color w:val="auto"/>
                <w:sz w:val="16"/>
                <w:szCs w:val="16"/>
              </w:rPr>
              <w:t>1,1</w:t>
            </w:r>
          </w:p>
        </w:tc>
        <w:tc>
          <w:tcPr>
            <w:tcW w:w="1077" w:type="dxa"/>
            <w:gridSpan w:val="2"/>
            <w:tcBorders>
              <w:top w:val="nil"/>
              <w:left w:val="nil"/>
              <w:bottom w:val="nil"/>
              <w:right w:val="single" w:sz="8" w:space="0" w:color="auto"/>
            </w:tcBorders>
            <w:shd w:val="clear" w:color="auto" w:fill="auto"/>
            <w:noWrap/>
            <w:vAlign w:val="center"/>
            <w:hideMark/>
          </w:tcPr>
          <w:p w:rsidR="00A04B0F" w:rsidRPr="001328C6" w:rsidRDefault="00A04B0F" w:rsidP="00722C25">
            <w:pPr>
              <w:pStyle w:val="Zkladnodstavec"/>
              <w:jc w:val="center"/>
              <w:rPr>
                <w:rFonts w:cs="Arial"/>
                <w:color w:val="auto"/>
                <w:sz w:val="16"/>
                <w:szCs w:val="16"/>
              </w:rPr>
            </w:pPr>
            <w:r w:rsidRPr="001328C6">
              <w:rPr>
                <w:rFonts w:cs="Arial"/>
                <w:color w:val="auto"/>
                <w:sz w:val="16"/>
                <w:szCs w:val="16"/>
              </w:rPr>
              <w:t>0,8</w:t>
            </w:r>
          </w:p>
        </w:tc>
        <w:tc>
          <w:tcPr>
            <w:tcW w:w="1077" w:type="dxa"/>
            <w:gridSpan w:val="2"/>
            <w:tcBorders>
              <w:top w:val="nil"/>
              <w:left w:val="nil"/>
              <w:bottom w:val="nil"/>
              <w:right w:val="single" w:sz="8" w:space="0" w:color="auto"/>
            </w:tcBorders>
            <w:shd w:val="clear" w:color="auto" w:fill="auto"/>
            <w:noWrap/>
            <w:vAlign w:val="center"/>
            <w:hideMark/>
          </w:tcPr>
          <w:p w:rsidR="00A04B0F" w:rsidRPr="001328C6" w:rsidRDefault="00A04B0F" w:rsidP="00722C25">
            <w:pPr>
              <w:pStyle w:val="Zkladnodstavec"/>
              <w:jc w:val="center"/>
              <w:rPr>
                <w:rFonts w:cs="Arial"/>
                <w:color w:val="auto"/>
                <w:sz w:val="16"/>
                <w:szCs w:val="16"/>
              </w:rPr>
            </w:pPr>
            <w:r w:rsidRPr="001328C6">
              <w:rPr>
                <w:rFonts w:cs="Arial"/>
                <w:color w:val="auto"/>
                <w:sz w:val="16"/>
                <w:szCs w:val="16"/>
              </w:rPr>
              <w:t>1,1</w:t>
            </w:r>
          </w:p>
        </w:tc>
        <w:tc>
          <w:tcPr>
            <w:tcW w:w="1077" w:type="dxa"/>
            <w:tcBorders>
              <w:top w:val="nil"/>
              <w:left w:val="nil"/>
              <w:bottom w:val="nil"/>
              <w:right w:val="single" w:sz="8" w:space="0" w:color="auto"/>
            </w:tcBorders>
            <w:shd w:val="clear" w:color="auto" w:fill="auto"/>
            <w:noWrap/>
            <w:vAlign w:val="center"/>
            <w:hideMark/>
          </w:tcPr>
          <w:p w:rsidR="00A04B0F" w:rsidRPr="001328C6" w:rsidRDefault="00A04B0F" w:rsidP="00722C25">
            <w:pPr>
              <w:pStyle w:val="Zkladnodstavec"/>
              <w:jc w:val="center"/>
              <w:rPr>
                <w:rFonts w:cs="Arial"/>
                <w:color w:val="auto"/>
                <w:sz w:val="16"/>
                <w:szCs w:val="16"/>
              </w:rPr>
            </w:pPr>
            <w:r w:rsidRPr="001328C6">
              <w:rPr>
                <w:rFonts w:cs="Arial"/>
                <w:color w:val="auto"/>
                <w:sz w:val="16"/>
                <w:szCs w:val="16"/>
              </w:rPr>
              <w:t>1,0</w:t>
            </w:r>
          </w:p>
        </w:tc>
        <w:tc>
          <w:tcPr>
            <w:tcW w:w="1077" w:type="dxa"/>
            <w:gridSpan w:val="2"/>
            <w:tcBorders>
              <w:top w:val="nil"/>
              <w:left w:val="nil"/>
              <w:bottom w:val="nil"/>
              <w:right w:val="single" w:sz="4" w:space="0" w:color="auto"/>
            </w:tcBorders>
            <w:vAlign w:val="center"/>
          </w:tcPr>
          <w:p w:rsidR="00A04B0F" w:rsidRPr="001328C6" w:rsidRDefault="00A04B0F" w:rsidP="00722C25">
            <w:pPr>
              <w:pStyle w:val="Zkladnodstavec"/>
              <w:jc w:val="center"/>
              <w:rPr>
                <w:rFonts w:cs="Arial"/>
                <w:color w:val="auto"/>
                <w:sz w:val="16"/>
                <w:szCs w:val="16"/>
              </w:rPr>
            </w:pPr>
            <w:r w:rsidRPr="001328C6">
              <w:rPr>
                <w:rFonts w:cs="Arial"/>
                <w:color w:val="auto"/>
                <w:sz w:val="16"/>
                <w:szCs w:val="16"/>
              </w:rPr>
              <w:t>1,2</w:t>
            </w:r>
          </w:p>
        </w:tc>
        <w:tc>
          <w:tcPr>
            <w:tcW w:w="1077" w:type="dxa"/>
            <w:gridSpan w:val="2"/>
            <w:tcBorders>
              <w:top w:val="nil"/>
              <w:left w:val="single" w:sz="4" w:space="0" w:color="auto"/>
              <w:bottom w:val="nil"/>
              <w:right w:val="single" w:sz="4" w:space="0" w:color="auto"/>
            </w:tcBorders>
            <w:vAlign w:val="center"/>
          </w:tcPr>
          <w:p w:rsidR="00A04B0F" w:rsidRPr="001328C6" w:rsidRDefault="00A04B0F" w:rsidP="00A04B0F">
            <w:pPr>
              <w:pStyle w:val="Zkladnodstavec"/>
              <w:jc w:val="center"/>
              <w:rPr>
                <w:rFonts w:cs="Arial"/>
                <w:color w:val="auto"/>
                <w:sz w:val="16"/>
                <w:szCs w:val="16"/>
              </w:rPr>
            </w:pPr>
            <w:r w:rsidRPr="001328C6">
              <w:rPr>
                <w:rFonts w:cs="Arial"/>
                <w:color w:val="auto"/>
                <w:sz w:val="16"/>
                <w:szCs w:val="16"/>
              </w:rPr>
              <w:t>0,9</w:t>
            </w:r>
          </w:p>
        </w:tc>
        <w:tc>
          <w:tcPr>
            <w:tcW w:w="1476" w:type="dxa"/>
            <w:gridSpan w:val="2"/>
            <w:tcBorders>
              <w:top w:val="nil"/>
              <w:left w:val="single" w:sz="4" w:space="0" w:color="auto"/>
              <w:bottom w:val="nil"/>
              <w:right w:val="nil"/>
            </w:tcBorders>
            <w:shd w:val="clear" w:color="auto" w:fill="auto"/>
            <w:noWrap/>
            <w:vAlign w:val="center"/>
            <w:hideMark/>
          </w:tcPr>
          <w:p w:rsidR="00A04B0F" w:rsidRPr="001328C6" w:rsidRDefault="00A04B0F" w:rsidP="00722C25">
            <w:pPr>
              <w:pStyle w:val="Zkladnodstavec"/>
              <w:jc w:val="center"/>
              <w:rPr>
                <w:rFonts w:cs="Arial"/>
                <w:color w:val="auto"/>
                <w:sz w:val="16"/>
                <w:szCs w:val="16"/>
              </w:rPr>
            </w:pPr>
            <w:r w:rsidRPr="001328C6">
              <w:rPr>
                <w:rFonts w:cs="Arial"/>
                <w:color w:val="auto"/>
                <w:sz w:val="16"/>
                <w:szCs w:val="16"/>
              </w:rPr>
              <w:t>81,8</w:t>
            </w:r>
          </w:p>
        </w:tc>
      </w:tr>
      <w:tr w:rsidR="00A04B0F" w:rsidRPr="001328C6" w:rsidTr="00A04B0F">
        <w:trPr>
          <w:trHeight w:val="170"/>
        </w:trPr>
        <w:tc>
          <w:tcPr>
            <w:tcW w:w="1858" w:type="dxa"/>
            <w:gridSpan w:val="2"/>
            <w:tcBorders>
              <w:top w:val="nil"/>
              <w:left w:val="nil"/>
              <w:bottom w:val="nil"/>
              <w:right w:val="nil"/>
            </w:tcBorders>
            <w:shd w:val="clear" w:color="auto" w:fill="auto"/>
            <w:vAlign w:val="center"/>
            <w:hideMark/>
          </w:tcPr>
          <w:p w:rsidR="00A04B0F" w:rsidRPr="001328C6" w:rsidRDefault="00A04B0F" w:rsidP="003B4B72">
            <w:pPr>
              <w:pStyle w:val="Zkladnodstavec"/>
              <w:rPr>
                <w:rFonts w:cs="Arial"/>
                <w:sz w:val="16"/>
                <w:szCs w:val="16"/>
              </w:rPr>
            </w:pPr>
          </w:p>
          <w:p w:rsidR="00A04B0F" w:rsidRPr="001328C6" w:rsidRDefault="00A04B0F" w:rsidP="003B4B72">
            <w:pPr>
              <w:pStyle w:val="Zkladnodstavec"/>
              <w:rPr>
                <w:rFonts w:cs="Arial"/>
                <w:sz w:val="16"/>
                <w:szCs w:val="16"/>
              </w:rPr>
            </w:pPr>
          </w:p>
        </w:tc>
        <w:tc>
          <w:tcPr>
            <w:tcW w:w="1843" w:type="dxa"/>
            <w:gridSpan w:val="2"/>
            <w:tcBorders>
              <w:top w:val="nil"/>
              <w:left w:val="nil"/>
              <w:bottom w:val="nil"/>
              <w:right w:val="nil"/>
            </w:tcBorders>
            <w:shd w:val="clear" w:color="auto" w:fill="auto"/>
            <w:noWrap/>
            <w:vAlign w:val="bottom"/>
            <w:hideMark/>
          </w:tcPr>
          <w:p w:rsidR="00A04B0F" w:rsidRPr="001328C6" w:rsidRDefault="00A04B0F" w:rsidP="003B4B72">
            <w:pPr>
              <w:pStyle w:val="Zkladnodstavec"/>
              <w:rPr>
                <w:rFonts w:cs="Arial"/>
                <w:sz w:val="16"/>
                <w:szCs w:val="16"/>
              </w:rPr>
            </w:pPr>
          </w:p>
        </w:tc>
        <w:tc>
          <w:tcPr>
            <w:tcW w:w="1276" w:type="dxa"/>
            <w:gridSpan w:val="2"/>
            <w:tcBorders>
              <w:top w:val="nil"/>
              <w:left w:val="nil"/>
              <w:bottom w:val="nil"/>
              <w:right w:val="nil"/>
            </w:tcBorders>
            <w:shd w:val="clear" w:color="auto" w:fill="auto"/>
            <w:noWrap/>
            <w:vAlign w:val="bottom"/>
            <w:hideMark/>
          </w:tcPr>
          <w:p w:rsidR="00A04B0F" w:rsidRPr="001328C6" w:rsidRDefault="00A04B0F" w:rsidP="003B4B72">
            <w:pPr>
              <w:pStyle w:val="Zkladnodstavec"/>
              <w:rPr>
                <w:rFonts w:cs="Arial"/>
                <w:sz w:val="16"/>
                <w:szCs w:val="16"/>
              </w:rPr>
            </w:pPr>
          </w:p>
        </w:tc>
        <w:tc>
          <w:tcPr>
            <w:tcW w:w="1275" w:type="dxa"/>
            <w:gridSpan w:val="3"/>
            <w:tcBorders>
              <w:top w:val="nil"/>
              <w:left w:val="nil"/>
              <w:bottom w:val="nil"/>
              <w:right w:val="nil"/>
            </w:tcBorders>
            <w:shd w:val="clear" w:color="auto" w:fill="auto"/>
            <w:noWrap/>
            <w:vAlign w:val="bottom"/>
            <w:hideMark/>
          </w:tcPr>
          <w:p w:rsidR="00A04B0F" w:rsidRPr="001328C6" w:rsidRDefault="00A04B0F" w:rsidP="003B4B72">
            <w:pPr>
              <w:pStyle w:val="Zkladnodstavec"/>
              <w:rPr>
                <w:rFonts w:cs="Arial"/>
                <w:sz w:val="16"/>
                <w:szCs w:val="16"/>
              </w:rPr>
            </w:pPr>
          </w:p>
        </w:tc>
        <w:tc>
          <w:tcPr>
            <w:tcW w:w="1300" w:type="dxa"/>
            <w:gridSpan w:val="2"/>
            <w:tcBorders>
              <w:top w:val="nil"/>
              <w:left w:val="nil"/>
              <w:bottom w:val="nil"/>
              <w:right w:val="nil"/>
            </w:tcBorders>
          </w:tcPr>
          <w:p w:rsidR="00A04B0F" w:rsidRPr="001328C6" w:rsidRDefault="00A04B0F" w:rsidP="003B4B72">
            <w:pPr>
              <w:pStyle w:val="Zkladnodstavec"/>
              <w:rPr>
                <w:rFonts w:cs="Arial"/>
                <w:sz w:val="16"/>
                <w:szCs w:val="16"/>
              </w:rPr>
            </w:pPr>
          </w:p>
        </w:tc>
        <w:tc>
          <w:tcPr>
            <w:tcW w:w="1276" w:type="dxa"/>
            <w:gridSpan w:val="2"/>
            <w:tcBorders>
              <w:top w:val="nil"/>
              <w:left w:val="nil"/>
              <w:bottom w:val="nil"/>
              <w:right w:val="nil"/>
            </w:tcBorders>
            <w:shd w:val="clear" w:color="auto" w:fill="auto"/>
            <w:noWrap/>
            <w:vAlign w:val="bottom"/>
            <w:hideMark/>
          </w:tcPr>
          <w:p w:rsidR="00A04B0F" w:rsidRPr="001328C6" w:rsidRDefault="00A04B0F" w:rsidP="003B4B72">
            <w:pPr>
              <w:pStyle w:val="Zkladnodstavec"/>
              <w:rPr>
                <w:rFonts w:cs="Arial"/>
                <w:sz w:val="16"/>
                <w:szCs w:val="16"/>
              </w:rPr>
            </w:pPr>
          </w:p>
        </w:tc>
        <w:tc>
          <w:tcPr>
            <w:tcW w:w="1134" w:type="dxa"/>
            <w:gridSpan w:val="3"/>
            <w:tcBorders>
              <w:top w:val="nil"/>
              <w:left w:val="nil"/>
              <w:bottom w:val="nil"/>
              <w:right w:val="nil"/>
            </w:tcBorders>
          </w:tcPr>
          <w:p w:rsidR="00A04B0F" w:rsidRPr="001328C6" w:rsidRDefault="00A04B0F" w:rsidP="003B4B72">
            <w:pPr>
              <w:pStyle w:val="Zkladnodstavec"/>
              <w:rPr>
                <w:rFonts w:cs="Arial"/>
                <w:sz w:val="16"/>
                <w:szCs w:val="16"/>
              </w:rPr>
            </w:pPr>
          </w:p>
        </w:tc>
        <w:tc>
          <w:tcPr>
            <w:tcW w:w="160" w:type="dxa"/>
            <w:tcBorders>
              <w:top w:val="nil"/>
              <w:left w:val="nil"/>
              <w:bottom w:val="nil"/>
              <w:right w:val="nil"/>
            </w:tcBorders>
            <w:shd w:val="clear" w:color="auto" w:fill="auto"/>
            <w:noWrap/>
            <w:vAlign w:val="bottom"/>
            <w:hideMark/>
          </w:tcPr>
          <w:p w:rsidR="00A04B0F" w:rsidRPr="001328C6" w:rsidRDefault="00A04B0F" w:rsidP="003B4B72">
            <w:pPr>
              <w:pStyle w:val="Zkladnodstavec"/>
              <w:rPr>
                <w:rFonts w:cs="Arial"/>
                <w:sz w:val="16"/>
                <w:szCs w:val="16"/>
              </w:rPr>
            </w:pPr>
          </w:p>
        </w:tc>
      </w:tr>
    </w:tbl>
    <w:p w:rsidR="00A04B0F" w:rsidRPr="001328C6" w:rsidRDefault="00A04B0F" w:rsidP="00A04B0F">
      <w:pPr>
        <w:widowControl w:val="0"/>
        <w:overflowPunct w:val="0"/>
        <w:autoSpaceDE w:val="0"/>
        <w:autoSpaceDN w:val="0"/>
        <w:adjustRightInd w:val="0"/>
        <w:ind w:right="100"/>
        <w:jc w:val="both"/>
        <w:rPr>
          <w:rFonts w:cs="Arial"/>
        </w:rPr>
      </w:pPr>
      <w:r w:rsidRPr="001328C6">
        <w:rPr>
          <w:rFonts w:cs="Arial"/>
        </w:rPr>
        <w:t xml:space="preserve">Z veřejných rozpočtů bylo v roce 2016 věnováno na kulturu téměř 33,6 mld. Kč, tj. o 682 mil. Kč (o 2 %) méně než v roce předcházejícím. Tato částka představuje konsolidované provozní a investiční výdaje organizačních složek státu, územních samosprávných celků a státních mimorozpočtových fondů (fondu kultury a fondu pro podporu a rozvoj české kinematografie) na bázi pokladního plnění. </w:t>
      </w:r>
    </w:p>
    <w:p w:rsidR="00A04B0F" w:rsidRPr="001328C6" w:rsidRDefault="00A04B0F" w:rsidP="00A04B0F">
      <w:pPr>
        <w:widowControl w:val="0"/>
        <w:overflowPunct w:val="0"/>
        <w:autoSpaceDE w:val="0"/>
        <w:autoSpaceDN w:val="0"/>
        <w:adjustRightInd w:val="0"/>
        <w:ind w:right="100"/>
        <w:jc w:val="both"/>
        <w:rPr>
          <w:rFonts w:cs="Arial"/>
        </w:rPr>
      </w:pPr>
      <w:r w:rsidRPr="001328C6">
        <w:rPr>
          <w:rFonts w:cs="Arial"/>
        </w:rPr>
        <w:t>Z celkové výše výdajů bylo více než 29,7 mld. Kč určeno na provozní účely a necelých 3,9 mld. Kč na</w:t>
      </w:r>
      <w:r w:rsidR="0057704F">
        <w:rPr>
          <w:rFonts w:cs="Arial"/>
        </w:rPr>
        <w:t> i</w:t>
      </w:r>
      <w:r w:rsidRPr="001328C6">
        <w:rPr>
          <w:rFonts w:cs="Arial"/>
        </w:rPr>
        <w:t xml:space="preserve">nvestice. Zatímco veřejné výdaje na provoz o 5,3 % vzrostly, tak výdaje na investice o více než 30 % poklesly. Z pohledu úrovně veřejných zdrojů bylo nejvíce </w:t>
      </w:r>
      <w:r w:rsidR="00F85E8C" w:rsidRPr="001328C6">
        <w:rPr>
          <w:rFonts w:cs="Arial"/>
        </w:rPr>
        <w:t>–</w:t>
      </w:r>
      <w:r w:rsidRPr="001328C6">
        <w:rPr>
          <w:rFonts w:cs="Arial"/>
        </w:rPr>
        <w:t xml:space="preserve"> jak provozních, tak i investičních prostředků </w:t>
      </w:r>
      <w:r w:rsidR="00F85E8C" w:rsidRPr="001328C6">
        <w:rPr>
          <w:rFonts w:cs="Arial"/>
        </w:rPr>
        <w:t>–</w:t>
      </w:r>
      <w:r w:rsidRPr="001328C6">
        <w:rPr>
          <w:rFonts w:cs="Arial"/>
        </w:rPr>
        <w:t xml:space="preserve"> vydáno na kulturu z obecních a městských rozpočtů (téměř 72 %) a to zejména do oblasti kulturního dědictví, interpretačního umění a uměleckého vzdělávání. </w:t>
      </w:r>
    </w:p>
    <w:p w:rsidR="00A04B0F" w:rsidRPr="001328C6" w:rsidRDefault="00A04B0F" w:rsidP="00A04B0F">
      <w:pPr>
        <w:widowControl w:val="0"/>
        <w:overflowPunct w:val="0"/>
        <w:autoSpaceDE w:val="0"/>
        <w:autoSpaceDN w:val="0"/>
        <w:adjustRightInd w:val="0"/>
        <w:ind w:right="100"/>
        <w:jc w:val="both"/>
        <w:rPr>
          <w:rFonts w:cs="Arial"/>
        </w:rPr>
      </w:pPr>
      <w:r w:rsidRPr="001328C6">
        <w:rPr>
          <w:rFonts w:cs="Arial"/>
        </w:rPr>
        <w:t xml:space="preserve">Celková finanční částka věnovaná kultuře v roce 2016 představovala 1,97 % veřejných rozpočtů. </w:t>
      </w:r>
    </w:p>
    <w:p w:rsidR="00A04B0F" w:rsidRPr="001328C6" w:rsidRDefault="00A04B0F" w:rsidP="00A04B0F">
      <w:pPr>
        <w:widowControl w:val="0"/>
        <w:overflowPunct w:val="0"/>
        <w:autoSpaceDE w:val="0"/>
        <w:autoSpaceDN w:val="0"/>
        <w:adjustRightInd w:val="0"/>
        <w:ind w:right="100"/>
        <w:jc w:val="both"/>
        <w:rPr>
          <w:rFonts w:cs="Arial"/>
        </w:rPr>
      </w:pPr>
      <w:r w:rsidRPr="001328C6">
        <w:rPr>
          <w:rFonts w:cs="Arial"/>
        </w:rPr>
        <w:t>Nepřímou pomoc státu kultuře je nemožné kvantifikovat, mimo jiné i proto, že její část může přicházet i</w:t>
      </w:r>
      <w:r w:rsidR="0057704F">
        <w:rPr>
          <w:rFonts w:cs="Arial"/>
        </w:rPr>
        <w:t> </w:t>
      </w:r>
      <w:r w:rsidRPr="001328C6">
        <w:rPr>
          <w:rFonts w:cs="Arial"/>
        </w:rPr>
        <w:t xml:space="preserve">prostřednictvím výdajů domácností a podniků (snížení základu daně v případě daru kulturní instituci). </w:t>
      </w:r>
    </w:p>
    <w:p w:rsidR="00A04B0F" w:rsidRPr="001328C6" w:rsidRDefault="00A04B0F" w:rsidP="00A04B0F">
      <w:pPr>
        <w:widowControl w:val="0"/>
        <w:overflowPunct w:val="0"/>
        <w:autoSpaceDE w:val="0"/>
        <w:autoSpaceDN w:val="0"/>
        <w:adjustRightInd w:val="0"/>
        <w:ind w:right="100"/>
        <w:jc w:val="both"/>
        <w:rPr>
          <w:rFonts w:cs="Arial"/>
        </w:rPr>
      </w:pPr>
      <w:r w:rsidRPr="001328C6">
        <w:rPr>
          <w:rFonts w:cs="Arial"/>
        </w:rPr>
        <w:t xml:space="preserve">Výdaje domácností na kulturu se v roce 2016 v porovnání s předcházejícím rokem o 6,7 % zvýšily </w:t>
      </w:r>
      <w:r w:rsidRPr="001328C6">
        <w:rPr>
          <w:rFonts w:cs="Arial"/>
        </w:rPr>
        <w:lastRenderedPageBreak/>
        <w:t>a</w:t>
      </w:r>
      <w:r w:rsidR="0057704F">
        <w:rPr>
          <w:rFonts w:cs="Arial"/>
        </w:rPr>
        <w:t> </w:t>
      </w:r>
      <w:r w:rsidRPr="001328C6">
        <w:rPr>
          <w:rFonts w:cs="Arial"/>
        </w:rPr>
        <w:t xml:space="preserve">dosáhly 47,9 mld. Kč. Jejich váha v celkových finančních zdrojích kultury má dlouhodobě rostoucí tendenci. </w:t>
      </w:r>
    </w:p>
    <w:p w:rsidR="00A04B0F" w:rsidRPr="001328C6" w:rsidRDefault="00A04B0F" w:rsidP="00A04B0F">
      <w:pPr>
        <w:widowControl w:val="0"/>
        <w:overflowPunct w:val="0"/>
        <w:autoSpaceDE w:val="0"/>
        <w:autoSpaceDN w:val="0"/>
        <w:adjustRightInd w:val="0"/>
        <w:ind w:right="100"/>
        <w:jc w:val="both"/>
        <w:rPr>
          <w:rFonts w:cs="Arial"/>
        </w:rPr>
      </w:pPr>
      <w:r w:rsidRPr="001328C6">
        <w:rPr>
          <w:rFonts w:cs="Arial"/>
        </w:rPr>
        <w:t xml:space="preserve">Výdaje domácností směřovaly zejména do sféry médií a tisku (televize, rozhlas, kino, knihy a tisk atd.) a to ve výši 33,4 mld. Kč, což představuje z celkových výdajů domácností téměř 70 % podíl. Mnohem méně prostředků domácnosti vydaly v oblasti kulturního dědictví, živé umělecké tvorby (interpretační a výtvarné umění) a uměleckého vzdělávání (celkem 9,4 mld. Kč). Výdaje domácností na kulturu mají nejčastěji podobu vstupného, nákupu občerstvení a upomínkových předmětů, řemeslných výrobků, koncesionářských poplatků, jiných poplatků za služby, úhrad školného, zápisného a úhrad nákupů zboží kulturní povahy (knihy, časopisy, obrazy, starožitnosti atd.). </w:t>
      </w:r>
    </w:p>
    <w:p w:rsidR="00A04B0F" w:rsidRPr="001328C6" w:rsidRDefault="00A04B0F" w:rsidP="00A04B0F">
      <w:pPr>
        <w:widowControl w:val="0"/>
        <w:overflowPunct w:val="0"/>
        <w:autoSpaceDE w:val="0"/>
        <w:autoSpaceDN w:val="0"/>
        <w:adjustRightInd w:val="0"/>
        <w:ind w:right="100"/>
        <w:jc w:val="both"/>
        <w:rPr>
          <w:rFonts w:cs="Arial"/>
        </w:rPr>
      </w:pPr>
      <w:r w:rsidRPr="001328C6">
        <w:rPr>
          <w:rFonts w:cs="Arial"/>
        </w:rPr>
        <w:t>Pohyb finančních prostředků se v rámci kulturního účtu zachycuje v tzv. domácím (nikoli v národním) pojetí, tj. včetně nerezidentů v tuzemsku a bez rezidentů v zahraničí. Z toho je patrné, že výdaje domácností na</w:t>
      </w:r>
      <w:r w:rsidR="0057704F">
        <w:rPr>
          <w:rFonts w:cs="Arial"/>
        </w:rPr>
        <w:t> </w:t>
      </w:r>
      <w:r w:rsidRPr="001328C6">
        <w:rPr>
          <w:rFonts w:cs="Arial"/>
        </w:rPr>
        <w:t>kulturu kvantifikované v kulturním účtu jsou ovlivněny i rozsahem cestovního ruchu (výdaji uskutečněným</w:t>
      </w:r>
      <w:r w:rsidR="00677D30" w:rsidRPr="001328C6">
        <w:rPr>
          <w:rFonts w:cs="Arial"/>
        </w:rPr>
        <w:t>i zahraničními návštěvníky).</w:t>
      </w:r>
    </w:p>
    <w:p w:rsidR="00A04B0F" w:rsidRPr="001328C6" w:rsidRDefault="00A04B0F" w:rsidP="00A04B0F">
      <w:pPr>
        <w:widowControl w:val="0"/>
        <w:overflowPunct w:val="0"/>
        <w:autoSpaceDE w:val="0"/>
        <w:autoSpaceDN w:val="0"/>
        <w:adjustRightInd w:val="0"/>
        <w:ind w:right="100"/>
        <w:jc w:val="both"/>
        <w:rPr>
          <w:rFonts w:cs="Arial"/>
        </w:rPr>
      </w:pPr>
      <w:r w:rsidRPr="001328C6">
        <w:rPr>
          <w:rFonts w:cs="Arial"/>
        </w:rPr>
        <w:t xml:space="preserve">Podíl výdajů domácností na kulturu na celkových spotřebních výdajích domácností dosáhl v roce 2016 zhruba 3,8 % (tj. o 0,1 proc. bodu více než v r. 2015). </w:t>
      </w:r>
    </w:p>
    <w:p w:rsidR="00A04B0F" w:rsidRPr="001328C6" w:rsidRDefault="00A04B0F" w:rsidP="00A04B0F">
      <w:pPr>
        <w:widowControl w:val="0"/>
        <w:overflowPunct w:val="0"/>
        <w:autoSpaceDE w:val="0"/>
        <w:autoSpaceDN w:val="0"/>
        <w:adjustRightInd w:val="0"/>
        <w:ind w:right="100"/>
        <w:jc w:val="both"/>
        <w:rPr>
          <w:rFonts w:cs="Arial"/>
        </w:rPr>
      </w:pPr>
      <w:r w:rsidRPr="001328C6">
        <w:rPr>
          <w:rFonts w:cs="Arial"/>
        </w:rPr>
        <w:t xml:space="preserve">V rámci ostatních zdrojů financování kultury (65 % podíl na celkových zdrojích) mají nejvýznamnější postavení finanční a nefinanční podniky (143,3 mld. Kč), dále nevládní neziskové instituce (necelých 6,1 mld. Kč). Jevovou formou těchto zdrojů bývají příjmy z kulturních institucí za služby, výrobky či zboží, popř. navýšení stavu úvěrů a půjček a vlastní vklady. </w:t>
      </w:r>
    </w:p>
    <w:p w:rsidR="00A04B0F" w:rsidRPr="001328C6" w:rsidRDefault="00A04B0F" w:rsidP="00A04B0F">
      <w:pPr>
        <w:widowControl w:val="0"/>
        <w:overflowPunct w:val="0"/>
        <w:autoSpaceDE w:val="0"/>
        <w:autoSpaceDN w:val="0"/>
        <w:adjustRightInd w:val="0"/>
        <w:ind w:right="100"/>
        <w:jc w:val="both"/>
        <w:rPr>
          <w:rFonts w:cs="Arial"/>
        </w:rPr>
      </w:pPr>
      <w:r w:rsidRPr="001328C6">
        <w:rPr>
          <w:rFonts w:cs="Arial"/>
        </w:rPr>
        <w:t>Zdrojem doplňkového charakteru byly prostředky ze zahraničí (2,0 mld. Kč), které byly v porovnání s</w:t>
      </w:r>
      <w:r w:rsidR="0057704F">
        <w:rPr>
          <w:rFonts w:cs="Arial"/>
        </w:rPr>
        <w:t> </w:t>
      </w:r>
      <w:r w:rsidRPr="001328C6">
        <w:rPr>
          <w:rFonts w:cs="Arial"/>
        </w:rPr>
        <w:t>předcházejícím rokem o 0,7 mld. Kč nižší (dotace, granty apod.). Co se týče jejich rozdělení do jednotlivých oblastí, směřovaly ostatní zdroje zejména do reklamy (67,7 mld. Kč), médií (24,8 mld. Kč) a</w:t>
      </w:r>
      <w:r w:rsidR="0057704F">
        <w:rPr>
          <w:rFonts w:cs="Arial"/>
        </w:rPr>
        <w:t> </w:t>
      </w:r>
      <w:r w:rsidRPr="001328C6">
        <w:rPr>
          <w:rFonts w:cs="Arial"/>
        </w:rPr>
        <w:t xml:space="preserve">tisku (20,7 mld. Kč). Na druhé straně mnohem méně do oborů živé umělecké tvorby, ve kterých tradičně převažuje účast zdrojů veřejných. </w:t>
      </w:r>
    </w:p>
    <w:p w:rsidR="00A04B0F" w:rsidRPr="001328C6" w:rsidRDefault="00A04B0F" w:rsidP="00A04B0F">
      <w:pPr>
        <w:widowControl w:val="0"/>
        <w:overflowPunct w:val="0"/>
        <w:autoSpaceDE w:val="0"/>
        <w:autoSpaceDN w:val="0"/>
        <w:adjustRightInd w:val="0"/>
        <w:ind w:right="100"/>
        <w:jc w:val="both"/>
        <w:rPr>
          <w:rFonts w:cs="Arial"/>
        </w:rPr>
      </w:pPr>
      <w:r w:rsidRPr="001328C6">
        <w:rPr>
          <w:rFonts w:cs="Arial"/>
        </w:rPr>
        <w:t>Z pohledu objemu použitých finančních zdrojů byla mezi oblastmi na prvém místě reklama (před audiovizuálními médii a tiskem) a mezi vybranými pos</w:t>
      </w:r>
      <w:r w:rsidR="00176E42" w:rsidRPr="001328C6">
        <w:rPr>
          <w:rFonts w:cs="Arial"/>
        </w:rPr>
        <w:t>kytovateli kulturních služeb te</w:t>
      </w:r>
      <w:r w:rsidRPr="001328C6">
        <w:rPr>
          <w:rFonts w:cs="Arial"/>
        </w:rPr>
        <w:t>levize (před muzei a</w:t>
      </w:r>
      <w:r w:rsidR="0057704F">
        <w:rPr>
          <w:rFonts w:cs="Arial"/>
        </w:rPr>
        <w:t> </w:t>
      </w:r>
      <w:r w:rsidRPr="001328C6">
        <w:rPr>
          <w:rFonts w:cs="Arial"/>
        </w:rPr>
        <w:t xml:space="preserve">galeriemi a divadly) – viz tab. č. 1 a č. 2 v příloze. </w:t>
      </w:r>
    </w:p>
    <w:p w:rsidR="00A04B0F" w:rsidRPr="001328C6" w:rsidRDefault="00A04B0F" w:rsidP="00A04B0F">
      <w:pPr>
        <w:widowControl w:val="0"/>
        <w:overflowPunct w:val="0"/>
        <w:autoSpaceDE w:val="0"/>
        <w:autoSpaceDN w:val="0"/>
        <w:adjustRightInd w:val="0"/>
        <w:ind w:right="100"/>
        <w:jc w:val="both"/>
        <w:rPr>
          <w:rFonts w:cs="Arial"/>
        </w:rPr>
      </w:pPr>
      <w:r w:rsidRPr="001328C6">
        <w:rPr>
          <w:rFonts w:cs="Arial"/>
        </w:rPr>
        <w:t>Celkový objem finančních zdrojů kultury vykazuje od roku 2014 rostoucí tendenci (průměrné roční tempo činí 2,0 %). Bezesporu to souvisí s post</w:t>
      </w:r>
      <w:r w:rsidR="00176E42" w:rsidRPr="001328C6">
        <w:rPr>
          <w:rFonts w:cs="Arial"/>
        </w:rPr>
        <w:t>upným návratem ekonomického oži</w:t>
      </w:r>
      <w:r w:rsidRPr="001328C6">
        <w:rPr>
          <w:rFonts w:cs="Arial"/>
        </w:rPr>
        <w:t>vení počínajícího právě v</w:t>
      </w:r>
      <w:r w:rsidR="0057704F">
        <w:rPr>
          <w:rFonts w:cs="Arial"/>
        </w:rPr>
        <w:t> </w:t>
      </w:r>
      <w:r w:rsidRPr="001328C6">
        <w:rPr>
          <w:rFonts w:cs="Arial"/>
        </w:rPr>
        <w:t xml:space="preserve">uvedeném roce. </w:t>
      </w:r>
    </w:p>
    <w:p w:rsidR="00A04B0F" w:rsidRPr="001328C6" w:rsidRDefault="00A04B0F" w:rsidP="00A04B0F">
      <w:pPr>
        <w:widowControl w:val="0"/>
        <w:overflowPunct w:val="0"/>
        <w:autoSpaceDE w:val="0"/>
        <w:autoSpaceDN w:val="0"/>
        <w:adjustRightInd w:val="0"/>
        <w:ind w:right="100"/>
        <w:jc w:val="both"/>
        <w:rPr>
          <w:rFonts w:cs="Arial"/>
        </w:rPr>
      </w:pPr>
      <w:r w:rsidRPr="001328C6">
        <w:rPr>
          <w:rFonts w:cs="Arial"/>
        </w:rPr>
        <w:t>Nutno dodat, že rozdílná míra uplatnění zdrojů v jednotlivý</w:t>
      </w:r>
      <w:r w:rsidR="00176E42" w:rsidRPr="001328C6">
        <w:rPr>
          <w:rFonts w:cs="Arial"/>
        </w:rPr>
        <w:t>ch kulturních oblastech je odra</w:t>
      </w:r>
      <w:r w:rsidRPr="001328C6">
        <w:rPr>
          <w:rFonts w:cs="Arial"/>
        </w:rPr>
        <w:t>zem odlišné úrovně rozvoje tržních vztahů v kulturním sektoru. Zatímco se veřejné zdroje nejvíce angažují v oblasti kulturního dědictví, uměleckého vzdělávání, interpretačního umění a správy, tak domácnosti a zejména podniky v oblastech tisku, audiovize, reklamy a architektury.</w:t>
      </w:r>
    </w:p>
    <w:p w:rsidR="00D7626D" w:rsidRPr="001328C6" w:rsidRDefault="00D7626D" w:rsidP="006E4CC9">
      <w:pPr>
        <w:pStyle w:val="Nadpis2"/>
      </w:pPr>
      <w:bookmarkStart w:id="10" w:name="_Toc451166915"/>
      <w:bookmarkStart w:id="11" w:name="_Toc451166931"/>
      <w:bookmarkStart w:id="12" w:name="_Toc451175104"/>
      <w:bookmarkStart w:id="13" w:name="_Toc451180160"/>
      <w:bookmarkStart w:id="14" w:name="_Toc514772617"/>
      <w:r w:rsidRPr="001328C6">
        <w:t>2.2. Mikroekonomický pohled</w:t>
      </w:r>
      <w:bookmarkEnd w:id="10"/>
      <w:bookmarkEnd w:id="11"/>
      <w:bookmarkEnd w:id="12"/>
      <w:bookmarkEnd w:id="13"/>
      <w:bookmarkEnd w:id="14"/>
    </w:p>
    <w:p w:rsidR="00722C25" w:rsidRPr="001328C6" w:rsidRDefault="00722C25" w:rsidP="00722C25">
      <w:pPr>
        <w:pStyle w:val="Nadpis3"/>
        <w:spacing w:after="240"/>
      </w:pPr>
      <w:bookmarkStart w:id="15" w:name="_Toc514772618"/>
      <w:r w:rsidRPr="001328C6">
        <w:t>2.2.1. Finanční hospodaření</w:t>
      </w:r>
      <w:bookmarkEnd w:id="15"/>
    </w:p>
    <w:p w:rsidR="00677D30" w:rsidRPr="001328C6" w:rsidRDefault="00677D30" w:rsidP="00677D30">
      <w:pPr>
        <w:jc w:val="both"/>
      </w:pPr>
      <w:r w:rsidRPr="001328C6">
        <w:t xml:space="preserve">Tabulky č. 3 a 4 uvedené v příloze umožňují hodnotit základní ekonomické ukazatele z výkazů zisku a ztrát kulturních institucí získané zejména z ročních zjišťování podnikového charakteru (výkazy P 5 – 01, NI a KULT). Je třeba dodat, že podniky jsou v rámci těchto šetření zařazovány do jednotlivých odvětví či oborů dle zásady převažující části tržeb, a tak jejich veškeré tržby nutně nepocházejí z aktivit kulturního </w:t>
      </w:r>
      <w:r w:rsidRPr="001328C6">
        <w:lastRenderedPageBreak/>
        <w:t>charakteru. Na druhé straně nejsou zahrnuty podniky, které mohou provozovat i kulturní činnosti, avšak převažující část jejich tržeb souvisí s aktivitami n</w:t>
      </w:r>
      <w:r w:rsidR="00F85E8C">
        <w:t>e-</w:t>
      </w:r>
      <w:r w:rsidRPr="001328C6">
        <w:t xml:space="preserve">kulturními. Cenou za úplnější pohled, který tak získáváme, je nižší přesnost (resp. „odvětvová“ jemnost či čistota) zjištěných dat. </w:t>
      </w:r>
    </w:p>
    <w:p w:rsidR="00677D30" w:rsidRPr="001328C6" w:rsidRDefault="00677D30" w:rsidP="00677D30">
      <w:pPr>
        <w:jc w:val="both"/>
      </w:pPr>
      <w:r w:rsidRPr="001328C6">
        <w:t xml:space="preserve">Jak ukazují tab. č. 3, 4 a 10, hospodaření sektoru kultury skončilo v roce 2016 kladným hospodářským výsledkem ve výši 15,3 mld. Kč. Tato částka zhruba odpovídá ziskové marži (zisk po zdanění dělený tržbami) ve výši 6,8 % (tj. o 1,6 p. b. méně než v roce 2015, avšak o 3,4 p. b. více než v roce 2013). Také tento výsledek svědčí o tom, že ekonomické oživení patrné od roku 2014 neminulo ani kulturu. </w:t>
      </w:r>
    </w:p>
    <w:p w:rsidR="00677D30" w:rsidRPr="001328C6" w:rsidRDefault="00677D30" w:rsidP="00677D30">
      <w:pPr>
        <w:jc w:val="both"/>
      </w:pPr>
      <w:r w:rsidRPr="001328C6">
        <w:t xml:space="preserve">V porovnání s rokem 2015 se však základní ukazatele finančního hospodaření vyvíjely méně příznivě. Růst celkových příjmů svým tempem zaostal za výdaji (3,1 % oproti 4,0%). Znatelněji se zvýšily tržby za vlastní výkony (o 4,8 %), avšak méně než výdaje spojené s mezispotřebou (o 7,0%). </w:t>
      </w:r>
    </w:p>
    <w:p w:rsidR="00677D30" w:rsidRPr="001328C6" w:rsidRDefault="00677D30" w:rsidP="00677D30">
      <w:pPr>
        <w:jc w:val="both"/>
      </w:pPr>
      <w:r w:rsidRPr="001328C6">
        <w:t>V této souvislosti v porovnání s rokem 2015 poklesla i zisková marže (relace zisku po odpočtu daně z příjmu k tržbám za vlastní výkony) a to z 8,4 % na 6,8%.</w:t>
      </w:r>
    </w:p>
    <w:p w:rsidR="00677D30" w:rsidRPr="001328C6" w:rsidRDefault="00677D30" w:rsidP="00677D30">
      <w:pPr>
        <w:jc w:val="both"/>
      </w:pPr>
      <w:r w:rsidRPr="001328C6">
        <w:t>Z pohledu jednotlivých kulturních oblastí přetrvával déle pozitivní trend hospodaření v kulturním dědictví a</w:t>
      </w:r>
      <w:r w:rsidR="0057704F">
        <w:t> </w:t>
      </w:r>
      <w:r w:rsidRPr="001328C6">
        <w:t xml:space="preserve">naopak negativní v tisku (viz tab. č. 3). Úroveň hospodaření jednotlivých oblastí kultury a poskytovatelů kulturních služeb je však tradičně značně rozdílná. Zatímco v interpretačním umění a částečně i v kulturním dědictví bylo dosaženo nemalé ztráty (divadla, hudební soubory, festivaly či archivy a knihovny), jiná odvětví byla naopak značně zisková (reklama, architektura, média, tisk). Podle stupně ekonomické soběstačnosti lze v rámci sektoru kultury odlišit dvě rozdílné sféry hospodaření. Do prvé patří oblasti tradičního umění orientované spíše na publikum a návštěvnost, pro které je nepostradatelná finanční podpora z veřejných zdrojů (kulturní dědictví, divadla, soubory, festivaly atd.) a do druhé – orientované na trh – lze zařadit sféru kreativních aktivit (reklama, architektura, design) a dále média a tisk. </w:t>
      </w:r>
    </w:p>
    <w:p w:rsidR="00677D30" w:rsidRPr="001328C6" w:rsidRDefault="00677D30" w:rsidP="00677D30">
      <w:pPr>
        <w:jc w:val="both"/>
      </w:pPr>
      <w:r w:rsidRPr="001328C6">
        <w:t xml:space="preserve">To je zřejmé i na úrovni stupně soběstačnosti (relace tržeb za vlastní výkony k celkovým výdajům), který při průměrné výši 88,6 % dosahuje např. </w:t>
      </w:r>
      <w:r w:rsidR="001328C6">
        <w:t>v tvorbě videoher 174,5 %, v de</w:t>
      </w:r>
      <w:r w:rsidRPr="001328C6">
        <w:t>signu 111,7 % a v architektuře 108,4 %. Na druhé straně v kulturním dědictví to je 51,2 % a v interpretačním umění jen 36,0 %.</w:t>
      </w:r>
    </w:p>
    <w:p w:rsidR="00B405D1" w:rsidRPr="001328C6" w:rsidRDefault="00B405D1" w:rsidP="00B405D1">
      <w:pPr>
        <w:pStyle w:val="Nadpis3"/>
        <w:spacing w:after="240"/>
      </w:pPr>
      <w:bookmarkStart w:id="16" w:name="_Toc514772619"/>
      <w:r w:rsidRPr="001328C6">
        <w:t>2.2.2. Spotřeba živé práce</w:t>
      </w:r>
      <w:bookmarkEnd w:id="16"/>
    </w:p>
    <w:p w:rsidR="00677D30" w:rsidRPr="001328C6" w:rsidRDefault="00677D30" w:rsidP="00677D30">
      <w:pPr>
        <w:jc w:val="both"/>
      </w:pPr>
      <w:r w:rsidRPr="001328C6">
        <w:t xml:space="preserve">Kvantifikace rozsahu práce vstupující do kulturních aktivit </w:t>
      </w:r>
      <w:r w:rsidR="001328C6">
        <w:t>je poměrně složitá. Pracovní za</w:t>
      </w:r>
      <w:r w:rsidRPr="001328C6">
        <w:t>pojení má více forem a skutečností je, že relativně nejpřesněji je evidován rozsah práce zaměstnanců s pracovní smlouvou. Problematičtější je postižení prací na základě dohod, prací dobrovolníků a také zapojení OSVČ či</w:t>
      </w:r>
      <w:r w:rsidR="0057704F">
        <w:t> </w:t>
      </w:r>
      <w:r w:rsidRPr="001328C6">
        <w:t xml:space="preserve">podnikatelů a jejich rodinných příslušníků. </w:t>
      </w:r>
    </w:p>
    <w:p w:rsidR="00677D30" w:rsidRPr="001328C6" w:rsidRDefault="00677D30" w:rsidP="00677D30">
      <w:pPr>
        <w:jc w:val="both"/>
      </w:pPr>
      <w:r w:rsidRPr="001328C6">
        <w:t xml:space="preserve">Počínaje referenčním rokem 2015 je možné využít dvou rozdílných zdrojů dat. Spolu s klasickými statistickými šetřeními v kulturních institucích (KULT, SBS, NI a doplňková zjišťování) přichází nově v úvahu tzv. Výběrové šetření pracovních sil (dále také „VŠPS“), které má – za cenu nižší přesnosti </w:t>
      </w:r>
      <w:r w:rsidR="00F85E8C" w:rsidRPr="001328C6">
        <w:rPr>
          <w:rFonts w:cs="Arial"/>
        </w:rPr>
        <w:t>–</w:t>
      </w:r>
      <w:r w:rsidRPr="001328C6">
        <w:t xml:space="preserve"> širší záběr. Umožňuje tak postihnout různorodé pracovní zapojení v kulturních aktivitách, i mimo ně. </w:t>
      </w:r>
    </w:p>
    <w:p w:rsidR="00677D30" w:rsidRPr="001328C6" w:rsidRDefault="00677D30" w:rsidP="00677D30">
      <w:pPr>
        <w:jc w:val="both"/>
      </w:pPr>
      <w:r w:rsidRPr="001328C6">
        <w:t>Tabulka č. 7a obsahuje údaje o zaměstnanosti a mzdách v kultuře vycházející z klasických šetření podnikového charakteru řady KULT (MK). Podle jejích výsledků v kultuře v roce 2016 pracovalo více než 102 tis. pracovníků, z toho téměř 91 tis. zaměstnanců (přepočtený stav) a 11,5 tis. dobrovolníků bez nároku na odměnu. Nad tento počet lze zřejmě předpokládat dalších několik tisíc osob pracujících v resortu na základě dohod o pracovní činnosti či v postavení osoby samostatně výdělečně činné (jejich p</w:t>
      </w:r>
      <w:r w:rsidR="00F85E8C">
        <w:t>očet výše uvedená zjišťování ne</w:t>
      </w:r>
      <w:r w:rsidRPr="001328C6">
        <w:t>postihují). Pokud bychom přepočetli výši vykázaných ostatních osobních výdajů a</w:t>
      </w:r>
      <w:r w:rsidR="0057704F">
        <w:t> </w:t>
      </w:r>
      <w:r w:rsidRPr="001328C6">
        <w:t>honorářů v kultuře pomocí průměrných mezd, dojdeme k počtu dalších cca 10 tis. pracovníků zapojených na základě dohod a autorských smluv. To je celkem</w:t>
      </w:r>
      <w:r w:rsidR="001328C6">
        <w:t xml:space="preserve"> více než 110 tis. osob pracují</w:t>
      </w:r>
      <w:r w:rsidRPr="001328C6">
        <w:t>cích v institucích s</w:t>
      </w:r>
      <w:r w:rsidR="0057704F">
        <w:t> </w:t>
      </w:r>
      <w:r w:rsidRPr="001328C6">
        <w:t xml:space="preserve">převažující kulturní činností (v přepočtu na plnou pracovní dobu). </w:t>
      </w:r>
    </w:p>
    <w:p w:rsidR="00677D30" w:rsidRPr="001328C6" w:rsidRDefault="00677D30" w:rsidP="00677D30">
      <w:pPr>
        <w:jc w:val="both"/>
      </w:pPr>
      <w:r w:rsidRPr="001328C6">
        <w:lastRenderedPageBreak/>
        <w:t xml:space="preserve">Průměrná hrubá měsíční mzda v kultuře v roce 2016 dosáhla 26 279 Kč. V porovnání s předcházejícím rokem se zvýšila o 1,2 % (reálně jen o 0,5 %), avšak ve srovnání s průměrnou mzdou dosaženou v celé ekonomice (27 589 Kč) byla o 1 310 Kč (o 5,0 %) nižší. Zejména v případě kultury platí, že průměr (jako charakteristika celého souboru) má velmi nízkou vypovídací schopnost. Také do oblasti mezd se promítají podstatné rozdíly v úrovni hospodaření dvou odlišných sfér sektoru kultury </w:t>
      </w:r>
      <w:r w:rsidR="00F85E8C" w:rsidRPr="001328C6">
        <w:rPr>
          <w:rFonts w:cs="Arial"/>
        </w:rPr>
        <w:t>–</w:t>
      </w:r>
      <w:r w:rsidRPr="001328C6">
        <w:t xml:space="preserve"> tradičních odvětví na straně jedné </w:t>
      </w:r>
      <w:r w:rsidR="00F85E8C" w:rsidRPr="001328C6">
        <w:rPr>
          <w:rFonts w:cs="Arial"/>
        </w:rPr>
        <w:t>–</w:t>
      </w:r>
      <w:r w:rsidRPr="001328C6">
        <w:t xml:space="preserve"> a médií, tisku a kreativních oborů na straně druhé (viz tab. č. 10). Zatímco v sektoru klasických kulturních odvětví průměrná měsíční mzda mírně přesáhla 21 tis. Kč, tak v kulturních průmyslech (tisk, audiovideo) to bylo více než 29 tis. Kč a v kreativních pr</w:t>
      </w:r>
      <w:r w:rsidR="004E414D" w:rsidRPr="001328C6">
        <w:t>ůmyslech více než 30 tis. Kč.</w:t>
      </w:r>
      <w:r w:rsidRPr="001328C6">
        <w:t xml:space="preserve"> </w:t>
      </w:r>
    </w:p>
    <w:p w:rsidR="00677D30" w:rsidRPr="001328C6" w:rsidRDefault="00677D30" w:rsidP="00677D30">
      <w:pPr>
        <w:jc w:val="both"/>
      </w:pPr>
      <w:r w:rsidRPr="001328C6">
        <w:t xml:space="preserve">Celkově platí, že bezmála 90 % zaměstnanců v sektoru kultury pracovalo v odvětvích s nižší než celostátní průměrnou mzdou (tab. č. 7 a). Navíc se pomyslné nůžky znázorněné úrovní mezd v kultuře a v ekonomice jako celku rozevíraly. V pětiletém období mezi roky 2011 a 2016 rostla nominální průměrná mzda v kultuře mnohem pomaleji než celostátní průměrná mzda (průměrně ročně o 1,25 % v porovnání s 2,45 %). </w:t>
      </w:r>
    </w:p>
    <w:p w:rsidR="00677D30" w:rsidRPr="001328C6" w:rsidRDefault="00677D30" w:rsidP="00677D30">
      <w:pPr>
        <w:jc w:val="both"/>
      </w:pPr>
      <w:r w:rsidRPr="001328C6">
        <w:t xml:space="preserve">Také ve vztahu k dynamice produktivity práce propočtené z hrubé přidané hodnoty vytvořené v kultuře, průměrná mzda zaostávala. V porovnání se zvýšením produktivity práce od roku 2011 o 9,5 % vzrostla pouze o 6,4 % (prostor daný dynamikou produktivity práce tak vyčerpala zhruba jen ze dvou třetin). </w:t>
      </w:r>
    </w:p>
    <w:p w:rsidR="00677D30" w:rsidRPr="001328C6" w:rsidRDefault="00677D30" w:rsidP="00677D30">
      <w:pPr>
        <w:jc w:val="both"/>
      </w:pPr>
      <w:r w:rsidRPr="001328C6">
        <w:t>Výběrové šetření pracovních sil prováděné ČSÚ rozšiřuje pohled na spotřebu živé práce vynaložené v</w:t>
      </w:r>
      <w:r w:rsidR="0057704F">
        <w:t> </w:t>
      </w:r>
      <w:r w:rsidRPr="001328C6">
        <w:t>kulturních aktivitách o instituce s převažující jinou než kulturní činností a dále o zapojení podnikatelů, popř. jejich rodinných příslušníků (viz tab. č. 7 b). Určité omezení spočívá ve skutečnosti, že neposkytuje údaje o</w:t>
      </w:r>
      <w:r w:rsidR="0057704F">
        <w:t> </w:t>
      </w:r>
      <w:r w:rsidRPr="001328C6">
        <w:t xml:space="preserve">finančních nákladech vynaložené práce a o počtu dobrovolných pracovníků. </w:t>
      </w:r>
    </w:p>
    <w:p w:rsidR="00677D30" w:rsidRPr="001328C6" w:rsidRDefault="00677D30" w:rsidP="00677D30">
      <w:pPr>
        <w:jc w:val="both"/>
      </w:pPr>
      <w:r w:rsidRPr="001328C6">
        <w:t xml:space="preserve">Celkový rozsah pracovního zapojení v kulturních aktivitách (včetně institucí ne – kulturního zaměření) vzrostl v porovnání s rokem 2015 o necelých 15 tis. zaměstnaných osob a v roce 2016 představoval přibližně 225,4 tis. pracujících osob. Z tohoto počtu bylo 85,6 tis. podnikatelů. Ze zbývajícího počtu 139,8 tis. osob bylo 117,5 tis. osob zaměstnáno na plný pracovní úvazek a 22,3 tis. osob na úvazek částečný či formou dohody o pracovní činnosti (popř. dohody o provedení práce) nebo pracovalo jako pomáhající rodinní příslušníci. </w:t>
      </w:r>
    </w:p>
    <w:p w:rsidR="00677D30" w:rsidRPr="001328C6" w:rsidRDefault="00677D30" w:rsidP="00677D30">
      <w:pPr>
        <w:jc w:val="both"/>
      </w:pPr>
      <w:r w:rsidRPr="001328C6">
        <w:t>Výsledky uvedeného šetření umožňují kvantifikovat spotřebu živé práce v členění na instituce (právnické či fyz</w:t>
      </w:r>
      <w:r w:rsidR="009D3F47">
        <w:t>ické osoby) s kulturní a s ne-</w:t>
      </w:r>
      <w:r w:rsidRPr="001328C6">
        <w:t>kulturní převažující činností. Z celkového počtu téměř 225,4 tis. pracujících osob jich v jiných než kulturních institucích pracovalo 44,7 tis., tj. necelých 20 %. Ze zbývajícího počtu 180,7 tis. pracovníků kulturních institucí bylo aktivních 95,6 tis. (52,9%) v povoláních kulturního charakteru (např. jako zpěváci, herci či designéři) a 84,</w:t>
      </w:r>
      <w:r w:rsidR="00F85E8C">
        <w:t>1 tis. (47,1 %) v povoláních ne-</w:t>
      </w:r>
      <w:r w:rsidRPr="001328C6">
        <w:t xml:space="preserve">kulturního zaměření (administrativa, účetnictví, IT profese atd.). </w:t>
      </w:r>
    </w:p>
    <w:p w:rsidR="00677D30" w:rsidRPr="001328C6" w:rsidRDefault="00677D30" w:rsidP="00677D30">
      <w:pPr>
        <w:jc w:val="both"/>
      </w:pPr>
      <w:r w:rsidRPr="001328C6">
        <w:t xml:space="preserve">Jak je zřejmé, kulturní činnosti (povolání) nejsou zvlášť silně centralizovány do kulturního sektoru, resp. institucí, jejichž větší část příjmů je generována kulturními aktivitami. Z celkového počtu těch, jejichž náplň práce má kulturní obsah (140,3 tis. osob) jich patří do kulturního sektoru zhruba 68 %. </w:t>
      </w:r>
    </w:p>
    <w:p w:rsidR="00677D30" w:rsidRPr="001328C6" w:rsidRDefault="00677D30" w:rsidP="00677D30">
      <w:pPr>
        <w:jc w:val="both"/>
      </w:pPr>
      <w:r w:rsidRPr="001328C6">
        <w:t xml:space="preserve">Přepočtený počet zaměstnanců kulturního sektoru představuje necelých 2,2 % z počtu zaměstnanců pracujících v celé ekonomice (měřeno mzdovými náklady by byla váha kulturního sektoru mírně nižší </w:t>
      </w:r>
      <w:r w:rsidR="00F85E8C" w:rsidRPr="001328C6">
        <w:rPr>
          <w:rFonts w:cs="Arial"/>
        </w:rPr>
        <w:t>–</w:t>
      </w:r>
      <w:r w:rsidRPr="001328C6">
        <w:t xml:space="preserve"> 2,1 %). </w:t>
      </w:r>
    </w:p>
    <w:p w:rsidR="00677D30" w:rsidRPr="001328C6" w:rsidRDefault="00677D30" w:rsidP="00677D30">
      <w:pPr>
        <w:jc w:val="both"/>
      </w:pPr>
      <w:r w:rsidRPr="001328C6">
        <w:t>Pokud bychom k institucím s převažující kulturní činností připočetli i zaměstnance kulturních profesí mimo kulturní sektor (z výsledků VŠPS), došli bychom k podílu 2,8 %. Konečně po započtení všech osob pracujících jak na plný pracovní úvazek či na základě dohod, tak i dobrovolníků a podnikatelů, by dosáhl podíl kulturních aktivit v ekonomice téměř 4,4 %.</w:t>
      </w:r>
    </w:p>
    <w:p w:rsidR="00B405D1" w:rsidRPr="001328C6" w:rsidRDefault="00B405D1" w:rsidP="00B405D1">
      <w:pPr>
        <w:pStyle w:val="Nadpis3"/>
        <w:spacing w:after="240"/>
      </w:pPr>
      <w:bookmarkStart w:id="17" w:name="_Toc514772620"/>
      <w:r w:rsidRPr="001328C6">
        <w:lastRenderedPageBreak/>
        <w:t>2.2.3. Investice</w:t>
      </w:r>
      <w:bookmarkEnd w:id="17"/>
    </w:p>
    <w:p w:rsidR="00677D30" w:rsidRPr="001328C6" w:rsidRDefault="00677D30" w:rsidP="00677D30">
      <w:pPr>
        <w:jc w:val="both"/>
      </w:pPr>
      <w:r w:rsidRPr="001328C6">
        <w:t>V porovnání s rokem 2015 se objem investičních výdajů zvýšil o 5,1 % (o 0,7 mld. Kč) a</w:t>
      </w:r>
      <w:r w:rsidR="001328C6">
        <w:t xml:space="preserve"> do</w:t>
      </w:r>
      <w:r w:rsidR="004E414D" w:rsidRPr="001328C6">
        <w:t>sáhl téměř 14,3 mld. Kč.</w:t>
      </w:r>
    </w:p>
    <w:p w:rsidR="00677D30" w:rsidRPr="001328C6" w:rsidRDefault="00677D30" w:rsidP="00677D30">
      <w:pPr>
        <w:jc w:val="both"/>
      </w:pPr>
      <w:r w:rsidRPr="001328C6">
        <w:t>Rozdílné ekonomické podmínky a výsledky kulturních institucí nacházejí svůj odraz také v investiční aktivitě. Při průměrné intenzitě investic v přepočtu 156,8 tis. Kč na zaměstnance v celém kulturním sektoru, to bylo v</w:t>
      </w:r>
      <w:r w:rsidR="0057704F">
        <w:t> </w:t>
      </w:r>
      <w:r w:rsidRPr="001328C6">
        <w:t>oborech tradičního umění jen 104 tis. Kč, v kulturních průmyslech (tisk a média) až 192 tis. Kč a</w:t>
      </w:r>
      <w:r w:rsidR="0057704F">
        <w:t> </w:t>
      </w:r>
      <w:r w:rsidRPr="001328C6">
        <w:t>v</w:t>
      </w:r>
      <w:r w:rsidR="0057704F">
        <w:t> </w:t>
      </w:r>
      <w:r w:rsidRPr="001328C6">
        <w:t>kreativních průmyslech až 222 tis. Kč.(viz tab. č. 10). Intenzita investic se v porovnání s rokem 2015 zvýšila nejvíce v kreativních průmyslech (o 12,9 %), v menší míře také v oborech tradičního umění (o 8,4 %) a</w:t>
      </w:r>
      <w:r w:rsidR="0057704F">
        <w:t> </w:t>
      </w:r>
      <w:r w:rsidRPr="001328C6">
        <w:t xml:space="preserve">naopak poklesla v kulturních průmyslech (o 6,6%). </w:t>
      </w:r>
    </w:p>
    <w:p w:rsidR="00677D30" w:rsidRPr="001328C6" w:rsidRDefault="00677D30" w:rsidP="00677D30">
      <w:pPr>
        <w:jc w:val="both"/>
      </w:pPr>
      <w:r w:rsidRPr="001328C6">
        <w:t xml:space="preserve">Co se týče zdrojového krytí investičních výdajů, veřejné finanční zdroje se na něm podílely zhruba z 27,3 % (v oblasti kulturního dědictví to bylo 56,6 %), zahraniční zdroje ze 1,2 % a vlastní popř. jiné ze zdroje z více než 70 %. </w:t>
      </w:r>
    </w:p>
    <w:p w:rsidR="00677D30" w:rsidRPr="001328C6" w:rsidRDefault="00677D30" w:rsidP="00677D30">
      <w:pPr>
        <w:jc w:val="both"/>
      </w:pPr>
      <w:r w:rsidRPr="001328C6">
        <w:t xml:space="preserve">Ve struktuře investic z pohledu hmotného a nehmotného majetku kolísá dlouhodobě podíl vydaných finančních prostředků na nehmotný majetek mezi 20 a 30 % (v roce 2016 činil 22 %). V období mezi roky 2011 až 2016 byla dynamika pořizování nehmotného majetku – v porovnání s majetkem hmotným </w:t>
      </w:r>
      <w:r w:rsidR="00F85E8C" w:rsidRPr="001328C6">
        <w:rPr>
          <w:rFonts w:cs="Arial"/>
        </w:rPr>
        <w:t>–</w:t>
      </w:r>
      <w:r w:rsidRPr="001328C6">
        <w:t xml:space="preserve"> mírně vyšší (127,1% oproti 124,4%). Nejvyššího podílu výdajů na pořízení nehmotného majetku bylo dosaženo v</w:t>
      </w:r>
      <w:r w:rsidR="0057704F">
        <w:t> </w:t>
      </w:r>
      <w:r w:rsidRPr="001328C6">
        <w:t xml:space="preserve">oblasti médií (59%) a </w:t>
      </w:r>
      <w:r w:rsidR="00F85E8C">
        <w:rPr>
          <w:rFonts w:cs="Arial"/>
          <w:sz w:val="18"/>
        </w:rPr>
        <w:t>(</w:t>
      </w:r>
      <w:r w:rsidRPr="001328C6">
        <w:t>při značně nižším rozsahu investic</w:t>
      </w:r>
      <w:r w:rsidR="00F85E8C">
        <w:t xml:space="preserve">) </w:t>
      </w:r>
      <w:r w:rsidRPr="001328C6">
        <w:t>ve správě a podpoře kultury (67 %).</w:t>
      </w:r>
    </w:p>
    <w:p w:rsidR="00B405D1" w:rsidRPr="001328C6" w:rsidRDefault="00B405D1" w:rsidP="00B405D1">
      <w:pPr>
        <w:pStyle w:val="Nadpis3"/>
        <w:spacing w:after="240"/>
      </w:pPr>
      <w:bookmarkStart w:id="18" w:name="_Toc514772621"/>
      <w:r w:rsidRPr="001328C6">
        <w:t>2.2.4. Zahraniční obchod</w:t>
      </w:r>
      <w:bookmarkEnd w:id="18"/>
    </w:p>
    <w:p w:rsidR="004E414D" w:rsidRPr="001328C6" w:rsidRDefault="004E414D" w:rsidP="004E414D">
      <w:pPr>
        <w:jc w:val="both"/>
      </w:pPr>
      <w:r w:rsidRPr="001328C6">
        <w:t>Pohled na hospodaření sektoru lze částečně doplnit daty o vývozu a dovozu kulturního zboží a služeb (viz tab. č. 9). V zahraničním obchodu se zbožím a službami kulturního charakteru bylo dosaženo – podobně jako v předcházejících letech – kladného salda (3,6 mld. Kč). V porovnání s rokem 2015 se kladný přebytek obchodní výměny zvýšil o 76 % (1,6 mld. Kč), zejména pak v důsledku zlepšení výsledků v oblasti audiovizuálních a interaktivních médií a periodického a neperiodického tisku. V těchto dvou oblastech došlo jak k navýšení kladného salda, tak i celkového objemu vývozu a dovozu a to z velké části v souvislosti s</w:t>
      </w:r>
      <w:r w:rsidR="0057704F">
        <w:t> </w:t>
      </w:r>
      <w:r w:rsidRPr="001328C6">
        <w:t xml:space="preserve">aktivitami provozovatelů internetových obchodů na našem území. </w:t>
      </w:r>
    </w:p>
    <w:p w:rsidR="004E414D" w:rsidRPr="001328C6" w:rsidRDefault="004E414D" w:rsidP="004E414D">
      <w:pPr>
        <w:jc w:val="both"/>
      </w:pPr>
      <w:r w:rsidRPr="001328C6">
        <w:t>K věrohodnosti výše uvedených výsledků je však třeba dodat, že uvedené údaje neodrážejí celý rozsah obchodní výměny v oblasti kultury (šetření v oblasti služeb jsou výběrová). Údaje o zahraničním obchodu se zbožím vycházejí z přeshraničního pojetí zahraničního obchodu. Jsou sice mezinárodně srovnatelné a</w:t>
      </w:r>
      <w:r w:rsidR="0057704F">
        <w:t> </w:t>
      </w:r>
      <w:r w:rsidRPr="001328C6">
        <w:t>mohou s</w:t>
      </w:r>
      <w:r w:rsidR="001328C6">
        <w:t>loužit jako indikátor vývoje ob</w:t>
      </w:r>
      <w:r w:rsidRPr="001328C6">
        <w:t xml:space="preserve">chodu, ale nezohledňují faktickou změnu vlastnictví. </w:t>
      </w:r>
    </w:p>
    <w:p w:rsidR="004E414D" w:rsidRPr="001328C6" w:rsidRDefault="004E414D" w:rsidP="004E414D">
      <w:pPr>
        <w:jc w:val="both"/>
      </w:pPr>
      <w:r w:rsidRPr="001328C6">
        <w:t>Případné porovnání s léty předcházejícími roku 2014 je ztí</w:t>
      </w:r>
      <w:r w:rsidR="001328C6">
        <w:t>ženo navíc tím, že metodika pro</w:t>
      </w:r>
      <w:r w:rsidRPr="001328C6">
        <w:t>počtu ukazatelů zahraničního obchodu byla v roce 2014 aktualizována v návaznosti na záměry Eurostatu v této oblasti a dále podle specifikace výrobků uměleckých řemesel provedené Národním ústavem lidové kultury.</w:t>
      </w:r>
    </w:p>
    <w:p w:rsidR="004E414D" w:rsidRPr="001328C6" w:rsidRDefault="004E414D" w:rsidP="004E414D">
      <w:pPr>
        <w:pStyle w:val="Nadpis3"/>
        <w:spacing w:after="240"/>
      </w:pPr>
      <w:bookmarkStart w:id="19" w:name="_Toc514772622"/>
      <w:r w:rsidRPr="001328C6">
        <w:t>2.2.5. Naturální ukazatele</w:t>
      </w:r>
      <w:bookmarkEnd w:id="19"/>
    </w:p>
    <w:p w:rsidR="004E414D" w:rsidRPr="001328C6" w:rsidRDefault="004E414D" w:rsidP="004E414D">
      <w:pPr>
        <w:jc w:val="both"/>
      </w:pPr>
      <w:r w:rsidRPr="001328C6">
        <w:t>Skutečností je, že se v sektoru kultury můžeme setkat s potížemi spojenými s odpovídajícím oceněním – zejména originálních – kulturních statků či služeb. Netýká se to jen samotného stanovení ceny, ale i jejího vývoje v čase. Také hospodaření některých kulturních institucí se primárně neřídí finančními kritérii a</w:t>
      </w:r>
      <w:r w:rsidR="0057704F">
        <w:t> </w:t>
      </w:r>
      <w:r w:rsidRPr="001328C6">
        <w:t xml:space="preserve">neprobíhá zcela na komerční bázi. Lze proto usuzovat, že působení ekonomických vztahů v kultuře je modifikované, ne-li částečně limitované. </w:t>
      </w:r>
    </w:p>
    <w:p w:rsidR="004E414D" w:rsidRPr="001328C6" w:rsidRDefault="004E414D" w:rsidP="004E414D">
      <w:pPr>
        <w:jc w:val="both"/>
      </w:pPr>
      <w:r w:rsidRPr="001328C6">
        <w:t xml:space="preserve">Z omezených možností finančního postižení kulturního </w:t>
      </w:r>
      <w:r w:rsidR="00F85E8C">
        <w:t>dění vyplývá, že bychom měli po</w:t>
      </w:r>
      <w:r w:rsidRPr="001328C6">
        <w:t xml:space="preserve">hled na kulturu doplnit o vyhodnocení vývoje základních naturálních ukazatelů. Ty jsou v zásadě dvojího druhu. Jako </w:t>
      </w:r>
      <w:r w:rsidRPr="001328C6">
        <w:lastRenderedPageBreak/>
        <w:t>kapacitní ukazatele (počet sedadel v divadlech, počet sbírkových předmětů v muzeích či rozsah knihovního fondu v knihovnách) odrážejí stranu nabídky a jako ukazatele participace (počet diváků, čtenářů či</w:t>
      </w:r>
      <w:r w:rsidR="0057704F">
        <w:t> </w:t>
      </w:r>
      <w:r w:rsidRPr="001328C6">
        <w:t xml:space="preserve">návštěvníků) vyjadřují objem poptávky. </w:t>
      </w:r>
    </w:p>
    <w:p w:rsidR="004E414D" w:rsidRPr="001328C6" w:rsidRDefault="004E414D" w:rsidP="004E414D">
      <w:pPr>
        <w:jc w:val="both"/>
      </w:pPr>
      <w:r w:rsidRPr="001328C6">
        <w:t xml:space="preserve">Nejhrubším ukazatelem nabídkové strany kulturního vyžití je počet vybraných poskytovatelů kulturních služeb (památek, muzeí, knihoven, divadel, držitelů licencí rozhlasového a televizního vysílání atd.). V roce 2016 byla v rámci šetření KULT zjišťována data od 9 115 poskytovatelů (tj. o 0,5 % více než v roce 2015). Mírný pokles jejich počtu nastal pouze v rozhlasovém a televizním vysílání, naopak vzestup v případě divadel a kulturních domů (viz tab. č. 12). </w:t>
      </w:r>
    </w:p>
    <w:p w:rsidR="004E414D" w:rsidRPr="001328C6" w:rsidRDefault="004E414D" w:rsidP="004E414D">
      <w:pPr>
        <w:jc w:val="both"/>
      </w:pPr>
      <w:r w:rsidRPr="001328C6">
        <w:t>Důvody změny počtu poskytovatelů kulturních služeb však mohou být různé, od reorganizace, integrace a</w:t>
      </w:r>
      <w:r w:rsidR="0057704F">
        <w:t> </w:t>
      </w:r>
      <w:r w:rsidRPr="001328C6">
        <w:t>jiných organizačních změn až po ekonomicky opodstatněný vznik či zánik nových subjektů. V neposlední řadě mohou spočívat také v nedokonalostech registru poskytovatelů obesílaných statistickými dotazníky a</w:t>
      </w:r>
      <w:r w:rsidR="0057704F">
        <w:t> </w:t>
      </w:r>
      <w:r w:rsidRPr="001328C6">
        <w:t>v</w:t>
      </w:r>
      <w:r w:rsidR="0057704F">
        <w:t> </w:t>
      </w:r>
      <w:r w:rsidRPr="001328C6">
        <w:t xml:space="preserve">jejich postupném odstraňování. </w:t>
      </w:r>
    </w:p>
    <w:p w:rsidR="004E414D" w:rsidRPr="001328C6" w:rsidRDefault="004E414D" w:rsidP="004E414D">
      <w:pPr>
        <w:jc w:val="both"/>
      </w:pPr>
      <w:r w:rsidRPr="001328C6">
        <w:t xml:space="preserve">Vhodnější pro charakteristiku změn v oblasti kulturních služeb jsou ukazatele na straně poptávky, zejména pak počet návštěvníků, resp. návštěv (na 10 tis. obyvatel) základních poskytovatelů kulturních služeb. Jak je z tab. č. 13 zřejmé, oproti předcházejícímu roku se v roce 2016 zvýšila návštěvnost o 8,6 % (týkalo se to zejména koncertních sálů, kin a muzeí a galerií). Naopak </w:t>
      </w:r>
      <w:r w:rsidR="00F85E8C" w:rsidRPr="001328C6">
        <w:rPr>
          <w:rFonts w:cs="Arial"/>
        </w:rPr>
        <w:t>–</w:t>
      </w:r>
      <w:r w:rsidRPr="001328C6">
        <w:t xml:space="preserve"> jako i v předcházejícím roce – dále klesala návštěvnost knihoven (v těch však roste počet virtuálních návštěv) a snížil se počet vysílacích hodin na jednoho držitele licence rozhlasového vysílání. </w:t>
      </w:r>
    </w:p>
    <w:p w:rsidR="004E414D" w:rsidRPr="001328C6" w:rsidRDefault="004E414D" w:rsidP="004E414D">
      <w:pPr>
        <w:jc w:val="both"/>
      </w:pPr>
      <w:r w:rsidRPr="001328C6">
        <w:t>Celková úroveň návštěvnosti (85 962 návštěv) by jinými slovy mohla znamenat, že každý obyvatel ČR v</w:t>
      </w:r>
      <w:r w:rsidR="0057704F">
        <w:t> </w:t>
      </w:r>
      <w:r w:rsidRPr="001328C6">
        <w:t>tomto roce navštívil průměrně (bezmála) devětkrát nějakou kulturní akci či zařízení. Není však tomu zcela tak, protože návštěvnost kulturních akcí ovlivňuje také cestovní ruch, množství a složení zahraničních hostů (turistů).</w:t>
      </w:r>
    </w:p>
    <w:p w:rsidR="00D7626D" w:rsidRPr="001328C6" w:rsidRDefault="00D7626D" w:rsidP="006E4CC9">
      <w:pPr>
        <w:pStyle w:val="Nadpis2"/>
        <w:rPr>
          <w:szCs w:val="24"/>
        </w:rPr>
      </w:pPr>
      <w:bookmarkStart w:id="20" w:name="_Toc451166916"/>
      <w:bookmarkStart w:id="21" w:name="_Toc451166932"/>
      <w:bookmarkStart w:id="22" w:name="_Toc451175105"/>
      <w:bookmarkStart w:id="23" w:name="_Toc451180161"/>
      <w:bookmarkStart w:id="24" w:name="_Toc514772623"/>
      <w:r w:rsidRPr="001328C6">
        <w:t>2.3. Makroekonomický pohled</w:t>
      </w:r>
      <w:bookmarkEnd w:id="20"/>
      <w:bookmarkEnd w:id="21"/>
      <w:bookmarkEnd w:id="22"/>
      <w:bookmarkEnd w:id="23"/>
      <w:bookmarkEnd w:id="24"/>
    </w:p>
    <w:p w:rsidR="004E414D" w:rsidRPr="001328C6" w:rsidRDefault="004E414D" w:rsidP="004E414D">
      <w:pPr>
        <w:widowControl w:val="0"/>
        <w:overflowPunct w:val="0"/>
        <w:autoSpaceDE w:val="0"/>
        <w:autoSpaceDN w:val="0"/>
        <w:adjustRightInd w:val="0"/>
        <w:jc w:val="both"/>
        <w:rPr>
          <w:rFonts w:cs="Arial"/>
        </w:rPr>
      </w:pPr>
      <w:bookmarkStart w:id="25" w:name="page15"/>
      <w:bookmarkEnd w:id="25"/>
      <w:r w:rsidRPr="001328C6">
        <w:rPr>
          <w:rFonts w:cs="Arial"/>
        </w:rPr>
        <w:t>Charakteristiku úrovně hospodaření kultury, jako celku i jejíc</w:t>
      </w:r>
      <w:r w:rsidR="00176E42" w:rsidRPr="001328C6">
        <w:rPr>
          <w:rFonts w:cs="Arial"/>
        </w:rPr>
        <w:t>h jednotlivých částí, zcela při</w:t>
      </w:r>
      <w:r w:rsidRPr="001328C6">
        <w:rPr>
          <w:rFonts w:cs="Arial"/>
        </w:rPr>
        <w:t xml:space="preserve">rozeně provází otázka místa a váhy tohoto sektoru v ekonomice. Při hledání odpovědi je třeba využít údajů a metod národního účetnictví. </w:t>
      </w:r>
    </w:p>
    <w:p w:rsidR="004E414D" w:rsidRPr="001328C6" w:rsidRDefault="004E414D" w:rsidP="004E414D">
      <w:pPr>
        <w:widowControl w:val="0"/>
        <w:overflowPunct w:val="0"/>
        <w:autoSpaceDE w:val="0"/>
        <w:autoSpaceDN w:val="0"/>
        <w:adjustRightInd w:val="0"/>
        <w:jc w:val="both"/>
        <w:rPr>
          <w:rFonts w:cs="Arial"/>
        </w:rPr>
      </w:pPr>
      <w:r w:rsidRPr="001328C6">
        <w:rPr>
          <w:rFonts w:cs="Arial"/>
        </w:rPr>
        <w:t>S ohledem na disponibilní data o sektoru kultury se jeví jako nejvhodnější pro vyčíslení makroekonomických ukazatelů výrobní (odvětvová) metoda výpočtu hrubého domácího produktu (HDP). Podle ní se tento ukazatel rovná součtu hrubé přidané hodnoty zjištěné odpočtem mezispotřeby od hodnoty produkce (HPH) a</w:t>
      </w:r>
      <w:r w:rsidR="0057704F">
        <w:rPr>
          <w:rFonts w:cs="Arial"/>
        </w:rPr>
        <w:t> </w:t>
      </w:r>
      <w:r w:rsidRPr="001328C6">
        <w:rPr>
          <w:rFonts w:cs="Arial"/>
        </w:rPr>
        <w:t>čis</w:t>
      </w:r>
      <w:r w:rsidR="001328C6">
        <w:rPr>
          <w:rFonts w:cs="Arial"/>
        </w:rPr>
        <w:t>tých daní, tj. daní z daného od</w:t>
      </w:r>
      <w:r w:rsidRPr="001328C6">
        <w:rPr>
          <w:rFonts w:cs="Arial"/>
        </w:rPr>
        <w:t xml:space="preserve">větví snížených o dotace poskytnuté tomuto odvětví. </w:t>
      </w:r>
    </w:p>
    <w:p w:rsidR="004E414D" w:rsidRPr="001328C6" w:rsidRDefault="004E414D" w:rsidP="004E414D">
      <w:pPr>
        <w:widowControl w:val="0"/>
        <w:overflowPunct w:val="0"/>
        <w:autoSpaceDE w:val="0"/>
        <w:autoSpaceDN w:val="0"/>
        <w:adjustRightInd w:val="0"/>
        <w:jc w:val="both"/>
        <w:rPr>
          <w:rFonts w:cs="Arial"/>
        </w:rPr>
      </w:pPr>
      <w:r w:rsidRPr="001328C6">
        <w:rPr>
          <w:rFonts w:cs="Arial"/>
        </w:rPr>
        <w:t>Vstupní data do propočtu by měla vycházet z údajů národní</w:t>
      </w:r>
      <w:r w:rsidR="001328C6">
        <w:rPr>
          <w:rFonts w:cs="Arial"/>
        </w:rPr>
        <w:t>ho účetnictví, zejména pak z ta</w:t>
      </w:r>
      <w:r w:rsidRPr="001328C6">
        <w:rPr>
          <w:rFonts w:cs="Arial"/>
        </w:rPr>
        <w:t>bulek dodávek a</w:t>
      </w:r>
      <w:r w:rsidR="0057704F">
        <w:rPr>
          <w:rFonts w:cs="Arial"/>
        </w:rPr>
        <w:t> </w:t>
      </w:r>
      <w:r w:rsidRPr="001328C6">
        <w:rPr>
          <w:rFonts w:cs="Arial"/>
        </w:rPr>
        <w:t>užití. Tyto údaje představují svým zp</w:t>
      </w:r>
      <w:r w:rsidR="001328C6">
        <w:rPr>
          <w:rFonts w:cs="Arial"/>
        </w:rPr>
        <w:t>ůsobem optimální informační sou</w:t>
      </w:r>
      <w:r w:rsidRPr="001328C6">
        <w:rPr>
          <w:rFonts w:cs="Arial"/>
        </w:rPr>
        <w:t>stavu co do své komplexnosti, konzistence a mezinárod</w:t>
      </w:r>
      <w:r w:rsidR="005C7D37" w:rsidRPr="001328C6">
        <w:rPr>
          <w:rFonts w:cs="Arial"/>
        </w:rPr>
        <w:t>ní srovnatelnosti. Uvedené před</w:t>
      </w:r>
      <w:r w:rsidRPr="001328C6">
        <w:rPr>
          <w:rFonts w:cs="Arial"/>
        </w:rPr>
        <w:t>nosti jsou však vykoupeny vysokou pracností a</w:t>
      </w:r>
      <w:r w:rsidR="0057704F">
        <w:rPr>
          <w:rFonts w:cs="Arial"/>
        </w:rPr>
        <w:t> </w:t>
      </w:r>
      <w:r w:rsidRPr="001328C6">
        <w:rPr>
          <w:rFonts w:cs="Arial"/>
        </w:rPr>
        <w:t>z</w:t>
      </w:r>
      <w:r w:rsidR="0057704F">
        <w:rPr>
          <w:rFonts w:cs="Arial"/>
        </w:rPr>
        <w:t> </w:t>
      </w:r>
      <w:r w:rsidRPr="001328C6">
        <w:rPr>
          <w:rFonts w:cs="Arial"/>
        </w:rPr>
        <w:t>pohledu</w:t>
      </w:r>
      <w:r w:rsidR="005C7D37" w:rsidRPr="001328C6">
        <w:rPr>
          <w:rFonts w:cs="Arial"/>
        </w:rPr>
        <w:t xml:space="preserve"> uživatelů dat dlouhou dobou če</w:t>
      </w:r>
      <w:r w:rsidRPr="001328C6">
        <w:rPr>
          <w:rFonts w:cs="Arial"/>
        </w:rPr>
        <w:t xml:space="preserve">kání na (postupně upřesňované) výsledky. </w:t>
      </w:r>
    </w:p>
    <w:p w:rsidR="004E414D" w:rsidRPr="001328C6" w:rsidRDefault="004E414D" w:rsidP="004E414D">
      <w:pPr>
        <w:widowControl w:val="0"/>
        <w:overflowPunct w:val="0"/>
        <w:autoSpaceDE w:val="0"/>
        <w:autoSpaceDN w:val="0"/>
        <w:adjustRightInd w:val="0"/>
        <w:jc w:val="both"/>
        <w:rPr>
          <w:rFonts w:cs="Arial"/>
        </w:rPr>
      </w:pPr>
      <w:r w:rsidRPr="001328C6">
        <w:rPr>
          <w:rFonts w:cs="Arial"/>
        </w:rPr>
        <w:t xml:space="preserve">Nutno dodat, že na základě těchto údajů lze makroekonomické ukazatele sektoru kultury spíše odhadovat než přesně kalkulovat. Je tomu tak zejména pro – z našeho pohledu </w:t>
      </w:r>
      <w:r w:rsidR="00F85E8C" w:rsidRPr="001328C6">
        <w:rPr>
          <w:rFonts w:cs="Arial"/>
        </w:rPr>
        <w:t>–</w:t>
      </w:r>
      <w:r w:rsidRPr="001328C6">
        <w:rPr>
          <w:rFonts w:cs="Arial"/>
        </w:rPr>
        <w:t xml:space="preserve"> nevhodné členění dat v tabulkách dodávek a užití pouze </w:t>
      </w:r>
      <w:r w:rsidR="005C7D37" w:rsidRPr="001328C6">
        <w:rPr>
          <w:rFonts w:cs="Arial"/>
        </w:rPr>
        <w:t xml:space="preserve">do úrovně oddílů (na 2 místa CZ - </w:t>
      </w:r>
      <w:r w:rsidRPr="001328C6">
        <w:rPr>
          <w:rFonts w:cs="Arial"/>
        </w:rPr>
        <w:t xml:space="preserve">NACE), zatímco jsou kulturní aktivity často až na úrovni tříd (4 místa </w:t>
      </w:r>
      <w:r w:rsidR="005C7D37" w:rsidRPr="001328C6">
        <w:rPr>
          <w:rFonts w:cs="Arial"/>
        </w:rPr>
        <w:t xml:space="preserve">CZ - </w:t>
      </w:r>
      <w:r w:rsidR="001328C6">
        <w:rPr>
          <w:rFonts w:cs="Arial"/>
        </w:rPr>
        <w:t>NACE). Jedním pří</w:t>
      </w:r>
      <w:r w:rsidRPr="001328C6">
        <w:rPr>
          <w:rFonts w:cs="Arial"/>
        </w:rPr>
        <w:t>kladem za všechny mohou být architektonické činnosti v</w:t>
      </w:r>
      <w:r w:rsidR="0057704F">
        <w:rPr>
          <w:rFonts w:cs="Arial"/>
        </w:rPr>
        <w:t> </w:t>
      </w:r>
      <w:r w:rsidRPr="001328C6">
        <w:rPr>
          <w:rFonts w:cs="Arial"/>
        </w:rPr>
        <w:t xml:space="preserve">tabulkách dodávek a užití, které zahrnují celý oddíl 71 CZ - NACE. Za součást kulturního sektoru je však považována pouze třída 71.11. Data odpovídající kulturním aktivitám je nutno </w:t>
      </w:r>
      <w:r w:rsidR="001328C6">
        <w:rPr>
          <w:rFonts w:cs="Arial"/>
        </w:rPr>
        <w:t>získávat složitým postupem s</w:t>
      </w:r>
      <w:r w:rsidR="0057704F">
        <w:rPr>
          <w:rFonts w:cs="Arial"/>
        </w:rPr>
        <w:t> </w:t>
      </w:r>
      <w:r w:rsidR="001328C6">
        <w:rPr>
          <w:rFonts w:cs="Arial"/>
        </w:rPr>
        <w:t>vy</w:t>
      </w:r>
      <w:r w:rsidRPr="001328C6">
        <w:rPr>
          <w:rFonts w:cs="Arial"/>
        </w:rPr>
        <w:t>užitím znalosti různých vztahů – např. v úrovni produktivity práce mezi třídami či podílu spotřeby materiálu, energie a služeb na výnosech atd. - me</w:t>
      </w:r>
      <w:r w:rsidR="005C7D37" w:rsidRPr="001328C6">
        <w:rPr>
          <w:rFonts w:cs="Arial"/>
        </w:rPr>
        <w:t>zi údaji zjištěnými v rámci sta</w:t>
      </w:r>
      <w:r w:rsidRPr="001328C6">
        <w:rPr>
          <w:rFonts w:cs="Arial"/>
        </w:rPr>
        <w:t xml:space="preserve">tistických šetření (podniková </w:t>
      </w:r>
      <w:r w:rsidRPr="001328C6">
        <w:rPr>
          <w:rFonts w:cs="Arial"/>
        </w:rPr>
        <w:lastRenderedPageBreak/>
        <w:t xml:space="preserve">šetření, KULT, NI). </w:t>
      </w:r>
    </w:p>
    <w:p w:rsidR="004E414D" w:rsidRPr="001328C6" w:rsidRDefault="004E414D" w:rsidP="004E414D">
      <w:pPr>
        <w:widowControl w:val="0"/>
        <w:overflowPunct w:val="0"/>
        <w:autoSpaceDE w:val="0"/>
        <w:autoSpaceDN w:val="0"/>
        <w:adjustRightInd w:val="0"/>
        <w:jc w:val="both"/>
        <w:rPr>
          <w:rFonts w:cs="Arial"/>
        </w:rPr>
      </w:pPr>
      <w:r w:rsidRPr="001328C6">
        <w:rPr>
          <w:rFonts w:cs="Arial"/>
        </w:rPr>
        <w:t>Z předběžných údajů obsažených v tabulkách dodávek a užití byla</w:t>
      </w:r>
      <w:r w:rsidR="005C7D37" w:rsidRPr="001328C6">
        <w:rPr>
          <w:rFonts w:cs="Arial"/>
        </w:rPr>
        <w:t xml:space="preserve"> propočtena váha kultur</w:t>
      </w:r>
      <w:r w:rsidRPr="001328C6">
        <w:rPr>
          <w:rFonts w:cs="Arial"/>
        </w:rPr>
        <w:t xml:space="preserve">ního sektoru na celkové produkci ČR v roce 2015 v rozsahu 2,01 % (213 mld. Kč) a na hrubé přidané hodnotě v úrovni 2,13 % (87,4 mld. Kč). </w:t>
      </w:r>
    </w:p>
    <w:p w:rsidR="004E414D" w:rsidRPr="001328C6" w:rsidRDefault="004E414D" w:rsidP="004E414D">
      <w:pPr>
        <w:widowControl w:val="0"/>
        <w:overflowPunct w:val="0"/>
        <w:autoSpaceDE w:val="0"/>
        <w:autoSpaceDN w:val="0"/>
        <w:adjustRightInd w:val="0"/>
        <w:jc w:val="both"/>
        <w:rPr>
          <w:rFonts w:cs="Arial"/>
        </w:rPr>
      </w:pPr>
      <w:r w:rsidRPr="001328C6">
        <w:rPr>
          <w:rFonts w:cs="Arial"/>
        </w:rPr>
        <w:t>Pomocí upřesněných údajů lze tato data poopravit. Podíl ku</w:t>
      </w:r>
      <w:r w:rsidR="005C7D37" w:rsidRPr="001328C6">
        <w:rPr>
          <w:rFonts w:cs="Arial"/>
        </w:rPr>
        <w:t>lturního sektoru na celkové pro</w:t>
      </w:r>
      <w:r w:rsidRPr="001328C6">
        <w:rPr>
          <w:rFonts w:cs="Arial"/>
        </w:rPr>
        <w:t>dukci lze odhadovat na 2,01 % (213,9 mld. Kč), jeho podíl na HPH ve výši 2,16 % (89,5 mld. Kč) a na HDP v úrovni 1,36 % (62,7 mld. Kč</w:t>
      </w:r>
      <w:r w:rsidR="001328C6">
        <w:rPr>
          <w:rFonts w:cs="Arial"/>
        </w:rPr>
        <w:t>). Poměrně nižší objem HDP v po</w:t>
      </w:r>
      <w:r w:rsidRPr="001328C6">
        <w:rPr>
          <w:rFonts w:cs="Arial"/>
        </w:rPr>
        <w:t xml:space="preserve">rovnání s HPH je dán relativně nízkou úrovní daní vztahujících se ke kulturnímu sektoru a naopak vysokou částkou přijatých provozních dotací. </w:t>
      </w:r>
    </w:p>
    <w:p w:rsidR="004E414D" w:rsidRPr="001328C6" w:rsidRDefault="004E414D" w:rsidP="004E414D">
      <w:pPr>
        <w:widowControl w:val="0"/>
        <w:overflowPunct w:val="0"/>
        <w:autoSpaceDE w:val="0"/>
        <w:autoSpaceDN w:val="0"/>
        <w:adjustRightInd w:val="0"/>
        <w:jc w:val="both"/>
        <w:rPr>
          <w:rFonts w:cs="Arial"/>
        </w:rPr>
      </w:pPr>
      <w:r w:rsidRPr="001328C6">
        <w:rPr>
          <w:rFonts w:cs="Arial"/>
        </w:rPr>
        <w:t>Z předběžných dat lze za rok 2016 předpokládat (odhadov</w:t>
      </w:r>
      <w:r w:rsidR="001328C6">
        <w:rPr>
          <w:rFonts w:cs="Arial"/>
        </w:rPr>
        <w:t>at), že objem produkce v kultur</w:t>
      </w:r>
      <w:r w:rsidRPr="001328C6">
        <w:rPr>
          <w:rFonts w:cs="Arial"/>
        </w:rPr>
        <w:t>ním sektoru dosáhl 223,6 mld. Kč (2,07 % na celostátní produkci) a úroveň HPH 91,4 mld. Kč (tj. 2,13 % z celkové HPH vytvořené v ekonomice). Objem HDP vytvořeného v kultuře lze odhadovat v úrovni 62,9 mld. Kč (1,32 % z</w:t>
      </w:r>
      <w:r w:rsidR="0057704F">
        <w:rPr>
          <w:rFonts w:cs="Arial"/>
        </w:rPr>
        <w:t> </w:t>
      </w:r>
      <w:r w:rsidRPr="001328C6">
        <w:rPr>
          <w:rFonts w:cs="Arial"/>
        </w:rPr>
        <w:t xml:space="preserve">celkového HDP) a byl tak vyšší o 0,2 mld. Kč než v roce 2015. </w:t>
      </w:r>
    </w:p>
    <w:p w:rsidR="0036184D" w:rsidRPr="00A959F1" w:rsidRDefault="004E414D" w:rsidP="00A959F1">
      <w:pPr>
        <w:widowControl w:val="0"/>
        <w:overflowPunct w:val="0"/>
        <w:autoSpaceDE w:val="0"/>
        <w:autoSpaceDN w:val="0"/>
        <w:adjustRightInd w:val="0"/>
        <w:jc w:val="both"/>
        <w:rPr>
          <w:rFonts w:cs="Arial"/>
        </w:rPr>
      </w:pPr>
      <w:r w:rsidRPr="001328C6">
        <w:rPr>
          <w:rFonts w:cs="Arial"/>
        </w:rPr>
        <w:t>Výchozí předběžné údaje budou dále zpřesňovány a výše uvedený odhad se zřejmě mírně pozmění. Zatím však předběžná data nasvědčují tomu, že nárůst produkce mezi lety 2015 a 2016 (o 4,6 %) byl doprovázen ještě výraznějším zvýšením mezispotřeby (o více než 6,3%) a jen mírným růstem HPH (o necelá 2,1%) a</w:t>
      </w:r>
      <w:r w:rsidR="0057704F">
        <w:rPr>
          <w:rFonts w:cs="Arial"/>
        </w:rPr>
        <w:t> </w:t>
      </w:r>
      <w:r w:rsidRPr="001328C6">
        <w:rPr>
          <w:rFonts w:cs="Arial"/>
        </w:rPr>
        <w:t>HDP (o 0,3%).</w:t>
      </w:r>
    </w:p>
    <w:sectPr w:rsidR="0036184D" w:rsidRPr="00A959F1" w:rsidSect="006B7EBD">
      <w:headerReference w:type="even" r:id="rId8"/>
      <w:headerReference w:type="default" r:id="rId9"/>
      <w:footerReference w:type="even" r:id="rId10"/>
      <w:footerReference w:type="default" r:id="rId11"/>
      <w:pgSz w:w="11906" w:h="16838" w:code="9"/>
      <w:pgMar w:top="1387" w:right="1134" w:bottom="1418" w:left="1134" w:header="680" w:footer="680" w:gutter="0"/>
      <w:pgNumType w:start="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699" w:rsidRDefault="00324699" w:rsidP="00E71A58">
      <w:r>
        <w:separator/>
      </w:r>
    </w:p>
  </w:endnote>
  <w:endnote w:type="continuationSeparator" w:id="0">
    <w:p w:rsidR="00324699" w:rsidRDefault="00324699"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E8C" w:rsidRPr="00932443" w:rsidRDefault="00546B1B" w:rsidP="002405CB">
    <w:pPr>
      <w:pStyle w:val="Zpat"/>
      <w:tabs>
        <w:tab w:val="clear" w:pos="9639"/>
      </w:tabs>
      <w:rPr>
        <w:szCs w:val="16"/>
      </w:rPr>
    </w:pPr>
    <w:r>
      <w:rPr>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margin-left:-117.45pt;margin-top:-5.1pt;width:33.75pt;height:15.85pt;z-index:2;mso-position-horizontal:right">
          <v:imagedata r:id="rId1" o:title="CSU RGB CZ logo-01"/>
        </v:shape>
      </w:pict>
    </w:r>
    <w:r w:rsidRPr="00932443">
      <w:rPr>
        <w:szCs w:val="16"/>
      </w:rPr>
      <w:fldChar w:fldCharType="begin"/>
    </w:r>
    <w:r w:rsidR="00F85E8C" w:rsidRPr="00932443">
      <w:rPr>
        <w:szCs w:val="16"/>
      </w:rPr>
      <w:instrText>PAGE   \* MERGEFORMAT</w:instrText>
    </w:r>
    <w:r w:rsidRPr="00932443">
      <w:rPr>
        <w:szCs w:val="16"/>
      </w:rPr>
      <w:fldChar w:fldCharType="separate"/>
    </w:r>
    <w:r w:rsidR="006B7EBD">
      <w:rPr>
        <w:szCs w:val="16"/>
      </w:rPr>
      <w:t>14</w:t>
    </w:r>
    <w:r w:rsidRPr="00932443">
      <w:rPr>
        <w:szCs w:val="16"/>
      </w:rPr>
      <w:fldChar w:fldCharType="end"/>
    </w:r>
    <w:r w:rsidR="00F85E8C" w:rsidRPr="00932443">
      <w:rPr>
        <w:szCs w:val="16"/>
      </w:rPr>
      <w:tab/>
    </w:r>
    <w:r w:rsidR="00F85E8C">
      <w:rPr>
        <w:szCs w:val="16"/>
      </w:rPr>
      <w:t>2016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E8C" w:rsidRPr="00932443" w:rsidRDefault="00546B1B" w:rsidP="002405CB">
    <w:pPr>
      <w:pStyle w:val="Zpat"/>
      <w:tabs>
        <w:tab w:val="clear" w:pos="4820"/>
        <w:tab w:val="clear" w:pos="9639"/>
        <w:tab w:val="left" w:pos="4253"/>
        <w:tab w:val="left" w:pos="4536"/>
        <w:tab w:val="left" w:pos="9356"/>
        <w:tab w:val="left" w:pos="13750"/>
      </w:tabs>
      <w:rPr>
        <w:szCs w:val="16"/>
      </w:rPr>
    </w:pPr>
    <w:r>
      <w:rPr>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margin-left:0;margin-top:-9.65pt;width:40.2pt;height:21.45pt;z-index:1;mso-position-horizontal:left">
          <v:imagedata r:id="rId1" o:title="CSU RGB CZ logo-02"/>
        </v:shape>
      </w:pict>
    </w:r>
    <w:r w:rsidR="00F85E8C" w:rsidRPr="00932443">
      <w:rPr>
        <w:szCs w:val="16"/>
      </w:rPr>
      <w:tab/>
    </w:r>
    <w:r w:rsidR="00F85E8C">
      <w:rPr>
        <w:szCs w:val="16"/>
      </w:rPr>
      <w:tab/>
    </w:r>
    <w:r w:rsidR="00F85E8C">
      <w:rPr>
        <w:rStyle w:val="ZpatChar"/>
        <w:szCs w:val="16"/>
      </w:rPr>
      <w:t>2016</w:t>
    </w:r>
    <w:r w:rsidR="00F85E8C" w:rsidRPr="00932443">
      <w:rPr>
        <w:szCs w:val="16"/>
      </w:rPr>
      <w:tab/>
    </w:r>
    <w:r w:rsidRPr="00932443">
      <w:rPr>
        <w:rStyle w:val="ZpatChar"/>
        <w:szCs w:val="16"/>
      </w:rPr>
      <w:fldChar w:fldCharType="begin"/>
    </w:r>
    <w:r w:rsidR="00F85E8C" w:rsidRPr="00932443">
      <w:rPr>
        <w:rStyle w:val="ZpatChar"/>
        <w:szCs w:val="16"/>
      </w:rPr>
      <w:instrText>PAGE   \* MERGEFORMAT</w:instrText>
    </w:r>
    <w:r w:rsidRPr="00932443">
      <w:rPr>
        <w:rStyle w:val="ZpatChar"/>
        <w:szCs w:val="16"/>
      </w:rPr>
      <w:fldChar w:fldCharType="separate"/>
    </w:r>
    <w:r w:rsidR="006B7EBD">
      <w:rPr>
        <w:rStyle w:val="ZpatChar"/>
        <w:szCs w:val="16"/>
      </w:rPr>
      <w:t>15</w:t>
    </w:r>
    <w:r w:rsidRPr="00932443">
      <w:rPr>
        <w:rStyle w:val="ZpatChar"/>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699" w:rsidRPr="00311229" w:rsidRDefault="00324699" w:rsidP="00311229">
      <w:pPr>
        <w:pStyle w:val="Zpat"/>
      </w:pPr>
    </w:p>
  </w:footnote>
  <w:footnote w:type="continuationSeparator" w:id="0">
    <w:p w:rsidR="00324699" w:rsidRPr="00311229" w:rsidRDefault="00324699" w:rsidP="00311229">
      <w:pPr>
        <w:pStyle w:val="Zpa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E8C" w:rsidRPr="006F5416" w:rsidRDefault="00F85E8C" w:rsidP="00CE08A5">
    <w:pPr>
      <w:pStyle w:val="Zhlav"/>
    </w:pPr>
    <w:r>
      <w:t>Satelitní účet kultury</w:t>
    </w:r>
  </w:p>
  <w:p w:rsidR="00F85E8C" w:rsidRDefault="00F85E8C">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E8C" w:rsidRPr="006F5416" w:rsidRDefault="00F85E8C" w:rsidP="00CE08A5">
    <w:pPr>
      <w:pStyle w:val="Zhlav"/>
    </w:pPr>
    <w:r>
      <w:t>Satelitní účet kultury</w:t>
    </w:r>
  </w:p>
  <w:p w:rsidR="00F85E8C" w:rsidRDefault="00F85E8C">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5pt;height:11.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6149A6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00000029"/>
    <w:multiLevelType w:val="hybridMultilevel"/>
    <w:tmpl w:val="61545646"/>
    <w:lvl w:ilvl="0" w:tplc="04050001">
      <w:start w:val="1"/>
      <w:numFmt w:val="bullet"/>
      <w:lvlText w:val=""/>
      <w:lvlJc w:val="left"/>
      <w:pPr>
        <w:tabs>
          <w:tab w:val="num" w:pos="644"/>
        </w:tabs>
        <w:ind w:left="644"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2CD6"/>
    <w:multiLevelType w:val="hybridMultilevel"/>
    <w:tmpl w:val="000072AE"/>
    <w:lvl w:ilvl="0" w:tplc="00006952">
      <w:start w:val="2"/>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A836952"/>
    <w:multiLevelType w:val="hybridMultilevel"/>
    <w:tmpl w:val="7BF86E04"/>
    <w:lvl w:ilvl="0" w:tplc="2A80F076">
      <w:start w:val="1"/>
      <w:numFmt w:val="decimal"/>
      <w:lvlText w:val="%1)"/>
      <w:lvlJc w:val="left"/>
      <w:pPr>
        <w:ind w:left="-349" w:hanging="360"/>
      </w:pPr>
      <w:rPr>
        <w:rFonts w:cs="Arial" w:hint="default"/>
        <w:sz w:val="18"/>
      </w:rPr>
    </w:lvl>
    <w:lvl w:ilvl="1" w:tplc="04050019" w:tentative="1">
      <w:start w:val="1"/>
      <w:numFmt w:val="lowerLetter"/>
      <w:lvlText w:val="%2."/>
      <w:lvlJc w:val="left"/>
      <w:pPr>
        <w:ind w:left="371" w:hanging="360"/>
      </w:pPr>
    </w:lvl>
    <w:lvl w:ilvl="2" w:tplc="0405001B" w:tentative="1">
      <w:start w:val="1"/>
      <w:numFmt w:val="lowerRoman"/>
      <w:lvlText w:val="%3."/>
      <w:lvlJc w:val="right"/>
      <w:pPr>
        <w:ind w:left="1091" w:hanging="180"/>
      </w:pPr>
    </w:lvl>
    <w:lvl w:ilvl="3" w:tplc="0405000F" w:tentative="1">
      <w:start w:val="1"/>
      <w:numFmt w:val="decimal"/>
      <w:lvlText w:val="%4."/>
      <w:lvlJc w:val="left"/>
      <w:pPr>
        <w:ind w:left="1811" w:hanging="360"/>
      </w:pPr>
    </w:lvl>
    <w:lvl w:ilvl="4" w:tplc="04050019" w:tentative="1">
      <w:start w:val="1"/>
      <w:numFmt w:val="lowerLetter"/>
      <w:lvlText w:val="%5."/>
      <w:lvlJc w:val="left"/>
      <w:pPr>
        <w:ind w:left="2531" w:hanging="360"/>
      </w:pPr>
    </w:lvl>
    <w:lvl w:ilvl="5" w:tplc="0405001B" w:tentative="1">
      <w:start w:val="1"/>
      <w:numFmt w:val="lowerRoman"/>
      <w:lvlText w:val="%6."/>
      <w:lvlJc w:val="right"/>
      <w:pPr>
        <w:ind w:left="3251" w:hanging="180"/>
      </w:pPr>
    </w:lvl>
    <w:lvl w:ilvl="6" w:tplc="0405000F" w:tentative="1">
      <w:start w:val="1"/>
      <w:numFmt w:val="decimal"/>
      <w:lvlText w:val="%7."/>
      <w:lvlJc w:val="left"/>
      <w:pPr>
        <w:ind w:left="3971" w:hanging="360"/>
      </w:pPr>
    </w:lvl>
    <w:lvl w:ilvl="7" w:tplc="04050019" w:tentative="1">
      <w:start w:val="1"/>
      <w:numFmt w:val="lowerLetter"/>
      <w:lvlText w:val="%8."/>
      <w:lvlJc w:val="left"/>
      <w:pPr>
        <w:ind w:left="4691" w:hanging="360"/>
      </w:pPr>
    </w:lvl>
    <w:lvl w:ilvl="8" w:tplc="0405001B" w:tentative="1">
      <w:start w:val="1"/>
      <w:numFmt w:val="lowerRoman"/>
      <w:lvlText w:val="%9."/>
      <w:lvlJc w:val="right"/>
      <w:pPr>
        <w:ind w:left="5411" w:hanging="180"/>
      </w:pPr>
    </w:lvl>
  </w:abstractNum>
  <w:abstractNum w:abstractNumId="14">
    <w:nsid w:val="0C53742F"/>
    <w:multiLevelType w:val="hybridMultilevel"/>
    <w:tmpl w:val="E668DF54"/>
    <w:lvl w:ilvl="0" w:tplc="164A6B68">
      <w:start w:val="1"/>
      <w:numFmt w:val="decimal"/>
      <w:lvlText w:val="%1)"/>
      <w:lvlJc w:val="left"/>
      <w:pPr>
        <w:ind w:left="11" w:hanging="360"/>
      </w:pPr>
      <w:rPr>
        <w:rFonts w:cs="Arial" w:hint="default"/>
        <w:sz w:val="18"/>
        <w:vertAlign w:val="superscript"/>
      </w:rPr>
    </w:lvl>
    <w:lvl w:ilvl="1" w:tplc="04050019" w:tentative="1">
      <w:start w:val="1"/>
      <w:numFmt w:val="lowerLetter"/>
      <w:lvlText w:val="%2."/>
      <w:lvlJc w:val="left"/>
      <w:pPr>
        <w:ind w:left="731" w:hanging="360"/>
      </w:pPr>
    </w:lvl>
    <w:lvl w:ilvl="2" w:tplc="0405001B" w:tentative="1">
      <w:start w:val="1"/>
      <w:numFmt w:val="lowerRoman"/>
      <w:lvlText w:val="%3."/>
      <w:lvlJc w:val="right"/>
      <w:pPr>
        <w:ind w:left="1451" w:hanging="180"/>
      </w:pPr>
    </w:lvl>
    <w:lvl w:ilvl="3" w:tplc="0405000F" w:tentative="1">
      <w:start w:val="1"/>
      <w:numFmt w:val="decimal"/>
      <w:lvlText w:val="%4."/>
      <w:lvlJc w:val="left"/>
      <w:pPr>
        <w:ind w:left="2171" w:hanging="360"/>
      </w:pPr>
    </w:lvl>
    <w:lvl w:ilvl="4" w:tplc="04050019" w:tentative="1">
      <w:start w:val="1"/>
      <w:numFmt w:val="lowerLetter"/>
      <w:lvlText w:val="%5."/>
      <w:lvlJc w:val="left"/>
      <w:pPr>
        <w:ind w:left="2891" w:hanging="360"/>
      </w:pPr>
    </w:lvl>
    <w:lvl w:ilvl="5" w:tplc="0405001B" w:tentative="1">
      <w:start w:val="1"/>
      <w:numFmt w:val="lowerRoman"/>
      <w:lvlText w:val="%6."/>
      <w:lvlJc w:val="right"/>
      <w:pPr>
        <w:ind w:left="3611" w:hanging="180"/>
      </w:pPr>
    </w:lvl>
    <w:lvl w:ilvl="6" w:tplc="0405000F" w:tentative="1">
      <w:start w:val="1"/>
      <w:numFmt w:val="decimal"/>
      <w:lvlText w:val="%7."/>
      <w:lvlJc w:val="left"/>
      <w:pPr>
        <w:ind w:left="4331" w:hanging="360"/>
      </w:pPr>
    </w:lvl>
    <w:lvl w:ilvl="7" w:tplc="04050019" w:tentative="1">
      <w:start w:val="1"/>
      <w:numFmt w:val="lowerLetter"/>
      <w:lvlText w:val="%8."/>
      <w:lvlJc w:val="left"/>
      <w:pPr>
        <w:ind w:left="5051" w:hanging="360"/>
      </w:pPr>
    </w:lvl>
    <w:lvl w:ilvl="8" w:tplc="0405001B" w:tentative="1">
      <w:start w:val="1"/>
      <w:numFmt w:val="lowerRoman"/>
      <w:lvlText w:val="%9."/>
      <w:lvlJc w:val="right"/>
      <w:pPr>
        <w:ind w:left="5771" w:hanging="180"/>
      </w:pPr>
    </w:lvl>
  </w:abstractNum>
  <w:abstractNum w:abstractNumId="15">
    <w:nsid w:val="11FB7699"/>
    <w:multiLevelType w:val="hybridMultilevel"/>
    <w:tmpl w:val="48B6C3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16B14236"/>
    <w:multiLevelType w:val="hybridMultilevel"/>
    <w:tmpl w:val="12E2E4EA"/>
    <w:lvl w:ilvl="0" w:tplc="02E21B48">
      <w:start w:val="225"/>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32463E7"/>
    <w:multiLevelType w:val="hybridMultilevel"/>
    <w:tmpl w:val="CCEC13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2DE740A2"/>
    <w:multiLevelType w:val="hybridMultilevel"/>
    <w:tmpl w:val="B09E4A68"/>
    <w:lvl w:ilvl="0" w:tplc="0405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33044EEC"/>
    <w:multiLevelType w:val="hybridMultilevel"/>
    <w:tmpl w:val="8B3E32C4"/>
    <w:lvl w:ilvl="0" w:tplc="C2862074">
      <w:start w:val="1"/>
      <w:numFmt w:val="decimal"/>
      <w:lvlText w:val="%1)"/>
      <w:lvlJc w:val="left"/>
      <w:pPr>
        <w:ind w:left="212" w:hanging="360"/>
      </w:pPr>
      <w:rPr>
        <w:rFonts w:hint="default"/>
        <w:sz w:val="16"/>
      </w:rPr>
    </w:lvl>
    <w:lvl w:ilvl="1" w:tplc="04050019" w:tentative="1">
      <w:start w:val="1"/>
      <w:numFmt w:val="lowerLetter"/>
      <w:lvlText w:val="%2."/>
      <w:lvlJc w:val="left"/>
      <w:pPr>
        <w:ind w:left="932" w:hanging="360"/>
      </w:pPr>
    </w:lvl>
    <w:lvl w:ilvl="2" w:tplc="0405001B" w:tentative="1">
      <w:start w:val="1"/>
      <w:numFmt w:val="lowerRoman"/>
      <w:lvlText w:val="%3."/>
      <w:lvlJc w:val="right"/>
      <w:pPr>
        <w:ind w:left="1652" w:hanging="180"/>
      </w:pPr>
    </w:lvl>
    <w:lvl w:ilvl="3" w:tplc="0405000F" w:tentative="1">
      <w:start w:val="1"/>
      <w:numFmt w:val="decimal"/>
      <w:lvlText w:val="%4."/>
      <w:lvlJc w:val="left"/>
      <w:pPr>
        <w:ind w:left="2372" w:hanging="360"/>
      </w:pPr>
    </w:lvl>
    <w:lvl w:ilvl="4" w:tplc="04050019" w:tentative="1">
      <w:start w:val="1"/>
      <w:numFmt w:val="lowerLetter"/>
      <w:lvlText w:val="%5."/>
      <w:lvlJc w:val="left"/>
      <w:pPr>
        <w:ind w:left="3092" w:hanging="360"/>
      </w:pPr>
    </w:lvl>
    <w:lvl w:ilvl="5" w:tplc="0405001B" w:tentative="1">
      <w:start w:val="1"/>
      <w:numFmt w:val="lowerRoman"/>
      <w:lvlText w:val="%6."/>
      <w:lvlJc w:val="right"/>
      <w:pPr>
        <w:ind w:left="3812" w:hanging="180"/>
      </w:pPr>
    </w:lvl>
    <w:lvl w:ilvl="6" w:tplc="0405000F" w:tentative="1">
      <w:start w:val="1"/>
      <w:numFmt w:val="decimal"/>
      <w:lvlText w:val="%7."/>
      <w:lvlJc w:val="left"/>
      <w:pPr>
        <w:ind w:left="4532" w:hanging="360"/>
      </w:pPr>
    </w:lvl>
    <w:lvl w:ilvl="7" w:tplc="04050019" w:tentative="1">
      <w:start w:val="1"/>
      <w:numFmt w:val="lowerLetter"/>
      <w:lvlText w:val="%8."/>
      <w:lvlJc w:val="left"/>
      <w:pPr>
        <w:ind w:left="5252" w:hanging="360"/>
      </w:pPr>
    </w:lvl>
    <w:lvl w:ilvl="8" w:tplc="0405001B" w:tentative="1">
      <w:start w:val="1"/>
      <w:numFmt w:val="lowerRoman"/>
      <w:lvlText w:val="%9."/>
      <w:lvlJc w:val="right"/>
      <w:pPr>
        <w:ind w:left="5972" w:hanging="180"/>
      </w:pPr>
    </w:lvl>
  </w:abstractNum>
  <w:abstractNum w:abstractNumId="21">
    <w:nsid w:val="428E0569"/>
    <w:multiLevelType w:val="hybridMultilevel"/>
    <w:tmpl w:val="94449E2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32632FB"/>
    <w:multiLevelType w:val="hybridMultilevel"/>
    <w:tmpl w:val="CA3AB02C"/>
    <w:lvl w:ilvl="0" w:tplc="28F81CD6">
      <w:start w:val="1"/>
      <w:numFmt w:val="decimal"/>
      <w:lvlText w:val="%1)"/>
      <w:lvlJc w:val="left"/>
      <w:pPr>
        <w:ind w:left="720" w:hanging="360"/>
      </w:pPr>
      <w:rPr>
        <w:rFonts w:ascii="Arial" w:hAnsi="Arial" w:cs="Arial" w:hint="default"/>
        <w:sz w:val="16"/>
        <w:szCs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ECE7A50"/>
    <w:multiLevelType w:val="hybridMultilevel"/>
    <w:tmpl w:val="707A9686"/>
    <w:lvl w:ilvl="0" w:tplc="2A0A20F6">
      <w:start w:val="1"/>
      <w:numFmt w:val="decimal"/>
      <w:lvlText w:val="%1)"/>
      <w:lvlJc w:val="left"/>
      <w:pPr>
        <w:ind w:left="-207" w:hanging="360"/>
      </w:pPr>
      <w:rPr>
        <w:rFonts w:hint="default"/>
        <w:vertAlign w:val="superscript"/>
      </w:rPr>
    </w:lvl>
    <w:lvl w:ilvl="1" w:tplc="04050019" w:tentative="1">
      <w:start w:val="1"/>
      <w:numFmt w:val="lowerLetter"/>
      <w:lvlText w:val="%2."/>
      <w:lvlJc w:val="left"/>
      <w:pPr>
        <w:ind w:left="513" w:hanging="360"/>
      </w:pPr>
    </w:lvl>
    <w:lvl w:ilvl="2" w:tplc="0405001B" w:tentative="1">
      <w:start w:val="1"/>
      <w:numFmt w:val="lowerRoman"/>
      <w:lvlText w:val="%3."/>
      <w:lvlJc w:val="right"/>
      <w:pPr>
        <w:ind w:left="1233" w:hanging="180"/>
      </w:pPr>
    </w:lvl>
    <w:lvl w:ilvl="3" w:tplc="0405000F" w:tentative="1">
      <w:start w:val="1"/>
      <w:numFmt w:val="decimal"/>
      <w:lvlText w:val="%4."/>
      <w:lvlJc w:val="left"/>
      <w:pPr>
        <w:ind w:left="1953" w:hanging="360"/>
      </w:pPr>
    </w:lvl>
    <w:lvl w:ilvl="4" w:tplc="04050019" w:tentative="1">
      <w:start w:val="1"/>
      <w:numFmt w:val="lowerLetter"/>
      <w:lvlText w:val="%5."/>
      <w:lvlJc w:val="left"/>
      <w:pPr>
        <w:ind w:left="2673" w:hanging="360"/>
      </w:pPr>
    </w:lvl>
    <w:lvl w:ilvl="5" w:tplc="0405001B" w:tentative="1">
      <w:start w:val="1"/>
      <w:numFmt w:val="lowerRoman"/>
      <w:lvlText w:val="%6."/>
      <w:lvlJc w:val="right"/>
      <w:pPr>
        <w:ind w:left="3393" w:hanging="180"/>
      </w:pPr>
    </w:lvl>
    <w:lvl w:ilvl="6" w:tplc="0405000F" w:tentative="1">
      <w:start w:val="1"/>
      <w:numFmt w:val="decimal"/>
      <w:lvlText w:val="%7."/>
      <w:lvlJc w:val="left"/>
      <w:pPr>
        <w:ind w:left="4113" w:hanging="360"/>
      </w:pPr>
    </w:lvl>
    <w:lvl w:ilvl="7" w:tplc="04050019" w:tentative="1">
      <w:start w:val="1"/>
      <w:numFmt w:val="lowerLetter"/>
      <w:lvlText w:val="%8."/>
      <w:lvlJc w:val="left"/>
      <w:pPr>
        <w:ind w:left="4833" w:hanging="360"/>
      </w:pPr>
    </w:lvl>
    <w:lvl w:ilvl="8" w:tplc="0405001B" w:tentative="1">
      <w:start w:val="1"/>
      <w:numFmt w:val="lowerRoman"/>
      <w:lvlText w:val="%9."/>
      <w:lvlJc w:val="right"/>
      <w:pPr>
        <w:ind w:left="5553" w:hanging="180"/>
      </w:pPr>
    </w:lvl>
  </w:abstractNum>
  <w:num w:numId="1">
    <w:abstractNumId w:val="2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23"/>
  </w:num>
  <w:num w:numId="14">
    <w:abstractNumId w:val="10"/>
  </w:num>
  <w:num w:numId="15">
    <w:abstractNumId w:val="12"/>
  </w:num>
  <w:num w:numId="16">
    <w:abstractNumId w:val="11"/>
  </w:num>
  <w:num w:numId="17">
    <w:abstractNumId w:val="19"/>
  </w:num>
  <w:num w:numId="18">
    <w:abstractNumId w:val="21"/>
  </w:num>
  <w:num w:numId="19">
    <w:abstractNumId w:val="24"/>
  </w:num>
  <w:num w:numId="20">
    <w:abstractNumId w:val="16"/>
  </w:num>
  <w:num w:numId="21">
    <w:abstractNumId w:val="20"/>
  </w:num>
  <w:num w:numId="22">
    <w:abstractNumId w:val="13"/>
  </w:num>
  <w:num w:numId="23">
    <w:abstractNumId w:val="14"/>
  </w:num>
  <w:num w:numId="24">
    <w:abstractNumId w:val="25"/>
  </w:num>
  <w:num w:numId="25">
    <w:abstractNumId w:val="17"/>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attachedTemplate r:id="rId1"/>
  <w:stylePaneFormatFilter w:val="1001"/>
  <w:stylePaneSortMethod w:val="0004"/>
  <w:doNotTrackMoves/>
  <w:defaultTabStop w:val="708"/>
  <w:hyphenationZone w:val="425"/>
  <w:evenAndOddHeaders/>
  <w:drawingGridHorizontalSpacing w:val="100"/>
  <w:displayHorizontalDrawingGridEvery w:val="2"/>
  <w:characterSpacingControl w:val="doNotCompress"/>
  <w:hdrShapeDefaults>
    <o:shapedefaults v:ext="edit" spidmax="6146">
      <o:colormru v:ext="edit" colors="#ecf4dd,#eaecee,#fcec0a,#fcecdb,#f1daf5"/>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B6382"/>
    <w:rsid w:val="0000209D"/>
    <w:rsid w:val="00004721"/>
    <w:rsid w:val="00004D5A"/>
    <w:rsid w:val="000056D5"/>
    <w:rsid w:val="0000767A"/>
    <w:rsid w:val="00010702"/>
    <w:rsid w:val="000234D6"/>
    <w:rsid w:val="00023D29"/>
    <w:rsid w:val="00026389"/>
    <w:rsid w:val="00027A49"/>
    <w:rsid w:val="00031AE0"/>
    <w:rsid w:val="000322EF"/>
    <w:rsid w:val="00033FCD"/>
    <w:rsid w:val="00041CEC"/>
    <w:rsid w:val="00044667"/>
    <w:rsid w:val="0004694F"/>
    <w:rsid w:val="000522E4"/>
    <w:rsid w:val="000610E1"/>
    <w:rsid w:val="00062EC5"/>
    <w:rsid w:val="00062F22"/>
    <w:rsid w:val="00064869"/>
    <w:rsid w:val="000712B3"/>
    <w:rsid w:val="0008263E"/>
    <w:rsid w:val="00082C19"/>
    <w:rsid w:val="00085395"/>
    <w:rsid w:val="00087569"/>
    <w:rsid w:val="00087634"/>
    <w:rsid w:val="00087F2B"/>
    <w:rsid w:val="000974D1"/>
    <w:rsid w:val="0009799E"/>
    <w:rsid w:val="000A1183"/>
    <w:rsid w:val="000A256D"/>
    <w:rsid w:val="000A3A2C"/>
    <w:rsid w:val="000C3408"/>
    <w:rsid w:val="000C6AFD"/>
    <w:rsid w:val="000C7FDC"/>
    <w:rsid w:val="000D418C"/>
    <w:rsid w:val="000D5637"/>
    <w:rsid w:val="000E48B4"/>
    <w:rsid w:val="000E6FBD"/>
    <w:rsid w:val="00100F5C"/>
    <w:rsid w:val="00104C4C"/>
    <w:rsid w:val="00107E8D"/>
    <w:rsid w:val="001205D8"/>
    <w:rsid w:val="0012192F"/>
    <w:rsid w:val="00125D69"/>
    <w:rsid w:val="001328C6"/>
    <w:rsid w:val="001405FA"/>
    <w:rsid w:val="001425C3"/>
    <w:rsid w:val="0016169F"/>
    <w:rsid w:val="0016256B"/>
    <w:rsid w:val="00163793"/>
    <w:rsid w:val="001669D2"/>
    <w:rsid w:val="001706D6"/>
    <w:rsid w:val="001714F2"/>
    <w:rsid w:val="00176E42"/>
    <w:rsid w:val="0017712F"/>
    <w:rsid w:val="00184B08"/>
    <w:rsid w:val="00185010"/>
    <w:rsid w:val="00186071"/>
    <w:rsid w:val="001A552F"/>
    <w:rsid w:val="001B2CA9"/>
    <w:rsid w:val="001B3110"/>
    <w:rsid w:val="001B4729"/>
    <w:rsid w:val="001B6C09"/>
    <w:rsid w:val="001C05CD"/>
    <w:rsid w:val="001C795A"/>
    <w:rsid w:val="001D68B2"/>
    <w:rsid w:val="001F0986"/>
    <w:rsid w:val="001F4597"/>
    <w:rsid w:val="00207D23"/>
    <w:rsid w:val="002118B9"/>
    <w:rsid w:val="00216B43"/>
    <w:rsid w:val="00217C5B"/>
    <w:rsid w:val="0022139E"/>
    <w:rsid w:val="00224971"/>
    <w:rsid w:val="002252E0"/>
    <w:rsid w:val="002255F6"/>
    <w:rsid w:val="002269AB"/>
    <w:rsid w:val="00227850"/>
    <w:rsid w:val="00227A53"/>
    <w:rsid w:val="00230C6E"/>
    <w:rsid w:val="002315E3"/>
    <w:rsid w:val="00236443"/>
    <w:rsid w:val="002405CB"/>
    <w:rsid w:val="002436BA"/>
    <w:rsid w:val="00244A15"/>
    <w:rsid w:val="00247319"/>
    <w:rsid w:val="0024799E"/>
    <w:rsid w:val="00253C0F"/>
    <w:rsid w:val="00271465"/>
    <w:rsid w:val="00275A70"/>
    <w:rsid w:val="00285412"/>
    <w:rsid w:val="0028655A"/>
    <w:rsid w:val="002A00BE"/>
    <w:rsid w:val="002A16D4"/>
    <w:rsid w:val="002A230C"/>
    <w:rsid w:val="002C43BD"/>
    <w:rsid w:val="002D0E59"/>
    <w:rsid w:val="002E02A1"/>
    <w:rsid w:val="002E4E4C"/>
    <w:rsid w:val="002E6C5B"/>
    <w:rsid w:val="00302A92"/>
    <w:rsid w:val="00304771"/>
    <w:rsid w:val="003052D4"/>
    <w:rsid w:val="00306C5B"/>
    <w:rsid w:val="00311229"/>
    <w:rsid w:val="003209D6"/>
    <w:rsid w:val="00321924"/>
    <w:rsid w:val="00324699"/>
    <w:rsid w:val="0032656E"/>
    <w:rsid w:val="00332190"/>
    <w:rsid w:val="00344668"/>
    <w:rsid w:val="003462D9"/>
    <w:rsid w:val="00360C86"/>
    <w:rsid w:val="0036184D"/>
    <w:rsid w:val="003657F3"/>
    <w:rsid w:val="003818DC"/>
    <w:rsid w:val="0038246B"/>
    <w:rsid w:val="00384327"/>
    <w:rsid w:val="00385D98"/>
    <w:rsid w:val="003A2B4D"/>
    <w:rsid w:val="003A3673"/>
    <w:rsid w:val="003A478C"/>
    <w:rsid w:val="003A5525"/>
    <w:rsid w:val="003A6B38"/>
    <w:rsid w:val="003B4B72"/>
    <w:rsid w:val="003B5A32"/>
    <w:rsid w:val="003C3490"/>
    <w:rsid w:val="003D6920"/>
    <w:rsid w:val="003E4C91"/>
    <w:rsid w:val="003F313C"/>
    <w:rsid w:val="003F4B2C"/>
    <w:rsid w:val="003F551C"/>
    <w:rsid w:val="003F7D23"/>
    <w:rsid w:val="0040293A"/>
    <w:rsid w:val="00407C13"/>
    <w:rsid w:val="00410638"/>
    <w:rsid w:val="00432A58"/>
    <w:rsid w:val="00434617"/>
    <w:rsid w:val="00435C42"/>
    <w:rsid w:val="00440900"/>
    <w:rsid w:val="004441A0"/>
    <w:rsid w:val="00460FB3"/>
    <w:rsid w:val="00476240"/>
    <w:rsid w:val="00476439"/>
    <w:rsid w:val="0047735C"/>
    <w:rsid w:val="004776BC"/>
    <w:rsid w:val="0048139F"/>
    <w:rsid w:val="00481E40"/>
    <w:rsid w:val="00484ECE"/>
    <w:rsid w:val="004900FF"/>
    <w:rsid w:val="004915CB"/>
    <w:rsid w:val="004924DC"/>
    <w:rsid w:val="004A14E4"/>
    <w:rsid w:val="004A3212"/>
    <w:rsid w:val="004A61C5"/>
    <w:rsid w:val="004A77DF"/>
    <w:rsid w:val="004B1417"/>
    <w:rsid w:val="004B55B7"/>
    <w:rsid w:val="004B6468"/>
    <w:rsid w:val="004B6594"/>
    <w:rsid w:val="004C0490"/>
    <w:rsid w:val="004C384C"/>
    <w:rsid w:val="004C3867"/>
    <w:rsid w:val="004C4CD0"/>
    <w:rsid w:val="004C70DC"/>
    <w:rsid w:val="004D0211"/>
    <w:rsid w:val="004D0794"/>
    <w:rsid w:val="004D7B74"/>
    <w:rsid w:val="004E414D"/>
    <w:rsid w:val="004F06F5"/>
    <w:rsid w:val="004F2578"/>
    <w:rsid w:val="004F33A0"/>
    <w:rsid w:val="004F69CE"/>
    <w:rsid w:val="00500A8A"/>
    <w:rsid w:val="00503E39"/>
    <w:rsid w:val="005108C0"/>
    <w:rsid w:val="00511873"/>
    <w:rsid w:val="00512A2F"/>
    <w:rsid w:val="00513B7E"/>
    <w:rsid w:val="00515C74"/>
    <w:rsid w:val="0052007E"/>
    <w:rsid w:val="0052337A"/>
    <w:rsid w:val="00525137"/>
    <w:rsid w:val="005251DD"/>
    <w:rsid w:val="00532CE7"/>
    <w:rsid w:val="0053324C"/>
    <w:rsid w:val="00534A28"/>
    <w:rsid w:val="00541508"/>
    <w:rsid w:val="00544C52"/>
    <w:rsid w:val="00546B1B"/>
    <w:rsid w:val="0055599F"/>
    <w:rsid w:val="00556D68"/>
    <w:rsid w:val="00557456"/>
    <w:rsid w:val="005647BF"/>
    <w:rsid w:val="0057364B"/>
    <w:rsid w:val="00574773"/>
    <w:rsid w:val="0057704F"/>
    <w:rsid w:val="00583FFD"/>
    <w:rsid w:val="00584309"/>
    <w:rsid w:val="005911BE"/>
    <w:rsid w:val="00593152"/>
    <w:rsid w:val="005A10F2"/>
    <w:rsid w:val="005A21E0"/>
    <w:rsid w:val="005A28FF"/>
    <w:rsid w:val="005A3DF8"/>
    <w:rsid w:val="005A5549"/>
    <w:rsid w:val="005B121D"/>
    <w:rsid w:val="005C06ED"/>
    <w:rsid w:val="005C7D37"/>
    <w:rsid w:val="005D38C8"/>
    <w:rsid w:val="005D5802"/>
    <w:rsid w:val="005D7890"/>
    <w:rsid w:val="005E7C78"/>
    <w:rsid w:val="005F1BB0"/>
    <w:rsid w:val="005F3EB1"/>
    <w:rsid w:val="005F5469"/>
    <w:rsid w:val="005F5FA2"/>
    <w:rsid w:val="00600392"/>
    <w:rsid w:val="0060269C"/>
    <w:rsid w:val="00604307"/>
    <w:rsid w:val="0060487F"/>
    <w:rsid w:val="00604EAD"/>
    <w:rsid w:val="006104FB"/>
    <w:rsid w:val="00612A2F"/>
    <w:rsid w:val="00616E05"/>
    <w:rsid w:val="006214EF"/>
    <w:rsid w:val="00624093"/>
    <w:rsid w:val="006404A7"/>
    <w:rsid w:val="006451E4"/>
    <w:rsid w:val="00645B33"/>
    <w:rsid w:val="00646A76"/>
    <w:rsid w:val="006516CB"/>
    <w:rsid w:val="00657E87"/>
    <w:rsid w:val="00664803"/>
    <w:rsid w:val="00665BA4"/>
    <w:rsid w:val="00667AF2"/>
    <w:rsid w:val="006710C9"/>
    <w:rsid w:val="00674D89"/>
    <w:rsid w:val="00675E37"/>
    <w:rsid w:val="00677D30"/>
    <w:rsid w:val="0068174E"/>
    <w:rsid w:val="00681DCE"/>
    <w:rsid w:val="0068260E"/>
    <w:rsid w:val="00695BEF"/>
    <w:rsid w:val="006977F6"/>
    <w:rsid w:val="00697A13"/>
    <w:rsid w:val="006A109C"/>
    <w:rsid w:val="006B344A"/>
    <w:rsid w:val="006B78D8"/>
    <w:rsid w:val="006B7B66"/>
    <w:rsid w:val="006B7EBD"/>
    <w:rsid w:val="006C113F"/>
    <w:rsid w:val="006C123E"/>
    <w:rsid w:val="006C56D4"/>
    <w:rsid w:val="006C6924"/>
    <w:rsid w:val="006C7CA6"/>
    <w:rsid w:val="006D3E8A"/>
    <w:rsid w:val="006D61F6"/>
    <w:rsid w:val="006E279A"/>
    <w:rsid w:val="006E313B"/>
    <w:rsid w:val="006E4CC9"/>
    <w:rsid w:val="006F41CA"/>
    <w:rsid w:val="006F5416"/>
    <w:rsid w:val="006F7137"/>
    <w:rsid w:val="00706AD4"/>
    <w:rsid w:val="007140BE"/>
    <w:rsid w:val="00715C9D"/>
    <w:rsid w:val="007211F5"/>
    <w:rsid w:val="00722C25"/>
    <w:rsid w:val="00725BB5"/>
    <w:rsid w:val="00730AE8"/>
    <w:rsid w:val="00741493"/>
    <w:rsid w:val="00752180"/>
    <w:rsid w:val="00755202"/>
    <w:rsid w:val="00755D3A"/>
    <w:rsid w:val="007578D3"/>
    <w:rsid w:val="007609C6"/>
    <w:rsid w:val="0076175D"/>
    <w:rsid w:val="0076521E"/>
    <w:rsid w:val="007661E9"/>
    <w:rsid w:val="00776169"/>
    <w:rsid w:val="00776527"/>
    <w:rsid w:val="00780EF1"/>
    <w:rsid w:val="00790764"/>
    <w:rsid w:val="0079453C"/>
    <w:rsid w:val="00794677"/>
    <w:rsid w:val="00794C02"/>
    <w:rsid w:val="007A0F41"/>
    <w:rsid w:val="007B6689"/>
    <w:rsid w:val="007B7C7D"/>
    <w:rsid w:val="007D40DF"/>
    <w:rsid w:val="007E667A"/>
    <w:rsid w:val="007E7E61"/>
    <w:rsid w:val="007F0845"/>
    <w:rsid w:val="007F4399"/>
    <w:rsid w:val="007F4532"/>
    <w:rsid w:val="00807C82"/>
    <w:rsid w:val="00816905"/>
    <w:rsid w:val="00821FF6"/>
    <w:rsid w:val="00825C4D"/>
    <w:rsid w:val="0083143E"/>
    <w:rsid w:val="00831CDE"/>
    <w:rsid w:val="00834304"/>
    <w:rsid w:val="00834FAA"/>
    <w:rsid w:val="00836086"/>
    <w:rsid w:val="0084708F"/>
    <w:rsid w:val="008477C8"/>
    <w:rsid w:val="0085114D"/>
    <w:rsid w:val="00852217"/>
    <w:rsid w:val="00855408"/>
    <w:rsid w:val="00856D65"/>
    <w:rsid w:val="00861B41"/>
    <w:rsid w:val="00863434"/>
    <w:rsid w:val="00865E4C"/>
    <w:rsid w:val="008701E4"/>
    <w:rsid w:val="00875A32"/>
    <w:rsid w:val="00876086"/>
    <w:rsid w:val="00882FF9"/>
    <w:rsid w:val="008873D4"/>
    <w:rsid w:val="00893E85"/>
    <w:rsid w:val="00894031"/>
    <w:rsid w:val="008B7C02"/>
    <w:rsid w:val="008B7D2B"/>
    <w:rsid w:val="008C0049"/>
    <w:rsid w:val="008C0E88"/>
    <w:rsid w:val="008C684C"/>
    <w:rsid w:val="008D1E6A"/>
    <w:rsid w:val="008D2A16"/>
    <w:rsid w:val="008D6516"/>
    <w:rsid w:val="008E2C57"/>
    <w:rsid w:val="008E31FF"/>
    <w:rsid w:val="008E6F06"/>
    <w:rsid w:val="008F029B"/>
    <w:rsid w:val="008F3FC9"/>
    <w:rsid w:val="008F585B"/>
    <w:rsid w:val="008F7AD4"/>
    <w:rsid w:val="009003A8"/>
    <w:rsid w:val="00901FF2"/>
    <w:rsid w:val="00902500"/>
    <w:rsid w:val="00902EFF"/>
    <w:rsid w:val="00906401"/>
    <w:rsid w:val="0091155E"/>
    <w:rsid w:val="00912A92"/>
    <w:rsid w:val="0091728D"/>
    <w:rsid w:val="0092180B"/>
    <w:rsid w:val="00921F14"/>
    <w:rsid w:val="00924AC8"/>
    <w:rsid w:val="0092597A"/>
    <w:rsid w:val="00932443"/>
    <w:rsid w:val="00937AE2"/>
    <w:rsid w:val="0094427A"/>
    <w:rsid w:val="00944A3B"/>
    <w:rsid w:val="00947A2C"/>
    <w:rsid w:val="00947ADA"/>
    <w:rsid w:val="00954DD8"/>
    <w:rsid w:val="00963C66"/>
    <w:rsid w:val="00974923"/>
    <w:rsid w:val="00975D76"/>
    <w:rsid w:val="0097636A"/>
    <w:rsid w:val="00980D3D"/>
    <w:rsid w:val="009826B4"/>
    <w:rsid w:val="00987A30"/>
    <w:rsid w:val="009908DA"/>
    <w:rsid w:val="00992CF3"/>
    <w:rsid w:val="009968D6"/>
    <w:rsid w:val="009A1CAB"/>
    <w:rsid w:val="009A60D1"/>
    <w:rsid w:val="009B6FD3"/>
    <w:rsid w:val="009C1750"/>
    <w:rsid w:val="009C2E29"/>
    <w:rsid w:val="009C554B"/>
    <w:rsid w:val="009C719E"/>
    <w:rsid w:val="009D3ACD"/>
    <w:rsid w:val="009D3F47"/>
    <w:rsid w:val="009E5273"/>
    <w:rsid w:val="009E5DDB"/>
    <w:rsid w:val="009F4CA7"/>
    <w:rsid w:val="00A0370B"/>
    <w:rsid w:val="00A04B0F"/>
    <w:rsid w:val="00A10D66"/>
    <w:rsid w:val="00A12C6B"/>
    <w:rsid w:val="00A14114"/>
    <w:rsid w:val="00A16413"/>
    <w:rsid w:val="00A23E43"/>
    <w:rsid w:val="00A30F65"/>
    <w:rsid w:val="00A344E4"/>
    <w:rsid w:val="00A40930"/>
    <w:rsid w:val="00A418BC"/>
    <w:rsid w:val="00A46DE0"/>
    <w:rsid w:val="00A50D73"/>
    <w:rsid w:val="00A52CAD"/>
    <w:rsid w:val="00A53FC7"/>
    <w:rsid w:val="00A62CE1"/>
    <w:rsid w:val="00A6741E"/>
    <w:rsid w:val="00A75E40"/>
    <w:rsid w:val="00A77D1D"/>
    <w:rsid w:val="00A857C0"/>
    <w:rsid w:val="00A959F1"/>
    <w:rsid w:val="00A97EFA"/>
    <w:rsid w:val="00AA2996"/>
    <w:rsid w:val="00AA52BF"/>
    <w:rsid w:val="00AA559A"/>
    <w:rsid w:val="00AB2AF1"/>
    <w:rsid w:val="00AD306C"/>
    <w:rsid w:val="00AE09B3"/>
    <w:rsid w:val="00AE1A83"/>
    <w:rsid w:val="00AE1CDC"/>
    <w:rsid w:val="00AE670B"/>
    <w:rsid w:val="00AF6470"/>
    <w:rsid w:val="00AF7F4A"/>
    <w:rsid w:val="00B00913"/>
    <w:rsid w:val="00B01593"/>
    <w:rsid w:val="00B0245A"/>
    <w:rsid w:val="00B10A4D"/>
    <w:rsid w:val="00B1159B"/>
    <w:rsid w:val="00B1557F"/>
    <w:rsid w:val="00B15659"/>
    <w:rsid w:val="00B17E71"/>
    <w:rsid w:val="00B17FDE"/>
    <w:rsid w:val="00B21295"/>
    <w:rsid w:val="00B2379C"/>
    <w:rsid w:val="00B261B7"/>
    <w:rsid w:val="00B2687D"/>
    <w:rsid w:val="00B32DDB"/>
    <w:rsid w:val="00B34528"/>
    <w:rsid w:val="00B402FC"/>
    <w:rsid w:val="00B405D1"/>
    <w:rsid w:val="00B41E17"/>
    <w:rsid w:val="00B46604"/>
    <w:rsid w:val="00B530CD"/>
    <w:rsid w:val="00B55F5E"/>
    <w:rsid w:val="00B5752E"/>
    <w:rsid w:val="00B63A11"/>
    <w:rsid w:val="00B64C24"/>
    <w:rsid w:val="00B6608F"/>
    <w:rsid w:val="00B66950"/>
    <w:rsid w:val="00B679FB"/>
    <w:rsid w:val="00B76D1E"/>
    <w:rsid w:val="00B80EC6"/>
    <w:rsid w:val="00B8513E"/>
    <w:rsid w:val="00B86977"/>
    <w:rsid w:val="00B91411"/>
    <w:rsid w:val="00B92D1D"/>
    <w:rsid w:val="00B938C5"/>
    <w:rsid w:val="00B95940"/>
    <w:rsid w:val="00BB46F3"/>
    <w:rsid w:val="00BB4CB1"/>
    <w:rsid w:val="00BB4F98"/>
    <w:rsid w:val="00BC7154"/>
    <w:rsid w:val="00BD366B"/>
    <w:rsid w:val="00BD6D50"/>
    <w:rsid w:val="00BE18B9"/>
    <w:rsid w:val="00BE2495"/>
    <w:rsid w:val="00BE7698"/>
    <w:rsid w:val="00BF1578"/>
    <w:rsid w:val="00C21F94"/>
    <w:rsid w:val="00C22E9E"/>
    <w:rsid w:val="00C27913"/>
    <w:rsid w:val="00C27ECC"/>
    <w:rsid w:val="00C33B68"/>
    <w:rsid w:val="00C36A79"/>
    <w:rsid w:val="00C405D4"/>
    <w:rsid w:val="00C4513B"/>
    <w:rsid w:val="00C54697"/>
    <w:rsid w:val="00C73885"/>
    <w:rsid w:val="00C747B1"/>
    <w:rsid w:val="00C82191"/>
    <w:rsid w:val="00C8600F"/>
    <w:rsid w:val="00C90CF4"/>
    <w:rsid w:val="00C92EB6"/>
    <w:rsid w:val="00C93389"/>
    <w:rsid w:val="00CA1BEC"/>
    <w:rsid w:val="00CB3041"/>
    <w:rsid w:val="00CB4930"/>
    <w:rsid w:val="00CC2E7D"/>
    <w:rsid w:val="00CD10A5"/>
    <w:rsid w:val="00CD2076"/>
    <w:rsid w:val="00CD3593"/>
    <w:rsid w:val="00CD67B6"/>
    <w:rsid w:val="00CE08A5"/>
    <w:rsid w:val="00CE670B"/>
    <w:rsid w:val="00CF51EC"/>
    <w:rsid w:val="00CF73AE"/>
    <w:rsid w:val="00D040DD"/>
    <w:rsid w:val="00D13986"/>
    <w:rsid w:val="00D14FA7"/>
    <w:rsid w:val="00D157AD"/>
    <w:rsid w:val="00D16837"/>
    <w:rsid w:val="00D22DB3"/>
    <w:rsid w:val="00D235B7"/>
    <w:rsid w:val="00D25F28"/>
    <w:rsid w:val="00D27973"/>
    <w:rsid w:val="00D50F46"/>
    <w:rsid w:val="00D66223"/>
    <w:rsid w:val="00D7626D"/>
    <w:rsid w:val="00D8084C"/>
    <w:rsid w:val="00D83178"/>
    <w:rsid w:val="00D8415C"/>
    <w:rsid w:val="00D90076"/>
    <w:rsid w:val="00D9786F"/>
    <w:rsid w:val="00DA7C0C"/>
    <w:rsid w:val="00DB2EC8"/>
    <w:rsid w:val="00DB6382"/>
    <w:rsid w:val="00DC5B3B"/>
    <w:rsid w:val="00DD129F"/>
    <w:rsid w:val="00DF1EE5"/>
    <w:rsid w:val="00DF42FF"/>
    <w:rsid w:val="00DF5C19"/>
    <w:rsid w:val="00E01C0E"/>
    <w:rsid w:val="00E03F9A"/>
    <w:rsid w:val="00E04694"/>
    <w:rsid w:val="00E12B1E"/>
    <w:rsid w:val="00E16AE6"/>
    <w:rsid w:val="00E17262"/>
    <w:rsid w:val="00E253A2"/>
    <w:rsid w:val="00E3309D"/>
    <w:rsid w:val="00E450D9"/>
    <w:rsid w:val="00E50156"/>
    <w:rsid w:val="00E506B2"/>
    <w:rsid w:val="00E53470"/>
    <w:rsid w:val="00E539F6"/>
    <w:rsid w:val="00E6519D"/>
    <w:rsid w:val="00E67696"/>
    <w:rsid w:val="00E71A58"/>
    <w:rsid w:val="00E72A7A"/>
    <w:rsid w:val="00E75C94"/>
    <w:rsid w:val="00E8591F"/>
    <w:rsid w:val="00E90EA6"/>
    <w:rsid w:val="00E93820"/>
    <w:rsid w:val="00EA0C68"/>
    <w:rsid w:val="00EA2D0C"/>
    <w:rsid w:val="00EA32BC"/>
    <w:rsid w:val="00EB4511"/>
    <w:rsid w:val="00EC03D7"/>
    <w:rsid w:val="00EC42F4"/>
    <w:rsid w:val="00ED62C6"/>
    <w:rsid w:val="00ED64C1"/>
    <w:rsid w:val="00EE3446"/>
    <w:rsid w:val="00EE3E78"/>
    <w:rsid w:val="00EE4B1B"/>
    <w:rsid w:val="00EE6FF8"/>
    <w:rsid w:val="00EF150D"/>
    <w:rsid w:val="00EF1710"/>
    <w:rsid w:val="00EF1F5A"/>
    <w:rsid w:val="00EF47BF"/>
    <w:rsid w:val="00F04811"/>
    <w:rsid w:val="00F0488C"/>
    <w:rsid w:val="00F05F5E"/>
    <w:rsid w:val="00F10F11"/>
    <w:rsid w:val="00F1429D"/>
    <w:rsid w:val="00F15AAA"/>
    <w:rsid w:val="00F15BEF"/>
    <w:rsid w:val="00F17074"/>
    <w:rsid w:val="00F24407"/>
    <w:rsid w:val="00F24FAA"/>
    <w:rsid w:val="00F3364D"/>
    <w:rsid w:val="00F40D51"/>
    <w:rsid w:val="00F437CC"/>
    <w:rsid w:val="00F47067"/>
    <w:rsid w:val="00F51E97"/>
    <w:rsid w:val="00F525EB"/>
    <w:rsid w:val="00F63DDE"/>
    <w:rsid w:val="00F63FB7"/>
    <w:rsid w:val="00F649D2"/>
    <w:rsid w:val="00F6602B"/>
    <w:rsid w:val="00F7260E"/>
    <w:rsid w:val="00F73A0C"/>
    <w:rsid w:val="00F756DB"/>
    <w:rsid w:val="00F85066"/>
    <w:rsid w:val="00F85E8C"/>
    <w:rsid w:val="00F9539D"/>
    <w:rsid w:val="00FA5D25"/>
    <w:rsid w:val="00FA5D4D"/>
    <w:rsid w:val="00FA7A35"/>
    <w:rsid w:val="00FB0EE2"/>
    <w:rsid w:val="00FB2021"/>
    <w:rsid w:val="00FB542E"/>
    <w:rsid w:val="00FC0E5F"/>
    <w:rsid w:val="00FC1A95"/>
    <w:rsid w:val="00FC2440"/>
    <w:rsid w:val="00FC56DE"/>
    <w:rsid w:val="00FC684B"/>
    <w:rsid w:val="00FC73E3"/>
    <w:rsid w:val="00FD2298"/>
    <w:rsid w:val="00FD3265"/>
    <w:rsid w:val="00FE2F78"/>
    <w:rsid w:val="00FF7B9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semiHidden="0" w:unhideWhenUsed="0"/>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lsdException w:name="Intense Emphasis" w:semiHidden="0" w:uiPriority="66" w:unhideWhenUsed="0"/>
    <w:lsdException w:name="Subtle Reference" w:semiHidden="0" w:uiPriority="67" w:unhideWhenUsed="0"/>
    <w:lsdException w:name="Intense Reference" w:semiHidden="0" w:uiPriority="68" w:unhideWhenUsed="0"/>
    <w:lsdException w:name="Book Title" w:semiHidden="0" w:uiPriority="69" w:unhideWhenUsed="0"/>
    <w:lsdException w:name="Bibliography" w:semiHidden="0" w:uiPriority="70" w:unhideWhenUsed="0"/>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rPr>
  </w:style>
  <w:style w:type="paragraph" w:styleId="Nadpis1">
    <w:name w:val="heading 1"/>
    <w:next w:val="Normln"/>
    <w:link w:val="Nadpis1Char"/>
    <w:uiPriority w:val="9"/>
    <w:qFormat/>
    <w:rsid w:val="004900FF"/>
    <w:pPr>
      <w:keepNext/>
      <w:keepLines/>
      <w:spacing w:after="100" w:line="288" w:lineRule="auto"/>
      <w:contextualSpacing/>
      <w:outlineLvl w:val="0"/>
    </w:pPr>
    <w:rPr>
      <w:rFonts w:ascii="Arial" w:eastAsia="MS Gothic" w:hAnsi="Arial"/>
      <w:b/>
      <w:bCs/>
      <w:color w:val="C00000"/>
      <w:sz w:val="32"/>
      <w:szCs w:val="28"/>
    </w:rPr>
  </w:style>
  <w:style w:type="paragraph" w:styleId="Nadpis2">
    <w:name w:val="heading 2"/>
    <w:next w:val="Normln"/>
    <w:link w:val="Nadpis2Char"/>
    <w:uiPriority w:val="9"/>
    <w:qFormat/>
    <w:rsid w:val="00544C52"/>
    <w:pPr>
      <w:keepNext/>
      <w:keepLines/>
      <w:spacing w:before="240" w:after="240" w:line="288" w:lineRule="auto"/>
      <w:outlineLvl w:val="1"/>
    </w:pPr>
    <w:rPr>
      <w:rFonts w:ascii="Arial" w:eastAsia="MS Gothic" w:hAnsi="Arial"/>
      <w:b/>
      <w:bCs/>
      <w:color w:val="BC091B"/>
      <w:sz w:val="28"/>
      <w:szCs w:val="26"/>
    </w:rPr>
  </w:style>
  <w:style w:type="paragraph" w:styleId="Nadpis3">
    <w:name w:val="heading 3"/>
    <w:next w:val="Normln"/>
    <w:link w:val="Nadpis3Char"/>
    <w:uiPriority w:val="9"/>
    <w:qFormat/>
    <w:rsid w:val="004900FF"/>
    <w:pPr>
      <w:keepNext/>
      <w:keepLines/>
      <w:spacing w:line="288" w:lineRule="auto"/>
      <w:outlineLvl w:val="2"/>
    </w:pPr>
    <w:rPr>
      <w:rFonts w:ascii="Arial" w:eastAsia="MS Gothic" w:hAnsi="Arial"/>
      <w:b/>
      <w:bCs/>
      <w:color w:val="BC091B"/>
      <w:sz w:val="24"/>
      <w:szCs w:val="24"/>
    </w:rPr>
  </w:style>
  <w:style w:type="paragraph" w:styleId="Nadpis4">
    <w:name w:val="heading 4"/>
    <w:next w:val="Normln"/>
    <w:link w:val="Nadpis4Char"/>
    <w:uiPriority w:val="9"/>
    <w:qFormat/>
    <w:rsid w:val="004900FF"/>
    <w:pPr>
      <w:keepNext/>
      <w:keepLines/>
      <w:spacing w:line="288" w:lineRule="auto"/>
      <w:outlineLvl w:val="3"/>
    </w:pPr>
    <w:rPr>
      <w:rFonts w:ascii="Arial" w:eastAsia="MS Gothic" w:hAnsi="Arial"/>
      <w:b/>
      <w:bCs/>
      <w:iCs/>
      <w:color w:val="BC091B"/>
      <w:szCs w:val="24"/>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4900FF"/>
    <w:rPr>
      <w:rFonts w:ascii="Arial" w:eastAsia="MS Gothic" w:hAnsi="Arial"/>
      <w:b/>
      <w:bCs/>
      <w:color w:val="C00000"/>
      <w:sz w:val="32"/>
      <w:szCs w:val="28"/>
      <w:lang w:bidi="ar-SA"/>
    </w:rPr>
  </w:style>
  <w:style w:type="character" w:customStyle="1" w:styleId="Nadpis2Char">
    <w:name w:val="Nadpis 2 Char"/>
    <w:link w:val="Nadpis2"/>
    <w:uiPriority w:val="9"/>
    <w:rsid w:val="00544C52"/>
    <w:rPr>
      <w:rFonts w:ascii="Arial" w:eastAsia="MS Gothic" w:hAnsi="Arial"/>
      <w:b/>
      <w:bCs/>
      <w:color w:val="BC091B"/>
      <w:sz w:val="28"/>
      <w:szCs w:val="26"/>
      <w:lang w:bidi="ar-SA"/>
    </w:rPr>
  </w:style>
  <w:style w:type="character" w:customStyle="1" w:styleId="Nadpis3Char">
    <w:name w:val="Nadpis 3 Char"/>
    <w:link w:val="Nadpis3"/>
    <w:uiPriority w:val="9"/>
    <w:rsid w:val="004900FF"/>
    <w:rPr>
      <w:rFonts w:ascii="Arial" w:eastAsia="MS Gothic" w:hAnsi="Arial"/>
      <w:b/>
      <w:bCs/>
      <w:color w:val="BC091B"/>
      <w:sz w:val="24"/>
      <w:szCs w:val="24"/>
      <w:lang w:bidi="ar-SA"/>
    </w:rPr>
  </w:style>
  <w:style w:type="character" w:customStyle="1" w:styleId="Nadpis4Char">
    <w:name w:val="Nadpis 4 Char"/>
    <w:link w:val="Nadpis4"/>
    <w:uiPriority w:val="9"/>
    <w:rsid w:val="004900FF"/>
    <w:rPr>
      <w:rFonts w:ascii="Arial" w:eastAsia="MS Gothic" w:hAnsi="Arial"/>
      <w:b/>
      <w:bCs/>
      <w:iCs/>
      <w:color w:val="BC091B"/>
      <w:szCs w:val="24"/>
      <w:lang w:bidi="ar-SA"/>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lang w:eastAsia="en-US"/>
    </w:rPr>
  </w:style>
  <w:style w:type="character" w:customStyle="1" w:styleId="ZhlavChar">
    <w:name w:val="Záhlaví Char"/>
    <w:link w:val="Zhlav"/>
    <w:uiPriority w:val="99"/>
    <w:rsid w:val="00A418BC"/>
    <w:rPr>
      <w:rFonts w:ascii="Arial" w:hAnsi="Arial"/>
      <w:sz w:val="16"/>
      <w:szCs w:val="22"/>
      <w:lang w:eastAsia="en-US" w:bidi="ar-SA"/>
    </w:rPr>
  </w:style>
  <w:style w:type="paragraph" w:styleId="Zpat">
    <w:name w:val="footer"/>
    <w:link w:val="ZpatChar"/>
    <w:uiPriority w:val="99"/>
    <w:unhideWhenUsed/>
    <w:qFormat/>
    <w:rsid w:val="00031AE0"/>
    <w:pPr>
      <w:tabs>
        <w:tab w:val="center" w:pos="4820"/>
        <w:tab w:val="right" w:pos="9639"/>
      </w:tabs>
    </w:pPr>
    <w:rPr>
      <w:rFonts w:ascii="Arial" w:hAnsi="Arial"/>
      <w:noProof/>
      <w:sz w:val="16"/>
      <w:lang w:eastAsia="en-US"/>
    </w:rPr>
  </w:style>
  <w:style w:type="character" w:customStyle="1" w:styleId="ZpatChar">
    <w:name w:val="Zápatí Char"/>
    <w:link w:val="Zpat"/>
    <w:uiPriority w:val="99"/>
    <w:rsid w:val="00031AE0"/>
    <w:rPr>
      <w:rFonts w:ascii="Arial" w:hAnsi="Arial"/>
      <w:noProof/>
      <w:sz w:val="16"/>
      <w:lang w:eastAsia="en-US" w:bidi="ar-SA"/>
    </w:rPr>
  </w:style>
  <w:style w:type="paragraph" w:styleId="Textbubliny">
    <w:name w:val="Balloon Text"/>
    <w:basedOn w:val="Normln"/>
    <w:link w:val="TextbublinyChar"/>
    <w:uiPriority w:val="99"/>
    <w:semiHidden/>
    <w:unhideWhenUsed/>
    <w:rsid w:val="00E71A58"/>
    <w:rPr>
      <w:rFonts w:ascii="Tahoma" w:eastAsia="Calibri" w:hAnsi="Tahoma"/>
      <w:sz w:val="16"/>
      <w:szCs w:val="16"/>
      <w:lang/>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olor w:val="000000"/>
      <w:szCs w:val="24"/>
    </w:rPr>
  </w:style>
  <w:style w:type="character" w:customStyle="1" w:styleId="ZkladnodstavecChar">
    <w:name w:val="[Základní odstavec] Char"/>
    <w:link w:val="Zkladnodstavec"/>
    <w:uiPriority w:val="99"/>
    <w:rsid w:val="0008263E"/>
    <w:rPr>
      <w:rFonts w:ascii="Arial" w:hAnsi="Arial"/>
      <w:color w:val="000000"/>
      <w:szCs w:val="24"/>
      <w:lang w:bidi="ar-SA"/>
    </w:rPr>
  </w:style>
  <w:style w:type="paragraph" w:styleId="Obsah1">
    <w:name w:val="toc 1"/>
    <w:basedOn w:val="Obsahpoloky"/>
    <w:next w:val="Obsahpoloky"/>
    <w:autoRedefine/>
    <w:uiPriority w:val="39"/>
    <w:unhideWhenUsed/>
    <w:rsid w:val="00F9539D"/>
    <w:pPr>
      <w:spacing w:line="480" w:lineRule="auto"/>
    </w:pPr>
  </w:style>
  <w:style w:type="paragraph" w:customStyle="1" w:styleId="TLIdentifikace-sted">
    <w:name w:val="TL Identifikace - střed"/>
    <w:qFormat/>
    <w:rsid w:val="009A60D1"/>
    <w:pPr>
      <w:spacing w:after="200" w:line="288" w:lineRule="auto"/>
    </w:pPr>
    <w:rPr>
      <w:rFonts w:ascii="Arial" w:eastAsia="Times New Roman" w:hAnsi="Arial"/>
      <w:sz w:val="24"/>
      <w:szCs w:val="24"/>
    </w:rPr>
  </w:style>
  <w:style w:type="paragraph" w:customStyle="1" w:styleId="Obsah">
    <w:name w:val="Obsah"/>
    <w:next w:val="Normln"/>
    <w:qFormat/>
    <w:rsid w:val="004900FF"/>
    <w:pPr>
      <w:spacing w:after="80" w:line="288" w:lineRule="auto"/>
    </w:pPr>
    <w:rPr>
      <w:rFonts w:ascii="Arial" w:eastAsia="Times New Roman" w:hAnsi="Arial"/>
      <w:b/>
      <w:color w:val="BC091B"/>
      <w:sz w:val="32"/>
      <w:szCs w:val="24"/>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rPr>
  </w:style>
  <w:style w:type="paragraph" w:customStyle="1" w:styleId="Box1">
    <w:name w:val="Box 1"/>
    <w:next w:val="Normln"/>
    <w:qFormat/>
    <w:rsid w:val="004900FF"/>
    <w:pPr>
      <w:shd w:val="clear" w:color="auto" w:fill="F5DADD"/>
      <w:spacing w:before="240" w:after="240" w:line="288" w:lineRule="auto"/>
      <w:ind w:left="709"/>
      <w:contextualSpacing/>
    </w:pPr>
    <w:rPr>
      <w:rFonts w:ascii="Arial" w:hAnsi="Arial" w:cs="Arial"/>
    </w:rPr>
  </w:style>
  <w:style w:type="paragraph" w:customStyle="1" w:styleId="Box2">
    <w:name w:val="Box 2"/>
    <w:qFormat/>
    <w:rsid w:val="004900FF"/>
    <w:pPr>
      <w:spacing w:before="240" w:after="240" w:line="288" w:lineRule="auto"/>
      <w:ind w:left="709"/>
      <w:contextualSpacing/>
    </w:pPr>
    <w:rPr>
      <w:rFonts w:ascii="Arial" w:hAnsi="Arial" w:cs="Arial"/>
      <w:color w:val="BC091B"/>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rPr>
  </w:style>
  <w:style w:type="paragraph" w:styleId="Nzev">
    <w:name w:val="Title"/>
    <w:link w:val="NzevChar"/>
    <w:uiPriority w:val="10"/>
    <w:qFormat/>
    <w:rsid w:val="004900FF"/>
    <w:pPr>
      <w:spacing w:line="288" w:lineRule="auto"/>
    </w:pPr>
    <w:rPr>
      <w:rFonts w:ascii="Arial" w:eastAsia="Times New Roman" w:hAnsi="Arial"/>
      <w:b/>
      <w:bCs/>
      <w:caps/>
      <w:color w:val="BC091B"/>
      <w:kern w:val="28"/>
      <w:sz w:val="56"/>
      <w:szCs w:val="32"/>
    </w:rPr>
  </w:style>
  <w:style w:type="character" w:customStyle="1" w:styleId="NzevChar">
    <w:name w:val="Název Char"/>
    <w:link w:val="Nzev"/>
    <w:uiPriority w:val="10"/>
    <w:rsid w:val="004900FF"/>
    <w:rPr>
      <w:rFonts w:ascii="Arial" w:eastAsia="Times New Roman" w:hAnsi="Arial"/>
      <w:b/>
      <w:bCs/>
      <w:caps/>
      <w:color w:val="BC091B"/>
      <w:kern w:val="28"/>
      <w:sz w:val="56"/>
      <w:szCs w:val="32"/>
      <w:lang w:bidi="ar-SA"/>
    </w:rPr>
  </w:style>
  <w:style w:type="paragraph" w:styleId="Podtitul">
    <w:name w:val="Subtitle"/>
    <w:link w:val="PodtitulChar"/>
    <w:uiPriority w:val="11"/>
    <w:qFormat/>
    <w:rsid w:val="004900FF"/>
    <w:pPr>
      <w:spacing w:line="288" w:lineRule="auto"/>
    </w:pPr>
    <w:rPr>
      <w:rFonts w:ascii="Arial" w:eastAsia="Times New Roman" w:hAnsi="Arial"/>
      <w:b/>
      <w:color w:val="BC091B"/>
      <w:sz w:val="28"/>
      <w:szCs w:val="24"/>
    </w:rPr>
  </w:style>
  <w:style w:type="character" w:customStyle="1" w:styleId="PodtitulChar">
    <w:name w:val="Podtitul Char"/>
    <w:link w:val="Podtitul"/>
    <w:uiPriority w:val="11"/>
    <w:rsid w:val="004900FF"/>
    <w:rPr>
      <w:rFonts w:ascii="Arial" w:eastAsia="Times New Roman" w:hAnsi="Arial"/>
      <w:b/>
      <w:color w:val="BC091B"/>
      <w:sz w:val="28"/>
      <w:szCs w:val="24"/>
      <w:lang w:bidi="ar-SA"/>
    </w:rPr>
  </w:style>
  <w:style w:type="paragraph" w:styleId="Nadpisobsahu">
    <w:name w:val="TOC Heading"/>
    <w:basedOn w:val="Nadpis1"/>
    <w:next w:val="Normln"/>
    <w:uiPriority w:val="39"/>
    <w:semiHidden/>
    <w:unhideWhenUsed/>
    <w:qFormat/>
    <w:rsid w:val="00DB6382"/>
    <w:pPr>
      <w:spacing w:before="480" w:after="0" w:line="276" w:lineRule="auto"/>
      <w:contextualSpacing w:val="0"/>
      <w:outlineLvl w:val="9"/>
    </w:pPr>
    <w:rPr>
      <w:rFonts w:ascii="Cambria" w:eastAsia="Times New Roman" w:hAnsi="Cambria"/>
      <w:color w:val="365F91"/>
      <w:sz w:val="28"/>
      <w:lang w:eastAsia="en-US"/>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9539D"/>
    <w:pPr>
      <w:ind w:left="426"/>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table" w:styleId="Mkatabulky">
    <w:name w:val="Table Grid"/>
    <w:basedOn w:val="Normlntabulka"/>
    <w:uiPriority w:val="59"/>
    <w:rsid w:val="00EE6F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podarou">
    <w:name w:val="footnote text"/>
    <w:basedOn w:val="Normln"/>
    <w:link w:val="TextpoznpodarouChar"/>
    <w:uiPriority w:val="99"/>
    <w:semiHidden/>
    <w:unhideWhenUsed/>
    <w:rsid w:val="00087569"/>
    <w:rPr>
      <w:szCs w:val="20"/>
    </w:rPr>
  </w:style>
  <w:style w:type="character" w:customStyle="1" w:styleId="TextpoznpodarouChar">
    <w:name w:val="Text pozn. pod čarou Char"/>
    <w:basedOn w:val="Standardnpsmoodstavce"/>
    <w:link w:val="Textpoznpodarou"/>
    <w:uiPriority w:val="99"/>
    <w:semiHidden/>
    <w:rsid w:val="00087569"/>
    <w:rPr>
      <w:rFonts w:ascii="Arial" w:eastAsia="Times New Roman" w:hAnsi="Arial"/>
    </w:rPr>
  </w:style>
  <w:style w:type="character" w:styleId="Znakapoznpodarou">
    <w:name w:val="footnote reference"/>
    <w:basedOn w:val="Standardnpsmoodstavce"/>
    <w:uiPriority w:val="99"/>
    <w:semiHidden/>
    <w:unhideWhenUsed/>
    <w:rsid w:val="00087569"/>
    <w:rPr>
      <w:vertAlign w:val="superscript"/>
    </w:rPr>
  </w:style>
  <w:style w:type="character" w:styleId="Odkaznakoment">
    <w:name w:val="annotation reference"/>
    <w:basedOn w:val="Standardnpsmoodstavce"/>
    <w:uiPriority w:val="99"/>
    <w:semiHidden/>
    <w:unhideWhenUsed/>
    <w:rsid w:val="00311229"/>
    <w:rPr>
      <w:sz w:val="16"/>
      <w:szCs w:val="16"/>
    </w:rPr>
  </w:style>
  <w:style w:type="paragraph" w:styleId="Textkomente">
    <w:name w:val="annotation text"/>
    <w:basedOn w:val="Normln"/>
    <w:link w:val="TextkomenteChar"/>
    <w:uiPriority w:val="99"/>
    <w:semiHidden/>
    <w:unhideWhenUsed/>
    <w:rsid w:val="00311229"/>
    <w:rPr>
      <w:szCs w:val="20"/>
    </w:rPr>
  </w:style>
  <w:style w:type="character" w:customStyle="1" w:styleId="TextkomenteChar">
    <w:name w:val="Text komentáře Char"/>
    <w:basedOn w:val="Standardnpsmoodstavce"/>
    <w:link w:val="Textkomente"/>
    <w:uiPriority w:val="99"/>
    <w:semiHidden/>
    <w:rsid w:val="00311229"/>
    <w:rPr>
      <w:rFonts w:ascii="Arial" w:eastAsia="Times New Roman" w:hAnsi="Arial"/>
    </w:rPr>
  </w:style>
  <w:style w:type="paragraph" w:styleId="Pedmtkomente">
    <w:name w:val="annotation subject"/>
    <w:basedOn w:val="Textkomente"/>
    <w:next w:val="Textkomente"/>
    <w:link w:val="PedmtkomenteChar"/>
    <w:uiPriority w:val="99"/>
    <w:semiHidden/>
    <w:unhideWhenUsed/>
    <w:rsid w:val="00311229"/>
    <w:rPr>
      <w:b/>
      <w:bCs/>
    </w:rPr>
  </w:style>
  <w:style w:type="character" w:customStyle="1" w:styleId="PedmtkomenteChar">
    <w:name w:val="Předmět komentáře Char"/>
    <w:basedOn w:val="TextkomenteChar"/>
    <w:link w:val="Pedmtkomente"/>
    <w:uiPriority w:val="99"/>
    <w:semiHidden/>
    <w:rsid w:val="00311229"/>
    <w:rPr>
      <w:b/>
      <w:bCs/>
    </w:rPr>
  </w:style>
  <w:style w:type="paragraph" w:customStyle="1" w:styleId="Default">
    <w:name w:val="Default"/>
    <w:rsid w:val="00D8415C"/>
    <w:pPr>
      <w:autoSpaceDE w:val="0"/>
      <w:autoSpaceDN w:val="0"/>
      <w:adjustRightInd w:val="0"/>
    </w:pPr>
    <w:rPr>
      <w:rFonts w:ascii="Arial" w:hAnsi="Arial" w:cs="Arial"/>
      <w:color w:val="000000"/>
      <w:sz w:val="24"/>
      <w:szCs w:val="24"/>
    </w:rPr>
  </w:style>
  <w:style w:type="paragraph" w:styleId="Zkladntextodsazen2">
    <w:name w:val="Body Text Indent 2"/>
    <w:basedOn w:val="Normln"/>
    <w:link w:val="Zkladntextodsazen2Char"/>
    <w:uiPriority w:val="99"/>
    <w:semiHidden/>
    <w:unhideWhenUsed/>
    <w:rsid w:val="00F17074"/>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F17074"/>
    <w:rPr>
      <w:rFonts w:ascii="Arial" w:eastAsia="Times New Roman" w:hAnsi="Arial"/>
      <w:szCs w:val="24"/>
    </w:rPr>
  </w:style>
  <w:style w:type="paragraph" w:styleId="Seznamsodrkami2">
    <w:name w:val="List Bullet 2"/>
    <w:basedOn w:val="Normln"/>
    <w:autoRedefine/>
    <w:uiPriority w:val="99"/>
    <w:unhideWhenUsed/>
    <w:rsid w:val="00F17074"/>
    <w:pPr>
      <w:spacing w:after="0" w:line="240" w:lineRule="auto"/>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905525">
      <w:bodyDiv w:val="1"/>
      <w:marLeft w:val="0"/>
      <w:marRight w:val="0"/>
      <w:marTop w:val="0"/>
      <w:marBottom w:val="0"/>
      <w:divBdr>
        <w:top w:val="none" w:sz="0" w:space="0" w:color="auto"/>
        <w:left w:val="none" w:sz="0" w:space="0" w:color="auto"/>
        <w:bottom w:val="none" w:sz="0" w:space="0" w:color="auto"/>
        <w:right w:val="none" w:sz="0" w:space="0" w:color="auto"/>
      </w:divBdr>
    </w:div>
    <w:div w:id="49499398">
      <w:bodyDiv w:val="1"/>
      <w:marLeft w:val="0"/>
      <w:marRight w:val="0"/>
      <w:marTop w:val="0"/>
      <w:marBottom w:val="0"/>
      <w:divBdr>
        <w:top w:val="none" w:sz="0" w:space="0" w:color="auto"/>
        <w:left w:val="none" w:sz="0" w:space="0" w:color="auto"/>
        <w:bottom w:val="none" w:sz="0" w:space="0" w:color="auto"/>
        <w:right w:val="none" w:sz="0" w:space="0" w:color="auto"/>
      </w:divBdr>
    </w:div>
    <w:div w:id="63335765">
      <w:bodyDiv w:val="1"/>
      <w:marLeft w:val="0"/>
      <w:marRight w:val="0"/>
      <w:marTop w:val="0"/>
      <w:marBottom w:val="0"/>
      <w:divBdr>
        <w:top w:val="none" w:sz="0" w:space="0" w:color="auto"/>
        <w:left w:val="none" w:sz="0" w:space="0" w:color="auto"/>
        <w:bottom w:val="none" w:sz="0" w:space="0" w:color="auto"/>
        <w:right w:val="none" w:sz="0" w:space="0" w:color="auto"/>
      </w:divBdr>
    </w:div>
    <w:div w:id="107354285">
      <w:bodyDiv w:val="1"/>
      <w:marLeft w:val="0"/>
      <w:marRight w:val="0"/>
      <w:marTop w:val="0"/>
      <w:marBottom w:val="0"/>
      <w:divBdr>
        <w:top w:val="none" w:sz="0" w:space="0" w:color="auto"/>
        <w:left w:val="none" w:sz="0" w:space="0" w:color="auto"/>
        <w:bottom w:val="none" w:sz="0" w:space="0" w:color="auto"/>
        <w:right w:val="none" w:sz="0" w:space="0" w:color="auto"/>
      </w:divBdr>
    </w:div>
    <w:div w:id="205601883">
      <w:bodyDiv w:val="1"/>
      <w:marLeft w:val="0"/>
      <w:marRight w:val="0"/>
      <w:marTop w:val="0"/>
      <w:marBottom w:val="0"/>
      <w:divBdr>
        <w:top w:val="none" w:sz="0" w:space="0" w:color="auto"/>
        <w:left w:val="none" w:sz="0" w:space="0" w:color="auto"/>
        <w:bottom w:val="none" w:sz="0" w:space="0" w:color="auto"/>
        <w:right w:val="none" w:sz="0" w:space="0" w:color="auto"/>
      </w:divBdr>
    </w:div>
    <w:div w:id="222788653">
      <w:bodyDiv w:val="1"/>
      <w:marLeft w:val="0"/>
      <w:marRight w:val="0"/>
      <w:marTop w:val="0"/>
      <w:marBottom w:val="0"/>
      <w:divBdr>
        <w:top w:val="none" w:sz="0" w:space="0" w:color="auto"/>
        <w:left w:val="none" w:sz="0" w:space="0" w:color="auto"/>
        <w:bottom w:val="none" w:sz="0" w:space="0" w:color="auto"/>
        <w:right w:val="none" w:sz="0" w:space="0" w:color="auto"/>
      </w:divBdr>
    </w:div>
    <w:div w:id="242178100">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294144084">
      <w:bodyDiv w:val="1"/>
      <w:marLeft w:val="0"/>
      <w:marRight w:val="0"/>
      <w:marTop w:val="0"/>
      <w:marBottom w:val="0"/>
      <w:divBdr>
        <w:top w:val="none" w:sz="0" w:space="0" w:color="auto"/>
        <w:left w:val="none" w:sz="0" w:space="0" w:color="auto"/>
        <w:bottom w:val="none" w:sz="0" w:space="0" w:color="auto"/>
        <w:right w:val="none" w:sz="0" w:space="0" w:color="auto"/>
      </w:divBdr>
    </w:div>
    <w:div w:id="304941122">
      <w:bodyDiv w:val="1"/>
      <w:marLeft w:val="0"/>
      <w:marRight w:val="0"/>
      <w:marTop w:val="0"/>
      <w:marBottom w:val="0"/>
      <w:divBdr>
        <w:top w:val="none" w:sz="0" w:space="0" w:color="auto"/>
        <w:left w:val="none" w:sz="0" w:space="0" w:color="auto"/>
        <w:bottom w:val="none" w:sz="0" w:space="0" w:color="auto"/>
        <w:right w:val="none" w:sz="0" w:space="0" w:color="auto"/>
      </w:divBdr>
    </w:div>
    <w:div w:id="310015693">
      <w:bodyDiv w:val="1"/>
      <w:marLeft w:val="0"/>
      <w:marRight w:val="0"/>
      <w:marTop w:val="0"/>
      <w:marBottom w:val="0"/>
      <w:divBdr>
        <w:top w:val="none" w:sz="0" w:space="0" w:color="auto"/>
        <w:left w:val="none" w:sz="0" w:space="0" w:color="auto"/>
        <w:bottom w:val="none" w:sz="0" w:space="0" w:color="auto"/>
        <w:right w:val="none" w:sz="0" w:space="0" w:color="auto"/>
      </w:divBdr>
    </w:div>
    <w:div w:id="391316951">
      <w:bodyDiv w:val="1"/>
      <w:marLeft w:val="0"/>
      <w:marRight w:val="0"/>
      <w:marTop w:val="0"/>
      <w:marBottom w:val="0"/>
      <w:divBdr>
        <w:top w:val="none" w:sz="0" w:space="0" w:color="auto"/>
        <w:left w:val="none" w:sz="0" w:space="0" w:color="auto"/>
        <w:bottom w:val="none" w:sz="0" w:space="0" w:color="auto"/>
        <w:right w:val="none" w:sz="0" w:space="0" w:color="auto"/>
      </w:divBdr>
    </w:div>
    <w:div w:id="448820682">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24292452">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580263244">
      <w:bodyDiv w:val="1"/>
      <w:marLeft w:val="0"/>
      <w:marRight w:val="0"/>
      <w:marTop w:val="0"/>
      <w:marBottom w:val="0"/>
      <w:divBdr>
        <w:top w:val="none" w:sz="0" w:space="0" w:color="auto"/>
        <w:left w:val="none" w:sz="0" w:space="0" w:color="auto"/>
        <w:bottom w:val="none" w:sz="0" w:space="0" w:color="auto"/>
        <w:right w:val="none" w:sz="0" w:space="0" w:color="auto"/>
      </w:divBdr>
    </w:div>
    <w:div w:id="589392418">
      <w:bodyDiv w:val="1"/>
      <w:marLeft w:val="0"/>
      <w:marRight w:val="0"/>
      <w:marTop w:val="0"/>
      <w:marBottom w:val="0"/>
      <w:divBdr>
        <w:top w:val="none" w:sz="0" w:space="0" w:color="auto"/>
        <w:left w:val="none" w:sz="0" w:space="0" w:color="auto"/>
        <w:bottom w:val="none" w:sz="0" w:space="0" w:color="auto"/>
        <w:right w:val="none" w:sz="0" w:space="0" w:color="auto"/>
      </w:divBdr>
    </w:div>
    <w:div w:id="589510218">
      <w:bodyDiv w:val="1"/>
      <w:marLeft w:val="0"/>
      <w:marRight w:val="0"/>
      <w:marTop w:val="0"/>
      <w:marBottom w:val="0"/>
      <w:divBdr>
        <w:top w:val="none" w:sz="0" w:space="0" w:color="auto"/>
        <w:left w:val="none" w:sz="0" w:space="0" w:color="auto"/>
        <w:bottom w:val="none" w:sz="0" w:space="0" w:color="auto"/>
        <w:right w:val="none" w:sz="0" w:space="0" w:color="auto"/>
      </w:divBdr>
    </w:div>
    <w:div w:id="601650656">
      <w:bodyDiv w:val="1"/>
      <w:marLeft w:val="0"/>
      <w:marRight w:val="0"/>
      <w:marTop w:val="0"/>
      <w:marBottom w:val="0"/>
      <w:divBdr>
        <w:top w:val="none" w:sz="0" w:space="0" w:color="auto"/>
        <w:left w:val="none" w:sz="0" w:space="0" w:color="auto"/>
        <w:bottom w:val="none" w:sz="0" w:space="0" w:color="auto"/>
        <w:right w:val="none" w:sz="0" w:space="0" w:color="auto"/>
      </w:divBdr>
    </w:div>
    <w:div w:id="631327174">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15736648">
      <w:bodyDiv w:val="1"/>
      <w:marLeft w:val="0"/>
      <w:marRight w:val="0"/>
      <w:marTop w:val="0"/>
      <w:marBottom w:val="0"/>
      <w:divBdr>
        <w:top w:val="none" w:sz="0" w:space="0" w:color="auto"/>
        <w:left w:val="none" w:sz="0" w:space="0" w:color="auto"/>
        <w:bottom w:val="none" w:sz="0" w:space="0" w:color="auto"/>
        <w:right w:val="none" w:sz="0" w:space="0" w:color="auto"/>
      </w:divBdr>
    </w:div>
    <w:div w:id="726925808">
      <w:bodyDiv w:val="1"/>
      <w:marLeft w:val="0"/>
      <w:marRight w:val="0"/>
      <w:marTop w:val="0"/>
      <w:marBottom w:val="0"/>
      <w:divBdr>
        <w:top w:val="none" w:sz="0" w:space="0" w:color="auto"/>
        <w:left w:val="none" w:sz="0" w:space="0" w:color="auto"/>
        <w:bottom w:val="none" w:sz="0" w:space="0" w:color="auto"/>
        <w:right w:val="none" w:sz="0" w:space="0" w:color="auto"/>
      </w:divBdr>
    </w:div>
    <w:div w:id="742214059">
      <w:bodyDiv w:val="1"/>
      <w:marLeft w:val="0"/>
      <w:marRight w:val="0"/>
      <w:marTop w:val="0"/>
      <w:marBottom w:val="0"/>
      <w:divBdr>
        <w:top w:val="none" w:sz="0" w:space="0" w:color="auto"/>
        <w:left w:val="none" w:sz="0" w:space="0" w:color="auto"/>
        <w:bottom w:val="none" w:sz="0" w:space="0" w:color="auto"/>
        <w:right w:val="none" w:sz="0" w:space="0" w:color="auto"/>
      </w:divBdr>
    </w:div>
    <w:div w:id="936795066">
      <w:bodyDiv w:val="1"/>
      <w:marLeft w:val="0"/>
      <w:marRight w:val="0"/>
      <w:marTop w:val="0"/>
      <w:marBottom w:val="0"/>
      <w:divBdr>
        <w:top w:val="none" w:sz="0" w:space="0" w:color="auto"/>
        <w:left w:val="none" w:sz="0" w:space="0" w:color="auto"/>
        <w:bottom w:val="none" w:sz="0" w:space="0" w:color="auto"/>
        <w:right w:val="none" w:sz="0" w:space="0" w:color="auto"/>
      </w:divBdr>
    </w:div>
    <w:div w:id="945846299">
      <w:bodyDiv w:val="1"/>
      <w:marLeft w:val="0"/>
      <w:marRight w:val="0"/>
      <w:marTop w:val="0"/>
      <w:marBottom w:val="0"/>
      <w:divBdr>
        <w:top w:val="none" w:sz="0" w:space="0" w:color="auto"/>
        <w:left w:val="none" w:sz="0" w:space="0" w:color="auto"/>
        <w:bottom w:val="none" w:sz="0" w:space="0" w:color="auto"/>
        <w:right w:val="none" w:sz="0" w:space="0" w:color="auto"/>
      </w:divBdr>
    </w:div>
    <w:div w:id="1077360702">
      <w:bodyDiv w:val="1"/>
      <w:marLeft w:val="0"/>
      <w:marRight w:val="0"/>
      <w:marTop w:val="0"/>
      <w:marBottom w:val="0"/>
      <w:divBdr>
        <w:top w:val="none" w:sz="0" w:space="0" w:color="auto"/>
        <w:left w:val="none" w:sz="0" w:space="0" w:color="auto"/>
        <w:bottom w:val="none" w:sz="0" w:space="0" w:color="auto"/>
        <w:right w:val="none" w:sz="0" w:space="0" w:color="auto"/>
      </w:divBdr>
    </w:div>
    <w:div w:id="1083338904">
      <w:bodyDiv w:val="1"/>
      <w:marLeft w:val="0"/>
      <w:marRight w:val="0"/>
      <w:marTop w:val="0"/>
      <w:marBottom w:val="0"/>
      <w:divBdr>
        <w:top w:val="none" w:sz="0" w:space="0" w:color="auto"/>
        <w:left w:val="none" w:sz="0" w:space="0" w:color="auto"/>
        <w:bottom w:val="none" w:sz="0" w:space="0" w:color="auto"/>
        <w:right w:val="none" w:sz="0" w:space="0" w:color="auto"/>
      </w:divBdr>
    </w:div>
    <w:div w:id="1204488124">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216551455">
      <w:bodyDiv w:val="1"/>
      <w:marLeft w:val="0"/>
      <w:marRight w:val="0"/>
      <w:marTop w:val="0"/>
      <w:marBottom w:val="0"/>
      <w:divBdr>
        <w:top w:val="none" w:sz="0" w:space="0" w:color="auto"/>
        <w:left w:val="none" w:sz="0" w:space="0" w:color="auto"/>
        <w:bottom w:val="none" w:sz="0" w:space="0" w:color="auto"/>
        <w:right w:val="none" w:sz="0" w:space="0" w:color="auto"/>
      </w:divBdr>
    </w:div>
    <w:div w:id="1295406421">
      <w:bodyDiv w:val="1"/>
      <w:marLeft w:val="0"/>
      <w:marRight w:val="0"/>
      <w:marTop w:val="0"/>
      <w:marBottom w:val="0"/>
      <w:divBdr>
        <w:top w:val="none" w:sz="0" w:space="0" w:color="auto"/>
        <w:left w:val="none" w:sz="0" w:space="0" w:color="auto"/>
        <w:bottom w:val="none" w:sz="0" w:space="0" w:color="auto"/>
        <w:right w:val="none" w:sz="0" w:space="0" w:color="auto"/>
      </w:divBdr>
    </w:div>
    <w:div w:id="1338652981">
      <w:bodyDiv w:val="1"/>
      <w:marLeft w:val="0"/>
      <w:marRight w:val="0"/>
      <w:marTop w:val="0"/>
      <w:marBottom w:val="0"/>
      <w:divBdr>
        <w:top w:val="none" w:sz="0" w:space="0" w:color="auto"/>
        <w:left w:val="none" w:sz="0" w:space="0" w:color="auto"/>
        <w:bottom w:val="none" w:sz="0" w:space="0" w:color="auto"/>
        <w:right w:val="none" w:sz="0" w:space="0" w:color="auto"/>
      </w:divBdr>
    </w:div>
    <w:div w:id="1377661171">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5387349">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613706392">
      <w:bodyDiv w:val="1"/>
      <w:marLeft w:val="0"/>
      <w:marRight w:val="0"/>
      <w:marTop w:val="0"/>
      <w:marBottom w:val="0"/>
      <w:divBdr>
        <w:top w:val="none" w:sz="0" w:space="0" w:color="auto"/>
        <w:left w:val="none" w:sz="0" w:space="0" w:color="auto"/>
        <w:bottom w:val="none" w:sz="0" w:space="0" w:color="auto"/>
        <w:right w:val="none" w:sz="0" w:space="0" w:color="auto"/>
      </w:divBdr>
    </w:div>
    <w:div w:id="1623076774">
      <w:bodyDiv w:val="1"/>
      <w:marLeft w:val="0"/>
      <w:marRight w:val="0"/>
      <w:marTop w:val="0"/>
      <w:marBottom w:val="0"/>
      <w:divBdr>
        <w:top w:val="none" w:sz="0" w:space="0" w:color="auto"/>
        <w:left w:val="none" w:sz="0" w:space="0" w:color="auto"/>
        <w:bottom w:val="none" w:sz="0" w:space="0" w:color="auto"/>
        <w:right w:val="none" w:sz="0" w:space="0" w:color="auto"/>
      </w:divBdr>
    </w:div>
    <w:div w:id="1741900900">
      <w:bodyDiv w:val="1"/>
      <w:marLeft w:val="0"/>
      <w:marRight w:val="0"/>
      <w:marTop w:val="0"/>
      <w:marBottom w:val="0"/>
      <w:divBdr>
        <w:top w:val="none" w:sz="0" w:space="0" w:color="auto"/>
        <w:left w:val="none" w:sz="0" w:space="0" w:color="auto"/>
        <w:bottom w:val="none" w:sz="0" w:space="0" w:color="auto"/>
        <w:right w:val="none" w:sz="0" w:space="0" w:color="auto"/>
      </w:divBdr>
    </w:div>
    <w:div w:id="1745452204">
      <w:bodyDiv w:val="1"/>
      <w:marLeft w:val="0"/>
      <w:marRight w:val="0"/>
      <w:marTop w:val="0"/>
      <w:marBottom w:val="0"/>
      <w:divBdr>
        <w:top w:val="none" w:sz="0" w:space="0" w:color="auto"/>
        <w:left w:val="none" w:sz="0" w:space="0" w:color="auto"/>
        <w:bottom w:val="none" w:sz="0" w:space="0" w:color="auto"/>
        <w:right w:val="none" w:sz="0" w:space="0" w:color="auto"/>
      </w:divBdr>
    </w:div>
    <w:div w:id="1863320186">
      <w:bodyDiv w:val="1"/>
      <w:marLeft w:val="0"/>
      <w:marRight w:val="0"/>
      <w:marTop w:val="0"/>
      <w:marBottom w:val="0"/>
      <w:divBdr>
        <w:top w:val="none" w:sz="0" w:space="0" w:color="auto"/>
        <w:left w:val="none" w:sz="0" w:space="0" w:color="auto"/>
        <w:bottom w:val="none" w:sz="0" w:space="0" w:color="auto"/>
        <w:right w:val="none" w:sz="0" w:space="0" w:color="auto"/>
      </w:divBdr>
    </w:div>
    <w:div w:id="1874074513">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24952733">
      <w:bodyDiv w:val="1"/>
      <w:marLeft w:val="0"/>
      <w:marRight w:val="0"/>
      <w:marTop w:val="0"/>
      <w:marBottom w:val="0"/>
      <w:divBdr>
        <w:top w:val="none" w:sz="0" w:space="0" w:color="auto"/>
        <w:left w:val="none" w:sz="0" w:space="0" w:color="auto"/>
        <w:bottom w:val="none" w:sz="0" w:space="0" w:color="auto"/>
        <w:right w:val="none" w:sz="0" w:space="0" w:color="auto"/>
      </w:divBdr>
    </w:div>
    <w:div w:id="1934776661">
      <w:bodyDiv w:val="1"/>
      <w:marLeft w:val="0"/>
      <w:marRight w:val="0"/>
      <w:marTop w:val="0"/>
      <w:marBottom w:val="0"/>
      <w:divBdr>
        <w:top w:val="none" w:sz="0" w:space="0" w:color="auto"/>
        <w:left w:val="none" w:sz="0" w:space="0" w:color="auto"/>
        <w:bottom w:val="none" w:sz="0" w:space="0" w:color="auto"/>
        <w:right w:val="none" w:sz="0" w:space="0" w:color="auto"/>
      </w:divBdr>
    </w:div>
    <w:div w:id="1940679426">
      <w:bodyDiv w:val="1"/>
      <w:marLeft w:val="0"/>
      <w:marRight w:val="0"/>
      <w:marTop w:val="0"/>
      <w:marBottom w:val="0"/>
      <w:divBdr>
        <w:top w:val="none" w:sz="0" w:space="0" w:color="auto"/>
        <w:left w:val="none" w:sz="0" w:space="0" w:color="auto"/>
        <w:bottom w:val="none" w:sz="0" w:space="0" w:color="auto"/>
        <w:right w:val="none" w:sz="0" w:space="0" w:color="auto"/>
      </w:divBdr>
    </w:div>
    <w:div w:id="2051417258">
      <w:bodyDiv w:val="1"/>
      <w:marLeft w:val="0"/>
      <w:marRight w:val="0"/>
      <w:marTop w:val="0"/>
      <w:marBottom w:val="0"/>
      <w:divBdr>
        <w:top w:val="none" w:sz="0" w:space="0" w:color="auto"/>
        <w:left w:val="none" w:sz="0" w:space="0" w:color="auto"/>
        <w:bottom w:val="none" w:sz="0" w:space="0" w:color="auto"/>
        <w:right w:val="none" w:sz="0" w:space="0" w:color="auto"/>
      </w:divBdr>
    </w:div>
    <w:div w:id="2082286315">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089839674">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 w:id="2123958897">
      <w:bodyDiv w:val="1"/>
      <w:marLeft w:val="0"/>
      <w:marRight w:val="0"/>
      <w:marTop w:val="0"/>
      <w:marBottom w:val="0"/>
      <w:divBdr>
        <w:top w:val="none" w:sz="0" w:space="0" w:color="auto"/>
        <w:left w:val="none" w:sz="0" w:space="0" w:color="auto"/>
        <w:bottom w:val="none" w:sz="0" w:space="0" w:color="auto"/>
        <w:right w:val="none" w:sz="0" w:space="0" w:color="auto"/>
      </w:divBdr>
    </w:div>
    <w:div w:id="2143960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ALO~1\AppData\Local\Temp\Publikace%20bar%20CZ_lide%20a%20spolecnost_2016-03-29.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E94B54-75E3-4BED-852E-ACE60DE68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 CZ_lide a spolecnost_2016-03-29.dot</Template>
  <TotalTime>1</TotalTime>
  <Pages>7</Pages>
  <Words>3369</Words>
  <Characters>19878</Characters>
  <Application>Microsoft Office Word</Application>
  <DocSecurity>0</DocSecurity>
  <Lines>165</Lines>
  <Paragraphs>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pubalova6594</dc:creator>
  <cp:lastModifiedBy>Milan Dedera</cp:lastModifiedBy>
  <cp:revision>3</cp:revision>
  <cp:lastPrinted>2018-05-29T09:38:00Z</cp:lastPrinted>
  <dcterms:created xsi:type="dcterms:W3CDTF">2018-05-29T12:32:00Z</dcterms:created>
  <dcterms:modified xsi:type="dcterms:W3CDTF">2018-05-29T12:32:00Z</dcterms:modified>
</cp:coreProperties>
</file>