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EDB3C" w14:textId="77777777" w:rsidR="00803507" w:rsidRPr="00884D55" w:rsidRDefault="00803507" w:rsidP="00803507">
      <w:pPr>
        <w:pStyle w:val="Nadpis1"/>
        <w:rPr>
          <w:lang w:val="en-GB"/>
        </w:rPr>
      </w:pPr>
      <w:bookmarkStart w:id="0" w:name="_Toc176767107"/>
      <w:bookmarkStart w:id="1" w:name="_Toc196386139"/>
      <w:r w:rsidRPr="00884D55">
        <w:rPr>
          <w:lang w:val="en-GB"/>
        </w:rPr>
        <w:t>3. Branches Performance</w:t>
      </w:r>
      <w:bookmarkEnd w:id="1"/>
    </w:p>
    <w:tbl>
      <w:tblPr>
        <w:tblW w:w="9639" w:type="dxa"/>
        <w:tblInd w:w="-20" w:type="dxa"/>
        <w:tblLayout w:type="fixed"/>
        <w:tblCellMar>
          <w:left w:w="0" w:type="dxa"/>
          <w:right w:w="0" w:type="dxa"/>
        </w:tblCellMar>
        <w:tblLook w:val="00A0" w:firstRow="1" w:lastRow="0" w:firstColumn="1" w:lastColumn="0" w:noHBand="0" w:noVBand="0"/>
      </w:tblPr>
      <w:tblGrid>
        <w:gridCol w:w="1814"/>
        <w:gridCol w:w="229"/>
        <w:gridCol w:w="7596"/>
      </w:tblGrid>
      <w:tr w:rsidR="00C30314" w:rsidRPr="00884D55" w14:paraId="74854238" w14:textId="77777777" w:rsidTr="00803507">
        <w:trPr>
          <w:trHeight w:val="145"/>
        </w:trPr>
        <w:tc>
          <w:tcPr>
            <w:tcW w:w="1814" w:type="dxa"/>
            <w:shd w:val="clear" w:color="auto" w:fill="auto"/>
            <w:tcMar>
              <w:left w:w="0" w:type="dxa"/>
            </w:tcMar>
          </w:tcPr>
          <w:p w14:paraId="31FD31E3" w14:textId="259C82DA" w:rsidR="00C30314" w:rsidRPr="00884D55" w:rsidRDefault="00C30314" w:rsidP="00C30314">
            <w:pPr>
              <w:pStyle w:val="Marginlie"/>
              <w:rPr>
                <w:lang w:val="en-GB"/>
              </w:rPr>
            </w:pPr>
            <w:r w:rsidRPr="00884D55">
              <w:rPr>
                <w:lang w:val="en-GB"/>
              </w:rPr>
              <w:t>The quarter-on-quarter growth of GVA gradually increased slightly during the last year and it permeated almost all key branches in Q3</w:t>
            </w:r>
            <w:r>
              <w:rPr>
                <w:lang w:val="en-GB"/>
              </w:rPr>
              <w:t xml:space="preserve"> 2024</w:t>
            </w:r>
            <w:r w:rsidRPr="00884D55">
              <w:rPr>
                <w:lang w:val="en-GB"/>
              </w:rPr>
              <w:t xml:space="preserve">. </w:t>
            </w:r>
          </w:p>
        </w:tc>
        <w:tc>
          <w:tcPr>
            <w:tcW w:w="229" w:type="dxa"/>
            <w:shd w:val="clear" w:color="auto" w:fill="auto"/>
            <w:tcMar>
              <w:left w:w="0" w:type="dxa"/>
            </w:tcMar>
          </w:tcPr>
          <w:p w14:paraId="596FA7EF" w14:textId="77777777" w:rsidR="00C30314" w:rsidRPr="00884D55" w:rsidRDefault="00C30314" w:rsidP="00C30314">
            <w:pPr>
              <w:pStyle w:val="Textpoznpodarou"/>
              <w:jc w:val="both"/>
              <w:rPr>
                <w:spacing w:val="-4"/>
                <w:lang w:val="en-GB"/>
              </w:rPr>
            </w:pPr>
          </w:p>
        </w:tc>
        <w:tc>
          <w:tcPr>
            <w:tcW w:w="7596" w:type="dxa"/>
            <w:shd w:val="clear" w:color="auto" w:fill="auto"/>
            <w:tcMar>
              <w:left w:w="0" w:type="dxa"/>
            </w:tcMar>
          </w:tcPr>
          <w:p w14:paraId="2B8A5255" w14:textId="0054A916" w:rsidR="00C30314" w:rsidRPr="00884D55" w:rsidRDefault="00C30314" w:rsidP="00C30314">
            <w:pPr>
              <w:spacing w:after="200"/>
              <w:rPr>
                <w:lang w:val="en-GB"/>
              </w:rPr>
            </w:pPr>
            <w:r w:rsidRPr="00884D55">
              <w:rPr>
                <w:lang w:val="en-GB"/>
              </w:rPr>
              <w:t>The economy gradually recovered from the previous mild recession in the course of the last year. While the performance of all branches of the national economy captured by the gross value added (GVA)</w:t>
            </w:r>
            <w:r w:rsidRPr="00884D55">
              <w:rPr>
                <w:rStyle w:val="Znakapoznpodarou"/>
                <w:color w:val="0D0D0D" w:themeColor="text1" w:themeTint="F2"/>
                <w:spacing w:val="-5"/>
                <w:lang w:val="en-GB"/>
              </w:rPr>
              <w:footnoteReference w:id="2"/>
            </w:r>
            <w:r w:rsidRPr="00884D55">
              <w:rPr>
                <w:lang w:val="en-GB"/>
              </w:rPr>
              <w:t xml:space="preserve"> indicator decreased still more slightly, quarter-on-quarter (−0.1%), in Q1 2024, a slight growth was evident in the following part of the year, driven by most of the main branches of services. The total performance of the branch was less than 2% above the same period of the expansion year 2019 in Q4, however exclusively due to services (especially ICT and finance)</w:t>
            </w:r>
            <w:r w:rsidRPr="00884D55">
              <w:rPr>
                <w:rStyle w:val="Znakapoznpodarou"/>
                <w:lang w:val="en-GB"/>
              </w:rPr>
              <w:footnoteReference w:id="3"/>
            </w:r>
            <w:r w:rsidRPr="00884D55">
              <w:rPr>
                <w:lang w:val="en-GB"/>
              </w:rPr>
              <w:t xml:space="preserve">. </w:t>
            </w:r>
          </w:p>
        </w:tc>
      </w:tr>
      <w:tr w:rsidR="00C30314" w:rsidRPr="00884D55" w14:paraId="02B24FA1" w14:textId="77777777" w:rsidTr="00803507">
        <w:trPr>
          <w:trHeight w:val="145"/>
        </w:trPr>
        <w:tc>
          <w:tcPr>
            <w:tcW w:w="1814" w:type="dxa"/>
            <w:shd w:val="clear" w:color="auto" w:fill="auto"/>
            <w:tcMar>
              <w:left w:w="0" w:type="dxa"/>
            </w:tcMar>
          </w:tcPr>
          <w:p w14:paraId="374A5927" w14:textId="272741C1" w:rsidR="00C30314" w:rsidRPr="00884D55" w:rsidRDefault="00C30314" w:rsidP="00C30314">
            <w:pPr>
              <w:pStyle w:val="Marginlie"/>
              <w:rPr>
                <w:lang w:val="en-GB"/>
              </w:rPr>
            </w:pPr>
            <w:r w:rsidRPr="00884D55">
              <w:rPr>
                <w:lang w:val="en-GB"/>
              </w:rPr>
              <w:t>The year-on-year GVA growth narrowed to 0.3% last year. The recession continued in industry. The construction industry has revived slightly. Services – especially finance, trade and tourism-related activities – fared well.</w:t>
            </w:r>
          </w:p>
        </w:tc>
        <w:tc>
          <w:tcPr>
            <w:tcW w:w="229" w:type="dxa"/>
            <w:shd w:val="clear" w:color="auto" w:fill="auto"/>
            <w:tcMar>
              <w:left w:w="0" w:type="dxa"/>
            </w:tcMar>
          </w:tcPr>
          <w:p w14:paraId="3A4AFBEB" w14:textId="77777777" w:rsidR="00C30314" w:rsidRPr="00884D55" w:rsidRDefault="00C30314" w:rsidP="00C30314">
            <w:pPr>
              <w:pStyle w:val="Textpoznpodarou"/>
              <w:jc w:val="both"/>
              <w:rPr>
                <w:spacing w:val="-4"/>
                <w:lang w:val="en-GB"/>
              </w:rPr>
            </w:pPr>
          </w:p>
        </w:tc>
        <w:tc>
          <w:tcPr>
            <w:tcW w:w="7596" w:type="dxa"/>
            <w:shd w:val="clear" w:color="auto" w:fill="auto"/>
            <w:tcMar>
              <w:left w:w="0" w:type="dxa"/>
            </w:tcMar>
          </w:tcPr>
          <w:p w14:paraId="69AF3C89" w14:textId="28124C1A" w:rsidR="00C30314" w:rsidRPr="00884D55" w:rsidRDefault="00C30314" w:rsidP="00C30314">
            <w:pPr>
              <w:spacing w:after="200"/>
              <w:rPr>
                <w:lang w:val="en-GB"/>
              </w:rPr>
            </w:pPr>
            <w:r w:rsidRPr="00884D55">
              <w:rPr>
                <w:lang w:val="en-GB"/>
              </w:rPr>
              <w:t>In total for the whole year 2024, GVA increased only by 0.3%</w:t>
            </w:r>
            <w:r w:rsidRPr="00884D55">
              <w:rPr>
                <w:rStyle w:val="Znakapoznpodarou"/>
                <w:lang w:val="en-GB"/>
              </w:rPr>
              <w:footnoteReference w:id="4"/>
            </w:r>
            <w:r w:rsidRPr="00884D55">
              <w:rPr>
                <w:lang w:val="en-GB"/>
              </w:rPr>
              <w:t xml:space="preserve"> (the least in the last four years). The recession in industry, which thus significantly counteracted economic growth last year (−0.5 p. p.), continued for the second year in a row. Weaker external demand dampened the output of manufacturing, which fell by 1.3%. Apart from the pandemic year of 2020, it represented the worst result since 2012. Other parts of industr</w:t>
            </w:r>
            <w:r>
              <w:rPr>
                <w:lang w:val="en-GB"/>
              </w:rPr>
              <w:t>y (i.e.</w:t>
            </w:r>
            <w:r w:rsidRPr="00884D55">
              <w:rPr>
                <w:lang w:val="en-GB"/>
              </w:rPr>
              <w:t xml:space="preserve"> mainly mining and energy) did not fare well either, the GVA decreased for the third year in a row (by more than 4% last year) there. The primary sector of the economy was also in a slight downturn, reflecting last year's weaker harvest of key crops</w:t>
            </w:r>
            <w:r w:rsidRPr="00884D55">
              <w:rPr>
                <w:rStyle w:val="Znakapoznpodarou"/>
                <w:lang w:val="en-GB"/>
              </w:rPr>
              <w:footnoteReference w:id="5"/>
            </w:r>
            <w:r w:rsidRPr="00884D55">
              <w:rPr>
                <w:lang w:val="en-GB"/>
              </w:rPr>
              <w:t xml:space="preserve"> as well as the lingering decline of wood logging. Animal production faced price fluctuations, nevertheless the situation in terms of production was stabilized here last year</w:t>
            </w:r>
            <w:r w:rsidRPr="00884D55">
              <w:rPr>
                <w:rStyle w:val="Znakapoznpodarou"/>
                <w:lang w:val="en-GB"/>
              </w:rPr>
              <w:footnoteReference w:id="6"/>
            </w:r>
            <w:r w:rsidRPr="00884D55">
              <w:rPr>
                <w:lang w:val="en-GB"/>
              </w:rPr>
              <w:t>. The GVA thanks to favourable weather conditions and solid demand from public contracting authorities increased for the first time after 2018 (+0.4%) in construction. The output in</w:t>
            </w:r>
            <w:r>
              <w:rPr>
                <w:lang w:val="en-GB"/>
              </w:rPr>
              <w:t xml:space="preserve">creased by 1.2% in the tertiary sector (i.e. services) </w:t>
            </w:r>
            <w:r w:rsidRPr="00884D55">
              <w:rPr>
                <w:lang w:val="en-GB"/>
              </w:rPr>
              <w:t>last year and contributed 0.8 p. p. to the GVA growth in the economy as a whole. Although almost all</w:t>
            </w:r>
            <w:r>
              <w:rPr>
                <w:lang w:val="en-GB"/>
              </w:rPr>
              <w:t xml:space="preserve"> major tertiary</w:t>
            </w:r>
            <w:r w:rsidRPr="00884D55">
              <w:rPr>
                <w:lang w:val="en-GB"/>
              </w:rPr>
              <w:t xml:space="preserve"> activities benefited from the growth of demand, the performance hiked up significantly only in financial and insurance activities (+4.7%).  </w:t>
            </w:r>
          </w:p>
        </w:tc>
      </w:tr>
      <w:tr w:rsidR="00C30314" w:rsidRPr="00884D55" w14:paraId="6A55B8E0" w14:textId="77777777" w:rsidTr="00803507">
        <w:trPr>
          <w:trHeight w:val="145"/>
        </w:trPr>
        <w:tc>
          <w:tcPr>
            <w:tcW w:w="1814" w:type="dxa"/>
            <w:shd w:val="clear" w:color="auto" w:fill="auto"/>
            <w:tcMar>
              <w:left w:w="0" w:type="dxa"/>
            </w:tcMar>
          </w:tcPr>
          <w:p w14:paraId="0DA590A2" w14:textId="77777777" w:rsidR="00C30314" w:rsidRPr="00884D55" w:rsidRDefault="00C30314" w:rsidP="00C30314">
            <w:pPr>
              <w:pStyle w:val="Marginlie"/>
              <w:spacing w:after="240"/>
              <w:rPr>
                <w:color w:val="0D0D0D" w:themeColor="text1" w:themeTint="F2"/>
                <w:spacing w:val="-4"/>
                <w:lang w:val="en-GB"/>
              </w:rPr>
            </w:pPr>
            <w:r w:rsidRPr="00884D55">
              <w:rPr>
                <w:color w:val="0D0D0D" w:themeColor="text1" w:themeTint="F2"/>
                <w:spacing w:val="-4"/>
                <w:lang w:val="en-GB"/>
              </w:rPr>
              <w:t xml:space="preserve">The industry went through a recession last year. Weak external demand and the fading effect of heightened production costs from the energy crisis were reflected. </w:t>
            </w:r>
          </w:p>
        </w:tc>
        <w:tc>
          <w:tcPr>
            <w:tcW w:w="229" w:type="dxa"/>
            <w:shd w:val="clear" w:color="auto" w:fill="auto"/>
            <w:tcMar>
              <w:left w:w="0" w:type="dxa"/>
            </w:tcMar>
          </w:tcPr>
          <w:p w14:paraId="23AA52B9" w14:textId="77777777" w:rsidR="00C30314" w:rsidRPr="00884D55" w:rsidRDefault="00C30314" w:rsidP="00C30314">
            <w:pPr>
              <w:pStyle w:val="Textpoznpodarou"/>
              <w:spacing w:after="240"/>
              <w:jc w:val="both"/>
              <w:rPr>
                <w:spacing w:val="-4"/>
                <w:lang w:val="en-GB"/>
              </w:rPr>
            </w:pPr>
          </w:p>
        </w:tc>
        <w:tc>
          <w:tcPr>
            <w:tcW w:w="7596" w:type="dxa"/>
            <w:shd w:val="clear" w:color="auto" w:fill="auto"/>
            <w:tcMar>
              <w:left w:w="0" w:type="dxa"/>
            </w:tcMar>
          </w:tcPr>
          <w:p w14:paraId="583452B4" w14:textId="17D49463" w:rsidR="00C30314" w:rsidRPr="00884D55" w:rsidRDefault="00C30314" w:rsidP="00C30314">
            <w:pPr>
              <w:spacing w:after="200"/>
              <w:rPr>
                <w:color w:val="0D0D0D" w:themeColor="text1" w:themeTint="F2"/>
                <w:spacing w:val="-5"/>
                <w:lang w:val="en-GB"/>
              </w:rPr>
            </w:pPr>
            <w:r w:rsidRPr="00884D55">
              <w:rPr>
                <w:color w:val="0D0D0D" w:themeColor="text1" w:themeTint="F2"/>
                <w:spacing w:val="-5"/>
                <w:lang w:val="en-GB"/>
              </w:rPr>
              <w:t xml:space="preserve">The domestic industry has been hit by recession since the beginning of the last year, which stemmed primarily from persisting weak external demand. Not only Germany, but also several other key trading partners of the Czech Republic in the euro area have been struggling with current cyclical or longer-term structural problems. Their traces are also evident in the Czech Republic. Particularly the energy-intensive industries still had difficulty coping with the effects of raised input prices. In addition, the development of a number of other key export </w:t>
            </w:r>
            <w:r w:rsidRPr="00185C90">
              <w:rPr>
                <w:color w:val="0D0D0D" w:themeColor="text1" w:themeTint="F2"/>
                <w:spacing w:val="-5"/>
                <w:lang w:val="en-GB"/>
              </w:rPr>
              <w:t xml:space="preserve">sectors was </w:t>
            </w:r>
            <w:r w:rsidRPr="00884D55">
              <w:rPr>
                <w:color w:val="0D0D0D" w:themeColor="text1" w:themeTint="F2"/>
                <w:spacing w:val="-5"/>
                <w:lang w:val="en-GB"/>
              </w:rPr>
              <w:t xml:space="preserve">limited by continued weaker investment activity in the economy </w:t>
            </w:r>
            <w:r w:rsidRPr="00884D55">
              <w:rPr>
                <w:color w:val="0D0D0D" w:themeColor="text1" w:themeTint="F2"/>
                <w:spacing w:val="-5"/>
                <w:lang w:val="en-GB"/>
              </w:rPr>
              <w:lastRenderedPageBreak/>
              <w:t xml:space="preserve">related to subdued business as well as consumer confidence, exacerbated by persisting difficulties in the possibilities of credit financing of investments. After a short-term recovery at the end of 2023, which was mainly driven by manufacturers of transport equipment (including their subcontractors), the </w:t>
            </w:r>
            <w:r w:rsidR="00185C90">
              <w:rPr>
                <w:color w:val="0D0D0D" w:themeColor="text1" w:themeTint="F2"/>
                <w:spacing w:val="-5"/>
                <w:lang w:val="en-GB"/>
              </w:rPr>
              <w:t xml:space="preserve">total </w:t>
            </w:r>
            <w:r w:rsidRPr="00884D55">
              <w:rPr>
                <w:color w:val="0D0D0D" w:themeColor="text1" w:themeTint="F2"/>
                <w:spacing w:val="-5"/>
                <w:lang w:val="en-GB"/>
              </w:rPr>
              <w:t>industrial production</w:t>
            </w:r>
            <w:r w:rsidRPr="00884D55">
              <w:rPr>
                <w:rStyle w:val="Znakapoznpodarou"/>
                <w:color w:val="0D0D0D" w:themeColor="text1" w:themeTint="F2"/>
                <w:spacing w:val="-5"/>
                <w:lang w:val="en-GB"/>
              </w:rPr>
              <w:footnoteReference w:id="7"/>
            </w:r>
            <w:r w:rsidRPr="00884D55">
              <w:rPr>
                <w:color w:val="0D0D0D" w:themeColor="text1" w:themeTint="F2"/>
                <w:spacing w:val="-5"/>
                <w:lang w:val="en-GB"/>
              </w:rPr>
              <w:t xml:space="preserve"> in Czechia decreased again, quarter-on-quarter, in Q1 2024 (−0.5%) and continued in similar tendencies throughout </w:t>
            </w:r>
            <w:r w:rsidR="00185C90">
              <w:rPr>
                <w:color w:val="0D0D0D" w:themeColor="text1" w:themeTint="F2"/>
                <w:spacing w:val="-5"/>
                <w:lang w:val="en-GB"/>
              </w:rPr>
              <w:t>the following part of the last year, as k</w:t>
            </w:r>
            <w:r w:rsidRPr="00884D55">
              <w:rPr>
                <w:color w:val="0D0D0D" w:themeColor="text1" w:themeTint="F2"/>
                <w:spacing w:val="-5"/>
                <w:lang w:val="en-GB"/>
              </w:rPr>
              <w:t>ey investment-oriented sectors (especially manufacturing of motor vehicles and engineering) did not provide the necessary growth impulse to industry. Thus the total industrial production lagged slightly behind its peak from the pre-pandemic expansion period (Q2 2019) at the end of the last year (by 2.9%)</w:t>
            </w:r>
            <w:r w:rsidRPr="00884D55">
              <w:rPr>
                <w:rStyle w:val="Znakapoznpodarou"/>
                <w:color w:val="0D0D0D" w:themeColor="text1" w:themeTint="F2"/>
                <w:spacing w:val="-5"/>
                <w:lang w:val="en-GB"/>
              </w:rPr>
              <w:footnoteReference w:id="8"/>
            </w:r>
            <w:r w:rsidRPr="00884D55">
              <w:rPr>
                <w:color w:val="0D0D0D" w:themeColor="text1" w:themeTint="F2"/>
                <w:spacing w:val="-5"/>
                <w:lang w:val="en-GB"/>
              </w:rPr>
              <w:t xml:space="preserve">.  </w:t>
            </w:r>
          </w:p>
        </w:tc>
      </w:tr>
      <w:tr w:rsidR="00C30314" w:rsidRPr="00884D55" w14:paraId="3D3897D8" w14:textId="77777777" w:rsidTr="00803507">
        <w:trPr>
          <w:trHeight w:val="145"/>
        </w:trPr>
        <w:tc>
          <w:tcPr>
            <w:tcW w:w="1814" w:type="dxa"/>
            <w:shd w:val="clear" w:color="auto" w:fill="auto"/>
            <w:tcMar>
              <w:left w:w="0" w:type="dxa"/>
            </w:tcMar>
          </w:tcPr>
          <w:p w14:paraId="75A26262" w14:textId="77777777" w:rsidR="00C30314" w:rsidRPr="00884D55" w:rsidRDefault="00C30314" w:rsidP="00C30314">
            <w:pPr>
              <w:pStyle w:val="Marginlie"/>
              <w:spacing w:after="240"/>
              <w:rPr>
                <w:color w:val="0D0D0D" w:themeColor="text1" w:themeTint="F2"/>
                <w:spacing w:val="-4"/>
                <w:lang w:val="en-GB"/>
              </w:rPr>
            </w:pPr>
            <w:bookmarkStart w:id="2" w:name="_Hlk193910942"/>
            <w:r w:rsidRPr="00884D55">
              <w:rPr>
                <w:color w:val="0D0D0D" w:themeColor="text1" w:themeTint="F2"/>
                <w:spacing w:val="-4"/>
                <w:lang w:val="en-GB"/>
              </w:rPr>
              <w:lastRenderedPageBreak/>
              <w:t xml:space="preserve">The year-on-year decline of industrial production deepened slightly last year. The entire industry was dragged down the most by engineering, whose output fell by almost a tenth. </w:t>
            </w:r>
            <w:bookmarkEnd w:id="2"/>
          </w:p>
        </w:tc>
        <w:tc>
          <w:tcPr>
            <w:tcW w:w="229" w:type="dxa"/>
            <w:shd w:val="clear" w:color="auto" w:fill="auto"/>
            <w:tcMar>
              <w:left w:w="0" w:type="dxa"/>
            </w:tcMar>
          </w:tcPr>
          <w:p w14:paraId="71A530DA" w14:textId="77777777" w:rsidR="00C30314" w:rsidRPr="00884D55" w:rsidRDefault="00C30314" w:rsidP="00C30314">
            <w:pPr>
              <w:pStyle w:val="Textpoznpodarou"/>
              <w:spacing w:after="240"/>
              <w:jc w:val="both"/>
              <w:rPr>
                <w:spacing w:val="-4"/>
                <w:lang w:val="en-GB"/>
              </w:rPr>
            </w:pPr>
          </w:p>
        </w:tc>
        <w:tc>
          <w:tcPr>
            <w:tcW w:w="7596" w:type="dxa"/>
            <w:shd w:val="clear" w:color="auto" w:fill="auto"/>
            <w:tcMar>
              <w:left w:w="0" w:type="dxa"/>
            </w:tcMar>
          </w:tcPr>
          <w:p w14:paraId="695000B9" w14:textId="46081EA6" w:rsidR="00C30314" w:rsidRPr="00884D55" w:rsidRDefault="00C30314" w:rsidP="00326FE1">
            <w:pPr>
              <w:spacing w:after="200"/>
              <w:rPr>
                <w:color w:val="0D0D0D" w:themeColor="text1" w:themeTint="F2"/>
                <w:spacing w:val="-4"/>
                <w:lang w:val="en-GB"/>
              </w:rPr>
            </w:pPr>
            <w:bookmarkStart w:id="3" w:name="_Hlk193910995"/>
            <w:r w:rsidRPr="00884D55">
              <w:rPr>
                <w:color w:val="0D0D0D" w:themeColor="text1" w:themeTint="F2"/>
                <w:spacing w:val="-4"/>
                <w:lang w:val="en-GB"/>
              </w:rPr>
              <w:t xml:space="preserve">The industrial production decreased by 2.2%, year-on-year, in Q4 2024, primarily due to the downturn in sectors focused on capital production. The output of industry decreased by 0.9% for the whole last year and the recession commenced in </w:t>
            </w:r>
            <w:r w:rsidR="00326FE1">
              <w:rPr>
                <w:color w:val="0D0D0D" w:themeColor="text1" w:themeTint="F2"/>
                <w:spacing w:val="-4"/>
                <w:lang w:val="en-GB"/>
              </w:rPr>
              <w:t>2023</w:t>
            </w:r>
            <w:r w:rsidRPr="00884D55">
              <w:rPr>
                <w:color w:val="0D0D0D" w:themeColor="text1" w:themeTint="F2"/>
                <w:spacing w:val="-4"/>
                <w:lang w:val="en-GB"/>
              </w:rPr>
              <w:t xml:space="preserve"> thus slightly deepened. The decrease occurred despite the fact that production increased at least mildly in little more than h</w:t>
            </w:r>
            <w:r w:rsidR="00326FE1">
              <w:rPr>
                <w:color w:val="0D0D0D" w:themeColor="text1" w:themeTint="F2"/>
                <w:spacing w:val="-4"/>
                <w:lang w:val="en-GB"/>
              </w:rPr>
              <w:t>alf of all industrial fields (sectors)</w:t>
            </w:r>
            <w:r w:rsidRPr="00884D55">
              <w:rPr>
                <w:color w:val="0D0D0D" w:themeColor="text1" w:themeTint="F2"/>
                <w:spacing w:val="-4"/>
                <w:lang w:val="en-GB"/>
              </w:rPr>
              <w:t xml:space="preserve">. However, a deeper slump in some export sectors important by weight played a dominant role. This was mainly the case of engineering, whose output fell by 8.4% last year, the most of all manufacturing sectors, and </w:t>
            </w:r>
            <w:r w:rsidR="00326FE1">
              <w:rPr>
                <w:color w:val="0D0D0D" w:themeColor="text1" w:themeTint="F2"/>
                <w:spacing w:val="-4"/>
                <w:lang w:val="en-GB"/>
              </w:rPr>
              <w:t xml:space="preserve">it </w:t>
            </w:r>
            <w:r w:rsidRPr="00884D55">
              <w:rPr>
                <w:color w:val="0D0D0D" w:themeColor="text1" w:themeTint="F2"/>
                <w:spacing w:val="-4"/>
                <w:lang w:val="en-GB"/>
              </w:rPr>
              <w:t>contributed 0.7 p. p. to the decline of the total industry</w:t>
            </w:r>
            <w:r w:rsidRPr="00884D55">
              <w:rPr>
                <w:rStyle w:val="Znakapoznpodarou"/>
                <w:color w:val="0D0D0D" w:themeColor="text1" w:themeTint="F2"/>
                <w:spacing w:val="-4"/>
                <w:lang w:val="en-GB"/>
              </w:rPr>
              <w:footnoteReference w:id="9"/>
            </w:r>
            <w:r w:rsidRPr="00884D55">
              <w:rPr>
                <w:color w:val="0D0D0D" w:themeColor="text1" w:themeTint="F2"/>
                <w:spacing w:val="-4"/>
                <w:lang w:val="en-GB"/>
              </w:rPr>
              <w:t xml:space="preserve">. Weak demand, especially domestic, manifested here. The slump concerned, for example, the production of pumps, agricultural or metalworking machinery, however lower production in this otherwise quite diversified field could be traced basically across its entire spectrum during the year.  </w:t>
            </w:r>
            <w:bookmarkEnd w:id="3"/>
          </w:p>
        </w:tc>
      </w:tr>
      <w:tr w:rsidR="00C30314" w:rsidRPr="00884D55" w14:paraId="5C623F26" w14:textId="77777777" w:rsidTr="00803507">
        <w:trPr>
          <w:trHeight w:val="145"/>
        </w:trPr>
        <w:tc>
          <w:tcPr>
            <w:tcW w:w="1814" w:type="dxa"/>
            <w:shd w:val="clear" w:color="auto" w:fill="auto"/>
            <w:tcMar>
              <w:left w:w="0" w:type="dxa"/>
            </w:tcMar>
          </w:tcPr>
          <w:p w14:paraId="3F25FCC1" w14:textId="77777777" w:rsidR="00C30314" w:rsidRPr="00884D55" w:rsidRDefault="00C30314" w:rsidP="00C30314">
            <w:pPr>
              <w:pStyle w:val="Marginlie"/>
              <w:rPr>
                <w:color w:val="0D0D0D" w:themeColor="text1" w:themeTint="F2"/>
                <w:spacing w:val="-4"/>
                <w:lang w:val="en-GB"/>
              </w:rPr>
            </w:pPr>
            <w:r w:rsidRPr="00884D55">
              <w:rPr>
                <w:color w:val="0D0D0D" w:themeColor="text1" w:themeTint="F2"/>
                <w:spacing w:val="-4"/>
                <w:lang w:val="en-GB"/>
              </w:rPr>
              <w:t>The dynamic development of motor vehicle manufacturing halted last year. Weaker domestic as well as external demand contributed to a downturn of output of its direct subcontractors in the automotive sector.</w:t>
            </w:r>
          </w:p>
          <w:p w14:paraId="2F5E564D" w14:textId="77777777" w:rsidR="00C30314" w:rsidRPr="00884D55" w:rsidRDefault="00C30314" w:rsidP="00C30314">
            <w:pPr>
              <w:pStyle w:val="Marginlie"/>
              <w:rPr>
                <w:color w:val="0D0D0D" w:themeColor="text1" w:themeTint="F2"/>
                <w:spacing w:val="-4"/>
                <w:lang w:val="en-GB"/>
              </w:rPr>
            </w:pPr>
          </w:p>
          <w:p w14:paraId="512187D0" w14:textId="77777777" w:rsidR="00C30314" w:rsidRPr="00884D55" w:rsidRDefault="00C30314" w:rsidP="00C30314">
            <w:pPr>
              <w:pStyle w:val="Marginlie"/>
              <w:rPr>
                <w:color w:val="0D0D0D" w:themeColor="text1" w:themeTint="F2"/>
                <w:spacing w:val="-4"/>
                <w:lang w:val="en-GB"/>
              </w:rPr>
            </w:pPr>
          </w:p>
          <w:p w14:paraId="0E64071D" w14:textId="77777777" w:rsidR="00C30314" w:rsidRPr="00884D55" w:rsidRDefault="00C30314" w:rsidP="00C30314">
            <w:pPr>
              <w:pStyle w:val="Marginlie"/>
              <w:rPr>
                <w:color w:val="0D0D0D" w:themeColor="text1" w:themeTint="F2"/>
                <w:spacing w:val="-4"/>
                <w:lang w:val="en-GB"/>
              </w:rPr>
            </w:pPr>
          </w:p>
          <w:p w14:paraId="2E71A121" w14:textId="77777777" w:rsidR="00C30314" w:rsidRPr="00884D55" w:rsidRDefault="00C30314" w:rsidP="00C30314">
            <w:pPr>
              <w:pStyle w:val="Marginlie"/>
              <w:rPr>
                <w:color w:val="0D0D0D" w:themeColor="text1" w:themeTint="F2"/>
                <w:spacing w:val="-4"/>
                <w:lang w:val="en-GB"/>
              </w:rPr>
            </w:pPr>
          </w:p>
          <w:p w14:paraId="583F2E4D" w14:textId="77777777" w:rsidR="00C30314" w:rsidRPr="00884D55" w:rsidRDefault="00C30314" w:rsidP="00C30314">
            <w:pPr>
              <w:pStyle w:val="Marginlie"/>
              <w:rPr>
                <w:color w:val="0D0D0D" w:themeColor="text1" w:themeTint="F2"/>
                <w:spacing w:val="-4"/>
                <w:lang w:val="en-GB"/>
              </w:rPr>
            </w:pPr>
            <w:r w:rsidRPr="00884D55">
              <w:rPr>
                <w:color w:val="0D0D0D" w:themeColor="text1" w:themeTint="F2"/>
                <w:spacing w:val="-4"/>
                <w:lang w:val="en-GB"/>
              </w:rPr>
              <w:t xml:space="preserve">The weakening of demand from motor vehicle manufacturers was also felt by some related industries, especially electrical engineering. </w:t>
            </w:r>
          </w:p>
          <w:p w14:paraId="0AE02C79" w14:textId="77777777" w:rsidR="00C30314" w:rsidRPr="00884D55" w:rsidRDefault="00C30314" w:rsidP="00C30314">
            <w:pPr>
              <w:pStyle w:val="Marginlie"/>
              <w:spacing w:after="240"/>
              <w:rPr>
                <w:color w:val="0D0D0D" w:themeColor="text1" w:themeTint="F2"/>
                <w:spacing w:val="-4"/>
                <w:lang w:val="en-GB"/>
              </w:rPr>
            </w:pPr>
          </w:p>
        </w:tc>
        <w:tc>
          <w:tcPr>
            <w:tcW w:w="229" w:type="dxa"/>
            <w:shd w:val="clear" w:color="auto" w:fill="auto"/>
            <w:tcMar>
              <w:left w:w="0" w:type="dxa"/>
            </w:tcMar>
          </w:tcPr>
          <w:p w14:paraId="5516D208" w14:textId="77777777" w:rsidR="00C30314" w:rsidRPr="00884D55" w:rsidRDefault="00C30314" w:rsidP="00C30314">
            <w:pPr>
              <w:pStyle w:val="Textpoznpodarou"/>
              <w:spacing w:after="240"/>
              <w:jc w:val="both"/>
              <w:rPr>
                <w:spacing w:val="-4"/>
                <w:lang w:val="en-GB"/>
              </w:rPr>
            </w:pPr>
          </w:p>
        </w:tc>
        <w:tc>
          <w:tcPr>
            <w:tcW w:w="7596" w:type="dxa"/>
            <w:shd w:val="clear" w:color="auto" w:fill="auto"/>
            <w:tcMar>
              <w:left w:w="0" w:type="dxa"/>
            </w:tcMar>
          </w:tcPr>
          <w:p w14:paraId="67845FF6" w14:textId="34C6AF2E" w:rsidR="00C30314" w:rsidRPr="00884D55" w:rsidRDefault="00C30314" w:rsidP="00073ED1">
            <w:pPr>
              <w:rPr>
                <w:color w:val="0D0D0D" w:themeColor="text1" w:themeTint="F2"/>
                <w:spacing w:val="-4"/>
                <w:lang w:val="en-GB"/>
              </w:rPr>
            </w:pPr>
            <w:r w:rsidRPr="00884D55">
              <w:rPr>
                <w:color w:val="0D0D0D" w:themeColor="text1" w:themeTint="F2"/>
                <w:spacing w:val="-4"/>
                <w:lang w:val="en-GB"/>
              </w:rPr>
              <w:t>The key branch manufacturing of motor vehicles, whose production decreased by 1.3% after double-digit growth in 2022 and 2023, also contributed to last year's industry downturn (−0.3 p.p.). This result was likely influenced by the deteriorated position of some direct domestic subcontractors (within the automotive industry), as the final physical production of vehicles itself grew</w:t>
            </w:r>
            <w:r w:rsidRPr="00884D55">
              <w:rPr>
                <w:rStyle w:val="Znakapoznpodarou"/>
                <w:color w:val="0D0D0D" w:themeColor="text1" w:themeTint="F2"/>
                <w:spacing w:val="-4"/>
                <w:lang w:val="en-GB"/>
              </w:rPr>
              <w:footnoteReference w:id="10"/>
            </w:r>
            <w:r w:rsidRPr="00884D55">
              <w:rPr>
                <w:color w:val="0D0D0D" w:themeColor="text1" w:themeTint="F2"/>
                <w:spacing w:val="-4"/>
                <w:lang w:val="en-GB"/>
              </w:rPr>
              <w:t>. The</w:t>
            </w:r>
            <w:r w:rsidR="00AF606D">
              <w:rPr>
                <w:color w:val="0D0D0D" w:themeColor="text1" w:themeTint="F2"/>
                <w:spacing w:val="-4"/>
                <w:lang w:val="en-GB"/>
              </w:rPr>
              <w:t xml:space="preserve"> current dynamics of this branch</w:t>
            </w:r>
            <w:r w:rsidRPr="00884D55">
              <w:rPr>
                <w:color w:val="0D0D0D" w:themeColor="text1" w:themeTint="F2"/>
                <w:spacing w:val="-4"/>
                <w:lang w:val="en-GB"/>
              </w:rPr>
              <w:t xml:space="preserve"> in the Czech Republic, as in most of the newer </w:t>
            </w:r>
            <w:r w:rsidR="00AF606D">
              <w:rPr>
                <w:color w:val="0D0D0D" w:themeColor="text1" w:themeTint="F2"/>
                <w:spacing w:val="-4"/>
                <w:lang w:val="en-GB"/>
              </w:rPr>
              <w:t xml:space="preserve">EU </w:t>
            </w:r>
            <w:r w:rsidRPr="00884D55">
              <w:rPr>
                <w:color w:val="0D0D0D" w:themeColor="text1" w:themeTint="F2"/>
                <w:spacing w:val="-4"/>
                <w:lang w:val="en-GB"/>
              </w:rPr>
              <w:t>Member States, is relatively more favourable</w:t>
            </w:r>
            <w:r w:rsidRPr="00884D55">
              <w:rPr>
                <w:rStyle w:val="Znakapoznpodarou"/>
                <w:color w:val="0D0D0D" w:themeColor="text1" w:themeTint="F2"/>
                <w:spacing w:val="-4"/>
                <w:lang w:val="en-GB"/>
              </w:rPr>
              <w:footnoteReference w:id="11"/>
            </w:r>
            <w:r w:rsidRPr="00884D55">
              <w:rPr>
                <w:color w:val="0D0D0D" w:themeColor="text1" w:themeTint="F2"/>
                <w:spacing w:val="-4"/>
                <w:lang w:val="en-GB"/>
              </w:rPr>
              <w:t xml:space="preserve"> compared to the core EU countries. In addition to lower labour costs, the still lower proport</w:t>
            </w:r>
            <w:r w:rsidR="00073ED1">
              <w:rPr>
                <w:color w:val="0D0D0D" w:themeColor="text1" w:themeTint="F2"/>
                <w:spacing w:val="-4"/>
                <w:lang w:val="en-GB"/>
              </w:rPr>
              <w:t>ion of electric and hybrid cars</w:t>
            </w:r>
            <w:r w:rsidR="00AF606D">
              <w:rPr>
                <w:color w:val="0D0D0D" w:themeColor="text1" w:themeTint="F2"/>
                <w:spacing w:val="-4"/>
                <w:lang w:val="en-GB"/>
              </w:rPr>
              <w:t xml:space="preserve"> </w:t>
            </w:r>
            <w:r w:rsidRPr="00884D55">
              <w:rPr>
                <w:color w:val="0D0D0D" w:themeColor="text1" w:themeTint="F2"/>
                <w:spacing w:val="-4"/>
                <w:lang w:val="en-GB"/>
              </w:rPr>
              <w:t xml:space="preserve">(their sales are facing difficulties caused by growing Asian competition as well as lower subsidy support in the EU countries) </w:t>
            </w:r>
            <w:r w:rsidR="00073ED1" w:rsidRPr="00884D55">
              <w:rPr>
                <w:color w:val="0D0D0D" w:themeColor="text1" w:themeTint="F2"/>
                <w:spacing w:val="-4"/>
                <w:lang w:val="en-GB"/>
              </w:rPr>
              <w:t xml:space="preserve">in </w:t>
            </w:r>
            <w:r w:rsidR="00073ED1">
              <w:rPr>
                <w:color w:val="0D0D0D" w:themeColor="text1" w:themeTint="F2"/>
                <w:spacing w:val="-4"/>
                <w:lang w:val="en-GB"/>
              </w:rPr>
              <w:t xml:space="preserve">total car </w:t>
            </w:r>
            <w:r w:rsidR="00073ED1" w:rsidRPr="00884D55">
              <w:rPr>
                <w:color w:val="0D0D0D" w:themeColor="text1" w:themeTint="F2"/>
                <w:spacing w:val="-4"/>
                <w:lang w:val="en-GB"/>
              </w:rPr>
              <w:t xml:space="preserve">production </w:t>
            </w:r>
            <w:r w:rsidR="00AF606D">
              <w:rPr>
                <w:color w:val="0D0D0D" w:themeColor="text1" w:themeTint="F2"/>
                <w:spacing w:val="-4"/>
                <w:lang w:val="en-GB"/>
              </w:rPr>
              <w:t xml:space="preserve">in newer EU </w:t>
            </w:r>
            <w:r w:rsidR="00073ED1">
              <w:rPr>
                <w:color w:val="0D0D0D" w:themeColor="text1" w:themeTint="F2"/>
                <w:spacing w:val="-4"/>
                <w:lang w:val="en-GB"/>
              </w:rPr>
              <w:t>also plays a role</w:t>
            </w:r>
            <w:r w:rsidRPr="00884D55">
              <w:rPr>
                <w:color w:val="0D0D0D" w:themeColor="text1" w:themeTint="F2"/>
                <w:spacing w:val="-4"/>
                <w:lang w:val="en-GB"/>
              </w:rPr>
              <w:t>. In addition to the automotive industry, the</w:t>
            </w:r>
            <w:r w:rsidR="00073ED1">
              <w:rPr>
                <w:color w:val="0D0D0D" w:themeColor="text1" w:themeTint="F2"/>
                <w:spacing w:val="-4"/>
                <w:lang w:val="en-GB"/>
              </w:rPr>
              <w:t xml:space="preserve"> production slump also affected </w:t>
            </w:r>
            <w:r w:rsidRPr="00884D55">
              <w:rPr>
                <w:color w:val="0D0D0D" w:themeColor="text1" w:themeTint="F2"/>
                <w:spacing w:val="-4"/>
                <w:lang w:val="en-GB"/>
              </w:rPr>
              <w:t>manufacturers of other (mainly rail) transport equipment (−4.6%) last year</w:t>
            </w:r>
            <w:r w:rsidR="00073ED1">
              <w:rPr>
                <w:color w:val="0D0D0D" w:themeColor="text1" w:themeTint="F2"/>
                <w:spacing w:val="-4"/>
                <w:lang w:val="en-GB"/>
              </w:rPr>
              <w:t xml:space="preserve"> in the Czechia</w:t>
            </w:r>
            <w:r w:rsidRPr="00884D55">
              <w:rPr>
                <w:color w:val="0D0D0D" w:themeColor="text1" w:themeTint="F2"/>
                <w:spacing w:val="-4"/>
                <w:lang w:val="en-GB"/>
              </w:rPr>
              <w:t>, mainly due to weaker performance in Q4 2024. Nevertheless, the production has traditionally been volatile in this relatively small sector. It can be assumed based on leading indicators (especially the rapid growth o</w:t>
            </w:r>
            <w:r w:rsidR="00073ED1">
              <w:rPr>
                <w:color w:val="0D0D0D" w:themeColor="text1" w:themeTint="F2"/>
                <w:spacing w:val="-4"/>
                <w:lang w:val="en-GB"/>
              </w:rPr>
              <w:t>f new domestic orders), that this</w:t>
            </w:r>
            <w:r w:rsidRPr="00884D55">
              <w:rPr>
                <w:color w:val="0D0D0D" w:themeColor="text1" w:themeTint="F2"/>
                <w:spacing w:val="-4"/>
                <w:lang w:val="en-GB"/>
              </w:rPr>
              <w:t xml:space="preserve"> sector's immediate outlooks are not unfavourable. Sales difficulties in the automotive industry also led to a decline of production in the related sector of manufacture of electrical equipment (−2.1%) </w:t>
            </w:r>
            <w:r w:rsidRPr="00884D55">
              <w:rPr>
                <w:color w:val="0D0D0D" w:themeColor="text1" w:themeTint="F2"/>
                <w:spacing w:val="-4"/>
                <w:lang w:val="en-GB"/>
              </w:rPr>
              <w:lastRenderedPageBreak/>
              <w:t xml:space="preserve">last year, which was limited mainly by weaker external demand. On the contrary, the rubber and plastics industries, which are among the more energy-intensive sectors, were already affected by the downturn in years 2022 and 2023, and their performance increased slightly (+0.6%) last year thanks to a slight recovery of demand from the Czech Republic. </w:t>
            </w:r>
          </w:p>
        </w:tc>
      </w:tr>
      <w:tr w:rsidR="00C30314" w:rsidRPr="00884D55" w14:paraId="366E03E6" w14:textId="77777777" w:rsidTr="00803507">
        <w:trPr>
          <w:trHeight w:val="145"/>
        </w:trPr>
        <w:tc>
          <w:tcPr>
            <w:tcW w:w="1814" w:type="dxa"/>
            <w:shd w:val="clear" w:color="auto" w:fill="auto"/>
            <w:tcMar>
              <w:left w:w="0" w:type="dxa"/>
            </w:tcMar>
          </w:tcPr>
          <w:p w14:paraId="401D8C64" w14:textId="2CB99FE8" w:rsidR="00C30314" w:rsidRDefault="00C30314" w:rsidP="00C30314">
            <w:pPr>
              <w:pStyle w:val="Marginlie"/>
              <w:spacing w:after="240"/>
              <w:rPr>
                <w:color w:val="0D0D0D" w:themeColor="text1" w:themeTint="F2"/>
                <w:spacing w:val="-4"/>
                <w:lang w:val="en-GB"/>
              </w:rPr>
            </w:pPr>
            <w:r w:rsidRPr="00884D55">
              <w:rPr>
                <w:color w:val="0D0D0D" w:themeColor="text1" w:themeTint="F2"/>
                <w:spacing w:val="-4"/>
                <w:lang w:val="en-GB"/>
              </w:rPr>
              <w:lastRenderedPageBreak/>
              <w:t xml:space="preserve">The most energy-intensive sectors of metallurgy or mining and quarrying continued in deep decline last year.  </w:t>
            </w:r>
          </w:p>
          <w:p w14:paraId="683859ED" w14:textId="77777777" w:rsidR="00927267" w:rsidRPr="00884D55" w:rsidRDefault="00927267" w:rsidP="00C30314">
            <w:pPr>
              <w:pStyle w:val="Marginlie"/>
              <w:spacing w:after="240"/>
              <w:rPr>
                <w:color w:val="0D0D0D" w:themeColor="text1" w:themeTint="F2"/>
                <w:spacing w:val="-4"/>
                <w:lang w:val="en-GB"/>
              </w:rPr>
            </w:pPr>
          </w:p>
          <w:p w14:paraId="489FAE45" w14:textId="77777777" w:rsidR="00C30314" w:rsidRPr="00884D55" w:rsidRDefault="00C30314" w:rsidP="00C30314">
            <w:pPr>
              <w:pStyle w:val="Marginlie"/>
              <w:spacing w:after="240"/>
              <w:rPr>
                <w:color w:val="0D0D0D" w:themeColor="text1" w:themeTint="F2"/>
                <w:spacing w:val="-4"/>
                <w:lang w:val="en-GB"/>
              </w:rPr>
            </w:pPr>
            <w:r w:rsidRPr="00884D55">
              <w:rPr>
                <w:color w:val="0D0D0D" w:themeColor="text1" w:themeTint="F2"/>
                <w:spacing w:val="-4"/>
                <w:lang w:val="en-GB"/>
              </w:rPr>
              <w:t xml:space="preserve">The slump of energy industry performance moderated dramatically last year. The decrease of total consumption of both electricity and gas nearly ceased, in that it has even increased slightly in companies. </w:t>
            </w:r>
          </w:p>
        </w:tc>
        <w:tc>
          <w:tcPr>
            <w:tcW w:w="229" w:type="dxa"/>
            <w:shd w:val="clear" w:color="auto" w:fill="auto"/>
            <w:tcMar>
              <w:left w:w="0" w:type="dxa"/>
            </w:tcMar>
          </w:tcPr>
          <w:p w14:paraId="30ED7405" w14:textId="77777777" w:rsidR="00C30314" w:rsidRPr="00884D55" w:rsidRDefault="00C30314" w:rsidP="00C30314">
            <w:pPr>
              <w:pStyle w:val="Textpoznpodarou"/>
              <w:spacing w:after="240"/>
              <w:jc w:val="both"/>
              <w:rPr>
                <w:spacing w:val="-4"/>
                <w:lang w:val="en-GB"/>
              </w:rPr>
            </w:pPr>
          </w:p>
        </w:tc>
        <w:tc>
          <w:tcPr>
            <w:tcW w:w="7596" w:type="dxa"/>
            <w:shd w:val="clear" w:color="auto" w:fill="auto"/>
            <w:tcMar>
              <w:left w:w="0" w:type="dxa"/>
            </w:tcMar>
          </w:tcPr>
          <w:p w14:paraId="2088AD53" w14:textId="3BFF6A29" w:rsidR="00C30314" w:rsidRPr="00884D55" w:rsidRDefault="00C30314" w:rsidP="00A726EC">
            <w:pPr>
              <w:rPr>
                <w:color w:val="0D0D0D" w:themeColor="text1" w:themeTint="F2"/>
                <w:spacing w:val="-4"/>
                <w:lang w:val="en-GB"/>
              </w:rPr>
            </w:pPr>
            <w:r w:rsidRPr="00884D55">
              <w:rPr>
                <w:color w:val="0D0D0D" w:themeColor="text1" w:themeTint="F2"/>
                <w:spacing w:val="-4"/>
                <w:lang w:val="en-GB"/>
              </w:rPr>
              <w:t xml:space="preserve">The most energy-intensive industries continued to be in deep downturn. The production fell by 7.0% in metallurgy and foundry last year (even by 26.7% in the last three years). Weak </w:t>
            </w:r>
            <w:r w:rsidR="00927267">
              <w:rPr>
                <w:color w:val="0D0D0D" w:themeColor="text1" w:themeTint="F2"/>
                <w:spacing w:val="-4"/>
                <w:lang w:val="en-GB"/>
              </w:rPr>
              <w:t xml:space="preserve">both </w:t>
            </w:r>
            <w:r w:rsidRPr="00884D55">
              <w:rPr>
                <w:color w:val="0D0D0D" w:themeColor="text1" w:themeTint="F2"/>
                <w:spacing w:val="-4"/>
                <w:lang w:val="en-GB"/>
              </w:rPr>
              <w:t>domestic and external demand for steel persisted (mainly in construction, motor vehicle manufacturing or engineering) and the main leading indicators also did not yet indicate a positive turnaround. The pace of dive slowed down compared to 2023 in the long-term declining mining and quarrying last year, nevertheless it still reached 7.4%. The so far key segment of coal mining played a major role in these developments, with production falling by 11.8% (the most of all industries). On the contrary, the mining of building materials revived (+0.4%), thanks to growing demand in the domestic construction industry</w:t>
            </w:r>
            <w:r w:rsidRPr="00884D55">
              <w:rPr>
                <w:rStyle w:val="Znakapoznpodarou"/>
                <w:color w:val="0D0D0D" w:themeColor="text1" w:themeTint="F2"/>
                <w:spacing w:val="-4"/>
                <w:lang w:val="en-GB"/>
              </w:rPr>
              <w:footnoteReference w:id="12"/>
            </w:r>
            <w:r w:rsidRPr="00884D55">
              <w:rPr>
                <w:color w:val="0D0D0D" w:themeColor="text1" w:themeTint="F2"/>
                <w:spacing w:val="-4"/>
                <w:lang w:val="en-GB"/>
              </w:rPr>
              <w:t>. The decline of production moderated in the energy industry, reaching 1.5% for the whole of last year (however it was 14.5% in total for the last three years). There was a slight decrease of the electricity generation related to the ongoing decline of the use of coal in steam power plants</w:t>
            </w:r>
            <w:r w:rsidRPr="00884D55">
              <w:rPr>
                <w:rStyle w:val="Znakapoznpodarou"/>
                <w:color w:val="0D0D0D" w:themeColor="text1" w:themeTint="F2"/>
                <w:spacing w:val="-4"/>
                <w:lang w:val="en-GB"/>
              </w:rPr>
              <w:footnoteReference w:id="13"/>
            </w:r>
            <w:r w:rsidRPr="00884D55">
              <w:rPr>
                <w:color w:val="0D0D0D" w:themeColor="text1" w:themeTint="F2"/>
                <w:spacing w:val="-4"/>
                <w:lang w:val="en-GB"/>
              </w:rPr>
              <w:t>. At the same time, however, the decline of electricity</w:t>
            </w:r>
            <w:r w:rsidRPr="00884D55">
              <w:rPr>
                <w:rStyle w:val="Znakapoznpodarou"/>
                <w:color w:val="0D0D0D" w:themeColor="text1" w:themeTint="F2"/>
                <w:spacing w:val="-4"/>
                <w:lang w:val="en-GB"/>
              </w:rPr>
              <w:footnoteReference w:id="14"/>
            </w:r>
            <w:r w:rsidRPr="00884D55">
              <w:rPr>
                <w:color w:val="0D0D0D" w:themeColor="text1" w:themeTint="F2"/>
                <w:spacing w:val="-4"/>
                <w:lang w:val="en-GB"/>
              </w:rPr>
              <w:t xml:space="preserve"> and gas</w:t>
            </w:r>
            <w:r w:rsidRPr="00884D55">
              <w:rPr>
                <w:rStyle w:val="Znakapoznpodarou"/>
                <w:color w:val="0D0D0D" w:themeColor="text1" w:themeTint="F2"/>
                <w:spacing w:val="-4"/>
                <w:lang w:val="en-GB"/>
              </w:rPr>
              <w:footnoteReference w:id="15"/>
            </w:r>
            <w:r w:rsidRPr="00884D55">
              <w:rPr>
                <w:color w:val="0D0D0D" w:themeColor="text1" w:themeTint="F2"/>
                <w:spacing w:val="-4"/>
                <w:lang w:val="en-GB"/>
              </w:rPr>
              <w:t xml:space="preserve"> consumption has effectively ceased as a result of relatively colder weather in the last third of the year</w:t>
            </w:r>
            <w:r w:rsidRPr="00884D55">
              <w:rPr>
                <w:rStyle w:val="Znakapoznpodarou"/>
                <w:color w:val="0D0D0D" w:themeColor="text1" w:themeTint="F2"/>
                <w:spacing w:val="-4"/>
                <w:lang w:val="en-GB"/>
              </w:rPr>
              <w:footnoteReference w:id="16"/>
            </w:r>
            <w:r w:rsidRPr="00884D55">
              <w:rPr>
                <w:color w:val="0D0D0D" w:themeColor="text1" w:themeTint="F2"/>
                <w:spacing w:val="-4"/>
                <w:lang w:val="en-GB"/>
              </w:rPr>
              <w:t xml:space="preserve">. The effect of austerity measures on the consumption side </w:t>
            </w:r>
            <w:r w:rsidR="00A726EC">
              <w:rPr>
                <w:color w:val="0D0D0D" w:themeColor="text1" w:themeTint="F2"/>
                <w:spacing w:val="-4"/>
                <w:lang w:val="en-GB"/>
              </w:rPr>
              <w:t xml:space="preserve">both </w:t>
            </w:r>
            <w:r w:rsidRPr="00884D55">
              <w:rPr>
                <w:color w:val="0D0D0D" w:themeColor="text1" w:themeTint="F2"/>
                <w:spacing w:val="-4"/>
                <w:lang w:val="en-GB"/>
              </w:rPr>
              <w:t xml:space="preserve">in </w:t>
            </w:r>
            <w:r w:rsidR="00A726EC" w:rsidRPr="00A726EC">
              <w:rPr>
                <w:color w:val="0D0D0D" w:themeColor="text1" w:themeTint="F2"/>
                <w:spacing w:val="-4"/>
                <w:lang w:val="en-GB"/>
              </w:rPr>
              <w:t>businesses</w:t>
            </w:r>
            <w:r w:rsidRPr="00884D55">
              <w:rPr>
                <w:color w:val="0D0D0D" w:themeColor="text1" w:themeTint="F2"/>
                <w:spacing w:val="-4"/>
                <w:lang w:val="en-GB"/>
              </w:rPr>
              <w:t xml:space="preserve"> and households was also not nearly as significant as in the previous two years, which was also caused by the fact that energy prices had stabilised. </w:t>
            </w:r>
            <w:r w:rsidRPr="00884D55">
              <w:rPr>
                <w:color w:val="0D0D0D" w:themeColor="text1" w:themeTint="F2"/>
                <w:spacing w:val="-6"/>
                <w:lang w:val="en-GB"/>
              </w:rPr>
              <w:t xml:space="preserve"> </w:t>
            </w:r>
            <w:r w:rsidRPr="00884D55">
              <w:rPr>
                <w:color w:val="0D0D0D" w:themeColor="text1" w:themeTint="F2"/>
                <w:spacing w:val="-4"/>
                <w:lang w:val="en-GB"/>
              </w:rPr>
              <w:t xml:space="preserve"> </w:t>
            </w:r>
          </w:p>
        </w:tc>
      </w:tr>
      <w:tr w:rsidR="00C30314" w:rsidRPr="00884D55" w14:paraId="048A9012" w14:textId="77777777" w:rsidTr="00803507">
        <w:trPr>
          <w:trHeight w:val="145"/>
        </w:trPr>
        <w:tc>
          <w:tcPr>
            <w:tcW w:w="1814" w:type="dxa"/>
            <w:shd w:val="clear" w:color="auto" w:fill="auto"/>
            <w:tcMar>
              <w:left w:w="0" w:type="dxa"/>
            </w:tcMar>
          </w:tcPr>
          <w:p w14:paraId="3598519E" w14:textId="77777777" w:rsidR="00C30314" w:rsidRPr="00884D55" w:rsidRDefault="00C30314" w:rsidP="00C30314">
            <w:pPr>
              <w:pStyle w:val="Marginlie"/>
              <w:spacing w:after="240"/>
              <w:rPr>
                <w:color w:val="0D0D0D" w:themeColor="text1" w:themeTint="F2"/>
                <w:spacing w:val="-4"/>
                <w:lang w:val="en-GB"/>
              </w:rPr>
            </w:pPr>
            <w:r w:rsidRPr="00884D55">
              <w:rPr>
                <w:color w:val="0D0D0D" w:themeColor="text1" w:themeTint="F2"/>
                <w:spacing w:val="-4"/>
                <w:lang w:val="en-GB"/>
              </w:rPr>
              <w:t xml:space="preserve">Mainly the food industry and most other sectors producing non-durable products counteracted a deeper downturn in industry. </w:t>
            </w:r>
          </w:p>
          <w:p w14:paraId="2F7FE3AE" w14:textId="77777777" w:rsidR="00C30314" w:rsidRPr="00884D55" w:rsidRDefault="00C30314" w:rsidP="00C30314">
            <w:pPr>
              <w:pStyle w:val="Marginlie"/>
              <w:spacing w:after="240"/>
              <w:rPr>
                <w:color w:val="0D0D0D" w:themeColor="text1" w:themeTint="F2"/>
                <w:spacing w:val="-4"/>
                <w:lang w:val="en-GB"/>
              </w:rPr>
            </w:pPr>
          </w:p>
          <w:p w14:paraId="584E5669" w14:textId="77777777" w:rsidR="00C30314" w:rsidRPr="00884D55" w:rsidRDefault="00C30314" w:rsidP="00C30314">
            <w:pPr>
              <w:pStyle w:val="Marginlie"/>
              <w:spacing w:after="240"/>
              <w:rPr>
                <w:color w:val="0D0D0D" w:themeColor="text1" w:themeTint="F2"/>
                <w:spacing w:val="-4"/>
                <w:lang w:val="en-GB"/>
              </w:rPr>
            </w:pPr>
          </w:p>
          <w:p w14:paraId="0BE26BFC" w14:textId="5062E4E3" w:rsidR="00C30314" w:rsidRPr="00884D55" w:rsidRDefault="00C30314" w:rsidP="00C30314">
            <w:pPr>
              <w:pStyle w:val="Marginlie"/>
              <w:spacing w:after="240"/>
              <w:rPr>
                <w:color w:val="0D0D0D" w:themeColor="text1" w:themeTint="F2"/>
                <w:spacing w:val="-4"/>
                <w:lang w:val="en-GB"/>
              </w:rPr>
            </w:pPr>
            <w:r w:rsidRPr="00884D55">
              <w:rPr>
                <w:color w:val="0D0D0D" w:themeColor="text1" w:themeTint="F2"/>
                <w:spacing w:val="-4"/>
                <w:lang w:val="en-GB"/>
              </w:rPr>
              <w:lastRenderedPageBreak/>
              <w:t>Households rather continued to postpone purchases of some items of medium and long-term consumption. .</w:t>
            </w:r>
          </w:p>
        </w:tc>
        <w:tc>
          <w:tcPr>
            <w:tcW w:w="229" w:type="dxa"/>
            <w:shd w:val="clear" w:color="auto" w:fill="auto"/>
            <w:tcMar>
              <w:left w:w="0" w:type="dxa"/>
            </w:tcMar>
          </w:tcPr>
          <w:p w14:paraId="085552F4" w14:textId="77777777" w:rsidR="00C30314" w:rsidRPr="00884D55" w:rsidRDefault="00C30314" w:rsidP="00C30314">
            <w:pPr>
              <w:pStyle w:val="Textpoznpodarou"/>
              <w:spacing w:after="240"/>
              <w:jc w:val="both"/>
              <w:rPr>
                <w:spacing w:val="-4"/>
                <w:lang w:val="en-GB"/>
              </w:rPr>
            </w:pPr>
          </w:p>
        </w:tc>
        <w:tc>
          <w:tcPr>
            <w:tcW w:w="7596" w:type="dxa"/>
            <w:shd w:val="clear" w:color="auto" w:fill="auto"/>
            <w:tcMar>
              <w:left w:w="0" w:type="dxa"/>
            </w:tcMar>
          </w:tcPr>
          <w:p w14:paraId="4C5C1B27" w14:textId="2C6EA7D9" w:rsidR="00C30314" w:rsidRPr="00884D55" w:rsidRDefault="00C30314" w:rsidP="00963DA3">
            <w:pPr>
              <w:rPr>
                <w:color w:val="0D0D0D" w:themeColor="text1" w:themeTint="F2"/>
                <w:spacing w:val="-4"/>
                <w:lang w:val="en-GB"/>
              </w:rPr>
            </w:pPr>
            <w:r w:rsidRPr="00884D55">
              <w:rPr>
                <w:color w:val="0D0D0D" w:themeColor="text1" w:themeTint="F2"/>
                <w:spacing w:val="-4"/>
                <w:lang w:val="en-GB"/>
              </w:rPr>
              <w:t xml:space="preserve">Mainly the sectors focused on the production of non-durable goods counteracted a deeper downturn of the </w:t>
            </w:r>
            <w:r w:rsidR="00963DA3">
              <w:rPr>
                <w:color w:val="0D0D0D" w:themeColor="text1" w:themeTint="F2"/>
                <w:spacing w:val="-4"/>
                <w:lang w:val="en-GB"/>
              </w:rPr>
              <w:t xml:space="preserve">total </w:t>
            </w:r>
            <w:r w:rsidRPr="00884D55">
              <w:rPr>
                <w:color w:val="0D0D0D" w:themeColor="text1" w:themeTint="F2"/>
                <w:spacing w:val="-4"/>
                <w:lang w:val="en-GB"/>
              </w:rPr>
              <w:t>industrial performance last year. The output increased, year-on-year, in the food industry for the first time in the last three years (+4.0%, contribution to the growth of the whole industry +0.2 p.p.</w:t>
            </w:r>
            <w:r w:rsidRPr="00884D55">
              <w:rPr>
                <w:rStyle w:val="Znakapoznpodarou"/>
                <w:color w:val="0D0D0D" w:themeColor="text1" w:themeTint="F2"/>
                <w:spacing w:val="-4"/>
                <w:lang w:val="en-GB"/>
              </w:rPr>
              <w:t xml:space="preserve"> </w:t>
            </w:r>
            <w:r w:rsidRPr="00884D55">
              <w:rPr>
                <w:rStyle w:val="Znakapoznpodarou"/>
                <w:color w:val="0D0D0D" w:themeColor="text1" w:themeTint="F2"/>
                <w:spacing w:val="-4"/>
                <w:lang w:val="en-GB"/>
              </w:rPr>
              <w:footnoteReference w:id="17"/>
            </w:r>
            <w:r w:rsidRPr="00884D55">
              <w:rPr>
                <w:color w:val="0D0D0D" w:themeColor="text1" w:themeTint="F2"/>
                <w:spacing w:val="-4"/>
                <w:lang w:val="en-GB"/>
              </w:rPr>
              <w:t>). The beverages manufacturers also benefited from the renewed growth of the purchasing power of domestic households as well as the developing tourism (+4.0%), however unlike the food industry, their production has not yet surpassed the peak of the last pre-pandemic expansion. This also applies to the manufacturing</w:t>
            </w:r>
            <w:r w:rsidR="00963DA3">
              <w:rPr>
                <w:color w:val="0D0D0D" w:themeColor="text1" w:themeTint="F2"/>
                <w:spacing w:val="-4"/>
                <w:lang w:val="en-GB"/>
              </w:rPr>
              <w:t xml:space="preserve"> of wearing apparel, whose output growth</w:t>
            </w:r>
            <w:r w:rsidRPr="00884D55">
              <w:rPr>
                <w:color w:val="0D0D0D" w:themeColor="text1" w:themeTint="F2"/>
                <w:spacing w:val="-4"/>
                <w:lang w:val="en-GB"/>
              </w:rPr>
              <w:t xml:space="preserve"> narrowed due to the weakening domestic demand (especially in H2 2024) for the whole year (+0.6%). On the contrary, the smallest manufacturing sector, leatherworking and footwear industries, thrived, with their output </w:t>
            </w:r>
            <w:r w:rsidRPr="00884D55">
              <w:rPr>
                <w:color w:val="0D0D0D" w:themeColor="text1" w:themeTint="F2"/>
                <w:spacing w:val="-4"/>
                <w:lang w:val="en-GB"/>
              </w:rPr>
              <w:lastRenderedPageBreak/>
              <w:t xml:space="preserve">increasing for the fourth year in a row. It increased by 8.4% last year (the most of all industries), mainly due to the recovery of domestic demand. Production increased only by 2.5% in the long-term developing and significantly pro-export pharmaceutical industry last year (the lowest </w:t>
            </w:r>
            <w:r w:rsidR="00963DA3">
              <w:rPr>
                <w:color w:val="0D0D0D" w:themeColor="text1" w:themeTint="F2"/>
                <w:spacing w:val="-4"/>
                <w:lang w:val="en-GB"/>
              </w:rPr>
              <w:t xml:space="preserve">rate </w:t>
            </w:r>
            <w:r w:rsidRPr="00884D55">
              <w:rPr>
                <w:color w:val="0D0D0D" w:themeColor="text1" w:themeTint="F2"/>
                <w:spacing w:val="-4"/>
                <w:lang w:val="en-GB"/>
              </w:rPr>
              <w:t xml:space="preserve">in the last ten years), despite solid demand. The prosperous industries, which did not decline even during the pandemic, also consist of other manufacturing activities (including also, among other things, manufacturing of sports equipment, games and toys). Its performance increased by 5.7%, year-on-year, due to higher demand both from home and abroad. In contrast, households continued to rather postpone purchases of some </w:t>
            </w:r>
            <w:r w:rsidR="00963DA3">
              <w:rPr>
                <w:color w:val="0D0D0D" w:themeColor="text1" w:themeTint="F2"/>
                <w:spacing w:val="-4"/>
                <w:lang w:val="en-GB"/>
              </w:rPr>
              <w:t>semi-</w:t>
            </w:r>
            <w:r w:rsidRPr="00884D55">
              <w:rPr>
                <w:color w:val="0D0D0D" w:themeColor="text1" w:themeTint="F2"/>
                <w:spacing w:val="-4"/>
                <w:lang w:val="en-GB"/>
              </w:rPr>
              <w:t>durable products (e.g. furniture)</w:t>
            </w:r>
            <w:r w:rsidRPr="00884D55">
              <w:rPr>
                <w:rStyle w:val="Znakapoznpodarou"/>
                <w:color w:val="0D0D0D" w:themeColor="text1" w:themeTint="F2"/>
                <w:spacing w:val="-4"/>
                <w:lang w:val="en-GB"/>
              </w:rPr>
              <w:t xml:space="preserve"> </w:t>
            </w:r>
            <w:r w:rsidRPr="00884D55">
              <w:rPr>
                <w:rStyle w:val="Znakapoznpodarou"/>
                <w:color w:val="0D0D0D" w:themeColor="text1" w:themeTint="F2"/>
                <w:spacing w:val="-4"/>
                <w:lang w:val="en-GB"/>
              </w:rPr>
              <w:footnoteReference w:id="18"/>
            </w:r>
            <w:r w:rsidRPr="00884D55">
              <w:rPr>
                <w:color w:val="0D0D0D" w:themeColor="text1" w:themeTint="F2"/>
                <w:spacing w:val="-4"/>
                <w:lang w:val="en-GB"/>
              </w:rPr>
              <w:t xml:space="preserve">.  </w:t>
            </w:r>
          </w:p>
        </w:tc>
      </w:tr>
      <w:tr w:rsidR="00C30314" w:rsidRPr="00884D55" w14:paraId="6E6FAAAE" w14:textId="77777777" w:rsidTr="00803507">
        <w:trPr>
          <w:trHeight w:val="170"/>
        </w:trPr>
        <w:tc>
          <w:tcPr>
            <w:tcW w:w="1814" w:type="dxa"/>
            <w:vMerge w:val="restart"/>
            <w:shd w:val="clear" w:color="auto" w:fill="auto"/>
            <w:tcMar>
              <w:left w:w="0" w:type="dxa"/>
            </w:tcMar>
          </w:tcPr>
          <w:p w14:paraId="0067FCE5" w14:textId="77777777" w:rsidR="00C30314" w:rsidRPr="00884D55" w:rsidRDefault="00C30314" w:rsidP="00C30314">
            <w:pPr>
              <w:pStyle w:val="Marginlie"/>
              <w:rPr>
                <w:lang w:val="en-GB"/>
              </w:rPr>
            </w:pPr>
          </w:p>
        </w:tc>
        <w:tc>
          <w:tcPr>
            <w:tcW w:w="229" w:type="dxa"/>
            <w:vMerge w:val="restart"/>
            <w:shd w:val="clear" w:color="auto" w:fill="auto"/>
            <w:tcMar>
              <w:left w:w="0" w:type="dxa"/>
            </w:tcMar>
          </w:tcPr>
          <w:p w14:paraId="305D9769" w14:textId="77777777" w:rsidR="00C30314" w:rsidRPr="00884D55" w:rsidRDefault="00C30314" w:rsidP="00C30314">
            <w:pPr>
              <w:pStyle w:val="Textpoznpodarou"/>
              <w:jc w:val="both"/>
              <w:rPr>
                <w:spacing w:val="-4"/>
                <w:lang w:val="en-GB"/>
              </w:rPr>
            </w:pPr>
          </w:p>
        </w:tc>
        <w:tc>
          <w:tcPr>
            <w:tcW w:w="7596" w:type="dxa"/>
            <w:shd w:val="clear" w:color="auto" w:fill="auto"/>
            <w:tcMar>
              <w:left w:w="0" w:type="dxa"/>
            </w:tcMar>
          </w:tcPr>
          <w:p w14:paraId="11867629" w14:textId="77777777" w:rsidR="00C30314" w:rsidRPr="00884D55" w:rsidRDefault="00C30314" w:rsidP="00C30314">
            <w:pPr>
              <w:spacing w:after="0"/>
              <w:rPr>
                <w:spacing w:val="-2"/>
                <w:lang w:val="en-GB"/>
              </w:rPr>
            </w:pPr>
            <w:r w:rsidRPr="00884D55">
              <w:rPr>
                <w:rFonts w:cs="Arial"/>
                <w:b/>
                <w:bCs/>
                <w:color w:val="000000"/>
                <w:spacing w:val="-2"/>
                <w:szCs w:val="20"/>
                <w:lang w:val="en-GB"/>
              </w:rPr>
              <w:t xml:space="preserve">Chart 4 </w:t>
            </w:r>
            <w:r w:rsidRPr="00884D55">
              <w:rPr>
                <w:b/>
                <w:spacing w:val="-2"/>
                <w:lang w:val="en-GB"/>
              </w:rPr>
              <w:t xml:space="preserve">Contributions of sub-branches to the year-on-year change of the industrial output in the CR </w:t>
            </w:r>
            <w:r w:rsidRPr="00884D55">
              <w:rPr>
                <w:spacing w:val="-2"/>
                <w:lang w:val="en-GB"/>
              </w:rPr>
              <w:t xml:space="preserve">(adjusted for calendar effects, real, in p.p.) </w:t>
            </w:r>
            <w:r w:rsidRPr="00884D55">
              <w:rPr>
                <w:b/>
                <w:bCs/>
                <w:spacing w:val="-2"/>
                <w:lang w:val="en-GB"/>
              </w:rPr>
              <w:t>and output in the entire industry in the CR, Germany and EU27</w:t>
            </w:r>
            <w:r w:rsidRPr="00884D55">
              <w:rPr>
                <w:spacing w:val="-2"/>
                <w:lang w:val="en-GB"/>
              </w:rPr>
              <w:t xml:space="preserve"> (seasonally adjusted, level of year 2021=100, right axis)</w:t>
            </w:r>
          </w:p>
        </w:tc>
      </w:tr>
      <w:tr w:rsidR="00C30314" w:rsidRPr="00884D55" w14:paraId="71D20179" w14:textId="77777777" w:rsidTr="00187B31">
        <w:tblPrEx>
          <w:tblCellMar>
            <w:left w:w="70" w:type="dxa"/>
            <w:right w:w="70" w:type="dxa"/>
          </w:tblCellMar>
        </w:tblPrEx>
        <w:trPr>
          <w:trHeight w:val="170"/>
        </w:trPr>
        <w:tc>
          <w:tcPr>
            <w:tcW w:w="1814" w:type="dxa"/>
            <w:vMerge/>
            <w:shd w:val="clear" w:color="auto" w:fill="auto"/>
          </w:tcPr>
          <w:p w14:paraId="4CF3C05C" w14:textId="77777777" w:rsidR="00C30314" w:rsidRPr="00884D55" w:rsidRDefault="00C30314" w:rsidP="00C30314">
            <w:pPr>
              <w:pStyle w:val="Marginlie"/>
              <w:rPr>
                <w:lang w:val="en-GB"/>
              </w:rPr>
            </w:pPr>
          </w:p>
        </w:tc>
        <w:tc>
          <w:tcPr>
            <w:tcW w:w="229" w:type="dxa"/>
            <w:vMerge/>
            <w:shd w:val="clear" w:color="auto" w:fill="auto"/>
          </w:tcPr>
          <w:p w14:paraId="3E2759AC" w14:textId="77777777" w:rsidR="00C30314" w:rsidRPr="00884D55" w:rsidRDefault="00C30314" w:rsidP="00C30314">
            <w:pPr>
              <w:pStyle w:val="Textpoznpodarou"/>
              <w:jc w:val="both"/>
              <w:rPr>
                <w:spacing w:val="-4"/>
                <w:lang w:val="en-GB"/>
              </w:rPr>
            </w:pPr>
          </w:p>
        </w:tc>
        <w:tc>
          <w:tcPr>
            <w:tcW w:w="7596" w:type="dxa"/>
            <w:shd w:val="clear" w:color="auto" w:fill="auto"/>
          </w:tcPr>
          <w:p w14:paraId="06A7E392" w14:textId="3F01C58C" w:rsidR="00C30314" w:rsidRPr="00884D55" w:rsidRDefault="00187B31" w:rsidP="00C30314">
            <w:pPr>
              <w:spacing w:after="0"/>
              <w:rPr>
                <w:spacing w:val="-6"/>
                <w:lang w:val="en-GB"/>
              </w:rPr>
            </w:pPr>
            <w:r>
              <w:rPr>
                <w:noProof/>
              </w:rPr>
              <w:drawing>
                <wp:inline distT="0" distB="0" distL="0" distR="0" wp14:anchorId="420454C4" wp14:editId="20FF5A78">
                  <wp:extent cx="4724400" cy="3606800"/>
                  <wp:effectExtent l="0" t="0" r="0" b="0"/>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C30314" w:rsidRPr="00884D55" w14:paraId="7941EA8F" w14:textId="77777777" w:rsidTr="00803507">
        <w:trPr>
          <w:trHeight w:val="170"/>
        </w:trPr>
        <w:tc>
          <w:tcPr>
            <w:tcW w:w="1814" w:type="dxa"/>
            <w:vMerge/>
            <w:shd w:val="clear" w:color="auto" w:fill="auto"/>
            <w:tcMar>
              <w:left w:w="0" w:type="dxa"/>
            </w:tcMar>
          </w:tcPr>
          <w:p w14:paraId="208F69F5" w14:textId="77777777" w:rsidR="00C30314" w:rsidRPr="00884D55" w:rsidRDefault="00C30314" w:rsidP="00C30314">
            <w:pPr>
              <w:pStyle w:val="Marginlie"/>
              <w:rPr>
                <w:lang w:val="en-GB"/>
              </w:rPr>
            </w:pPr>
          </w:p>
        </w:tc>
        <w:tc>
          <w:tcPr>
            <w:tcW w:w="229" w:type="dxa"/>
            <w:vMerge/>
            <w:shd w:val="clear" w:color="auto" w:fill="auto"/>
            <w:tcMar>
              <w:left w:w="0" w:type="dxa"/>
            </w:tcMar>
          </w:tcPr>
          <w:p w14:paraId="38E09E2B" w14:textId="77777777" w:rsidR="00C30314" w:rsidRPr="00884D55" w:rsidRDefault="00C30314" w:rsidP="00C30314">
            <w:pPr>
              <w:pStyle w:val="Textpoznpodarou"/>
              <w:jc w:val="both"/>
              <w:rPr>
                <w:spacing w:val="-4"/>
                <w:lang w:val="en-GB"/>
              </w:rPr>
            </w:pPr>
          </w:p>
        </w:tc>
        <w:tc>
          <w:tcPr>
            <w:tcW w:w="7596" w:type="dxa"/>
            <w:shd w:val="clear" w:color="auto" w:fill="auto"/>
            <w:tcMar>
              <w:left w:w="0" w:type="dxa"/>
            </w:tcMar>
          </w:tcPr>
          <w:p w14:paraId="1C209A03" w14:textId="77777777" w:rsidR="00C30314" w:rsidRPr="00884D55" w:rsidRDefault="00C30314" w:rsidP="00C30314">
            <w:pPr>
              <w:tabs>
                <w:tab w:val="right" w:pos="7683"/>
              </w:tabs>
              <w:spacing w:after="0" w:line="240" w:lineRule="auto"/>
              <w:rPr>
                <w:rFonts w:cs="Arial"/>
                <w:sz w:val="14"/>
                <w:szCs w:val="14"/>
                <w:lang w:val="en-GB"/>
              </w:rPr>
            </w:pPr>
            <w:r w:rsidRPr="00884D55">
              <w:rPr>
                <w:rFonts w:cs="Arial"/>
                <w:spacing w:val="-2"/>
                <w:sz w:val="14"/>
                <w:szCs w:val="14"/>
                <w:lang w:val="en-GB"/>
              </w:rPr>
              <w:t>*</w:t>
            </w:r>
            <w:bookmarkStart w:id="6" w:name="_Hlk194272779"/>
            <w:r w:rsidRPr="00884D55">
              <w:rPr>
                <w:rFonts w:cs="Arial"/>
                <w:spacing w:val="-2"/>
                <w:sz w:val="14"/>
                <w:szCs w:val="14"/>
                <w:lang w:val="en-GB"/>
              </w:rPr>
              <w:t xml:space="preserve">Contribution of the remaining manufacturing industry also includes the effect of the overall methodological discrepancy stemming from the change of weights. </w:t>
            </w:r>
            <w:bookmarkEnd w:id="6"/>
          </w:p>
          <w:p w14:paraId="0F20D2C1" w14:textId="0D3CC18C" w:rsidR="00C30314" w:rsidRPr="00187B31" w:rsidRDefault="00187B31" w:rsidP="00187B31">
            <w:pPr>
              <w:tabs>
                <w:tab w:val="right" w:pos="7683"/>
              </w:tabs>
              <w:spacing w:after="200" w:line="240" w:lineRule="auto"/>
              <w:jc w:val="left"/>
              <w:rPr>
                <w:rFonts w:cs="Arial"/>
                <w:sz w:val="14"/>
                <w:szCs w:val="14"/>
                <w:lang w:val="en-GB"/>
              </w:rPr>
            </w:pPr>
            <w:r>
              <w:rPr>
                <w:rFonts w:cs="Arial"/>
                <w:sz w:val="14"/>
                <w:szCs w:val="14"/>
                <w:lang w:val="en-GB"/>
              </w:rPr>
              <w:t>Source: CZSO, Eurostat</w:t>
            </w:r>
          </w:p>
        </w:tc>
      </w:tr>
      <w:tr w:rsidR="00315D45" w:rsidRPr="00884D55" w14:paraId="5AF5CAEE" w14:textId="77777777" w:rsidTr="00803507">
        <w:trPr>
          <w:trHeight w:val="134"/>
        </w:trPr>
        <w:tc>
          <w:tcPr>
            <w:tcW w:w="1814" w:type="dxa"/>
            <w:shd w:val="clear" w:color="auto" w:fill="auto"/>
            <w:tcMar>
              <w:left w:w="0" w:type="dxa"/>
            </w:tcMar>
          </w:tcPr>
          <w:p w14:paraId="4FDC980A" w14:textId="77777777" w:rsidR="00315D45" w:rsidRPr="00884D55" w:rsidRDefault="00315D45" w:rsidP="00315D45">
            <w:pPr>
              <w:pStyle w:val="Marginlie"/>
              <w:rPr>
                <w:color w:val="0D0D0D" w:themeColor="text1" w:themeTint="F2"/>
                <w:spacing w:val="-4"/>
                <w:lang w:val="en-GB"/>
              </w:rPr>
            </w:pPr>
            <w:r w:rsidRPr="00884D55">
              <w:rPr>
                <w:color w:val="0D0D0D" w:themeColor="text1" w:themeTint="F2"/>
                <w:spacing w:val="-4"/>
                <w:lang w:val="en-GB"/>
              </w:rPr>
              <w:t xml:space="preserve">Some more energy-intensive industries focused on the production of intermediate products revived last year. </w:t>
            </w:r>
          </w:p>
          <w:p w14:paraId="5CC191EC" w14:textId="77777777" w:rsidR="00315D45" w:rsidRPr="00884D55" w:rsidRDefault="00315D45" w:rsidP="00315D45">
            <w:pPr>
              <w:pStyle w:val="Marginlie"/>
              <w:rPr>
                <w:color w:val="0D0D0D" w:themeColor="text1" w:themeTint="F2"/>
                <w:spacing w:val="-4"/>
                <w:lang w:val="en-GB"/>
              </w:rPr>
            </w:pPr>
          </w:p>
          <w:p w14:paraId="0907DFDB" w14:textId="77777777" w:rsidR="00315D45" w:rsidRPr="00884D55" w:rsidRDefault="00315D45" w:rsidP="00315D45">
            <w:pPr>
              <w:pStyle w:val="Marginlie"/>
              <w:rPr>
                <w:color w:val="0D0D0D" w:themeColor="text1" w:themeTint="F2"/>
                <w:spacing w:val="-4"/>
                <w:lang w:val="en-GB"/>
              </w:rPr>
            </w:pPr>
          </w:p>
          <w:p w14:paraId="0E23953A" w14:textId="77777777" w:rsidR="00315D45" w:rsidRPr="00884D55" w:rsidRDefault="00315D45" w:rsidP="00315D45">
            <w:pPr>
              <w:pStyle w:val="Marginlie"/>
              <w:rPr>
                <w:color w:val="0D0D0D" w:themeColor="text1" w:themeTint="F2"/>
                <w:spacing w:val="-4"/>
                <w:lang w:val="en-GB"/>
              </w:rPr>
            </w:pPr>
          </w:p>
          <w:p w14:paraId="06207C2F" w14:textId="77777777" w:rsidR="00315D45" w:rsidRPr="00884D55" w:rsidRDefault="00315D45" w:rsidP="00315D45">
            <w:pPr>
              <w:pStyle w:val="Marginlie"/>
              <w:rPr>
                <w:color w:val="0D0D0D" w:themeColor="text1" w:themeTint="F2"/>
                <w:spacing w:val="-4"/>
                <w:lang w:val="en-GB"/>
              </w:rPr>
            </w:pPr>
          </w:p>
          <w:p w14:paraId="7DC1F62F" w14:textId="2748CDB3" w:rsidR="00315D45" w:rsidRPr="00884D55" w:rsidRDefault="00315D45" w:rsidP="00315D45">
            <w:pPr>
              <w:pStyle w:val="Marginlie"/>
              <w:rPr>
                <w:lang w:val="en-GB"/>
              </w:rPr>
            </w:pPr>
            <w:r w:rsidRPr="00884D55">
              <w:rPr>
                <w:color w:val="0D0D0D" w:themeColor="text1" w:themeTint="F2"/>
                <w:spacing w:val="-4"/>
                <w:lang w:val="en-GB"/>
              </w:rPr>
              <w:t xml:space="preserve">The modest but steady growth of the electronics industry continued thanks to both domestic and external demand. </w:t>
            </w:r>
          </w:p>
        </w:tc>
        <w:tc>
          <w:tcPr>
            <w:tcW w:w="229" w:type="dxa"/>
            <w:shd w:val="clear" w:color="auto" w:fill="auto"/>
            <w:tcMar>
              <w:left w:w="0" w:type="dxa"/>
            </w:tcMar>
          </w:tcPr>
          <w:p w14:paraId="150E7292" w14:textId="77777777" w:rsidR="00315D45" w:rsidRPr="00884D55" w:rsidRDefault="00315D45" w:rsidP="00315D45">
            <w:pPr>
              <w:pStyle w:val="Textpoznpodarou"/>
              <w:jc w:val="both"/>
              <w:rPr>
                <w:spacing w:val="-4"/>
                <w:lang w:val="en-GB"/>
              </w:rPr>
            </w:pPr>
          </w:p>
        </w:tc>
        <w:tc>
          <w:tcPr>
            <w:tcW w:w="7596" w:type="dxa"/>
            <w:shd w:val="clear" w:color="auto" w:fill="auto"/>
            <w:tcMar>
              <w:left w:w="0" w:type="dxa"/>
            </w:tcMar>
          </w:tcPr>
          <w:p w14:paraId="664E0A80" w14:textId="52A142C4" w:rsidR="00315D45" w:rsidRPr="00884D55" w:rsidRDefault="00315D45" w:rsidP="00315D45">
            <w:pPr>
              <w:spacing w:after="220"/>
              <w:rPr>
                <w:color w:val="0D0D0D" w:themeColor="text1" w:themeTint="F2"/>
                <w:spacing w:val="-4"/>
                <w:lang w:val="en-GB"/>
              </w:rPr>
            </w:pPr>
            <w:r w:rsidRPr="00884D55">
              <w:rPr>
                <w:color w:val="0D0D0D" w:themeColor="text1" w:themeTint="F2"/>
                <w:spacing w:val="-4"/>
                <w:lang w:val="en-GB"/>
              </w:rPr>
              <w:t xml:space="preserve">After a slump in 2023, some of the more energy-intensive industries focused on the manufacturing of intermediate products recovered last year. Output of the chemical industry increased for the first time in the last three years (+1.0%), solely due to the recovery of domestic demand. An even more significant shift occurred in the manufacturing of non-metal mineral products, where after a 17% drop </w:t>
            </w:r>
            <w:r>
              <w:rPr>
                <w:color w:val="0D0D0D" w:themeColor="text1" w:themeTint="F2"/>
                <w:spacing w:val="-4"/>
                <w:lang w:val="en-GB"/>
              </w:rPr>
              <w:t xml:space="preserve">in 2023 </w:t>
            </w:r>
            <w:r w:rsidRPr="00884D55">
              <w:rPr>
                <w:color w:val="0D0D0D" w:themeColor="text1" w:themeTint="F2"/>
                <w:spacing w:val="-4"/>
                <w:lang w:val="en-GB"/>
              </w:rPr>
              <w:t xml:space="preserve">(the deepest </w:t>
            </w:r>
            <w:r>
              <w:rPr>
                <w:color w:val="0D0D0D" w:themeColor="text1" w:themeTint="F2"/>
                <w:spacing w:val="-4"/>
                <w:lang w:val="en-GB"/>
              </w:rPr>
              <w:t xml:space="preserve">slump </w:t>
            </w:r>
            <w:r w:rsidRPr="00884D55">
              <w:rPr>
                <w:color w:val="0D0D0D" w:themeColor="text1" w:themeTint="F2"/>
                <w:spacing w:val="-4"/>
                <w:lang w:val="en-GB"/>
              </w:rPr>
              <w:t>after 2009), the output fell by less than 1%, year-on-year, as a result of</w:t>
            </w:r>
            <w:r>
              <w:rPr>
                <w:color w:val="0D0D0D" w:themeColor="text1" w:themeTint="F2"/>
                <w:spacing w:val="-4"/>
                <w:lang w:val="en-GB"/>
              </w:rPr>
              <w:t xml:space="preserve"> improving demand in</w:t>
            </w:r>
            <w:r w:rsidRPr="00884D55">
              <w:rPr>
                <w:color w:val="0D0D0D" w:themeColor="text1" w:themeTint="F2"/>
                <w:spacing w:val="-4"/>
                <w:lang w:val="en-GB"/>
              </w:rPr>
              <w:t xml:space="preserve"> the domestic const</w:t>
            </w:r>
            <w:r w:rsidR="000024D3">
              <w:rPr>
                <w:color w:val="0D0D0D" w:themeColor="text1" w:themeTint="F2"/>
                <w:spacing w:val="-4"/>
                <w:lang w:val="en-GB"/>
              </w:rPr>
              <w:t>ruction industry. Output</w:t>
            </w:r>
            <w:r w:rsidRPr="00884D55">
              <w:rPr>
                <w:color w:val="0D0D0D" w:themeColor="text1" w:themeTint="F2"/>
                <w:spacing w:val="-4"/>
                <w:lang w:val="en-GB"/>
              </w:rPr>
              <w:t xml:space="preserve"> of the impo</w:t>
            </w:r>
            <w:r w:rsidR="000024D3">
              <w:rPr>
                <w:color w:val="0D0D0D" w:themeColor="text1" w:themeTint="F2"/>
                <w:spacing w:val="-4"/>
                <w:lang w:val="en-GB"/>
              </w:rPr>
              <w:t>rtant sector of the fabricated metal products</w:t>
            </w:r>
            <w:r w:rsidRPr="00884D55">
              <w:rPr>
                <w:color w:val="0D0D0D" w:themeColor="text1" w:themeTint="F2"/>
                <w:spacing w:val="-4"/>
                <w:lang w:val="en-GB"/>
              </w:rPr>
              <w:t xml:space="preserve"> grew at a moderate 1% rate last year. The strengthening of external demand had a favourable effect, while the domestic demand was aided by the strengthening of arms production. S</w:t>
            </w:r>
            <w:r>
              <w:rPr>
                <w:color w:val="0D0D0D" w:themeColor="text1" w:themeTint="F2"/>
                <w:spacing w:val="-4"/>
                <w:lang w:val="en-GB"/>
              </w:rPr>
              <w:t xml:space="preserve">ectors that are relatively more dependant </w:t>
            </w:r>
            <w:r w:rsidRPr="00884D55">
              <w:rPr>
                <w:color w:val="0D0D0D" w:themeColor="text1" w:themeTint="F2"/>
                <w:spacing w:val="-4"/>
                <w:lang w:val="en-GB"/>
              </w:rPr>
              <w:t xml:space="preserve">on the domestic demand were also successful – the output of the wood processing industry went up by 3.1% (the highest </w:t>
            </w:r>
            <w:r>
              <w:rPr>
                <w:color w:val="0D0D0D" w:themeColor="text1" w:themeTint="F2"/>
                <w:spacing w:val="-4"/>
                <w:lang w:val="en-GB"/>
              </w:rPr>
              <w:t xml:space="preserve">pace </w:t>
            </w:r>
            <w:r w:rsidRPr="00884D55">
              <w:rPr>
                <w:color w:val="0D0D0D" w:themeColor="text1" w:themeTint="F2"/>
                <w:spacing w:val="-4"/>
                <w:lang w:val="en-GB"/>
              </w:rPr>
              <w:t xml:space="preserve">in the last six years), and by 4.2% in the paper industry. Among the sectors </w:t>
            </w:r>
            <w:r>
              <w:rPr>
                <w:color w:val="0D0D0D" w:themeColor="text1" w:themeTint="F2"/>
                <w:spacing w:val="-4"/>
                <w:lang w:val="en-GB"/>
              </w:rPr>
              <w:t xml:space="preserve">aimed at </w:t>
            </w:r>
            <w:r w:rsidRPr="00884D55">
              <w:rPr>
                <w:color w:val="0D0D0D" w:themeColor="text1" w:themeTint="F2"/>
                <w:spacing w:val="-4"/>
                <w:lang w:val="en-GB"/>
              </w:rPr>
              <w:t xml:space="preserve">manufacturing mostly the investment products, only manufacturing of computers, electronic </w:t>
            </w:r>
            <w:r w:rsidRPr="00884D55">
              <w:rPr>
                <w:color w:val="0D0D0D" w:themeColor="text1" w:themeTint="F2"/>
                <w:spacing w:val="-4"/>
                <w:lang w:val="en-GB"/>
              </w:rPr>
              <w:lastRenderedPageBreak/>
              <w:t xml:space="preserve">and optical appliances and equipment strengthened last year (+4.7%), where a slight increase of output persisted for the fourth year in a row. This import-intensive and at the same time also strongly export-oriented high-tech sector has been supported by strengthening domestic demand associated with the development of photovoltaics in the recent years as well. </w:t>
            </w:r>
          </w:p>
        </w:tc>
      </w:tr>
      <w:tr w:rsidR="00315D45" w:rsidRPr="00884D55" w14:paraId="0EF3FD89" w14:textId="77777777" w:rsidTr="00803507">
        <w:trPr>
          <w:trHeight w:val="134"/>
        </w:trPr>
        <w:tc>
          <w:tcPr>
            <w:tcW w:w="1814" w:type="dxa"/>
            <w:shd w:val="clear" w:color="auto" w:fill="auto"/>
            <w:tcMar>
              <w:left w:w="0" w:type="dxa"/>
            </w:tcMar>
          </w:tcPr>
          <w:p w14:paraId="70D075D8" w14:textId="77777777" w:rsidR="00315D45" w:rsidRPr="00884D55" w:rsidRDefault="00315D45" w:rsidP="00315D45">
            <w:pPr>
              <w:pStyle w:val="Marginlie"/>
              <w:rPr>
                <w:lang w:val="en-GB"/>
              </w:rPr>
            </w:pPr>
            <w:r w:rsidRPr="00884D55">
              <w:rPr>
                <w:lang w:val="en-GB"/>
              </w:rPr>
              <w:lastRenderedPageBreak/>
              <w:t xml:space="preserve">Decrease of the industrial output deepened slightly in the EU last year. The recession thus affected two-thirds of the member states in this branch. The industrial output downturn continued in Germany for the third year in a row and it was the third deepest among member states last year.   </w:t>
            </w:r>
          </w:p>
        </w:tc>
        <w:tc>
          <w:tcPr>
            <w:tcW w:w="229" w:type="dxa"/>
            <w:shd w:val="clear" w:color="auto" w:fill="auto"/>
            <w:tcMar>
              <w:left w:w="0" w:type="dxa"/>
            </w:tcMar>
          </w:tcPr>
          <w:p w14:paraId="0845D017" w14:textId="77777777" w:rsidR="00315D45" w:rsidRPr="00884D55" w:rsidRDefault="00315D45" w:rsidP="00315D45">
            <w:pPr>
              <w:pStyle w:val="Textpoznpodarou"/>
              <w:jc w:val="both"/>
              <w:rPr>
                <w:spacing w:val="-4"/>
                <w:lang w:val="en-GB"/>
              </w:rPr>
            </w:pPr>
          </w:p>
        </w:tc>
        <w:tc>
          <w:tcPr>
            <w:tcW w:w="7596" w:type="dxa"/>
            <w:shd w:val="clear" w:color="auto" w:fill="auto"/>
            <w:tcMar>
              <w:left w:w="0" w:type="dxa"/>
            </w:tcMar>
          </w:tcPr>
          <w:p w14:paraId="794CB621" w14:textId="1BE107FC" w:rsidR="00315D45" w:rsidRPr="00884D55" w:rsidRDefault="00315D45" w:rsidP="000024D3">
            <w:pPr>
              <w:spacing w:after="220"/>
              <w:rPr>
                <w:color w:val="0D0D0D" w:themeColor="text1" w:themeTint="F2"/>
                <w:spacing w:val="-4"/>
                <w:lang w:val="en-GB"/>
              </w:rPr>
            </w:pPr>
            <w:r w:rsidRPr="00884D55">
              <w:rPr>
                <w:color w:val="0D0D0D" w:themeColor="text1" w:themeTint="F2"/>
                <w:spacing w:val="-4"/>
                <w:lang w:val="en-GB"/>
              </w:rPr>
              <w:t>The current difficulties of industry in the Czech Republic are largely related to the adverse development of this br</w:t>
            </w:r>
            <w:r w:rsidR="000024D3">
              <w:rPr>
                <w:color w:val="0D0D0D" w:themeColor="text1" w:themeTint="F2"/>
                <w:spacing w:val="-4"/>
                <w:lang w:val="en-GB"/>
              </w:rPr>
              <w:t>anch in the majority of EU</w:t>
            </w:r>
            <w:r w:rsidRPr="00884D55">
              <w:rPr>
                <w:color w:val="0D0D0D" w:themeColor="text1" w:themeTint="F2"/>
                <w:spacing w:val="-4"/>
                <w:lang w:val="en-GB"/>
              </w:rPr>
              <w:t xml:space="preserve"> countries. In the euro area alone, the industrial production fell by 0.3%, quarter-on-quarter, in Q4 2024 and fell already for the seventh consecutive quarter. The year-on-year slump in performance has persisted for the same period of time. Industrial production decreased by 2.4% in the EU for the whole last year and its volume was comparable to year 2019. The performance of investment-oriented sectors (−4.5%, mainly manufacturing of motor vehicles and engineering) stood </w:t>
            </w:r>
            <w:r w:rsidR="000024D3">
              <w:rPr>
                <w:color w:val="0D0D0D" w:themeColor="text1" w:themeTint="F2"/>
                <w:spacing w:val="-4"/>
                <w:lang w:val="en-GB"/>
              </w:rPr>
              <w:t xml:space="preserve">mainly </w:t>
            </w:r>
            <w:r w:rsidRPr="00884D55">
              <w:rPr>
                <w:color w:val="0D0D0D" w:themeColor="text1" w:themeTint="F2"/>
                <w:spacing w:val="-4"/>
                <w:lang w:val="en-GB"/>
              </w:rPr>
              <w:t>behind the lower performance last year, similarly to the Czech Republic. A noticeable downturn also afflicted the sectors manufacturing intermediate goods (−3.4%, mainly electrical engineering, textile industry and m</w:t>
            </w:r>
            <w:r w:rsidRPr="000024D3">
              <w:rPr>
                <w:color w:val="0D0D0D" w:themeColor="text1" w:themeTint="F2"/>
                <w:spacing w:val="-4"/>
                <w:lang w:val="en-GB"/>
              </w:rPr>
              <w:t>etalworking</w:t>
            </w:r>
            <w:r w:rsidRPr="00884D55">
              <w:rPr>
                <w:color w:val="0D0D0D" w:themeColor="text1" w:themeTint="F2"/>
                <w:spacing w:val="-4"/>
                <w:lang w:val="en-GB"/>
              </w:rPr>
              <w:t xml:space="preserve">) or durable goods (−3.3%, primarily the manufacturing of furniture), while the recession in contrast avoided the sectors aimed at short-term consumption (+1.8%, especially food industry, pharmaceuticals and tobacco industry), where production strengthened for the fourth year in a row and was 15% higher than the pre-pandemic peak. From the point of view of the member states, the total industrial output decreased the most in Austria (−5.1%) and Ireland (−5.0%) last year, and among the key producers then in Germany (−4.6%, by 6.7% </w:t>
            </w:r>
            <w:r w:rsidR="000024D3">
              <w:rPr>
                <w:color w:val="0D0D0D" w:themeColor="text1" w:themeTint="F2"/>
                <w:spacing w:val="-4"/>
                <w:lang w:val="en-GB"/>
              </w:rPr>
              <w:t xml:space="preserve">in totoal </w:t>
            </w:r>
            <w:r w:rsidRPr="00884D55">
              <w:rPr>
                <w:color w:val="0D0D0D" w:themeColor="text1" w:themeTint="F2"/>
                <w:spacing w:val="-4"/>
                <w:lang w:val="en-GB"/>
              </w:rPr>
              <w:t xml:space="preserve">for the last three years) and Italy (−4.0%). With the exception of Poland (+0.5%) and Slovakia (+0.3%), industrial performance declined in all Central European countries. Its growth occurred only in less than a </w:t>
            </w:r>
            <w:r w:rsidR="000024D3">
              <w:rPr>
                <w:color w:val="0D0D0D" w:themeColor="text1" w:themeTint="F2"/>
                <w:spacing w:val="-4"/>
                <w:lang w:val="en-GB"/>
              </w:rPr>
              <w:t xml:space="preserve">one </w:t>
            </w:r>
            <w:r w:rsidRPr="00884D55">
              <w:rPr>
                <w:color w:val="0D0D0D" w:themeColor="text1" w:themeTint="F2"/>
                <w:spacing w:val="-4"/>
                <w:lang w:val="en-GB"/>
              </w:rPr>
              <w:t xml:space="preserve">third of the Union member states – mainly in Denmark (+8.3%) and Greece (+5.2%), but among the key economies only in Spain (+0.5%).  </w:t>
            </w:r>
          </w:p>
        </w:tc>
      </w:tr>
      <w:tr w:rsidR="00315D45" w:rsidRPr="00884D55" w14:paraId="47E81798" w14:textId="77777777" w:rsidTr="00803507">
        <w:trPr>
          <w:trHeight w:val="134"/>
        </w:trPr>
        <w:tc>
          <w:tcPr>
            <w:tcW w:w="1814" w:type="dxa"/>
            <w:shd w:val="clear" w:color="auto" w:fill="auto"/>
            <w:tcMar>
              <w:left w:w="0" w:type="dxa"/>
            </w:tcMar>
          </w:tcPr>
          <w:p w14:paraId="415239D3" w14:textId="0E697E68" w:rsidR="00315D45" w:rsidRPr="00884D55" w:rsidRDefault="00315D45" w:rsidP="00315D45">
            <w:pPr>
              <w:pStyle w:val="Marginlie"/>
              <w:rPr>
                <w:lang w:val="en-GB"/>
              </w:rPr>
            </w:pPr>
            <w:r w:rsidRPr="00884D55">
              <w:rPr>
                <w:lang w:val="en-GB"/>
              </w:rPr>
              <w:t xml:space="preserve">The growth of the value of </w:t>
            </w:r>
            <w:r w:rsidR="000024D3">
              <w:rPr>
                <w:lang w:val="en-GB"/>
              </w:rPr>
              <w:t xml:space="preserve">new </w:t>
            </w:r>
            <w:r w:rsidRPr="00884D55">
              <w:rPr>
                <w:lang w:val="en-GB"/>
              </w:rPr>
              <w:t xml:space="preserve">orders gradually weakened in industry during last year and almost ceased in Q4. </w:t>
            </w:r>
          </w:p>
          <w:p w14:paraId="0A813151" w14:textId="77777777" w:rsidR="00315D45" w:rsidRPr="00884D55" w:rsidRDefault="00315D45" w:rsidP="00315D45">
            <w:pPr>
              <w:pStyle w:val="Marginlie"/>
              <w:rPr>
                <w:lang w:val="en-GB"/>
              </w:rPr>
            </w:pPr>
          </w:p>
          <w:p w14:paraId="194DA5DA" w14:textId="77777777" w:rsidR="00315D45" w:rsidRPr="00884D55" w:rsidRDefault="00315D45" w:rsidP="00315D45">
            <w:pPr>
              <w:pStyle w:val="Marginlie"/>
              <w:rPr>
                <w:lang w:val="en-GB"/>
              </w:rPr>
            </w:pPr>
          </w:p>
          <w:p w14:paraId="52E0633A" w14:textId="77777777" w:rsidR="00315D45" w:rsidRPr="00884D55" w:rsidRDefault="00315D45" w:rsidP="00315D45">
            <w:pPr>
              <w:pStyle w:val="Marginlie"/>
              <w:rPr>
                <w:lang w:val="en-GB"/>
              </w:rPr>
            </w:pPr>
          </w:p>
          <w:p w14:paraId="054B8968" w14:textId="77777777" w:rsidR="00315D45" w:rsidRPr="00884D55" w:rsidRDefault="00315D45" w:rsidP="00315D45">
            <w:pPr>
              <w:pStyle w:val="Marginlie"/>
              <w:rPr>
                <w:lang w:val="en-GB"/>
              </w:rPr>
            </w:pPr>
          </w:p>
          <w:p w14:paraId="3DE30C62" w14:textId="77777777" w:rsidR="00315D45" w:rsidRPr="00884D55" w:rsidRDefault="00315D45" w:rsidP="00315D45">
            <w:pPr>
              <w:pStyle w:val="Marginlie"/>
              <w:rPr>
                <w:lang w:val="en-GB"/>
              </w:rPr>
            </w:pPr>
          </w:p>
          <w:p w14:paraId="4A5EEEE2" w14:textId="77777777" w:rsidR="00315D45" w:rsidRPr="00884D55" w:rsidRDefault="00315D45" w:rsidP="00315D45">
            <w:pPr>
              <w:pStyle w:val="Marginlie"/>
              <w:rPr>
                <w:lang w:val="en-GB"/>
              </w:rPr>
            </w:pPr>
          </w:p>
          <w:p w14:paraId="36FF216E" w14:textId="77777777" w:rsidR="00315D45" w:rsidRPr="00884D55" w:rsidRDefault="00315D45" w:rsidP="00315D45">
            <w:pPr>
              <w:pStyle w:val="Marginlie"/>
              <w:rPr>
                <w:lang w:val="en-GB"/>
              </w:rPr>
            </w:pPr>
            <w:r w:rsidRPr="00884D55">
              <w:rPr>
                <w:lang w:val="en-GB"/>
              </w:rPr>
              <w:t xml:space="preserve">A slight recovery occurred in the chemical and metalworking industries. However, weak demand persisted in both metallurgy and engineering. </w:t>
            </w:r>
          </w:p>
        </w:tc>
        <w:tc>
          <w:tcPr>
            <w:tcW w:w="229" w:type="dxa"/>
            <w:shd w:val="clear" w:color="auto" w:fill="auto"/>
            <w:tcMar>
              <w:left w:w="0" w:type="dxa"/>
            </w:tcMar>
          </w:tcPr>
          <w:p w14:paraId="74B23DD1" w14:textId="77777777" w:rsidR="00315D45" w:rsidRPr="00884D55" w:rsidRDefault="00315D45" w:rsidP="00315D45">
            <w:pPr>
              <w:pStyle w:val="Textpoznpodarou"/>
              <w:jc w:val="both"/>
              <w:rPr>
                <w:spacing w:val="-4"/>
                <w:lang w:val="en-GB"/>
              </w:rPr>
            </w:pPr>
          </w:p>
        </w:tc>
        <w:tc>
          <w:tcPr>
            <w:tcW w:w="7596" w:type="dxa"/>
            <w:shd w:val="clear" w:color="auto" w:fill="auto"/>
            <w:tcMar>
              <w:left w:w="0" w:type="dxa"/>
            </w:tcMar>
          </w:tcPr>
          <w:p w14:paraId="74FA785A" w14:textId="39EC28E7" w:rsidR="00315D45" w:rsidRPr="00884D55" w:rsidRDefault="00315D45" w:rsidP="00315D45">
            <w:pPr>
              <w:spacing w:after="220"/>
              <w:rPr>
                <w:color w:val="0D0D0D" w:themeColor="text1" w:themeTint="F2"/>
                <w:spacing w:val="-4"/>
                <w:lang w:val="en-GB"/>
              </w:rPr>
            </w:pPr>
            <w:r w:rsidRPr="00884D55">
              <w:rPr>
                <w:color w:val="0D0D0D" w:themeColor="text1" w:themeTint="F2"/>
                <w:spacing w:val="-4"/>
                <w:lang w:val="en-GB"/>
              </w:rPr>
              <w:t>The dynamics of new industrial orders indicated a slight recovery at the beginning of the last year, nevertheless it gradually faded. The year-on-year growth of the nom</w:t>
            </w:r>
            <w:r w:rsidR="00BE1EB2">
              <w:rPr>
                <w:color w:val="0D0D0D" w:themeColor="text1" w:themeTint="F2"/>
                <w:spacing w:val="-4"/>
                <w:lang w:val="en-GB"/>
              </w:rPr>
              <w:t>inal value of orders almost halted in the selected</w:t>
            </w:r>
            <w:r w:rsidRPr="00884D55">
              <w:rPr>
                <w:color w:val="0D0D0D" w:themeColor="text1" w:themeTint="F2"/>
                <w:spacing w:val="-4"/>
                <w:lang w:val="en-GB"/>
              </w:rPr>
              <w:t xml:space="preserve"> industrial activities</w:t>
            </w:r>
            <w:r w:rsidRPr="00884D55">
              <w:rPr>
                <w:rStyle w:val="Znakapoznpodarou"/>
                <w:color w:val="0D0D0D" w:themeColor="text1" w:themeTint="F2"/>
                <w:spacing w:val="-4"/>
                <w:lang w:val="en-GB"/>
              </w:rPr>
              <w:footnoteReference w:id="19"/>
            </w:r>
            <w:r w:rsidRPr="00884D55">
              <w:rPr>
                <w:color w:val="0D0D0D" w:themeColor="text1" w:themeTint="F2"/>
                <w:spacing w:val="-4"/>
                <w:lang w:val="en-GB"/>
              </w:rPr>
              <w:t xml:space="preserve"> in Q4 2024 (+1.2%), which essentially applied to both domestic and external demand. Even the quarter-on-quarter rates in the second half of the last year did not suggest an imminent positive </w:t>
            </w:r>
            <w:r w:rsidR="00BE1EB2">
              <w:rPr>
                <w:color w:val="0D0D0D" w:themeColor="text1" w:themeTint="F2"/>
                <w:spacing w:val="-4"/>
                <w:lang w:val="en-GB"/>
              </w:rPr>
              <w:t>turnaround. At the level of</w:t>
            </w:r>
            <w:r w:rsidRPr="00884D55">
              <w:rPr>
                <w:color w:val="0D0D0D" w:themeColor="text1" w:themeTint="F2"/>
                <w:spacing w:val="-4"/>
                <w:lang w:val="en-GB"/>
              </w:rPr>
              <w:t xml:space="preserve"> </w:t>
            </w:r>
            <w:r w:rsidR="00BE1EB2">
              <w:rPr>
                <w:color w:val="0D0D0D" w:themeColor="text1" w:themeTint="F2"/>
                <w:spacing w:val="-4"/>
                <w:lang w:val="en-GB"/>
              </w:rPr>
              <w:t xml:space="preserve">individual </w:t>
            </w:r>
            <w:r w:rsidRPr="00884D55">
              <w:rPr>
                <w:color w:val="0D0D0D" w:themeColor="text1" w:themeTint="F2"/>
                <w:spacing w:val="-4"/>
                <w:lang w:val="en-GB"/>
              </w:rPr>
              <w:t xml:space="preserve">industries, the only exceptions were the electronics industry, where the year-on-year growth of orders reached 13.2% in Q4 (9.9% for the whole year), and the manufacturing of other transport equipment, where demand grew by a third </w:t>
            </w:r>
            <w:r w:rsidR="00BE1EB2">
              <w:rPr>
                <w:color w:val="0D0D0D" w:themeColor="text1" w:themeTint="F2"/>
                <w:spacing w:val="-4"/>
                <w:lang w:val="en-GB"/>
              </w:rPr>
              <w:t xml:space="preserve">in Q4 </w:t>
            </w:r>
            <w:r w:rsidRPr="00884D55">
              <w:rPr>
                <w:color w:val="0D0D0D" w:themeColor="text1" w:themeTint="F2"/>
                <w:spacing w:val="-4"/>
                <w:lang w:val="en-GB"/>
              </w:rPr>
              <w:t>(by a quarter for the whole year</w:t>
            </w:r>
            <w:r w:rsidR="00BE1EB2">
              <w:rPr>
                <w:color w:val="0D0D0D" w:themeColor="text1" w:themeTint="F2"/>
                <w:spacing w:val="-4"/>
                <w:lang w:val="en-GB"/>
              </w:rPr>
              <w:t xml:space="preserve"> 2024</w:t>
            </w:r>
            <w:r w:rsidRPr="00884D55">
              <w:rPr>
                <w:color w:val="0D0D0D" w:themeColor="text1" w:themeTint="F2"/>
                <w:spacing w:val="-4"/>
                <w:lang w:val="en-GB"/>
              </w:rPr>
              <w:t xml:space="preserve">). The favourable prospects are based on strong domestic demand associated with the development of transport infrastructure as well as the modernization of the army here. The manufacturing of motor vehicles also maintained a slight growth (+6.1%) in the yearly perspective, however the volume of orders decreased </w:t>
            </w:r>
            <w:r w:rsidR="00BE1EB2">
              <w:rPr>
                <w:color w:val="0D0D0D" w:themeColor="text1" w:themeTint="F2"/>
                <w:spacing w:val="-4"/>
                <w:lang w:val="en-GB"/>
              </w:rPr>
              <w:t>(</w:t>
            </w:r>
            <w:r w:rsidRPr="00884D55">
              <w:rPr>
                <w:color w:val="0D0D0D" w:themeColor="text1" w:themeTint="F2"/>
                <w:spacing w:val="-4"/>
                <w:lang w:val="en-GB"/>
              </w:rPr>
              <w:t>by 1.5%</w:t>
            </w:r>
            <w:r w:rsidR="00BE1EB2">
              <w:rPr>
                <w:color w:val="0D0D0D" w:themeColor="text1" w:themeTint="F2"/>
                <w:spacing w:val="-4"/>
                <w:lang w:val="en-GB"/>
              </w:rPr>
              <w:t>)</w:t>
            </w:r>
            <w:r w:rsidRPr="00884D55">
              <w:rPr>
                <w:color w:val="0D0D0D" w:themeColor="text1" w:themeTint="F2"/>
                <w:spacing w:val="-4"/>
                <w:lang w:val="en-GB"/>
              </w:rPr>
              <w:t xml:space="preserve">, year-on-year in Q4 (for the first time in almost </w:t>
            </w:r>
            <w:r w:rsidR="00BE1EB2">
              <w:rPr>
                <w:color w:val="0D0D0D" w:themeColor="text1" w:themeTint="F2"/>
                <w:spacing w:val="-4"/>
                <w:lang w:val="en-GB"/>
              </w:rPr>
              <w:t xml:space="preserve">last </w:t>
            </w:r>
            <w:r w:rsidRPr="00884D55">
              <w:rPr>
                <w:color w:val="0D0D0D" w:themeColor="text1" w:themeTint="F2"/>
                <w:spacing w:val="-4"/>
                <w:lang w:val="en-GB"/>
              </w:rPr>
              <w:t xml:space="preserve">three years). The related field of electrical engineering was in a similar situation. On the contrary, the decrease continued in engineering for the second year in a row, amounting to 1.3% for the whole year 2024. Similar trends prevail </w:t>
            </w:r>
            <w:r w:rsidR="00BE1EB2">
              <w:rPr>
                <w:color w:val="0D0D0D" w:themeColor="text1" w:themeTint="F2"/>
                <w:spacing w:val="-4"/>
                <w:lang w:val="en-GB"/>
              </w:rPr>
              <w:t xml:space="preserve">laso </w:t>
            </w:r>
            <w:r w:rsidRPr="00884D55">
              <w:rPr>
                <w:color w:val="0D0D0D" w:themeColor="text1" w:themeTint="F2"/>
                <w:spacing w:val="-4"/>
                <w:lang w:val="en-GB"/>
              </w:rPr>
              <w:t xml:space="preserve">in the metallurgical industry, where the demand took a deeper dive. On the positive side, the demand recovered slightly in some important sectors of the chemical as well as metalworking industries, both in Q4 and in the full-year perspective. </w:t>
            </w:r>
          </w:p>
        </w:tc>
      </w:tr>
      <w:tr w:rsidR="00B01DC6" w:rsidRPr="00884D55" w14:paraId="35904C42" w14:textId="77777777" w:rsidTr="00803507">
        <w:trPr>
          <w:trHeight w:val="134"/>
        </w:trPr>
        <w:tc>
          <w:tcPr>
            <w:tcW w:w="1814" w:type="dxa"/>
            <w:shd w:val="clear" w:color="auto" w:fill="auto"/>
            <w:tcMar>
              <w:left w:w="0" w:type="dxa"/>
            </w:tcMar>
          </w:tcPr>
          <w:p w14:paraId="343CA63A" w14:textId="77777777" w:rsidR="00B01DC6" w:rsidRPr="00884D55" w:rsidRDefault="00B01DC6" w:rsidP="00B01DC6">
            <w:pPr>
              <w:pStyle w:val="Marginlie"/>
              <w:rPr>
                <w:color w:val="0D0D0D" w:themeColor="text1" w:themeTint="F2"/>
                <w:lang w:val="en-GB"/>
              </w:rPr>
            </w:pPr>
            <w:r w:rsidRPr="00884D55">
              <w:rPr>
                <w:color w:val="0D0D0D" w:themeColor="text1" w:themeTint="F2"/>
                <w:lang w:val="en-GB"/>
              </w:rPr>
              <w:t xml:space="preserve">Business confidence in industry remained low. Around 60% of companies already suffered from insufficient </w:t>
            </w:r>
            <w:r w:rsidRPr="00884D55">
              <w:rPr>
                <w:color w:val="0D0D0D" w:themeColor="text1" w:themeTint="F2"/>
                <w:lang w:val="en-GB"/>
              </w:rPr>
              <w:lastRenderedPageBreak/>
              <w:t>demand. Current and expected employment developments stay unfavourable.</w:t>
            </w:r>
          </w:p>
          <w:p w14:paraId="15C1CE1F" w14:textId="77777777" w:rsidR="00B01DC6" w:rsidRPr="00884D55" w:rsidRDefault="00B01DC6" w:rsidP="00B01DC6">
            <w:pPr>
              <w:pStyle w:val="Marginlie"/>
              <w:rPr>
                <w:color w:val="0D0D0D" w:themeColor="text1" w:themeTint="F2"/>
                <w:lang w:val="en-GB"/>
              </w:rPr>
            </w:pPr>
          </w:p>
          <w:p w14:paraId="470D46F0" w14:textId="77777777" w:rsidR="00B01DC6" w:rsidRPr="00884D55" w:rsidRDefault="00B01DC6" w:rsidP="00B01DC6">
            <w:pPr>
              <w:pStyle w:val="Marginlie"/>
              <w:rPr>
                <w:color w:val="0D0D0D" w:themeColor="text1" w:themeTint="F2"/>
                <w:lang w:val="en-GB"/>
              </w:rPr>
            </w:pPr>
          </w:p>
          <w:p w14:paraId="6367508F" w14:textId="77777777" w:rsidR="00B01DC6" w:rsidRPr="00884D55" w:rsidRDefault="00B01DC6" w:rsidP="00B01DC6">
            <w:pPr>
              <w:pStyle w:val="Marginlie"/>
              <w:rPr>
                <w:color w:val="0D0D0D" w:themeColor="text1" w:themeTint="F2"/>
                <w:lang w:val="en-GB"/>
              </w:rPr>
            </w:pPr>
          </w:p>
          <w:p w14:paraId="21021123" w14:textId="0D8A62F5" w:rsidR="00B01DC6" w:rsidRPr="00884D55" w:rsidRDefault="00B01DC6" w:rsidP="00B01DC6">
            <w:pPr>
              <w:pStyle w:val="Marginlie"/>
              <w:rPr>
                <w:lang w:val="en-GB"/>
              </w:rPr>
            </w:pPr>
            <w:r w:rsidRPr="00884D55">
              <w:rPr>
                <w:color w:val="0D0D0D" w:themeColor="text1" w:themeTint="F2"/>
                <w:lang w:val="en-GB"/>
              </w:rPr>
              <w:t xml:space="preserve">The utilisation of industrial production capacities decreased mildly, year-on-year, and lagged slightly also behind the level of the period 2015–2019. </w:t>
            </w:r>
          </w:p>
        </w:tc>
        <w:tc>
          <w:tcPr>
            <w:tcW w:w="229" w:type="dxa"/>
            <w:shd w:val="clear" w:color="auto" w:fill="auto"/>
            <w:tcMar>
              <w:left w:w="0" w:type="dxa"/>
            </w:tcMar>
          </w:tcPr>
          <w:p w14:paraId="67582987"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3C3E1AA0" w14:textId="1102FECA" w:rsidR="00B01DC6" w:rsidRPr="00884D55" w:rsidRDefault="00B01DC6" w:rsidP="00B01DC6">
            <w:pPr>
              <w:spacing w:after="220"/>
              <w:rPr>
                <w:b/>
                <w:spacing w:val="-2"/>
                <w:lang w:val="en-GB"/>
              </w:rPr>
            </w:pPr>
            <w:r w:rsidRPr="00884D55">
              <w:rPr>
                <w:color w:val="0D0D0D" w:themeColor="text1" w:themeTint="F2"/>
                <w:spacing w:val="-3"/>
                <w:lang w:val="en-GB"/>
              </w:rPr>
              <w:t>Business confidence in industry remained slightly in the negative band. It improved mildly during H1 2024, then rather fluctuated.</w:t>
            </w:r>
            <w:r>
              <w:rPr>
                <w:color w:val="0D0D0D" w:themeColor="text1" w:themeTint="F2"/>
                <w:spacing w:val="-3"/>
                <w:lang w:val="en-GB"/>
              </w:rPr>
              <w:t xml:space="preserve"> A fifth of companies rated their </w:t>
            </w:r>
            <w:r w:rsidRPr="00884D55">
              <w:rPr>
                <w:color w:val="0D0D0D" w:themeColor="text1" w:themeTint="F2"/>
                <w:spacing w:val="-3"/>
                <w:lang w:val="en-GB"/>
              </w:rPr>
              <w:t>current demand unfavourably, and more than 60% of companies have already identified it as one of the gro</w:t>
            </w:r>
            <w:r>
              <w:rPr>
                <w:color w:val="0D0D0D" w:themeColor="text1" w:themeTint="F2"/>
                <w:spacing w:val="-3"/>
                <w:lang w:val="en-GB"/>
              </w:rPr>
              <w:t xml:space="preserve">wth barriers in February 2025 (the same share </w:t>
            </w:r>
            <w:r w:rsidRPr="007A5CBD">
              <w:rPr>
                <w:color w:val="0D0D0D" w:themeColor="text1" w:themeTint="F2"/>
                <w:spacing w:val="-3"/>
                <w:lang w:val="en-GB"/>
              </w:rPr>
              <w:t>was evident</w:t>
            </w:r>
            <w:r>
              <w:rPr>
                <w:color w:val="0D0D0D" w:themeColor="text1" w:themeTint="F2"/>
                <w:spacing w:val="-3"/>
                <w:lang w:val="en-GB"/>
              </w:rPr>
              <w:t xml:space="preserve"> also in</w:t>
            </w:r>
            <w:r w:rsidRPr="00884D55">
              <w:rPr>
                <w:color w:val="0D0D0D" w:themeColor="text1" w:themeTint="F2"/>
                <w:spacing w:val="-3"/>
                <w:lang w:val="en-GB"/>
              </w:rPr>
              <w:t xml:space="preserve"> the pandemic year </w:t>
            </w:r>
            <w:r w:rsidRPr="00884D55">
              <w:rPr>
                <w:color w:val="0D0D0D" w:themeColor="text1" w:themeTint="F2"/>
                <w:spacing w:val="-3"/>
                <w:lang w:val="en-GB"/>
              </w:rPr>
              <w:lastRenderedPageBreak/>
              <w:t>of 2020 or in year 2013). In contrast, the shortage of labour</w:t>
            </w:r>
            <w:r w:rsidRPr="00884D55">
              <w:rPr>
                <w:rStyle w:val="Znakapoznpodarou"/>
                <w:color w:val="0D0D0D" w:themeColor="text1" w:themeTint="F2"/>
                <w:spacing w:val="-3"/>
                <w:lang w:val="en-GB"/>
              </w:rPr>
              <w:footnoteReference w:id="20"/>
            </w:r>
            <w:r w:rsidRPr="00884D55">
              <w:rPr>
                <w:color w:val="0D0D0D" w:themeColor="text1" w:themeTint="F2"/>
                <w:spacing w:val="-3"/>
                <w:lang w:val="en-GB"/>
              </w:rPr>
              <w:t xml:space="preserve"> or materials and equipment</w:t>
            </w:r>
            <w:r w:rsidRPr="00884D55">
              <w:rPr>
                <w:rStyle w:val="Znakapoznpodarou"/>
                <w:color w:val="0D0D0D" w:themeColor="text1" w:themeTint="F2"/>
                <w:spacing w:val="-3"/>
                <w:lang w:val="en-GB"/>
              </w:rPr>
              <w:footnoteReference w:id="21"/>
            </w:r>
            <w:r w:rsidRPr="00884D55">
              <w:rPr>
                <w:color w:val="0D0D0D" w:themeColor="text1" w:themeTint="F2"/>
                <w:spacing w:val="-3"/>
                <w:lang w:val="en-GB"/>
              </w:rPr>
              <w:t>.</w:t>
            </w:r>
            <w:r>
              <w:rPr>
                <w:color w:val="0D0D0D" w:themeColor="text1" w:themeTint="F2"/>
                <w:spacing w:val="-3"/>
                <w:lang w:val="en-GB"/>
              </w:rPr>
              <w:t xml:space="preserve"> </w:t>
            </w:r>
            <w:r w:rsidRPr="007A5CBD">
              <w:rPr>
                <w:color w:val="0D0D0D" w:themeColor="text1" w:themeTint="F2"/>
                <w:spacing w:val="-3"/>
                <w:lang w:val="en-GB"/>
              </w:rPr>
              <w:t>plagued</w:t>
            </w:r>
            <w:r w:rsidRPr="00884D55">
              <w:rPr>
                <w:color w:val="0D0D0D" w:themeColor="text1" w:themeTint="F2"/>
                <w:spacing w:val="-3"/>
                <w:lang w:val="en-GB"/>
              </w:rPr>
              <w:t xml:space="preserve"> only a tenth of companies</w:t>
            </w:r>
            <w:r>
              <w:rPr>
                <w:color w:val="0D0D0D" w:themeColor="text1" w:themeTint="F2"/>
                <w:spacing w:val="-3"/>
                <w:lang w:val="en-GB"/>
              </w:rPr>
              <w:t>.</w:t>
            </w:r>
            <w:r w:rsidRPr="00884D55">
              <w:rPr>
                <w:color w:val="0D0D0D" w:themeColor="text1" w:themeTint="F2"/>
                <w:spacing w:val="-3"/>
                <w:lang w:val="en-GB"/>
              </w:rPr>
              <w:t xml:space="preserve"> Stabilisation of cost pressures</w:t>
            </w:r>
            <w:r w:rsidRPr="00884D55">
              <w:rPr>
                <w:rStyle w:val="Znakapoznpodarou"/>
                <w:color w:val="0D0D0D" w:themeColor="text1" w:themeTint="F2"/>
                <w:spacing w:val="-3"/>
                <w:lang w:val="en-GB"/>
              </w:rPr>
              <w:footnoteReference w:id="22"/>
            </w:r>
            <w:r w:rsidRPr="00884D55">
              <w:rPr>
                <w:color w:val="0D0D0D" w:themeColor="text1" w:themeTint="F2"/>
                <w:spacing w:val="-3"/>
                <w:lang w:val="en-GB"/>
              </w:rPr>
              <w:t xml:space="preserve"> and slightly optimistic production outlooks</w:t>
            </w:r>
            <w:r w:rsidRPr="00884D55">
              <w:rPr>
                <w:rStyle w:val="Znakapoznpodarou"/>
                <w:color w:val="0D0D0D" w:themeColor="text1" w:themeTint="F2"/>
                <w:spacing w:val="-3"/>
                <w:lang w:val="en-GB"/>
              </w:rPr>
              <w:footnoteReference w:id="23"/>
            </w:r>
            <w:r w:rsidRPr="00884D55">
              <w:rPr>
                <w:color w:val="0D0D0D" w:themeColor="text1" w:themeTint="F2"/>
                <w:spacing w:val="-3"/>
                <w:lang w:val="en-GB"/>
              </w:rPr>
              <w:t xml:space="preserve"> can be described as positive. Still, the employment expectations are negative</w:t>
            </w:r>
            <w:r w:rsidRPr="00884D55">
              <w:rPr>
                <w:rStyle w:val="Znakapoznpodarou"/>
                <w:color w:val="0D0D0D" w:themeColor="text1" w:themeTint="F2"/>
                <w:spacing w:val="-3"/>
                <w:lang w:val="en-GB"/>
              </w:rPr>
              <w:footnoteReference w:id="24"/>
            </w:r>
            <w:r w:rsidRPr="00884D55">
              <w:rPr>
                <w:color w:val="0D0D0D" w:themeColor="text1" w:themeTint="F2"/>
                <w:spacing w:val="-3"/>
                <w:lang w:val="en-GB"/>
              </w:rPr>
              <w:t xml:space="preserve"> and have in addition deteriorated slightly compared to last year. This is also in line with the real development in recent months (the registered number of employees in industry decreased by 1.6%, year-on-year, in Q1 to Q3 2024, while the pace of decline was more than double in mining, electrical engineering or machinery. The utilisation of production capacities attained </w:t>
            </w:r>
            <w:r w:rsidRPr="00884D55">
              <w:rPr>
                <w:color w:val="0D0D0D" w:themeColor="text1" w:themeTint="F2"/>
                <w:spacing w:val="-4"/>
                <w:lang w:val="en-GB"/>
              </w:rPr>
              <w:t>82.7% in the whole industry (it decreased slightly, year-on-year, and was 2 p. p. lower than the average for the expansion period 2015 to 2019).  The situation was, nevertheless, quite favourable in the motor vehicle manufacturing itself (93.1%), the current utilisation even exceeded the level of the last expansion here.</w:t>
            </w:r>
          </w:p>
        </w:tc>
      </w:tr>
      <w:tr w:rsidR="00B01DC6" w:rsidRPr="00884D55" w14:paraId="46E081F5" w14:textId="77777777" w:rsidTr="00803507">
        <w:trPr>
          <w:trHeight w:val="134"/>
        </w:trPr>
        <w:tc>
          <w:tcPr>
            <w:tcW w:w="1814" w:type="dxa"/>
            <w:vMerge w:val="restart"/>
            <w:shd w:val="clear" w:color="auto" w:fill="auto"/>
            <w:tcMar>
              <w:left w:w="0" w:type="dxa"/>
            </w:tcMar>
          </w:tcPr>
          <w:p w14:paraId="2DDE08A6" w14:textId="77777777" w:rsidR="00B01DC6" w:rsidRPr="00884D55" w:rsidRDefault="00B01DC6" w:rsidP="00B01DC6">
            <w:pPr>
              <w:pStyle w:val="Marginlie"/>
              <w:rPr>
                <w:lang w:val="en-GB"/>
              </w:rPr>
            </w:pPr>
          </w:p>
        </w:tc>
        <w:tc>
          <w:tcPr>
            <w:tcW w:w="229" w:type="dxa"/>
            <w:vMerge w:val="restart"/>
            <w:shd w:val="clear" w:color="auto" w:fill="auto"/>
            <w:tcMar>
              <w:left w:w="0" w:type="dxa"/>
            </w:tcMar>
          </w:tcPr>
          <w:p w14:paraId="39FE8765"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749D0548" w14:textId="77777777" w:rsidR="00B01DC6" w:rsidRPr="00884D55" w:rsidRDefault="00B01DC6" w:rsidP="00B01DC6">
            <w:pPr>
              <w:spacing w:after="0"/>
              <w:rPr>
                <w:color w:val="0D0D0D" w:themeColor="text1" w:themeTint="F2"/>
                <w:spacing w:val="-5"/>
                <w:lang w:val="en-GB"/>
              </w:rPr>
            </w:pPr>
            <w:r w:rsidRPr="00884D55">
              <w:rPr>
                <w:b/>
                <w:spacing w:val="-2"/>
                <w:lang w:val="en-GB"/>
              </w:rPr>
              <w:t xml:space="preserve">Chart 5 </w:t>
            </w:r>
            <w:r w:rsidRPr="00884D55">
              <w:rPr>
                <w:b/>
                <w:lang w:val="en-GB"/>
              </w:rPr>
              <w:t xml:space="preserve">New orders in industry </w:t>
            </w:r>
            <w:r w:rsidRPr="00884D55">
              <w:rPr>
                <w:bCs/>
                <w:lang w:val="en-GB"/>
              </w:rPr>
              <w:t xml:space="preserve">(nominal, year-on-year change in %), </w:t>
            </w:r>
            <w:r w:rsidRPr="00884D55">
              <w:rPr>
                <w:b/>
                <w:lang w:val="en-GB"/>
              </w:rPr>
              <w:t>utilisation of production capacities in industry, selected growth barriers*</w:t>
            </w:r>
            <w:r w:rsidRPr="00884D55">
              <w:rPr>
                <w:lang w:val="en-GB"/>
              </w:rPr>
              <w:t xml:space="preserve"> (in %, right axis) </w:t>
            </w:r>
            <w:r w:rsidRPr="00884D55">
              <w:rPr>
                <w:b/>
                <w:bCs/>
                <w:lang w:val="en-GB"/>
              </w:rPr>
              <w:t>and balance of business confidence indicator in industry*</w:t>
            </w:r>
            <w:r w:rsidRPr="00884D55">
              <w:rPr>
                <w:lang w:val="en-GB"/>
              </w:rPr>
              <w:t xml:space="preserve"> (in p.p., right axis)</w:t>
            </w:r>
          </w:p>
        </w:tc>
      </w:tr>
      <w:tr w:rsidR="00B01DC6" w:rsidRPr="00884D55" w14:paraId="4EB7F6CB" w14:textId="77777777" w:rsidTr="00B01DC6">
        <w:tblPrEx>
          <w:tblCellMar>
            <w:left w:w="70" w:type="dxa"/>
            <w:right w:w="70" w:type="dxa"/>
          </w:tblCellMar>
        </w:tblPrEx>
        <w:trPr>
          <w:trHeight w:val="133"/>
        </w:trPr>
        <w:tc>
          <w:tcPr>
            <w:tcW w:w="1814" w:type="dxa"/>
            <w:vMerge/>
            <w:shd w:val="clear" w:color="auto" w:fill="auto"/>
          </w:tcPr>
          <w:p w14:paraId="2DE675F0" w14:textId="77777777" w:rsidR="00B01DC6" w:rsidRPr="00884D55" w:rsidRDefault="00B01DC6" w:rsidP="00B01DC6">
            <w:pPr>
              <w:pStyle w:val="Marginlie"/>
              <w:rPr>
                <w:lang w:val="en-GB"/>
              </w:rPr>
            </w:pPr>
          </w:p>
        </w:tc>
        <w:tc>
          <w:tcPr>
            <w:tcW w:w="229" w:type="dxa"/>
            <w:vMerge/>
            <w:shd w:val="clear" w:color="auto" w:fill="auto"/>
          </w:tcPr>
          <w:p w14:paraId="7D473B2C" w14:textId="77777777" w:rsidR="00B01DC6" w:rsidRPr="00884D55" w:rsidRDefault="00B01DC6" w:rsidP="00B01DC6">
            <w:pPr>
              <w:pStyle w:val="Textpoznpodarou"/>
              <w:jc w:val="both"/>
              <w:rPr>
                <w:spacing w:val="-4"/>
                <w:lang w:val="en-GB"/>
              </w:rPr>
            </w:pPr>
          </w:p>
        </w:tc>
        <w:tc>
          <w:tcPr>
            <w:tcW w:w="7596" w:type="dxa"/>
            <w:shd w:val="clear" w:color="auto" w:fill="auto"/>
          </w:tcPr>
          <w:p w14:paraId="30B5EFA9" w14:textId="6BF13ABB" w:rsidR="00B01DC6" w:rsidRPr="00884D55" w:rsidRDefault="00B01DC6" w:rsidP="00B01DC6">
            <w:pPr>
              <w:spacing w:after="0"/>
              <w:rPr>
                <w:color w:val="0D0D0D" w:themeColor="text1" w:themeTint="F2"/>
                <w:spacing w:val="-5"/>
                <w:lang w:val="en-GB"/>
              </w:rPr>
            </w:pPr>
            <w:r>
              <w:rPr>
                <w:noProof/>
              </w:rPr>
              <w:drawing>
                <wp:inline distT="0" distB="0" distL="0" distR="0" wp14:anchorId="206701A9" wp14:editId="5C2B1341">
                  <wp:extent cx="4730750" cy="3636645"/>
                  <wp:effectExtent l="0" t="0" r="0" b="1905"/>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B01DC6" w:rsidRPr="00884D55" w14:paraId="2C61AA3C" w14:textId="77777777" w:rsidTr="00803507">
        <w:trPr>
          <w:trHeight w:val="133"/>
        </w:trPr>
        <w:tc>
          <w:tcPr>
            <w:tcW w:w="1814" w:type="dxa"/>
            <w:vMerge/>
            <w:shd w:val="clear" w:color="auto" w:fill="auto"/>
            <w:tcMar>
              <w:left w:w="0" w:type="dxa"/>
            </w:tcMar>
          </w:tcPr>
          <w:p w14:paraId="02839FC5" w14:textId="77777777" w:rsidR="00B01DC6" w:rsidRPr="00884D55" w:rsidRDefault="00B01DC6" w:rsidP="00B01DC6">
            <w:pPr>
              <w:pStyle w:val="Marginlie"/>
              <w:rPr>
                <w:lang w:val="en-GB"/>
              </w:rPr>
            </w:pPr>
          </w:p>
        </w:tc>
        <w:tc>
          <w:tcPr>
            <w:tcW w:w="229" w:type="dxa"/>
            <w:vMerge/>
            <w:shd w:val="clear" w:color="auto" w:fill="auto"/>
            <w:tcMar>
              <w:left w:w="0" w:type="dxa"/>
            </w:tcMar>
          </w:tcPr>
          <w:p w14:paraId="0E94E9C3"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61985780" w14:textId="749D68C0" w:rsidR="00B01DC6" w:rsidRPr="00B01DC6" w:rsidRDefault="00B01DC6" w:rsidP="00B01DC6">
            <w:pPr>
              <w:spacing w:after="200" w:line="240" w:lineRule="auto"/>
              <w:rPr>
                <w:rFonts w:cs="Arial"/>
                <w:sz w:val="14"/>
                <w:szCs w:val="14"/>
                <w:lang w:val="en-GB"/>
              </w:rPr>
            </w:pPr>
            <w:r w:rsidRPr="00884D55">
              <w:rPr>
                <w:color w:val="0D0D0D" w:themeColor="text1" w:themeTint="F2"/>
                <w:spacing w:val="-5"/>
                <w:sz w:val="14"/>
                <w:szCs w:val="14"/>
                <w:lang w:val="en-GB"/>
              </w:rPr>
              <w:t>*</w:t>
            </w:r>
            <w:r w:rsidRPr="00884D55">
              <w:rPr>
                <w:rFonts w:cs="Arial"/>
                <w:sz w:val="14"/>
                <w:szCs w:val="14"/>
                <w:lang w:val="en-GB"/>
              </w:rPr>
              <w:t xml:space="preserve"> Both utilisation of production capacities and growth barriers express the level in the first month of the given quarter, business confidence balance relates to the second month in the quarter. Orders are adjusted for calendar effects; other indicators are seasonally adjusted. Businesses could have indicated more key growth barriers simultaneously.                                                 </w:t>
            </w:r>
            <w:r>
              <w:rPr>
                <w:rFonts w:cs="Arial"/>
                <w:sz w:val="14"/>
                <w:szCs w:val="14"/>
                <w:lang w:val="en-GB"/>
              </w:rPr>
              <w:t xml:space="preserve">         Source: CZSO, Eurostat</w:t>
            </w:r>
          </w:p>
        </w:tc>
      </w:tr>
      <w:tr w:rsidR="00B01DC6" w:rsidRPr="00884D55" w14:paraId="4AC10E60" w14:textId="77777777" w:rsidTr="00803507">
        <w:trPr>
          <w:trHeight w:val="170"/>
        </w:trPr>
        <w:tc>
          <w:tcPr>
            <w:tcW w:w="1814" w:type="dxa"/>
            <w:shd w:val="clear" w:color="auto" w:fill="auto"/>
            <w:tcMar>
              <w:left w:w="0" w:type="dxa"/>
            </w:tcMar>
          </w:tcPr>
          <w:p w14:paraId="1AC139E6" w14:textId="77777777" w:rsidR="00B01DC6" w:rsidRPr="00884D55" w:rsidRDefault="00B01DC6" w:rsidP="00B01DC6">
            <w:pPr>
              <w:pStyle w:val="Marginlie"/>
              <w:rPr>
                <w:color w:val="0D0D0D" w:themeColor="text1" w:themeTint="F2"/>
                <w:spacing w:val="-4"/>
                <w:lang w:val="en-GB"/>
              </w:rPr>
            </w:pPr>
            <w:r w:rsidRPr="00884D55">
              <w:rPr>
                <w:color w:val="0D0D0D" w:themeColor="text1" w:themeTint="F2"/>
                <w:spacing w:val="-4"/>
                <w:lang w:val="en-GB"/>
              </w:rPr>
              <w:t xml:space="preserve">Significant cost pressures as well as weaker investment activity in both the private and public spheres continued to affect </w:t>
            </w:r>
            <w:r w:rsidRPr="00884D55">
              <w:rPr>
                <w:color w:val="0D0D0D" w:themeColor="text1" w:themeTint="F2"/>
                <w:spacing w:val="-4"/>
                <w:lang w:val="en-GB"/>
              </w:rPr>
              <w:lastRenderedPageBreak/>
              <w:t xml:space="preserve">the construction performance.  </w:t>
            </w:r>
          </w:p>
        </w:tc>
        <w:tc>
          <w:tcPr>
            <w:tcW w:w="229" w:type="dxa"/>
            <w:shd w:val="clear" w:color="auto" w:fill="auto"/>
            <w:tcMar>
              <w:left w:w="0" w:type="dxa"/>
            </w:tcMar>
          </w:tcPr>
          <w:p w14:paraId="01D6DB17" w14:textId="77777777" w:rsidR="00B01DC6" w:rsidRPr="00884D55" w:rsidRDefault="00B01DC6" w:rsidP="00B01DC6">
            <w:pPr>
              <w:pStyle w:val="Textpoznpodarou"/>
              <w:jc w:val="both"/>
              <w:rPr>
                <w:color w:val="0D0D0D" w:themeColor="text1" w:themeTint="F2"/>
                <w:spacing w:val="-4"/>
                <w:lang w:val="en-GB"/>
              </w:rPr>
            </w:pPr>
          </w:p>
        </w:tc>
        <w:tc>
          <w:tcPr>
            <w:tcW w:w="7596" w:type="dxa"/>
            <w:shd w:val="clear" w:color="auto" w:fill="auto"/>
            <w:tcMar>
              <w:left w:w="0" w:type="dxa"/>
            </w:tcMar>
          </w:tcPr>
          <w:p w14:paraId="2A9FAD1D" w14:textId="77777777" w:rsidR="00B01DC6" w:rsidRPr="00884D55" w:rsidRDefault="00B01DC6" w:rsidP="00B01DC6">
            <w:pPr>
              <w:spacing w:after="200"/>
              <w:rPr>
                <w:color w:val="0D0D0D" w:themeColor="text1" w:themeTint="F2"/>
                <w:spacing w:val="-6"/>
                <w:lang w:val="en-GB"/>
              </w:rPr>
            </w:pPr>
            <w:r w:rsidRPr="00884D55">
              <w:rPr>
                <w:color w:val="0D0D0D" w:themeColor="text1" w:themeTint="F2"/>
                <w:spacing w:val="-6"/>
                <w:lang w:val="en-GB"/>
              </w:rPr>
              <w:t xml:space="preserve">The construction industry was plagued by a continuing recession for part of last year. Persisting weak demand as well as price pressures had an adverse effect. Although prices of building materials started to fall slightly, year-on-year, from Autumn 2023 after a three-year increase, the reduction of both realized and expected prices of construction output was hindered by rapid growth of labour costs affected by a chronic shortage mainly of skilled </w:t>
            </w:r>
            <w:r w:rsidRPr="00884D55">
              <w:rPr>
                <w:color w:val="0D0D0D" w:themeColor="text1" w:themeTint="F2"/>
                <w:spacing w:val="-6"/>
                <w:lang w:val="en-GB"/>
              </w:rPr>
              <w:lastRenderedPageBreak/>
              <w:t>labour. Subdued investment activity in the business sphere connected to the weaker business and consumer confidence in the economy and worsened possibilities for financing investment was also still evident. This was compounded by an anticipated decrease of public investment associated with the transition to the new EU programming period</w:t>
            </w:r>
            <w:r w:rsidRPr="00884D55">
              <w:rPr>
                <w:rStyle w:val="Znakapoznpodarou"/>
                <w:color w:val="0D0D0D" w:themeColor="text1" w:themeTint="F2"/>
                <w:spacing w:val="-6"/>
                <w:lang w:val="en-GB"/>
              </w:rPr>
              <w:footnoteReference w:id="25"/>
            </w:r>
            <w:r w:rsidRPr="00884D55">
              <w:rPr>
                <w:color w:val="0D0D0D" w:themeColor="text1" w:themeTint="F2"/>
                <w:spacing w:val="-6"/>
                <w:lang w:val="en-GB"/>
              </w:rPr>
              <w:t xml:space="preserve">. </w:t>
            </w:r>
          </w:p>
        </w:tc>
      </w:tr>
      <w:tr w:rsidR="00B01DC6" w:rsidRPr="00884D55" w14:paraId="6D280D14" w14:textId="77777777" w:rsidTr="00803507">
        <w:trPr>
          <w:trHeight w:val="170"/>
        </w:trPr>
        <w:tc>
          <w:tcPr>
            <w:tcW w:w="1814" w:type="dxa"/>
            <w:shd w:val="clear" w:color="auto" w:fill="auto"/>
            <w:tcMar>
              <w:left w:w="0" w:type="dxa"/>
            </w:tcMar>
          </w:tcPr>
          <w:p w14:paraId="6B514560" w14:textId="77777777" w:rsidR="00B01DC6" w:rsidRPr="00884D55" w:rsidRDefault="00B01DC6" w:rsidP="00B01DC6">
            <w:pPr>
              <w:pStyle w:val="Marginlie"/>
              <w:rPr>
                <w:color w:val="0D0D0D" w:themeColor="text1" w:themeTint="F2"/>
                <w:spacing w:val="-4"/>
                <w:lang w:val="en-GB"/>
              </w:rPr>
            </w:pPr>
            <w:r w:rsidRPr="00884D55">
              <w:rPr>
                <w:color w:val="0D0D0D" w:themeColor="text1" w:themeTint="F2"/>
                <w:spacing w:val="-4"/>
                <w:lang w:val="en-GB"/>
              </w:rPr>
              <w:lastRenderedPageBreak/>
              <w:t xml:space="preserve">The year-on-year drop of construction output continued for the second year in a row last year. However, the output increased in Q4, mainly due to a recovery in building construction. </w:t>
            </w:r>
          </w:p>
        </w:tc>
        <w:tc>
          <w:tcPr>
            <w:tcW w:w="229" w:type="dxa"/>
            <w:shd w:val="clear" w:color="auto" w:fill="auto"/>
            <w:tcMar>
              <w:left w:w="0" w:type="dxa"/>
            </w:tcMar>
          </w:tcPr>
          <w:p w14:paraId="27DF5F2D" w14:textId="77777777" w:rsidR="00B01DC6" w:rsidRPr="00884D55" w:rsidRDefault="00B01DC6" w:rsidP="00B01DC6">
            <w:pPr>
              <w:pStyle w:val="Textpoznpodarou"/>
              <w:jc w:val="both"/>
              <w:rPr>
                <w:color w:val="0D0D0D" w:themeColor="text1" w:themeTint="F2"/>
                <w:spacing w:val="-4"/>
                <w:lang w:val="en-GB"/>
              </w:rPr>
            </w:pPr>
          </w:p>
        </w:tc>
        <w:tc>
          <w:tcPr>
            <w:tcW w:w="7596" w:type="dxa"/>
            <w:shd w:val="clear" w:color="auto" w:fill="auto"/>
            <w:tcMar>
              <w:left w:w="0" w:type="dxa"/>
            </w:tcMar>
          </w:tcPr>
          <w:p w14:paraId="3F52F905" w14:textId="22BE264E" w:rsidR="00B01DC6" w:rsidRPr="00884D55" w:rsidRDefault="00B01DC6" w:rsidP="00211CD6">
            <w:pPr>
              <w:rPr>
                <w:rStyle w:val="normaltextrun"/>
                <w:color w:val="0D0D0D" w:themeColor="text1" w:themeTint="F2"/>
                <w:spacing w:val="-5"/>
                <w:lang w:val="en-GB"/>
              </w:rPr>
            </w:pPr>
            <w:r w:rsidRPr="00884D55">
              <w:rPr>
                <w:color w:val="0D0D0D" w:themeColor="text1" w:themeTint="F2"/>
                <w:spacing w:val="-5"/>
                <w:lang w:val="en-GB"/>
              </w:rPr>
              <w:t>Construction output</w:t>
            </w:r>
            <w:r w:rsidRPr="00884D55">
              <w:rPr>
                <w:rStyle w:val="Znakapoznpodarou"/>
                <w:color w:val="0D0D0D" w:themeColor="text1" w:themeTint="F2"/>
                <w:spacing w:val="-5"/>
                <w:lang w:val="en-GB"/>
              </w:rPr>
              <w:footnoteReference w:id="26"/>
            </w:r>
            <w:r w:rsidRPr="00884D55">
              <w:rPr>
                <w:color w:val="0D0D0D" w:themeColor="text1" w:themeTint="F2"/>
                <w:spacing w:val="-5"/>
                <w:lang w:val="en-GB"/>
              </w:rPr>
              <w:t xml:space="preserve"> increased by 0.6%, quarter-on-quarter, at the beginning of 2024, primarily due to favourable weather (and halted the adverse development that filled most of the year </w:t>
            </w:r>
            <w:r w:rsidR="00211CD6">
              <w:rPr>
                <w:color w:val="0D0D0D" w:themeColor="text1" w:themeTint="F2"/>
                <w:spacing w:val="-5"/>
                <w:lang w:val="en-GB"/>
              </w:rPr>
              <w:t>2023</w:t>
            </w:r>
            <w:r w:rsidRPr="00884D55">
              <w:rPr>
                <w:color w:val="0D0D0D" w:themeColor="text1" w:themeTint="F2"/>
                <w:spacing w:val="-5"/>
                <w:lang w:val="en-GB"/>
              </w:rPr>
              <w:t xml:space="preserve">), but fell </w:t>
            </w:r>
            <w:r w:rsidR="00211CD6">
              <w:rPr>
                <w:color w:val="0D0D0D" w:themeColor="text1" w:themeTint="F2"/>
                <w:spacing w:val="-5"/>
                <w:lang w:val="en-GB"/>
              </w:rPr>
              <w:t>by 1.6% during Q2, mainly due</w:t>
            </w:r>
            <w:r w:rsidRPr="00884D55">
              <w:rPr>
                <w:color w:val="0D0D0D" w:themeColor="text1" w:themeTint="F2"/>
                <w:spacing w:val="-5"/>
                <w:lang w:val="en-GB"/>
              </w:rPr>
              <w:t xml:space="preserve"> to the influence of the civil engineering construction. However, there was a recovery in the remaining part of the </w:t>
            </w:r>
            <w:r w:rsidR="00211CD6">
              <w:rPr>
                <w:color w:val="0D0D0D" w:themeColor="text1" w:themeTint="F2"/>
                <w:spacing w:val="-5"/>
                <w:lang w:val="en-GB"/>
              </w:rPr>
              <w:t xml:space="preserve">last </w:t>
            </w:r>
            <w:r w:rsidRPr="00884D55">
              <w:rPr>
                <w:color w:val="0D0D0D" w:themeColor="text1" w:themeTint="F2"/>
                <w:spacing w:val="-5"/>
                <w:lang w:val="en-GB"/>
              </w:rPr>
              <w:t xml:space="preserve">year, which was the most apparent in the last quarter (+2.8%, the most in the last eleven quarters).  The performance of construction industry decreased by 1.4%, year-on-year, for the whole last year (and slightly mitigated the downturn from year 2023). Nevertheless, the production increased in Q4 </w:t>
            </w:r>
            <w:r w:rsidR="00211CD6">
              <w:rPr>
                <w:color w:val="0D0D0D" w:themeColor="text1" w:themeTint="F2"/>
                <w:spacing w:val="-5"/>
                <w:lang w:val="en-GB"/>
              </w:rPr>
              <w:t xml:space="preserve">2024 </w:t>
            </w:r>
            <w:r w:rsidRPr="00884D55">
              <w:rPr>
                <w:color w:val="0D0D0D" w:themeColor="text1" w:themeTint="F2"/>
                <w:spacing w:val="-5"/>
                <w:lang w:val="en-GB"/>
              </w:rPr>
              <w:t>(+3.2%, partially due to a weaker comparative basis). The recovery was particularly evident in the construction of buildings (+6.6%) and, to a lesser extent, in civil engineering as well. On the contrary, there was no significant revival in the segment of specialised construction activities (a decrease of 1.6% for the whole of last year).</w:t>
            </w:r>
            <w:r w:rsidRPr="00884D55">
              <w:rPr>
                <w:rStyle w:val="Znakapoznpodarou"/>
                <w:color w:val="0D0D0D" w:themeColor="text1" w:themeTint="F2"/>
                <w:spacing w:val="-5"/>
                <w:lang w:val="en-GB"/>
              </w:rPr>
              <w:footnoteReference w:id="27"/>
            </w:r>
          </w:p>
        </w:tc>
      </w:tr>
      <w:tr w:rsidR="00B01DC6" w:rsidRPr="00884D55" w14:paraId="28029CFF" w14:textId="77777777" w:rsidTr="00803507">
        <w:trPr>
          <w:trHeight w:val="170"/>
        </w:trPr>
        <w:tc>
          <w:tcPr>
            <w:tcW w:w="1814" w:type="dxa"/>
            <w:shd w:val="clear" w:color="auto" w:fill="auto"/>
            <w:tcMar>
              <w:left w:w="0" w:type="dxa"/>
            </w:tcMar>
          </w:tcPr>
          <w:p w14:paraId="348AB76C" w14:textId="77777777" w:rsidR="00B01DC6" w:rsidRPr="00884D55" w:rsidRDefault="00B01DC6" w:rsidP="00B01DC6">
            <w:pPr>
              <w:pStyle w:val="Marginlie"/>
              <w:rPr>
                <w:color w:val="0D0D0D" w:themeColor="text1" w:themeTint="F2"/>
                <w:spacing w:val="-4"/>
                <w:lang w:val="en-GB"/>
              </w:rPr>
            </w:pPr>
            <w:r w:rsidRPr="00884D55">
              <w:rPr>
                <w:color w:val="0D0D0D" w:themeColor="text1" w:themeTint="F2"/>
                <w:spacing w:val="-4"/>
                <w:lang w:val="en-GB"/>
              </w:rPr>
              <w:t>Total residential construction was still subdued, however there was a recovery in Prague.</w:t>
            </w:r>
          </w:p>
        </w:tc>
        <w:tc>
          <w:tcPr>
            <w:tcW w:w="229" w:type="dxa"/>
            <w:shd w:val="clear" w:color="auto" w:fill="auto"/>
            <w:tcMar>
              <w:left w:w="0" w:type="dxa"/>
            </w:tcMar>
          </w:tcPr>
          <w:p w14:paraId="48AB6727" w14:textId="77777777" w:rsidR="00B01DC6" w:rsidRPr="00884D55" w:rsidRDefault="00B01DC6" w:rsidP="00B01DC6">
            <w:pPr>
              <w:pStyle w:val="Textpoznpodarou"/>
              <w:jc w:val="both"/>
              <w:rPr>
                <w:color w:val="0D0D0D" w:themeColor="text1" w:themeTint="F2"/>
                <w:spacing w:val="-4"/>
                <w:lang w:val="en-GB"/>
              </w:rPr>
            </w:pPr>
          </w:p>
        </w:tc>
        <w:tc>
          <w:tcPr>
            <w:tcW w:w="7596" w:type="dxa"/>
            <w:shd w:val="clear" w:color="auto" w:fill="auto"/>
            <w:tcMar>
              <w:left w:w="0" w:type="dxa"/>
            </w:tcMar>
          </w:tcPr>
          <w:p w14:paraId="72A1107E" w14:textId="33A5F109" w:rsidR="00B01DC6" w:rsidRPr="00884D55" w:rsidRDefault="00B01DC6" w:rsidP="00967162">
            <w:pPr>
              <w:rPr>
                <w:color w:val="0D0D0D" w:themeColor="text1" w:themeTint="F2"/>
                <w:spacing w:val="-5"/>
                <w:lang w:val="en-GB"/>
              </w:rPr>
            </w:pPr>
            <w:r w:rsidRPr="00884D55">
              <w:rPr>
                <w:color w:val="0D0D0D" w:themeColor="text1" w:themeTint="F2"/>
                <w:spacing w:val="-5"/>
                <w:lang w:val="en-GB"/>
              </w:rPr>
              <w:t>There was a partial re</w:t>
            </w:r>
            <w:r w:rsidR="00967162">
              <w:rPr>
                <w:color w:val="0D0D0D" w:themeColor="text1" w:themeTint="F2"/>
                <w:spacing w:val="-5"/>
                <w:lang w:val="en-GB"/>
              </w:rPr>
              <w:t>covery of housing construction</w:t>
            </w:r>
            <w:r w:rsidRPr="00884D55">
              <w:rPr>
                <w:color w:val="0D0D0D" w:themeColor="text1" w:themeTint="F2"/>
                <w:spacing w:val="-5"/>
                <w:lang w:val="en-GB"/>
              </w:rPr>
              <w:t xml:space="preserve"> last year, after a</w:t>
            </w:r>
            <w:r w:rsidR="00967162">
              <w:rPr>
                <w:color w:val="0D0D0D" w:themeColor="text1" w:themeTint="F2"/>
                <w:spacing w:val="-5"/>
                <w:lang w:val="en-GB"/>
              </w:rPr>
              <w:t xml:space="preserve"> two-year suspension. The number</w:t>
            </w:r>
            <w:r w:rsidRPr="00884D55">
              <w:rPr>
                <w:color w:val="0D0D0D" w:themeColor="text1" w:themeTint="F2"/>
                <w:spacing w:val="-5"/>
                <w:lang w:val="en-GB"/>
              </w:rPr>
              <w:t xml:space="preserve"> of </w:t>
            </w:r>
            <w:r w:rsidR="00967162">
              <w:rPr>
                <w:color w:val="0D0D0D" w:themeColor="text1" w:themeTint="F2"/>
                <w:spacing w:val="-5"/>
                <w:lang w:val="en-GB"/>
              </w:rPr>
              <w:t>started dwellings</w:t>
            </w:r>
            <w:r w:rsidRPr="00884D55">
              <w:rPr>
                <w:color w:val="0D0D0D" w:themeColor="text1" w:themeTint="F2"/>
                <w:spacing w:val="-5"/>
                <w:lang w:val="en-GB"/>
              </w:rPr>
              <w:t xml:space="preserve"> was 2.5% higher, year-on-year (but lagged by almost a fifth behind the 2021 peak). However, only the construction </w:t>
            </w:r>
            <w:r w:rsidR="00967162">
              <w:rPr>
                <w:color w:val="0D0D0D" w:themeColor="text1" w:themeTint="F2"/>
                <w:spacing w:val="-5"/>
                <w:lang w:val="en-GB"/>
              </w:rPr>
              <w:t xml:space="preserve">in segment </w:t>
            </w:r>
            <w:r w:rsidRPr="00884D55">
              <w:rPr>
                <w:color w:val="0D0D0D" w:themeColor="text1" w:themeTint="F2"/>
                <w:spacing w:val="-5"/>
                <w:lang w:val="en-GB"/>
              </w:rPr>
              <w:t xml:space="preserve">of </w:t>
            </w:r>
            <w:r w:rsidR="00967162">
              <w:rPr>
                <w:color w:val="0D0D0D" w:themeColor="text1" w:themeTint="F2"/>
                <w:spacing w:val="-5"/>
                <w:lang w:val="en-GB"/>
              </w:rPr>
              <w:t>multi-</w:t>
            </w:r>
            <w:r w:rsidRPr="00884D55">
              <w:rPr>
                <w:color w:val="0D0D0D" w:themeColor="text1" w:themeTint="F2"/>
                <w:spacing w:val="-5"/>
                <w:lang w:val="en-GB"/>
              </w:rPr>
              <w:t>dwe</w:t>
            </w:r>
            <w:r w:rsidR="00967162">
              <w:rPr>
                <w:color w:val="0D0D0D" w:themeColor="text1" w:themeTint="F2"/>
                <w:spacing w:val="-5"/>
                <w:lang w:val="en-GB"/>
              </w:rPr>
              <w:t>lling</w:t>
            </w:r>
            <w:r w:rsidRPr="00884D55">
              <w:rPr>
                <w:color w:val="0D0D0D" w:themeColor="text1" w:themeTint="F2"/>
                <w:spacing w:val="-5"/>
                <w:lang w:val="en-GB"/>
              </w:rPr>
              <w:t xml:space="preserve"> buildings contributed to the growth, especially in Prague (it reached 17.1</w:t>
            </w:r>
            <w:r>
              <w:rPr>
                <w:color w:val="0D0D0D" w:themeColor="text1" w:themeTint="F2"/>
                <w:spacing w:val="-5"/>
                <w:lang w:val="en-GB"/>
              </w:rPr>
              <w:t> t</w:t>
            </w:r>
            <w:r w:rsidRPr="00884D55">
              <w:rPr>
                <w:color w:val="0D0D0D" w:themeColor="text1" w:themeTint="F2"/>
                <w:spacing w:val="-5"/>
                <w:lang w:val="en-GB"/>
              </w:rPr>
              <w:t>housand dwellings nationwide, together with 2021 it was the highest in the modern history of the Czech Republic), while only 13.1</w:t>
            </w:r>
            <w:r>
              <w:rPr>
                <w:color w:val="0D0D0D" w:themeColor="text1" w:themeTint="F2"/>
                <w:spacing w:val="-5"/>
                <w:lang w:val="en-GB"/>
              </w:rPr>
              <w:t> </w:t>
            </w:r>
            <w:r w:rsidRPr="00884D55">
              <w:rPr>
                <w:color w:val="0D0D0D" w:themeColor="text1" w:themeTint="F2"/>
                <w:spacing w:val="-5"/>
                <w:lang w:val="en-GB"/>
              </w:rPr>
              <w:t>thousand dwellings in family houses were built in</w:t>
            </w:r>
            <w:r w:rsidR="00967162">
              <w:rPr>
                <w:color w:val="0D0D0D" w:themeColor="text1" w:themeTint="F2"/>
                <w:spacing w:val="-5"/>
                <w:lang w:val="en-GB"/>
              </w:rPr>
              <w:t xml:space="preserve"> the Czech Republic (10-year minimum</w:t>
            </w:r>
            <w:r w:rsidRPr="00884D55">
              <w:rPr>
                <w:color w:val="0D0D0D" w:themeColor="text1" w:themeTint="F2"/>
                <w:spacing w:val="-5"/>
                <w:lang w:val="en-GB"/>
              </w:rPr>
              <w:t xml:space="preserve">). The decrease of the number of all completed dwellings deepened last year (to −20.5%, together with year 2011 this is the most significant drop in the current millennium). Considerable downturn occurred in all forms of </w:t>
            </w:r>
            <w:r w:rsidR="00967162">
              <w:rPr>
                <w:color w:val="0D0D0D" w:themeColor="text1" w:themeTint="F2"/>
                <w:spacing w:val="-5"/>
                <w:lang w:val="en-GB"/>
              </w:rPr>
              <w:t xml:space="preserve">this </w:t>
            </w:r>
            <w:r w:rsidRPr="00884D55">
              <w:rPr>
                <w:color w:val="0D0D0D" w:themeColor="text1" w:themeTint="F2"/>
                <w:spacing w:val="-5"/>
                <w:lang w:val="en-GB"/>
              </w:rPr>
              <w:t>construction. Only 30.3</w:t>
            </w:r>
            <w:r>
              <w:rPr>
                <w:color w:val="0D0D0D" w:themeColor="text1" w:themeTint="F2"/>
                <w:spacing w:val="-5"/>
                <w:lang w:val="en-GB"/>
              </w:rPr>
              <w:t> </w:t>
            </w:r>
            <w:r w:rsidRPr="00884D55">
              <w:rPr>
                <w:color w:val="0D0D0D" w:themeColor="text1" w:themeTint="F2"/>
                <w:spacing w:val="-5"/>
                <w:lang w:val="en-GB"/>
              </w:rPr>
              <w:t>thousand dwellings were completed in total</w:t>
            </w:r>
            <w:r w:rsidR="00967162">
              <w:rPr>
                <w:color w:val="0D0D0D" w:themeColor="text1" w:themeTint="F2"/>
                <w:spacing w:val="-5"/>
                <w:lang w:val="en-GB"/>
              </w:rPr>
              <w:t xml:space="preserve"> in 2024</w:t>
            </w:r>
            <w:r w:rsidRPr="00884D55">
              <w:rPr>
                <w:color w:val="0D0D0D" w:themeColor="text1" w:themeTint="F2"/>
                <w:spacing w:val="-5"/>
                <w:lang w:val="en-GB"/>
              </w:rPr>
              <w:t xml:space="preserve">, the least in the last seven years. A decrease was recorded in all regions apart from Prague, where construction moderately increased. </w:t>
            </w:r>
          </w:p>
        </w:tc>
      </w:tr>
      <w:tr w:rsidR="00B01DC6" w:rsidRPr="00884D55" w14:paraId="7AD10B21" w14:textId="77777777" w:rsidTr="00803507">
        <w:trPr>
          <w:trHeight w:val="170"/>
        </w:trPr>
        <w:tc>
          <w:tcPr>
            <w:tcW w:w="1814" w:type="dxa"/>
            <w:shd w:val="clear" w:color="auto" w:fill="auto"/>
            <w:tcMar>
              <w:left w:w="0" w:type="dxa"/>
            </w:tcMar>
          </w:tcPr>
          <w:p w14:paraId="074DB9C8" w14:textId="77777777" w:rsidR="00B01DC6" w:rsidRPr="00884D55" w:rsidRDefault="00B01DC6" w:rsidP="00B01DC6">
            <w:pPr>
              <w:pStyle w:val="Marginlie"/>
              <w:rPr>
                <w:color w:val="0D0D0D" w:themeColor="text1" w:themeTint="F2"/>
                <w:spacing w:val="-4"/>
                <w:lang w:val="en-GB"/>
              </w:rPr>
            </w:pPr>
            <w:r w:rsidRPr="00884D55">
              <w:rPr>
                <w:color w:val="0D0D0D" w:themeColor="text1" w:themeTint="F2"/>
                <w:spacing w:val="-4"/>
                <w:lang w:val="en-GB"/>
              </w:rPr>
              <w:t>The value of newly concluded orders grew rapidly for most of last year. Due to the higher number of projects under construction, the total supply of work from both private and public clients was also maintained.</w:t>
            </w:r>
          </w:p>
          <w:p w14:paraId="4BDCEAA6" w14:textId="77777777" w:rsidR="00B01DC6" w:rsidRPr="00884D55" w:rsidRDefault="00B01DC6" w:rsidP="00B01DC6">
            <w:pPr>
              <w:pStyle w:val="Marginlie"/>
              <w:rPr>
                <w:color w:val="0D0D0D" w:themeColor="text1" w:themeTint="F2"/>
                <w:spacing w:val="-4"/>
                <w:lang w:val="en-GB"/>
              </w:rPr>
            </w:pPr>
          </w:p>
          <w:p w14:paraId="7522B699" w14:textId="77777777" w:rsidR="00B01DC6" w:rsidRPr="00884D55" w:rsidRDefault="00B01DC6" w:rsidP="00B01DC6">
            <w:pPr>
              <w:pStyle w:val="Marginlie"/>
              <w:rPr>
                <w:color w:val="0D0D0D" w:themeColor="text1" w:themeTint="F2"/>
                <w:spacing w:val="-4"/>
                <w:lang w:val="en-GB"/>
              </w:rPr>
            </w:pPr>
          </w:p>
          <w:p w14:paraId="4FC3F2AF" w14:textId="77777777" w:rsidR="00B01DC6" w:rsidRPr="00884D55" w:rsidRDefault="00B01DC6" w:rsidP="00B01DC6">
            <w:pPr>
              <w:pStyle w:val="Marginlie"/>
              <w:rPr>
                <w:color w:val="0D0D0D" w:themeColor="text1" w:themeTint="F2"/>
                <w:spacing w:val="-4"/>
                <w:lang w:val="en-GB"/>
              </w:rPr>
            </w:pPr>
          </w:p>
          <w:p w14:paraId="2B41FB04" w14:textId="77777777" w:rsidR="00B01DC6" w:rsidRPr="00884D55" w:rsidRDefault="00B01DC6" w:rsidP="00B01DC6">
            <w:pPr>
              <w:pStyle w:val="Marginlie"/>
              <w:rPr>
                <w:color w:val="0D0D0D" w:themeColor="text1" w:themeTint="F2"/>
                <w:spacing w:val="-4"/>
                <w:lang w:val="en-GB"/>
              </w:rPr>
            </w:pPr>
          </w:p>
          <w:p w14:paraId="1D47A152" w14:textId="77777777" w:rsidR="00B01DC6" w:rsidRPr="00884D55" w:rsidRDefault="00B01DC6" w:rsidP="00B01DC6">
            <w:pPr>
              <w:pStyle w:val="Marginlie"/>
              <w:rPr>
                <w:color w:val="0D0D0D" w:themeColor="text1" w:themeTint="F2"/>
                <w:spacing w:val="-4"/>
                <w:lang w:val="en-GB"/>
              </w:rPr>
            </w:pPr>
          </w:p>
          <w:p w14:paraId="60048A99" w14:textId="77777777" w:rsidR="00B01DC6" w:rsidRPr="00884D55" w:rsidRDefault="00B01DC6" w:rsidP="00B01DC6">
            <w:pPr>
              <w:pStyle w:val="Marginlie"/>
              <w:rPr>
                <w:color w:val="0D0D0D" w:themeColor="text1" w:themeTint="F2"/>
                <w:spacing w:val="-4"/>
                <w:lang w:val="en-GB"/>
              </w:rPr>
            </w:pPr>
            <w:r w:rsidRPr="00884D55">
              <w:rPr>
                <w:color w:val="0D0D0D" w:themeColor="text1" w:themeTint="F2"/>
                <w:spacing w:val="-4"/>
                <w:lang w:val="en-GB"/>
              </w:rPr>
              <w:t xml:space="preserve">The value of permitted constructions was decreasing, especially in transport infrastructure. On the contrary, there was a </w:t>
            </w:r>
            <w:r w:rsidRPr="00884D55">
              <w:rPr>
                <w:color w:val="0D0D0D" w:themeColor="text1" w:themeTint="F2"/>
                <w:spacing w:val="-4"/>
                <w:lang w:val="en-GB"/>
              </w:rPr>
              <w:lastRenderedPageBreak/>
              <w:t>revival in new residential construction.</w:t>
            </w:r>
          </w:p>
        </w:tc>
        <w:tc>
          <w:tcPr>
            <w:tcW w:w="229" w:type="dxa"/>
            <w:shd w:val="clear" w:color="auto" w:fill="auto"/>
            <w:tcMar>
              <w:left w:w="0" w:type="dxa"/>
            </w:tcMar>
          </w:tcPr>
          <w:p w14:paraId="2945F82F" w14:textId="77777777" w:rsidR="00B01DC6" w:rsidRPr="00884D55" w:rsidRDefault="00B01DC6" w:rsidP="00B01DC6">
            <w:pPr>
              <w:pStyle w:val="Textpoznpodarou"/>
              <w:jc w:val="both"/>
              <w:rPr>
                <w:color w:val="0D0D0D" w:themeColor="text1" w:themeTint="F2"/>
                <w:spacing w:val="-4"/>
                <w:lang w:val="en-GB"/>
              </w:rPr>
            </w:pPr>
          </w:p>
        </w:tc>
        <w:tc>
          <w:tcPr>
            <w:tcW w:w="7596" w:type="dxa"/>
            <w:shd w:val="clear" w:color="auto" w:fill="auto"/>
            <w:tcMar>
              <w:left w:w="0" w:type="dxa"/>
            </w:tcMar>
          </w:tcPr>
          <w:p w14:paraId="7C4EEC6D" w14:textId="6FB44701" w:rsidR="00B01DC6" w:rsidRPr="00884D55" w:rsidRDefault="00B01DC6" w:rsidP="00B01DC6">
            <w:pPr>
              <w:rPr>
                <w:rFonts w:eastAsia="MS Gothic" w:cs="Arial"/>
                <w:spacing w:val="-4"/>
                <w:szCs w:val="20"/>
                <w:lang w:val="en-GB"/>
              </w:rPr>
            </w:pPr>
            <w:r w:rsidRPr="00884D55">
              <w:rPr>
                <w:rFonts w:eastAsia="MS Gothic" w:cs="Arial"/>
                <w:spacing w:val="-4"/>
                <w:szCs w:val="20"/>
                <w:lang w:val="en-GB"/>
              </w:rPr>
              <w:t xml:space="preserve">Of the various leading indicators, the new domestic orders (concluded by enterprises with more than 50 employees) currently features the best results for the construction industry. Their nominal value increased by 17.2%, year-on-year, in Q4 </w:t>
            </w:r>
            <w:r w:rsidR="00530B52">
              <w:rPr>
                <w:rFonts w:eastAsia="MS Gothic" w:cs="Arial"/>
                <w:spacing w:val="-4"/>
                <w:szCs w:val="20"/>
                <w:lang w:val="en-GB"/>
              </w:rPr>
              <w:t xml:space="preserve">2024 </w:t>
            </w:r>
            <w:r w:rsidRPr="00884D55">
              <w:rPr>
                <w:rFonts w:eastAsia="MS Gothic" w:cs="Arial"/>
                <w:spacing w:val="-4"/>
                <w:szCs w:val="20"/>
                <w:lang w:val="en-GB"/>
              </w:rPr>
              <w:t>(it similarly increased for the whole last year), exclusively thanks to civil engineering construction, in which the value of new contracts climbed up to 60 bn CZK (the highest in history within the same period of the year). The total stock</w:t>
            </w:r>
            <w:r w:rsidR="00530B52">
              <w:rPr>
                <w:rFonts w:eastAsia="MS Gothic" w:cs="Arial"/>
                <w:spacing w:val="-4"/>
                <w:szCs w:val="20"/>
                <w:lang w:val="en-GB"/>
              </w:rPr>
              <w:t xml:space="preserve"> of work, captured by the volume</w:t>
            </w:r>
            <w:r w:rsidRPr="00884D55">
              <w:rPr>
                <w:rFonts w:eastAsia="MS Gothic" w:cs="Arial"/>
                <w:spacing w:val="-4"/>
                <w:szCs w:val="20"/>
                <w:lang w:val="en-GB"/>
              </w:rPr>
              <w:t xml:space="preserve"> of all pending orders, expanded by 25.9%, year-on-year, at the end of 2024. Mostly the public procurement contributed (which have comprised for about two-thirds of the total stock of works in the last two years). However, the private domestic demand also grew throughout the last year (it was by 31.6% higher, year-on-year, at the end of the year). The volume of foreign orders in contrast decreased for the third year in a row, nevertheless they play a marginal role in the total stock of work in the construction industry. The approximate value of granted buildings indicates less favourable outlooks for the domestic construction industry. Its year-on-year growth, lasting five quarters in a row, stopped in Q2 2024, when mainly the number of large buildings shrank (over 1 bn CZK). There was no improvement in the following period either. It thus decreased by 3.5% for the whole year, primarily due to transport </w:t>
            </w:r>
            <w:r w:rsidRPr="00884D55">
              <w:rPr>
                <w:rFonts w:eastAsia="MS Gothic" w:cs="Arial"/>
                <w:spacing w:val="-4"/>
                <w:szCs w:val="20"/>
                <w:lang w:val="en-GB"/>
              </w:rPr>
              <w:lastRenderedPageBreak/>
              <w:t>infrastructure (</w:t>
            </w:r>
            <w:r w:rsidR="00E60BBE">
              <w:rPr>
                <w:rFonts w:eastAsia="MS Gothic" w:cs="Arial"/>
                <w:spacing w:val="-4"/>
                <w:szCs w:val="20"/>
                <w:lang w:val="en-GB"/>
              </w:rPr>
              <w:t>both new construction and reconstruction or</w:t>
            </w:r>
            <w:r w:rsidRPr="00884D55">
              <w:rPr>
                <w:rFonts w:eastAsia="MS Gothic" w:cs="Arial"/>
                <w:spacing w:val="-4"/>
                <w:szCs w:val="20"/>
                <w:lang w:val="en-GB"/>
              </w:rPr>
              <w:t xml:space="preserve"> modernization) and as a result of decrease for non-residential buildings. On the contrary, the volume of permits for new construction of residential buildings slightly increased (+6.7%) and it accounted for a quarter of the total value of permits (580 bn CZK) last year. </w:t>
            </w:r>
          </w:p>
        </w:tc>
      </w:tr>
      <w:tr w:rsidR="00B01DC6" w:rsidRPr="00884D55" w14:paraId="02417C85" w14:textId="77777777" w:rsidTr="00803507">
        <w:trPr>
          <w:trHeight w:val="170"/>
        </w:trPr>
        <w:tc>
          <w:tcPr>
            <w:tcW w:w="1814" w:type="dxa"/>
            <w:vMerge w:val="restart"/>
            <w:shd w:val="clear" w:color="auto" w:fill="auto"/>
            <w:tcMar>
              <w:left w:w="0" w:type="dxa"/>
            </w:tcMar>
          </w:tcPr>
          <w:p w14:paraId="40A4E2CE" w14:textId="77777777" w:rsidR="00B01DC6" w:rsidRPr="00884D55" w:rsidRDefault="00B01DC6" w:rsidP="00B01DC6">
            <w:pPr>
              <w:pStyle w:val="Marginlie"/>
              <w:rPr>
                <w:lang w:val="en-GB"/>
              </w:rPr>
            </w:pPr>
          </w:p>
        </w:tc>
        <w:tc>
          <w:tcPr>
            <w:tcW w:w="229" w:type="dxa"/>
            <w:vMerge w:val="restart"/>
            <w:shd w:val="clear" w:color="auto" w:fill="auto"/>
            <w:tcMar>
              <w:left w:w="0" w:type="dxa"/>
            </w:tcMar>
          </w:tcPr>
          <w:p w14:paraId="109DCF62"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11298E37" w14:textId="77777777" w:rsidR="00B01DC6" w:rsidRPr="00884D55" w:rsidRDefault="00B01DC6" w:rsidP="00B01DC6">
            <w:pPr>
              <w:spacing w:after="20"/>
              <w:rPr>
                <w:rFonts w:cs="Arial"/>
                <w:bCs/>
                <w:lang w:val="en-GB"/>
              </w:rPr>
            </w:pPr>
            <w:r w:rsidRPr="00884D55">
              <w:rPr>
                <w:b/>
                <w:spacing w:val="-5"/>
                <w:lang w:val="en-GB"/>
              </w:rPr>
              <w:t xml:space="preserve">Chart 6 </w:t>
            </w:r>
            <w:r w:rsidRPr="00884D55">
              <w:rPr>
                <w:b/>
                <w:spacing w:val="-4"/>
                <w:lang w:val="en-GB"/>
              </w:rPr>
              <w:t xml:space="preserve">Contributions of sub-branches to year-on-year change of the total construction output </w:t>
            </w:r>
            <w:r w:rsidRPr="00884D55">
              <w:rPr>
                <w:spacing w:val="-4"/>
                <w:lang w:val="en-GB"/>
              </w:rPr>
              <w:t>(real, in p.p.)</w:t>
            </w:r>
            <w:r w:rsidRPr="00884D55">
              <w:rPr>
                <w:b/>
                <w:bCs/>
                <w:spacing w:val="-4"/>
                <w:lang w:val="en-GB"/>
              </w:rPr>
              <w:t>, new construction orders</w:t>
            </w:r>
            <w:r w:rsidRPr="00884D55">
              <w:rPr>
                <w:b/>
                <w:spacing w:val="-4"/>
                <w:lang w:val="en-GB"/>
              </w:rPr>
              <w:t xml:space="preserve"> </w:t>
            </w:r>
            <w:r w:rsidRPr="00884D55">
              <w:rPr>
                <w:bCs/>
                <w:spacing w:val="-4"/>
                <w:lang w:val="en-GB"/>
              </w:rPr>
              <w:t>(nominal, year-on-year in</w:t>
            </w:r>
            <w:r w:rsidRPr="00884D55">
              <w:rPr>
                <w:spacing w:val="-4"/>
                <w:lang w:val="en-GB"/>
              </w:rPr>
              <w:t> </w:t>
            </w:r>
            <w:r w:rsidRPr="00884D55">
              <w:rPr>
                <w:bCs/>
                <w:spacing w:val="-4"/>
                <w:lang w:val="en-GB"/>
              </w:rPr>
              <w:t>%)</w:t>
            </w:r>
            <w:r w:rsidRPr="00884D55">
              <w:rPr>
                <w:b/>
                <w:spacing w:val="-4"/>
                <w:lang w:val="en-GB"/>
              </w:rPr>
              <w:t>, balance of business confidence indicator in construction*</w:t>
            </w:r>
            <w:r w:rsidRPr="00884D55">
              <w:rPr>
                <w:spacing w:val="-4"/>
                <w:lang w:val="en-GB"/>
              </w:rPr>
              <w:t xml:space="preserve"> (in p.p., right axis) </w:t>
            </w:r>
            <w:r w:rsidRPr="00884D55">
              <w:rPr>
                <w:b/>
                <w:spacing w:val="-4"/>
                <w:lang w:val="en-GB"/>
              </w:rPr>
              <w:t>and selected barriers to growth</w:t>
            </w:r>
            <w:r w:rsidRPr="00884D55">
              <w:rPr>
                <w:spacing w:val="-4"/>
                <w:lang w:val="en-GB"/>
              </w:rPr>
              <w:t xml:space="preserve">* (in %, right axis) </w:t>
            </w:r>
          </w:p>
        </w:tc>
      </w:tr>
      <w:tr w:rsidR="00B01DC6" w:rsidRPr="00884D55" w14:paraId="322B9CB8" w14:textId="77777777" w:rsidTr="00E60BBE">
        <w:tblPrEx>
          <w:tblCellMar>
            <w:left w:w="70" w:type="dxa"/>
            <w:right w:w="70" w:type="dxa"/>
          </w:tblCellMar>
        </w:tblPrEx>
        <w:trPr>
          <w:trHeight w:val="170"/>
        </w:trPr>
        <w:tc>
          <w:tcPr>
            <w:tcW w:w="1814" w:type="dxa"/>
            <w:vMerge/>
            <w:shd w:val="clear" w:color="auto" w:fill="auto"/>
          </w:tcPr>
          <w:p w14:paraId="2552B80F" w14:textId="77777777" w:rsidR="00B01DC6" w:rsidRPr="00884D55" w:rsidRDefault="00B01DC6" w:rsidP="00B01DC6">
            <w:pPr>
              <w:pStyle w:val="Marginlie"/>
              <w:rPr>
                <w:lang w:val="en-GB"/>
              </w:rPr>
            </w:pPr>
          </w:p>
        </w:tc>
        <w:tc>
          <w:tcPr>
            <w:tcW w:w="229" w:type="dxa"/>
            <w:vMerge/>
            <w:shd w:val="clear" w:color="auto" w:fill="auto"/>
          </w:tcPr>
          <w:p w14:paraId="716BE4B3" w14:textId="77777777" w:rsidR="00B01DC6" w:rsidRPr="00884D55" w:rsidRDefault="00B01DC6" w:rsidP="00B01DC6">
            <w:pPr>
              <w:pStyle w:val="Textpoznpodarou"/>
              <w:jc w:val="both"/>
              <w:rPr>
                <w:spacing w:val="-4"/>
                <w:lang w:val="en-GB"/>
              </w:rPr>
            </w:pPr>
          </w:p>
        </w:tc>
        <w:tc>
          <w:tcPr>
            <w:tcW w:w="7596" w:type="dxa"/>
            <w:shd w:val="clear" w:color="auto" w:fill="auto"/>
          </w:tcPr>
          <w:p w14:paraId="5331A249" w14:textId="2CD4A27B" w:rsidR="00B01DC6" w:rsidRPr="00884D55" w:rsidRDefault="00E60BBE" w:rsidP="00B01DC6">
            <w:pPr>
              <w:spacing w:after="0"/>
              <w:rPr>
                <w:spacing w:val="-6"/>
                <w:lang w:val="en-GB"/>
              </w:rPr>
            </w:pPr>
            <w:r>
              <w:rPr>
                <w:noProof/>
              </w:rPr>
              <w:drawing>
                <wp:inline distT="0" distB="0" distL="0" distR="0" wp14:anchorId="746A1FAC" wp14:editId="0631F498">
                  <wp:extent cx="4740294" cy="3589020"/>
                  <wp:effectExtent l="0" t="0" r="3175" b="0"/>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B01DC6" w:rsidRPr="00884D55" w14:paraId="7A9EB814" w14:textId="77777777" w:rsidTr="00803507">
        <w:trPr>
          <w:trHeight w:val="170"/>
        </w:trPr>
        <w:tc>
          <w:tcPr>
            <w:tcW w:w="1814" w:type="dxa"/>
            <w:vMerge/>
            <w:shd w:val="clear" w:color="auto" w:fill="auto"/>
            <w:tcMar>
              <w:left w:w="0" w:type="dxa"/>
            </w:tcMar>
          </w:tcPr>
          <w:p w14:paraId="4E27FC49" w14:textId="77777777" w:rsidR="00B01DC6" w:rsidRPr="00884D55" w:rsidRDefault="00B01DC6" w:rsidP="00B01DC6">
            <w:pPr>
              <w:pStyle w:val="Marginlie"/>
              <w:rPr>
                <w:lang w:val="en-GB"/>
              </w:rPr>
            </w:pPr>
          </w:p>
        </w:tc>
        <w:tc>
          <w:tcPr>
            <w:tcW w:w="229" w:type="dxa"/>
            <w:vMerge/>
            <w:shd w:val="clear" w:color="auto" w:fill="auto"/>
            <w:tcMar>
              <w:left w:w="0" w:type="dxa"/>
            </w:tcMar>
          </w:tcPr>
          <w:p w14:paraId="6F065442"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60DB5CB7" w14:textId="77777777" w:rsidR="00B01DC6" w:rsidRPr="00E60BBE" w:rsidRDefault="00B01DC6" w:rsidP="00B01DC6">
            <w:pPr>
              <w:spacing w:after="0"/>
              <w:rPr>
                <w:rFonts w:cs="Arial"/>
                <w:sz w:val="14"/>
                <w:szCs w:val="14"/>
                <w:lang w:val="en-GB"/>
              </w:rPr>
            </w:pPr>
            <w:r w:rsidRPr="00E60BBE">
              <w:rPr>
                <w:rFonts w:cs="Arial"/>
                <w:sz w:val="14"/>
                <w:szCs w:val="14"/>
                <w:lang w:val="en-GB"/>
              </w:rPr>
              <w:t>Note: Data related to construction output are adjusted for calendar effects.</w:t>
            </w:r>
          </w:p>
          <w:p w14:paraId="09DD6792" w14:textId="77777777" w:rsidR="00E60BBE" w:rsidRDefault="00B01DC6" w:rsidP="00B01DC6">
            <w:pPr>
              <w:spacing w:after="0"/>
              <w:rPr>
                <w:rFonts w:cs="Arial"/>
                <w:sz w:val="14"/>
                <w:szCs w:val="14"/>
                <w:lang w:val="en-GB"/>
              </w:rPr>
            </w:pPr>
            <w:r w:rsidRPr="00E60BBE">
              <w:rPr>
                <w:rFonts w:cs="Arial"/>
                <w:sz w:val="14"/>
                <w:szCs w:val="14"/>
                <w:lang w:val="en-GB"/>
              </w:rPr>
              <w:t>* Balance of business confidence as well as barriers to growth are seasonally adjusted and express the level in the second month of the given quarter. Businesses could have indicated more main barriers simultaneously.</w:t>
            </w:r>
          </w:p>
          <w:p w14:paraId="5A80B251" w14:textId="03848B2F" w:rsidR="00B01DC6" w:rsidRPr="00E60BBE" w:rsidRDefault="00B01DC6" w:rsidP="00B01DC6">
            <w:pPr>
              <w:spacing w:after="0"/>
              <w:rPr>
                <w:rFonts w:cs="Arial"/>
                <w:sz w:val="14"/>
                <w:szCs w:val="14"/>
                <w:lang w:val="en-GB"/>
              </w:rPr>
            </w:pPr>
            <w:r w:rsidRPr="00E60BBE">
              <w:rPr>
                <w:rFonts w:cs="Arial"/>
                <w:sz w:val="14"/>
                <w:szCs w:val="14"/>
                <w:lang w:val="en-GB"/>
              </w:rPr>
              <w:t>Source: CZSO, Eurostat</w:t>
            </w:r>
          </w:p>
          <w:p w14:paraId="5BB645C0" w14:textId="46C369A3" w:rsidR="00B01DC6" w:rsidRPr="00884D55" w:rsidRDefault="00B01DC6" w:rsidP="00E60BBE">
            <w:pPr>
              <w:spacing w:after="0" w:line="240" w:lineRule="auto"/>
              <w:rPr>
                <w:rFonts w:cs="Arial"/>
                <w:b/>
                <w:bCs/>
                <w:sz w:val="14"/>
                <w:szCs w:val="14"/>
                <w:lang w:val="en-GB"/>
              </w:rPr>
            </w:pPr>
          </w:p>
        </w:tc>
      </w:tr>
      <w:tr w:rsidR="00B01DC6" w:rsidRPr="00884D55" w14:paraId="14C99DFC" w14:textId="77777777" w:rsidTr="00803507">
        <w:trPr>
          <w:trHeight w:val="170"/>
        </w:trPr>
        <w:tc>
          <w:tcPr>
            <w:tcW w:w="1814" w:type="dxa"/>
            <w:shd w:val="clear" w:color="auto" w:fill="auto"/>
            <w:tcMar>
              <w:left w:w="0" w:type="dxa"/>
            </w:tcMar>
          </w:tcPr>
          <w:p w14:paraId="3608D598" w14:textId="3D783BF1" w:rsidR="00B01DC6" w:rsidRPr="00884D55" w:rsidRDefault="00B01DC6" w:rsidP="00B01DC6">
            <w:pPr>
              <w:pStyle w:val="Marginlie"/>
              <w:rPr>
                <w:color w:val="0D0D0D" w:themeColor="text1" w:themeTint="F2"/>
                <w:spacing w:val="-4"/>
                <w:lang w:val="en-GB"/>
              </w:rPr>
            </w:pPr>
            <w:r w:rsidRPr="00884D55">
              <w:rPr>
                <w:color w:val="0D0D0D" w:themeColor="text1" w:themeTint="F2"/>
                <w:spacing w:val="-4"/>
                <w:lang w:val="en-GB"/>
              </w:rPr>
              <w:t xml:space="preserve">In February </w:t>
            </w:r>
            <w:r w:rsidR="00A735F5">
              <w:rPr>
                <w:color w:val="0D0D0D" w:themeColor="text1" w:themeTint="F2"/>
                <w:spacing w:val="-4"/>
                <w:lang w:val="en-GB"/>
              </w:rPr>
              <w:t>2025</w:t>
            </w:r>
            <w:r w:rsidRPr="00884D55">
              <w:rPr>
                <w:color w:val="0D0D0D" w:themeColor="text1" w:themeTint="F2"/>
                <w:spacing w:val="-4"/>
                <w:lang w:val="en-GB"/>
              </w:rPr>
              <w:t xml:space="preserve">, the business confidence in construction climbed up the highest in the last two and a half years. </w:t>
            </w:r>
          </w:p>
          <w:p w14:paraId="0BF70BA7" w14:textId="77777777" w:rsidR="00B01DC6" w:rsidRPr="00884D55" w:rsidRDefault="00B01DC6" w:rsidP="00B01DC6">
            <w:pPr>
              <w:pStyle w:val="Marginlie"/>
              <w:rPr>
                <w:color w:val="0D0D0D" w:themeColor="text1" w:themeTint="F2"/>
                <w:spacing w:val="-4"/>
                <w:lang w:val="en-GB"/>
              </w:rPr>
            </w:pPr>
          </w:p>
          <w:p w14:paraId="1F86BA92" w14:textId="77777777" w:rsidR="00B01DC6" w:rsidRPr="00884D55" w:rsidRDefault="00B01DC6" w:rsidP="00B01DC6">
            <w:pPr>
              <w:pStyle w:val="Marginlie"/>
              <w:rPr>
                <w:color w:val="0D0D0D" w:themeColor="text1" w:themeTint="F2"/>
                <w:spacing w:val="-4"/>
                <w:lang w:val="en-GB"/>
              </w:rPr>
            </w:pPr>
          </w:p>
          <w:p w14:paraId="0EB02FA9" w14:textId="77777777" w:rsidR="00B01DC6" w:rsidRPr="00884D55" w:rsidRDefault="00B01DC6" w:rsidP="00B01DC6">
            <w:pPr>
              <w:pStyle w:val="Marginlie"/>
              <w:rPr>
                <w:color w:val="0D0D0D" w:themeColor="text1" w:themeTint="F2"/>
                <w:spacing w:val="-4"/>
                <w:lang w:val="en-GB"/>
              </w:rPr>
            </w:pPr>
          </w:p>
          <w:p w14:paraId="182117DA" w14:textId="77777777" w:rsidR="00B01DC6" w:rsidRPr="00884D55" w:rsidRDefault="00B01DC6" w:rsidP="00B01DC6">
            <w:pPr>
              <w:pStyle w:val="Marginlie"/>
              <w:rPr>
                <w:color w:val="0D0D0D" w:themeColor="text1" w:themeTint="F2"/>
                <w:spacing w:val="-4"/>
                <w:lang w:val="en-GB"/>
              </w:rPr>
            </w:pPr>
          </w:p>
          <w:p w14:paraId="489CB52D" w14:textId="77777777" w:rsidR="00B01DC6" w:rsidRPr="00884D55" w:rsidRDefault="00B01DC6" w:rsidP="00B01DC6">
            <w:pPr>
              <w:pStyle w:val="Marginlie"/>
              <w:rPr>
                <w:lang w:val="en-GB"/>
              </w:rPr>
            </w:pPr>
          </w:p>
          <w:p w14:paraId="3EDF54EB" w14:textId="77777777" w:rsidR="00B01DC6" w:rsidRPr="00884D55" w:rsidRDefault="00B01DC6" w:rsidP="00B01DC6">
            <w:pPr>
              <w:pStyle w:val="Marginlie"/>
              <w:rPr>
                <w:lang w:val="en-GB"/>
              </w:rPr>
            </w:pPr>
            <w:r w:rsidRPr="00884D55">
              <w:rPr>
                <w:lang w:val="en-GB"/>
              </w:rPr>
              <w:t>The development of half of the construction companies is limited by a lack of workers.</w:t>
            </w:r>
          </w:p>
        </w:tc>
        <w:tc>
          <w:tcPr>
            <w:tcW w:w="229" w:type="dxa"/>
            <w:shd w:val="clear" w:color="auto" w:fill="auto"/>
            <w:tcMar>
              <w:left w:w="0" w:type="dxa"/>
            </w:tcMar>
          </w:tcPr>
          <w:p w14:paraId="18C97F7C"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052C6FCC" w14:textId="1F5ECDC8" w:rsidR="00B01DC6" w:rsidRPr="00884D55" w:rsidRDefault="00B01DC6" w:rsidP="00CA6CF4">
            <w:pPr>
              <w:spacing w:after="220"/>
              <w:rPr>
                <w:rFonts w:cs="Arial"/>
                <w:szCs w:val="20"/>
                <w:lang w:val="en-GB"/>
              </w:rPr>
            </w:pPr>
            <w:r w:rsidRPr="00884D55">
              <w:rPr>
                <w:color w:val="0D0D0D" w:themeColor="text1" w:themeTint="F2"/>
                <w:spacing w:val="-4"/>
                <w:lang w:val="en-GB"/>
              </w:rPr>
              <w:t>The pessimism of entrepreneurs in the construction industry has moderated since the end of last summer. Their confidence soared to the highest level in the last two and a half years in February 2025 (the confidence balance was currently -4 points). An improvement of employment expectations (fewer firms planning layoffs</w:t>
            </w:r>
            <w:r w:rsidRPr="00884D55">
              <w:rPr>
                <w:rStyle w:val="Znakapoznpodarou"/>
                <w:rFonts w:eastAsiaTheme="majorEastAsia"/>
                <w:spacing w:val="-4"/>
                <w:szCs w:val="20"/>
                <w:lang w:val="en-GB"/>
              </w:rPr>
              <w:footnoteReference w:id="28"/>
            </w:r>
            <w:r w:rsidRPr="00884D55">
              <w:rPr>
                <w:color w:val="0D0D0D" w:themeColor="text1" w:themeTint="F2"/>
                <w:spacing w:val="-4"/>
                <w:lang w:val="en-GB"/>
              </w:rPr>
              <w:t>) enabled by slightly positive expectations of demand and production (even after taking into account seasonality) stood mainly behind it. This is also reflected in the expectations of the overall economic situation of businesses, which is currently more favourable in the construction</w:t>
            </w:r>
            <w:r w:rsidRPr="00884D55">
              <w:rPr>
                <w:rStyle w:val="Znakapoznpodarou"/>
                <w:rFonts w:eastAsiaTheme="majorEastAsia"/>
                <w:szCs w:val="20"/>
                <w:lang w:val="en-GB"/>
              </w:rPr>
              <w:footnoteReference w:id="29"/>
            </w:r>
            <w:r w:rsidRPr="00884D55">
              <w:rPr>
                <w:rStyle w:val="normaltextrun"/>
                <w:rFonts w:eastAsiaTheme="majorEastAsia" w:cs="Arial"/>
                <w:szCs w:val="20"/>
                <w:lang w:val="en-GB"/>
              </w:rPr>
              <w:t xml:space="preserve"> </w:t>
            </w:r>
            <w:r w:rsidRPr="00884D55">
              <w:rPr>
                <w:color w:val="0D0D0D" w:themeColor="text1" w:themeTint="F2"/>
                <w:spacing w:val="-4"/>
                <w:lang w:val="en-GB"/>
              </w:rPr>
              <w:t xml:space="preserve">than in industry. The assessment of current demand (with regard to seasonality) was the best in the last twenty months in February </w:t>
            </w:r>
            <w:r w:rsidR="00CA6CF4">
              <w:rPr>
                <w:color w:val="0D0D0D" w:themeColor="text1" w:themeTint="F2"/>
                <w:spacing w:val="-4"/>
                <w:lang w:val="en-GB"/>
              </w:rPr>
              <w:t>2025</w:t>
            </w:r>
            <w:r w:rsidRPr="00884D55">
              <w:rPr>
                <w:color w:val="0D0D0D" w:themeColor="text1" w:themeTint="F2"/>
                <w:spacing w:val="-4"/>
                <w:lang w:val="en-GB"/>
              </w:rPr>
              <w:t xml:space="preserve">. Despite this, 23% of companies still perceived it as insufficient (on the contrary, only 11% perceived it positively, which was nevertheless more than in previous months). However, the lack of (especially qualified) workers remains a key barrier to the growth of the branch with a considerable margin (54% of businesses cited it as one </w:t>
            </w:r>
            <w:r w:rsidRPr="00884D55">
              <w:rPr>
                <w:color w:val="0D0D0D" w:themeColor="text1" w:themeTint="F2"/>
                <w:spacing w:val="-4"/>
                <w:lang w:val="en-GB"/>
              </w:rPr>
              <w:lastRenderedPageBreak/>
              <w:t>of the barriers, it created difficulties mostly in the building construction segment). The role of this barrier, as well as others, has not changed substantially, year-on-year</w:t>
            </w:r>
            <w:r w:rsidRPr="00884D55">
              <w:rPr>
                <w:rStyle w:val="Znakapoznpodarou"/>
                <w:rFonts w:eastAsiaTheme="majorEastAsia"/>
                <w:szCs w:val="20"/>
                <w:lang w:val="en-GB"/>
              </w:rPr>
              <w:footnoteReference w:id="30"/>
            </w:r>
            <w:r w:rsidRPr="00884D55">
              <w:rPr>
                <w:color w:val="0D0D0D" w:themeColor="text1" w:themeTint="F2"/>
                <w:spacing w:val="-4"/>
                <w:lang w:val="en-GB"/>
              </w:rPr>
              <w:t xml:space="preserve">.   </w:t>
            </w:r>
            <w:r w:rsidRPr="00884D55">
              <w:rPr>
                <w:rStyle w:val="normaltextrun"/>
                <w:rFonts w:eastAsiaTheme="majorEastAsia" w:cs="Arial"/>
                <w:szCs w:val="20"/>
                <w:lang w:val="en-GB"/>
              </w:rPr>
              <w:t xml:space="preserve"> </w:t>
            </w:r>
          </w:p>
        </w:tc>
      </w:tr>
      <w:tr w:rsidR="00B01DC6" w:rsidRPr="00884D55" w14:paraId="004ACDBB" w14:textId="77777777" w:rsidTr="00803507">
        <w:trPr>
          <w:trHeight w:val="170"/>
        </w:trPr>
        <w:tc>
          <w:tcPr>
            <w:tcW w:w="1814" w:type="dxa"/>
            <w:shd w:val="clear" w:color="auto" w:fill="auto"/>
            <w:tcMar>
              <w:left w:w="0" w:type="dxa"/>
            </w:tcMar>
          </w:tcPr>
          <w:p w14:paraId="15BE7ADB" w14:textId="77777777" w:rsidR="00B01DC6" w:rsidRPr="00884D55" w:rsidRDefault="00B01DC6" w:rsidP="00B01DC6">
            <w:pPr>
              <w:pStyle w:val="Marginlie"/>
              <w:rPr>
                <w:color w:val="0D0D0D" w:themeColor="text1" w:themeTint="F2"/>
                <w:spacing w:val="-4"/>
                <w:lang w:val="en-GB"/>
              </w:rPr>
            </w:pPr>
            <w:r w:rsidRPr="00884D55">
              <w:rPr>
                <w:color w:val="0D0D0D" w:themeColor="text1" w:themeTint="F2"/>
                <w:spacing w:val="-4"/>
                <w:lang w:val="en-GB"/>
              </w:rPr>
              <w:lastRenderedPageBreak/>
              <w:t>The recession afflicted the construction industry in most EU countries last year. The year-on-year dynamics of construction output in the Czech Republic was similar to that in the Union.</w:t>
            </w:r>
          </w:p>
        </w:tc>
        <w:tc>
          <w:tcPr>
            <w:tcW w:w="229" w:type="dxa"/>
            <w:shd w:val="clear" w:color="auto" w:fill="auto"/>
            <w:tcMar>
              <w:left w:w="0" w:type="dxa"/>
            </w:tcMar>
          </w:tcPr>
          <w:p w14:paraId="477BE0C6"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766AF520" w14:textId="77777777" w:rsidR="00B01DC6" w:rsidRPr="00884D55" w:rsidRDefault="00B01DC6" w:rsidP="00B01DC6">
            <w:pPr>
              <w:spacing w:after="220"/>
              <w:rPr>
                <w:color w:val="0D0D0D" w:themeColor="text1" w:themeTint="F2"/>
                <w:spacing w:val="-5"/>
                <w:lang w:val="en-GB"/>
              </w:rPr>
            </w:pPr>
            <w:r w:rsidRPr="00884D55">
              <w:rPr>
                <w:color w:val="0D0D0D" w:themeColor="text1" w:themeTint="F2"/>
                <w:spacing w:val="-5"/>
                <w:lang w:val="en-GB"/>
              </w:rPr>
              <w:t>Construction output in the EU fell by 1.4%</w:t>
            </w:r>
            <w:r w:rsidRPr="00884D55">
              <w:rPr>
                <w:rStyle w:val="Znakapoznpodarou"/>
                <w:color w:val="0D0D0D" w:themeColor="text1" w:themeTint="F2"/>
                <w:spacing w:val="-5"/>
                <w:lang w:val="en-GB"/>
              </w:rPr>
              <w:footnoteReference w:id="31"/>
            </w:r>
            <w:r w:rsidRPr="00884D55">
              <w:rPr>
                <w:color w:val="0D0D0D" w:themeColor="text1" w:themeTint="F2"/>
                <w:spacing w:val="-5"/>
                <w:lang w:val="en-GB"/>
              </w:rPr>
              <w:t xml:space="preserve"> for the last year (after three years of growth). The construction of buildings, in which output decreased for the second time in a row (by 3.2% last year) was the main contributor to the decline, but at the same time the recovery of civil engineering construction continued (+0.4%), even though slower than in the previous three years. Last year's downturn of domestic construction was similar to that in the EU, with the Czech Republic being average in the ranking of Member States. Since the construction </w:t>
            </w:r>
            <w:r w:rsidRPr="006145FA">
              <w:rPr>
                <w:color w:val="0D0D0D" w:themeColor="text1" w:themeTint="F2"/>
                <w:spacing w:val="-7"/>
                <w:lang w:val="en-GB"/>
              </w:rPr>
              <w:t>sector was in a deeper recession in the major economies: Germany (−3.1%), France (−3.4%),</w:t>
            </w:r>
            <w:r w:rsidRPr="00884D55">
              <w:rPr>
                <w:color w:val="0D0D0D" w:themeColor="text1" w:themeTint="F2"/>
                <w:spacing w:val="-5"/>
                <w:lang w:val="en-GB"/>
              </w:rPr>
              <w:t xml:space="preserve"> Poland (−7.7%). The biggest drop afflicted Slovenia (−9.3%) and also a number of newer Member States (Romania, Slovakia, Hungary), which experienced the impact of the euro funds drawing cycle on transport infrastructure (slowdown during the transition to the </w:t>
            </w:r>
            <w:r w:rsidRPr="00CA6CF4">
              <w:rPr>
                <w:color w:val="0D0D0D" w:themeColor="text1" w:themeTint="F2"/>
                <w:spacing w:val="-6"/>
                <w:lang w:val="en-GB"/>
              </w:rPr>
              <w:t>new programming period). On the contrary, some Southern European countries experienced</w:t>
            </w:r>
            <w:r w:rsidRPr="00884D55">
              <w:rPr>
                <w:color w:val="0D0D0D" w:themeColor="text1" w:themeTint="F2"/>
                <w:spacing w:val="-5"/>
                <w:lang w:val="en-GB"/>
              </w:rPr>
              <w:t xml:space="preserve"> the </w:t>
            </w:r>
            <w:r w:rsidRPr="006145FA">
              <w:rPr>
                <w:color w:val="0D0D0D" w:themeColor="text1" w:themeTint="F2"/>
                <w:spacing w:val="-6"/>
                <w:lang w:val="en-GB"/>
              </w:rPr>
              <w:t>largest recovery, where the effect of solid growth of the entire economy was felt. Construction</w:t>
            </w:r>
            <w:r w:rsidRPr="00884D55">
              <w:rPr>
                <w:color w:val="0D0D0D" w:themeColor="text1" w:themeTint="F2"/>
                <w:spacing w:val="-5"/>
                <w:lang w:val="en-GB"/>
              </w:rPr>
              <w:t xml:space="preserve"> output thus increased by 3.9% in Italy, by 3.6% in Spain and by 3.1% in Portugal. </w:t>
            </w:r>
          </w:p>
        </w:tc>
      </w:tr>
      <w:tr w:rsidR="00B01DC6" w:rsidRPr="00884D55" w14:paraId="2F4D23A7" w14:textId="77777777" w:rsidTr="00803507">
        <w:trPr>
          <w:trHeight w:val="170"/>
        </w:trPr>
        <w:tc>
          <w:tcPr>
            <w:tcW w:w="1814" w:type="dxa"/>
            <w:shd w:val="clear" w:color="auto" w:fill="auto"/>
            <w:tcMar>
              <w:left w:w="0" w:type="dxa"/>
            </w:tcMar>
          </w:tcPr>
          <w:p w14:paraId="50C33136" w14:textId="77777777" w:rsidR="00B01DC6" w:rsidRPr="00884D55" w:rsidRDefault="00B01DC6" w:rsidP="00B01DC6">
            <w:pPr>
              <w:pStyle w:val="Marginlie"/>
              <w:rPr>
                <w:color w:val="0D0D0D" w:themeColor="text1" w:themeTint="F2"/>
                <w:spacing w:val="-4"/>
                <w:lang w:val="en-GB"/>
              </w:rPr>
            </w:pPr>
            <w:r w:rsidRPr="00884D55">
              <w:rPr>
                <w:rFonts w:cs="Arial"/>
                <w:color w:val="0D0D0D" w:themeColor="text1" w:themeTint="F2"/>
                <w:spacing w:val="-4"/>
                <w:lang w:val="en-GB"/>
              </w:rPr>
              <w:t xml:space="preserve">Demand for services recovered significantly, quarter-on-quarter, at the beginning of 2024. </w:t>
            </w:r>
          </w:p>
        </w:tc>
        <w:tc>
          <w:tcPr>
            <w:tcW w:w="229" w:type="dxa"/>
            <w:shd w:val="clear" w:color="auto" w:fill="auto"/>
            <w:tcMar>
              <w:left w:w="0" w:type="dxa"/>
            </w:tcMar>
          </w:tcPr>
          <w:p w14:paraId="6B43B9E2"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203F1674" w14:textId="2E1D5B6C" w:rsidR="00B01DC6" w:rsidRPr="00CA6CF4" w:rsidRDefault="00B01DC6" w:rsidP="00CA6CF4">
            <w:pPr>
              <w:spacing w:after="220"/>
              <w:rPr>
                <w:color w:val="0D0D0D" w:themeColor="text1" w:themeTint="F2"/>
                <w:spacing w:val="-6"/>
                <w:lang w:val="en-GB"/>
              </w:rPr>
            </w:pPr>
            <w:r w:rsidRPr="00884D55">
              <w:rPr>
                <w:color w:val="0D0D0D" w:themeColor="text1" w:themeTint="F2"/>
                <w:spacing w:val="-6"/>
                <w:lang w:val="en-GB"/>
              </w:rPr>
              <w:t>At the turn of 2023 and 2024, there was a positive turnaround in demand for services. The stabilisation of the consumer price level helped to launch the growth of employees' real wages for the first time after a longer time, which was mirrored in a more favourable financial situation of households and subsequently stimulated their consumption. Services were also positively influenced by slightly growing business demand last year, which was still rather subdued for most of the previous year. Services sales</w:t>
            </w:r>
            <w:r w:rsidRPr="002E08A1">
              <w:rPr>
                <w:color w:val="0D0D0D" w:themeColor="text1" w:themeTint="F2"/>
                <w:spacing w:val="-6"/>
                <w:vertAlign w:val="superscript"/>
                <w:lang w:val="en-GB"/>
              </w:rPr>
              <w:footnoteReference w:id="32"/>
            </w:r>
            <w:r w:rsidRPr="00CA6CF4">
              <w:rPr>
                <w:color w:val="0D0D0D" w:themeColor="text1" w:themeTint="F2"/>
                <w:spacing w:val="-6"/>
                <w:lang w:val="en-GB"/>
              </w:rPr>
              <w:t xml:space="preserve"> </w:t>
            </w:r>
            <w:r w:rsidRPr="00884D55">
              <w:rPr>
                <w:color w:val="0D0D0D" w:themeColor="text1" w:themeTint="F2"/>
                <w:spacing w:val="-6"/>
                <w:lang w:val="en-GB"/>
              </w:rPr>
              <w:t>strengthened by 2%, quarter-on-quarter, at the beginning of year 2024, marking the strongest recovery in nearly two last years, driven mainly by transportation and storage. Overall, services maintained more modest growth for most of the remainder of the year. Thus they were slightly above the level of t</w:t>
            </w:r>
            <w:r w:rsidR="002E08A1">
              <w:rPr>
                <w:color w:val="0D0D0D" w:themeColor="text1" w:themeTint="F2"/>
                <w:spacing w:val="-6"/>
                <w:lang w:val="en-GB"/>
              </w:rPr>
              <w:t>he peak of the last expansion in</w:t>
            </w:r>
            <w:r w:rsidRPr="00884D55">
              <w:rPr>
                <w:color w:val="0D0D0D" w:themeColor="text1" w:themeTint="F2"/>
                <w:spacing w:val="-6"/>
                <w:lang w:val="en-GB"/>
              </w:rPr>
              <w:t xml:space="preserve"> the pre-pandemic period at the </w:t>
            </w:r>
            <w:r w:rsidR="002E08A1">
              <w:rPr>
                <w:color w:val="0D0D0D" w:themeColor="text1" w:themeTint="F2"/>
                <w:spacing w:val="-6"/>
                <w:lang w:val="en-GB"/>
              </w:rPr>
              <w:t xml:space="preserve">last </w:t>
            </w:r>
            <w:r w:rsidRPr="00884D55">
              <w:rPr>
                <w:color w:val="0D0D0D" w:themeColor="text1" w:themeTint="F2"/>
                <w:spacing w:val="-6"/>
                <w:lang w:val="en-GB"/>
              </w:rPr>
              <w:t>year’s end (they were 2.1% higher compared to</w:t>
            </w:r>
            <w:r w:rsidR="00CA6CF4">
              <w:rPr>
                <w:color w:val="0D0D0D" w:themeColor="text1" w:themeTint="F2"/>
                <w:spacing w:val="-6"/>
                <w:lang w:val="en-GB"/>
              </w:rPr>
              <w:t xml:space="preserve"> </w:t>
            </w:r>
            <w:r w:rsidRPr="00884D55">
              <w:rPr>
                <w:color w:val="0D0D0D" w:themeColor="text1" w:themeTint="F2"/>
                <w:spacing w:val="-6"/>
                <w:lang w:val="en-GB"/>
              </w:rPr>
              <w:t>Q2 2019)</w:t>
            </w:r>
            <w:r w:rsidRPr="00884D55">
              <w:rPr>
                <w:rStyle w:val="Znakapoznpodarou"/>
                <w:color w:val="0D0D0D" w:themeColor="text1" w:themeTint="F2"/>
                <w:spacing w:val="-4"/>
                <w:lang w:val="en-GB"/>
              </w:rPr>
              <w:footnoteReference w:id="33"/>
            </w:r>
          </w:p>
        </w:tc>
      </w:tr>
      <w:tr w:rsidR="00B01DC6" w:rsidRPr="00884D55" w14:paraId="5E59EDA7" w14:textId="77777777" w:rsidTr="00803507">
        <w:trPr>
          <w:trHeight w:val="170"/>
        </w:trPr>
        <w:tc>
          <w:tcPr>
            <w:tcW w:w="1814" w:type="dxa"/>
            <w:shd w:val="clear" w:color="auto" w:fill="auto"/>
            <w:tcMar>
              <w:left w:w="0" w:type="dxa"/>
            </w:tcMar>
          </w:tcPr>
          <w:p w14:paraId="3D5D8A65" w14:textId="77777777" w:rsidR="00B01DC6" w:rsidRPr="00884D55" w:rsidRDefault="00B01DC6" w:rsidP="00B01DC6">
            <w:pPr>
              <w:pStyle w:val="Marginlie"/>
              <w:rPr>
                <w:rFonts w:cs="Arial"/>
                <w:color w:val="0D0D0D" w:themeColor="text1" w:themeTint="F2"/>
                <w:spacing w:val="-4"/>
                <w:lang w:val="en-GB"/>
              </w:rPr>
            </w:pPr>
            <w:r w:rsidRPr="00884D55">
              <w:rPr>
                <w:rFonts w:cs="Arial"/>
                <w:color w:val="0D0D0D" w:themeColor="text1" w:themeTint="F2"/>
                <w:spacing w:val="-4"/>
                <w:lang w:val="en-GB"/>
              </w:rPr>
              <w:t xml:space="preserve">A year-on-year sales increase occurred in all modes of transport last year. The rapid growth of air transport continued, with demand surpassing 2019 levels for the first time. </w:t>
            </w:r>
          </w:p>
        </w:tc>
        <w:tc>
          <w:tcPr>
            <w:tcW w:w="229" w:type="dxa"/>
            <w:shd w:val="clear" w:color="auto" w:fill="auto"/>
            <w:tcMar>
              <w:left w:w="0" w:type="dxa"/>
            </w:tcMar>
          </w:tcPr>
          <w:p w14:paraId="48931E88" w14:textId="77777777" w:rsidR="00B01DC6" w:rsidRPr="00884D55" w:rsidRDefault="00B01DC6" w:rsidP="00B01DC6">
            <w:pPr>
              <w:pStyle w:val="Textpoznpodarou"/>
              <w:jc w:val="both"/>
              <w:rPr>
                <w:rFonts w:eastAsia="Times New Roman" w:cs="Arial"/>
                <w:color w:val="0D0D0D" w:themeColor="text1" w:themeTint="F2"/>
                <w:spacing w:val="-4"/>
                <w:lang w:val="en-GB"/>
              </w:rPr>
            </w:pPr>
          </w:p>
        </w:tc>
        <w:tc>
          <w:tcPr>
            <w:tcW w:w="7596" w:type="dxa"/>
            <w:shd w:val="clear" w:color="auto" w:fill="auto"/>
            <w:tcMar>
              <w:left w:w="0" w:type="dxa"/>
            </w:tcMar>
          </w:tcPr>
          <w:p w14:paraId="4F071914" w14:textId="7340C900" w:rsidR="00B01DC6" w:rsidRPr="00884D55" w:rsidRDefault="00B01DC6" w:rsidP="00B01DC6">
            <w:pPr>
              <w:spacing w:after="220"/>
              <w:rPr>
                <w:color w:val="0D0D0D" w:themeColor="text1" w:themeTint="F2"/>
                <w:spacing w:val="-6"/>
                <w:lang w:val="en-GB"/>
              </w:rPr>
            </w:pPr>
            <w:bookmarkStart w:id="8" w:name="_Hlk194766304"/>
            <w:r w:rsidRPr="00884D55">
              <w:rPr>
                <w:color w:val="0D0D0D" w:themeColor="text1" w:themeTint="F2"/>
                <w:spacing w:val="-6"/>
                <w:lang w:val="en-GB"/>
              </w:rPr>
              <w:t xml:space="preserve">Total sales in services increased by 2.3%, year-on-yea </w:t>
            </w:r>
            <w:r w:rsidR="00B17C40">
              <w:rPr>
                <w:color w:val="0D0D0D" w:themeColor="text1" w:themeTint="F2"/>
                <w:spacing w:val="-6"/>
                <w:lang w:val="en-GB"/>
              </w:rPr>
              <w:t>in 2024</w:t>
            </w:r>
            <w:r w:rsidRPr="00884D55">
              <w:rPr>
                <w:color w:val="0D0D0D" w:themeColor="text1" w:themeTint="F2"/>
                <w:spacing w:val="-6"/>
                <w:lang w:val="en-GB"/>
              </w:rPr>
              <w:t xml:space="preserve"> and offset the weaker performance from the previous year. Almost half of this result was due to the transporting and storage activities, where the sales rose after a significantly weak year 2023 by 4.6% last year. Despite more modest growth, primarily the land transport</w:t>
            </w:r>
            <w:r w:rsidR="00B17C40">
              <w:rPr>
                <w:color w:val="0D0D0D" w:themeColor="text1" w:themeTint="F2"/>
                <w:spacing w:val="-6"/>
                <w:lang w:val="en-GB"/>
              </w:rPr>
              <w:t xml:space="preserve"> </w:t>
            </w:r>
            <w:r w:rsidRPr="00884D55">
              <w:rPr>
                <w:color w:val="0D0D0D" w:themeColor="text1" w:themeTint="F2"/>
                <w:spacing w:val="-6"/>
                <w:lang w:val="en-GB"/>
              </w:rPr>
              <w:t>(+3.1%)</w:t>
            </w:r>
            <w:r w:rsidRPr="00884D55">
              <w:rPr>
                <w:rStyle w:val="Znakapoznpodarou"/>
                <w:color w:val="0D0D0D" w:themeColor="text1" w:themeTint="F2"/>
                <w:spacing w:val="-4"/>
                <w:lang w:val="en-GB"/>
              </w:rPr>
              <w:footnoteReference w:id="34"/>
            </w:r>
            <w:r w:rsidRPr="00884D55">
              <w:rPr>
                <w:color w:val="0D0D0D" w:themeColor="text1" w:themeTint="F2"/>
                <w:spacing w:val="-6"/>
                <w:lang w:val="en-GB"/>
              </w:rPr>
              <w:t xml:space="preserve"> determined the dynamics of this sector. Road transport performance increased slightly, compensating for the ongoing decline in rail freight transport</w:t>
            </w:r>
            <w:r w:rsidRPr="00884D55">
              <w:rPr>
                <w:rStyle w:val="Znakapoznpodarou"/>
                <w:color w:val="0D0D0D" w:themeColor="text1" w:themeTint="F2"/>
                <w:spacing w:val="-4"/>
                <w:lang w:val="en-GB"/>
              </w:rPr>
              <w:footnoteReference w:id="35"/>
            </w:r>
            <w:r w:rsidRPr="00884D55">
              <w:rPr>
                <w:color w:val="0D0D0D" w:themeColor="text1" w:themeTint="F2"/>
                <w:spacing w:val="-4"/>
                <w:lang w:val="en-GB"/>
              </w:rPr>
              <w:t xml:space="preserve">. </w:t>
            </w:r>
            <w:r w:rsidRPr="00884D55">
              <w:rPr>
                <w:color w:val="0D0D0D" w:themeColor="text1" w:themeTint="F2"/>
                <w:spacing w:val="-6"/>
                <w:lang w:val="en-GB"/>
              </w:rPr>
              <w:t xml:space="preserve">Demand for warehousing and support activities in transportation increased, where sales increased by 5.2% and were higher by about a seventh compared to year 2019. Postal and courier activities were in a similar situation, their sales mildly increased (+2.6%) after a drop in both years 2022 and 2023, largely due to a recovery </w:t>
            </w:r>
            <w:r w:rsidRPr="00884D55">
              <w:rPr>
                <w:color w:val="0D0D0D" w:themeColor="text1" w:themeTint="F2"/>
                <w:spacing w:val="-6"/>
                <w:lang w:val="en-GB"/>
              </w:rPr>
              <w:lastRenderedPageBreak/>
              <w:t xml:space="preserve">of sales via internet. Domestic air carriers also prospered, reporting growth of 21.9% and their sales matched the pre-covid levels for the first time. </w:t>
            </w:r>
            <w:bookmarkEnd w:id="8"/>
          </w:p>
        </w:tc>
      </w:tr>
      <w:tr w:rsidR="00B01DC6" w:rsidRPr="00884D55" w14:paraId="07A78388" w14:textId="77777777" w:rsidTr="00803507">
        <w:trPr>
          <w:trHeight w:val="170"/>
        </w:trPr>
        <w:tc>
          <w:tcPr>
            <w:tcW w:w="1814" w:type="dxa"/>
            <w:shd w:val="clear" w:color="auto" w:fill="auto"/>
            <w:tcMar>
              <w:left w:w="0" w:type="dxa"/>
            </w:tcMar>
          </w:tcPr>
          <w:p w14:paraId="3AFF1442" w14:textId="77777777" w:rsidR="00B01DC6" w:rsidRPr="00884D55" w:rsidRDefault="00B01DC6" w:rsidP="00B01DC6">
            <w:pPr>
              <w:pStyle w:val="Marginlie"/>
              <w:rPr>
                <w:rFonts w:cs="Arial"/>
                <w:color w:val="0D0D0D" w:themeColor="text1" w:themeTint="F2"/>
                <w:spacing w:val="-4"/>
                <w:lang w:val="en-GB"/>
              </w:rPr>
            </w:pPr>
            <w:bookmarkStart w:id="10" w:name="_Hlk194767360"/>
            <w:r w:rsidRPr="00884D55">
              <w:rPr>
                <w:rFonts w:cs="Arial"/>
                <w:color w:val="0D0D0D" w:themeColor="text1" w:themeTint="F2"/>
                <w:spacing w:val="-4"/>
                <w:lang w:val="en-GB"/>
              </w:rPr>
              <w:lastRenderedPageBreak/>
              <w:t xml:space="preserve">Growth of demand was very moderate in accommodation, food service and restaurants last year. Inbound tourism experienced a weaker summer season, nevertheless the end of the year improved its results. </w:t>
            </w:r>
            <w:bookmarkEnd w:id="10"/>
          </w:p>
        </w:tc>
        <w:tc>
          <w:tcPr>
            <w:tcW w:w="229" w:type="dxa"/>
            <w:shd w:val="clear" w:color="auto" w:fill="auto"/>
            <w:tcMar>
              <w:left w:w="0" w:type="dxa"/>
            </w:tcMar>
          </w:tcPr>
          <w:p w14:paraId="66B8F3BA" w14:textId="77777777" w:rsidR="00B01DC6" w:rsidRPr="00884D55" w:rsidRDefault="00B01DC6" w:rsidP="00B01DC6">
            <w:pPr>
              <w:pStyle w:val="Textpoznpodarou"/>
              <w:jc w:val="both"/>
              <w:rPr>
                <w:rFonts w:eastAsia="Times New Roman" w:cs="Arial"/>
                <w:color w:val="0D0D0D" w:themeColor="text1" w:themeTint="F2"/>
                <w:spacing w:val="-4"/>
                <w:lang w:val="en-GB"/>
              </w:rPr>
            </w:pPr>
          </w:p>
        </w:tc>
        <w:tc>
          <w:tcPr>
            <w:tcW w:w="7596" w:type="dxa"/>
            <w:shd w:val="clear" w:color="auto" w:fill="auto"/>
            <w:tcMar>
              <w:left w:w="0" w:type="dxa"/>
            </w:tcMar>
          </w:tcPr>
          <w:p w14:paraId="606B18E9" w14:textId="248F2F1A" w:rsidR="00B01DC6" w:rsidRPr="00884D55" w:rsidRDefault="00B01DC6" w:rsidP="00B01DC6">
            <w:pPr>
              <w:spacing w:after="220"/>
              <w:rPr>
                <w:color w:val="0D0D0D" w:themeColor="text1" w:themeTint="F2"/>
                <w:spacing w:val="-6"/>
                <w:lang w:val="en-GB"/>
              </w:rPr>
            </w:pPr>
            <w:bookmarkStart w:id="11" w:name="_Hlk194769553"/>
            <w:r w:rsidRPr="00884D55">
              <w:rPr>
                <w:rFonts w:cs="Arial"/>
                <w:color w:val="0D0D0D" w:themeColor="text1" w:themeTint="F2"/>
                <w:spacing w:val="-4"/>
                <w:lang w:val="en-GB"/>
              </w:rPr>
              <w:t>Sales increased only by 0.7%, year-on-year, in the accommodation, food service and restaurants last year, the least in the last four years. This was partly a result of the weaker summer season</w:t>
            </w:r>
            <w:r w:rsidRPr="00884D55">
              <w:rPr>
                <w:rStyle w:val="Znakapoznpodarou"/>
                <w:color w:val="0D0D0D" w:themeColor="text1" w:themeTint="F2"/>
                <w:spacing w:val="-4"/>
                <w:lang w:val="en-GB"/>
              </w:rPr>
              <w:footnoteReference w:id="36"/>
            </w:r>
            <w:r w:rsidRPr="00884D55">
              <w:rPr>
                <w:rFonts w:cs="Arial"/>
                <w:color w:val="0D0D0D" w:themeColor="text1" w:themeTint="F2"/>
                <w:spacing w:val="-4"/>
                <w:lang w:val="en-GB"/>
              </w:rPr>
              <w:t xml:space="preserve"> and especially its end, which was marked by the September floods in all segments of the branch. In addition, the effect of continued brisk price growth may have acted in this area</w:t>
            </w:r>
            <w:r w:rsidRPr="00884D55">
              <w:rPr>
                <w:rStyle w:val="Znakapoznpodarou"/>
                <w:color w:val="0D0D0D" w:themeColor="text1" w:themeTint="F2"/>
                <w:spacing w:val="-4"/>
                <w:lang w:val="en-GB"/>
              </w:rPr>
              <w:footnoteReference w:id="37"/>
            </w:r>
            <w:r w:rsidRPr="00884D55">
              <w:rPr>
                <w:rFonts w:cs="Arial"/>
                <w:color w:val="0D0D0D" w:themeColor="text1" w:themeTint="F2"/>
                <w:spacing w:val="-4"/>
                <w:lang w:val="en-GB"/>
              </w:rPr>
              <w:t xml:space="preserve"> throughout the year, which, together with the deteriorated financial situation of part of households (due to weak economic growth and a decline of real wages in previous years), could have led to a partial reduction of domestic demand. Mild growth of sales occurred only in food service and restaurants for last year (+1.5%), sales decreased with a similar intensity in accommodation. </w:t>
            </w:r>
            <w:r w:rsidR="00F8681C">
              <w:rPr>
                <w:rFonts w:cs="Arial"/>
                <w:color w:val="0D0D0D" w:themeColor="text1" w:themeTint="F2"/>
                <w:spacing w:val="-4"/>
                <w:lang w:val="en-GB"/>
              </w:rPr>
              <w:t xml:space="preserve">Detailed </w:t>
            </w:r>
            <w:r w:rsidRPr="00884D55">
              <w:rPr>
                <w:rFonts w:cs="Arial"/>
                <w:color w:val="0D0D0D" w:themeColor="text1" w:themeTint="F2"/>
                <w:spacing w:val="-4"/>
                <w:lang w:val="en-GB"/>
              </w:rPr>
              <w:t>ndicators in the area of inbound tourism provide slightly better results</w:t>
            </w:r>
            <w:r w:rsidRPr="00884D55">
              <w:rPr>
                <w:rStyle w:val="Znakapoznpodarou"/>
                <w:color w:val="0D0D0D" w:themeColor="text1" w:themeTint="F2"/>
                <w:spacing w:val="-2"/>
                <w:lang w:val="en-GB"/>
              </w:rPr>
              <w:footnoteReference w:id="38"/>
            </w:r>
            <w:r w:rsidRPr="00884D55">
              <w:rPr>
                <w:rFonts w:cs="Arial"/>
                <w:color w:val="0D0D0D" w:themeColor="text1" w:themeTint="F2"/>
                <w:spacing w:val="-4"/>
                <w:lang w:val="en-GB"/>
              </w:rPr>
              <w:t xml:space="preserve"> for the whole of last year, the weaker summer season was compensated by a relatively strong end of the year</w:t>
            </w:r>
            <w:r w:rsidRPr="00884D55">
              <w:rPr>
                <w:rStyle w:val="Znakapoznpodarou"/>
                <w:color w:val="0D0D0D" w:themeColor="text1" w:themeTint="F2"/>
                <w:spacing w:val="-2"/>
                <w:lang w:val="en-GB"/>
              </w:rPr>
              <w:footnoteReference w:id="39"/>
            </w:r>
            <w:r w:rsidRPr="00884D55">
              <w:rPr>
                <w:rFonts w:cs="Arial"/>
                <w:color w:val="0D0D0D" w:themeColor="text1" w:themeTint="F2"/>
                <w:spacing w:val="-2"/>
                <w:lang w:val="en-GB"/>
              </w:rPr>
              <w:t>.</w:t>
            </w:r>
            <w:bookmarkEnd w:id="11"/>
          </w:p>
        </w:tc>
      </w:tr>
      <w:tr w:rsidR="00B01DC6" w:rsidRPr="00884D55" w14:paraId="1FB5E89F" w14:textId="77777777" w:rsidTr="00803507">
        <w:trPr>
          <w:trHeight w:val="170"/>
        </w:trPr>
        <w:tc>
          <w:tcPr>
            <w:tcW w:w="1814" w:type="dxa"/>
            <w:shd w:val="clear" w:color="auto" w:fill="auto"/>
            <w:tcMar>
              <w:left w:w="0" w:type="dxa"/>
            </w:tcMar>
          </w:tcPr>
          <w:p w14:paraId="406DA690" w14:textId="77777777" w:rsidR="00B01DC6" w:rsidRPr="00884D55" w:rsidRDefault="00B01DC6" w:rsidP="00B01DC6">
            <w:pPr>
              <w:pStyle w:val="Marginlie"/>
              <w:rPr>
                <w:rFonts w:cs="Arial"/>
                <w:color w:val="0D0D0D" w:themeColor="text1" w:themeTint="F2"/>
                <w:spacing w:val="-4"/>
                <w:lang w:val="en-GB"/>
              </w:rPr>
            </w:pPr>
            <w:bookmarkStart w:id="15" w:name="_Hlk194775087"/>
            <w:r w:rsidRPr="00884D55">
              <w:rPr>
                <w:color w:val="0D0D0D" w:themeColor="text1" w:themeTint="F2"/>
                <w:spacing w:val="-6"/>
                <w:lang w:val="en-GB"/>
              </w:rPr>
              <w:t xml:space="preserve">Demand for IT activities grew, however it was still subdued in information activities. </w:t>
            </w:r>
            <w:bookmarkEnd w:id="15"/>
          </w:p>
        </w:tc>
        <w:tc>
          <w:tcPr>
            <w:tcW w:w="229" w:type="dxa"/>
            <w:shd w:val="clear" w:color="auto" w:fill="auto"/>
            <w:tcMar>
              <w:left w:w="0" w:type="dxa"/>
            </w:tcMar>
          </w:tcPr>
          <w:p w14:paraId="499BB7F5" w14:textId="77777777" w:rsidR="00B01DC6" w:rsidRPr="00884D55" w:rsidRDefault="00B01DC6" w:rsidP="00B01DC6">
            <w:pPr>
              <w:pStyle w:val="Textpoznpodarou"/>
              <w:jc w:val="both"/>
              <w:rPr>
                <w:rFonts w:eastAsia="Times New Roman" w:cs="Arial"/>
                <w:color w:val="0D0D0D" w:themeColor="text1" w:themeTint="F2"/>
                <w:spacing w:val="-4"/>
                <w:lang w:val="en-GB"/>
              </w:rPr>
            </w:pPr>
          </w:p>
        </w:tc>
        <w:tc>
          <w:tcPr>
            <w:tcW w:w="7596" w:type="dxa"/>
            <w:shd w:val="clear" w:color="auto" w:fill="auto"/>
            <w:tcMar>
              <w:left w:w="0" w:type="dxa"/>
            </w:tcMar>
          </w:tcPr>
          <w:p w14:paraId="75ECFD14" w14:textId="7DAB9B5C" w:rsidR="00B01DC6" w:rsidRPr="00884D55" w:rsidRDefault="00B01DC6" w:rsidP="00B01DC6">
            <w:pPr>
              <w:spacing w:after="220"/>
              <w:rPr>
                <w:rFonts w:cs="Arial"/>
                <w:color w:val="0D0D0D" w:themeColor="text1" w:themeTint="F2"/>
                <w:spacing w:val="-4"/>
                <w:lang w:val="en-GB"/>
              </w:rPr>
            </w:pPr>
            <w:bookmarkStart w:id="16" w:name="_Hlk194775112"/>
            <w:r w:rsidRPr="00884D55">
              <w:rPr>
                <w:rFonts w:cs="Arial"/>
                <w:color w:val="0D0D0D" w:themeColor="text1" w:themeTint="F2"/>
                <w:spacing w:val="-3"/>
                <w:szCs w:val="20"/>
                <w:lang w:val="en-GB"/>
              </w:rPr>
              <w:t>Sales in information and communication after a short-term downturn in 2023 returned to growth (+2.2%) last year. Higher demand was evident especially in IT activities</w:t>
            </w:r>
            <w:r w:rsidRPr="00884D55">
              <w:rPr>
                <w:rStyle w:val="Znakapoznpodarou"/>
                <w:color w:val="0D0D0D" w:themeColor="text1" w:themeTint="F2"/>
                <w:spacing w:val="-6"/>
                <w:lang w:val="en-GB"/>
              </w:rPr>
              <w:footnoteReference w:id="40"/>
            </w:r>
            <w:r w:rsidRPr="00884D55">
              <w:rPr>
                <w:rFonts w:cs="Arial"/>
                <w:color w:val="0D0D0D" w:themeColor="text1" w:themeTint="F2"/>
                <w:spacing w:val="-3"/>
                <w:szCs w:val="20"/>
                <w:lang w:val="en-GB"/>
              </w:rPr>
              <w:t xml:space="preserve"> (+4.5%), and it increased at the same pace also in the relatively small segment of radio and television programming and broadcasting. Last year's sales in information activities</w:t>
            </w:r>
            <w:r w:rsidRPr="00884D55">
              <w:rPr>
                <w:rStyle w:val="Znakapoznpodarou"/>
                <w:color w:val="0D0D0D" w:themeColor="text1" w:themeTint="F2"/>
                <w:spacing w:val="-6"/>
                <w:lang w:val="en-GB"/>
              </w:rPr>
              <w:footnoteReference w:id="41"/>
            </w:r>
            <w:r w:rsidRPr="00884D55">
              <w:rPr>
                <w:rFonts w:cs="Arial"/>
                <w:color w:val="0D0D0D" w:themeColor="text1" w:themeTint="F2"/>
                <w:spacing w:val="-6"/>
                <w:lang w:val="en-GB"/>
              </w:rPr>
              <w:t xml:space="preserve"> </w:t>
            </w:r>
            <w:r w:rsidRPr="00884D55">
              <w:rPr>
                <w:rFonts w:cs="Arial"/>
                <w:color w:val="0D0D0D" w:themeColor="text1" w:themeTint="F2"/>
                <w:spacing w:val="-3"/>
                <w:szCs w:val="20"/>
                <w:lang w:val="en-GB"/>
              </w:rPr>
              <w:t>and also in publishing activities wer</w:t>
            </w:r>
            <w:r w:rsidR="008C4976">
              <w:rPr>
                <w:rFonts w:cs="Arial"/>
                <w:color w:val="0D0D0D" w:themeColor="text1" w:themeTint="F2"/>
                <w:spacing w:val="-3"/>
                <w:szCs w:val="20"/>
                <w:lang w:val="en-GB"/>
              </w:rPr>
              <w:t>e</w:t>
            </w:r>
            <w:r w:rsidRPr="00884D55">
              <w:rPr>
                <w:rFonts w:cs="Arial"/>
                <w:color w:val="0D0D0D" w:themeColor="text1" w:themeTint="F2"/>
                <w:spacing w:val="-3"/>
                <w:szCs w:val="20"/>
                <w:lang w:val="en-GB"/>
              </w:rPr>
              <w:t xml:space="preserve"> stagnating after the slump two years ago (unique in the last ten years). The decline in the so-called motion picture and music industry continued, deepening sharply to almost </w:t>
            </w:r>
            <w:r w:rsidR="008C4976">
              <w:rPr>
                <w:rFonts w:cs="Arial"/>
                <w:color w:val="0D0D0D" w:themeColor="text1" w:themeTint="F2"/>
                <w:spacing w:val="-3"/>
                <w:szCs w:val="20"/>
                <w:lang w:val="en-GB"/>
              </w:rPr>
              <w:t>25%</w:t>
            </w:r>
            <w:r w:rsidRPr="00884D55">
              <w:rPr>
                <w:rFonts w:cs="Arial"/>
                <w:color w:val="0D0D0D" w:themeColor="text1" w:themeTint="F2"/>
                <w:spacing w:val="-3"/>
                <w:szCs w:val="20"/>
                <w:lang w:val="en-GB"/>
              </w:rPr>
              <w:t xml:space="preserve"> last year</w:t>
            </w:r>
            <w:r w:rsidRPr="00884D55">
              <w:rPr>
                <w:rStyle w:val="Znakapoznpodarou"/>
                <w:color w:val="0D0D0D" w:themeColor="text1" w:themeTint="F2"/>
                <w:spacing w:val="-8"/>
                <w:lang w:val="en-GB"/>
              </w:rPr>
              <w:footnoteReference w:id="42"/>
            </w:r>
            <w:r w:rsidRPr="00884D55">
              <w:rPr>
                <w:rFonts w:cs="Arial"/>
                <w:color w:val="0D0D0D" w:themeColor="text1" w:themeTint="F2"/>
                <w:spacing w:val="-3"/>
                <w:szCs w:val="20"/>
                <w:lang w:val="en-GB"/>
              </w:rPr>
              <w:t xml:space="preserve"> (similar to the crisis year of 2020). The current development in this small sector was related to irregular billing (it may also have been influenced by the indirect impacts of a longer strike in Hollywood at the end of </w:t>
            </w:r>
            <w:r w:rsidR="008C4976">
              <w:rPr>
                <w:rFonts w:cs="Arial"/>
                <w:color w:val="0D0D0D" w:themeColor="text1" w:themeTint="F2"/>
                <w:spacing w:val="-3"/>
                <w:szCs w:val="20"/>
                <w:lang w:val="en-GB"/>
              </w:rPr>
              <w:t>2023</w:t>
            </w:r>
            <w:r w:rsidRPr="00884D55">
              <w:rPr>
                <w:rFonts w:cs="Arial"/>
                <w:color w:val="0D0D0D" w:themeColor="text1" w:themeTint="F2"/>
                <w:spacing w:val="-3"/>
                <w:szCs w:val="20"/>
                <w:lang w:val="en-GB"/>
              </w:rPr>
              <w:t xml:space="preserve">). </w:t>
            </w:r>
            <w:bookmarkEnd w:id="16"/>
          </w:p>
        </w:tc>
      </w:tr>
      <w:tr w:rsidR="00B01DC6" w:rsidRPr="00884D55" w14:paraId="4FED5F9B" w14:textId="77777777" w:rsidTr="00803507">
        <w:trPr>
          <w:trHeight w:val="170"/>
        </w:trPr>
        <w:tc>
          <w:tcPr>
            <w:tcW w:w="1814" w:type="dxa"/>
            <w:shd w:val="clear" w:color="auto" w:fill="auto"/>
            <w:tcMar>
              <w:left w:w="0" w:type="dxa"/>
            </w:tcMar>
          </w:tcPr>
          <w:p w14:paraId="20A9D516" w14:textId="77777777" w:rsidR="00B01DC6" w:rsidRPr="00884D55" w:rsidRDefault="00B01DC6" w:rsidP="00B01DC6">
            <w:pPr>
              <w:pStyle w:val="Marginlie"/>
              <w:rPr>
                <w:color w:val="0D0D0D" w:themeColor="text1" w:themeTint="F2"/>
                <w:spacing w:val="-6"/>
                <w:lang w:val="en-GB"/>
              </w:rPr>
            </w:pPr>
            <w:bookmarkStart w:id="18" w:name="_Hlk194776149"/>
            <w:r w:rsidRPr="00884D55">
              <w:rPr>
                <w:color w:val="0D0D0D" w:themeColor="text1" w:themeTint="F2"/>
                <w:spacing w:val="-4"/>
                <w:lang w:val="en-GB"/>
              </w:rPr>
              <w:t xml:space="preserve">The rapid growth of demand for activities of head offices and management consultancy continued. On the other </w:t>
            </w:r>
            <w:r w:rsidRPr="00884D55">
              <w:rPr>
                <w:color w:val="0D0D0D" w:themeColor="text1" w:themeTint="F2"/>
                <w:spacing w:val="-4"/>
                <w:lang w:val="en-GB"/>
              </w:rPr>
              <w:lastRenderedPageBreak/>
              <w:t xml:space="preserve">hand, advertising sales diminished. </w:t>
            </w:r>
          </w:p>
        </w:tc>
        <w:tc>
          <w:tcPr>
            <w:tcW w:w="229" w:type="dxa"/>
            <w:shd w:val="clear" w:color="auto" w:fill="auto"/>
            <w:tcMar>
              <w:left w:w="0" w:type="dxa"/>
            </w:tcMar>
          </w:tcPr>
          <w:p w14:paraId="2E605EBF" w14:textId="77777777" w:rsidR="00B01DC6" w:rsidRPr="00884D55" w:rsidRDefault="00B01DC6" w:rsidP="00B01DC6">
            <w:pPr>
              <w:pStyle w:val="Textpoznpodarou"/>
              <w:jc w:val="both"/>
              <w:rPr>
                <w:rFonts w:eastAsia="Times New Roman" w:cs="Arial"/>
                <w:color w:val="0D0D0D" w:themeColor="text1" w:themeTint="F2"/>
                <w:spacing w:val="-4"/>
                <w:lang w:val="en-GB"/>
              </w:rPr>
            </w:pPr>
          </w:p>
        </w:tc>
        <w:tc>
          <w:tcPr>
            <w:tcW w:w="7596" w:type="dxa"/>
            <w:shd w:val="clear" w:color="auto" w:fill="auto"/>
            <w:tcMar>
              <w:left w:w="0" w:type="dxa"/>
            </w:tcMar>
          </w:tcPr>
          <w:p w14:paraId="421F903E" w14:textId="6FCE2314" w:rsidR="00B01DC6" w:rsidRPr="00884D55" w:rsidRDefault="00B01DC6" w:rsidP="00B01DC6">
            <w:pPr>
              <w:spacing w:after="220"/>
              <w:rPr>
                <w:rFonts w:cs="Arial"/>
                <w:color w:val="0D0D0D" w:themeColor="text1" w:themeTint="F2"/>
                <w:spacing w:val="-3"/>
                <w:szCs w:val="20"/>
                <w:lang w:val="en-GB"/>
              </w:rPr>
            </w:pPr>
            <w:r w:rsidRPr="00884D55">
              <w:rPr>
                <w:rFonts w:cs="Arial"/>
                <w:color w:val="0D0D0D" w:themeColor="text1" w:themeTint="F2"/>
                <w:spacing w:val="-3"/>
                <w:szCs w:val="20"/>
                <w:lang w:val="en-GB"/>
              </w:rPr>
              <w:t xml:space="preserve">Moderate growth of demand for business services continued for the fourth year in a row. Their sales increased by 1.7%, year-on-year, in the professional, scientific and technical activities last year, however the pace weakened during the year and demand was virtually stagnating at the end of the year. Annually, the sales increased the most in </w:t>
            </w:r>
            <w:r w:rsidRPr="00884D55">
              <w:rPr>
                <w:color w:val="0D0D0D" w:themeColor="text1" w:themeTint="F2"/>
                <w:spacing w:val="-4"/>
                <w:lang w:val="en-GB"/>
              </w:rPr>
              <w:t xml:space="preserve">activities of head offices and management consultancy </w:t>
            </w:r>
            <w:r w:rsidRPr="00884D55">
              <w:rPr>
                <w:rFonts w:cs="Arial"/>
                <w:color w:val="0D0D0D" w:themeColor="text1" w:themeTint="F2"/>
                <w:spacing w:val="-3"/>
                <w:szCs w:val="20"/>
                <w:lang w:val="en-GB"/>
              </w:rPr>
              <w:t xml:space="preserve">(+4.6%), nevertheless the higher demand in </w:t>
            </w:r>
            <w:r w:rsidRPr="00884D55">
              <w:rPr>
                <w:rFonts w:cs="Arial"/>
                <w:color w:val="0D0D0D" w:themeColor="text1" w:themeTint="F2"/>
                <w:spacing w:val="-3"/>
                <w:szCs w:val="20"/>
                <w:lang w:val="en-GB"/>
              </w:rPr>
              <w:lastRenderedPageBreak/>
              <w:t>the diversified segment of other professional, scientific and technical activities</w:t>
            </w:r>
            <w:r w:rsidRPr="00884D55">
              <w:rPr>
                <w:rStyle w:val="Znakapoznpodarou"/>
                <w:spacing w:val="-4"/>
                <w:lang w:val="en-GB"/>
              </w:rPr>
              <w:footnoteReference w:id="43"/>
            </w:r>
            <w:r w:rsidRPr="00884D55">
              <w:rPr>
                <w:rFonts w:cs="Arial"/>
                <w:color w:val="0D0D0D" w:themeColor="text1" w:themeTint="F2"/>
                <w:spacing w:val="-3"/>
                <w:szCs w:val="20"/>
                <w:lang w:val="en-GB"/>
              </w:rPr>
              <w:t>, which has however not yet reached the 2019 level, contributed the most to the growth of the entire sector</w:t>
            </w:r>
            <w:r w:rsidR="00D77C2A">
              <w:rPr>
                <w:rFonts w:cs="Arial"/>
                <w:color w:val="0D0D0D" w:themeColor="text1" w:themeTint="F2"/>
                <w:spacing w:val="-3"/>
                <w:szCs w:val="20"/>
                <w:lang w:val="en-GB"/>
              </w:rPr>
              <w:t xml:space="preserve"> last year</w:t>
            </w:r>
            <w:r w:rsidRPr="00884D55">
              <w:rPr>
                <w:rFonts w:cs="Arial"/>
                <w:color w:val="0D0D0D" w:themeColor="text1" w:themeTint="F2"/>
                <w:spacing w:val="-3"/>
                <w:szCs w:val="20"/>
                <w:lang w:val="en-GB"/>
              </w:rPr>
              <w:t xml:space="preserve">. Legal and accounting activities were also successful last year, where sales did not decrease significantly even during the pandemic (they thus increased by 14% in total over the last five years). The relatively high demand for architectural and engineering activities, apparent in the previous three years, gradually weakened during the last year and its growth halted in Q4 (−3.0%). Advertising and market research have struggled with weaker demand in recent years. Sales fell by almost 4% last year and </w:t>
            </w:r>
            <w:r w:rsidR="00D77C2A">
              <w:rPr>
                <w:rFonts w:cs="Arial"/>
                <w:color w:val="0D0D0D" w:themeColor="text1" w:themeTint="F2"/>
                <w:spacing w:val="-3"/>
                <w:szCs w:val="20"/>
                <w:lang w:val="en-GB"/>
              </w:rPr>
              <w:t xml:space="preserve">in comparison with year </w:t>
            </w:r>
            <w:r w:rsidRPr="00884D55">
              <w:rPr>
                <w:rFonts w:cs="Arial"/>
                <w:color w:val="0D0D0D" w:themeColor="text1" w:themeTint="F2"/>
                <w:spacing w:val="-3"/>
                <w:szCs w:val="20"/>
                <w:lang w:val="en-GB"/>
              </w:rPr>
              <w:t>2019</w:t>
            </w:r>
            <w:r w:rsidR="00D77C2A">
              <w:rPr>
                <w:rFonts w:cs="Arial"/>
                <w:color w:val="0D0D0D" w:themeColor="text1" w:themeTint="F2"/>
                <w:spacing w:val="-3"/>
                <w:szCs w:val="20"/>
                <w:lang w:val="en-GB"/>
              </w:rPr>
              <w:t xml:space="preserve"> they were weaker</w:t>
            </w:r>
            <w:r w:rsidR="003905A9">
              <w:rPr>
                <w:rFonts w:cs="Arial"/>
                <w:color w:val="0D0D0D" w:themeColor="text1" w:themeTint="F2"/>
                <w:spacing w:val="-3"/>
                <w:szCs w:val="20"/>
                <w:lang w:val="en-GB"/>
              </w:rPr>
              <w:t xml:space="preserve"> even by 12%.</w:t>
            </w:r>
            <w:r w:rsidRPr="00884D55">
              <w:rPr>
                <w:rFonts w:cs="Arial"/>
                <w:color w:val="0D0D0D" w:themeColor="text1" w:themeTint="F2"/>
                <w:spacing w:val="-3"/>
                <w:szCs w:val="20"/>
                <w:lang w:val="en-GB"/>
              </w:rPr>
              <w:t xml:space="preserve">   </w:t>
            </w:r>
            <w:bookmarkStart w:id="19" w:name="_Hlk194777297"/>
            <w:r w:rsidRPr="00884D55">
              <w:rPr>
                <w:rFonts w:cs="Arial"/>
                <w:color w:val="0D0D0D" w:themeColor="text1" w:themeTint="F2"/>
                <w:spacing w:val="-3"/>
                <w:szCs w:val="20"/>
                <w:lang w:val="en-GB"/>
              </w:rPr>
              <w:t xml:space="preserve"> </w:t>
            </w:r>
            <w:bookmarkEnd w:id="19"/>
          </w:p>
        </w:tc>
      </w:tr>
      <w:bookmarkEnd w:id="18"/>
      <w:tr w:rsidR="00B01DC6" w:rsidRPr="00884D55" w14:paraId="3118B06A" w14:textId="77777777" w:rsidTr="00803507">
        <w:trPr>
          <w:trHeight w:val="170"/>
        </w:trPr>
        <w:tc>
          <w:tcPr>
            <w:tcW w:w="1814" w:type="dxa"/>
            <w:shd w:val="clear" w:color="auto" w:fill="auto"/>
            <w:tcMar>
              <w:left w:w="0" w:type="dxa"/>
            </w:tcMar>
          </w:tcPr>
          <w:p w14:paraId="6079A947" w14:textId="77777777" w:rsidR="00B01DC6" w:rsidRPr="00884D55" w:rsidRDefault="00B01DC6" w:rsidP="00B01DC6">
            <w:pPr>
              <w:pStyle w:val="Marginlie"/>
              <w:rPr>
                <w:lang w:val="en-GB"/>
              </w:rPr>
            </w:pPr>
          </w:p>
        </w:tc>
        <w:tc>
          <w:tcPr>
            <w:tcW w:w="229" w:type="dxa"/>
            <w:shd w:val="clear" w:color="auto" w:fill="auto"/>
            <w:tcMar>
              <w:left w:w="0" w:type="dxa"/>
            </w:tcMar>
          </w:tcPr>
          <w:p w14:paraId="365FFF2E"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1BCD6141" w14:textId="77777777" w:rsidR="00B01DC6" w:rsidRPr="00884D55" w:rsidRDefault="00B01DC6" w:rsidP="00B01DC6">
            <w:pPr>
              <w:spacing w:after="40"/>
              <w:rPr>
                <w:b/>
                <w:spacing w:val="-4"/>
                <w:lang w:val="en-GB"/>
              </w:rPr>
            </w:pPr>
            <w:r w:rsidRPr="00884D55">
              <w:rPr>
                <w:b/>
                <w:spacing w:val="-4"/>
                <w:lang w:val="en-GB"/>
              </w:rPr>
              <w:t xml:space="preserve">Chart 7 </w:t>
            </w:r>
            <w:r w:rsidRPr="00884D55">
              <w:rPr>
                <w:b/>
                <w:spacing w:val="-2"/>
                <w:lang w:val="en-GB"/>
              </w:rPr>
              <w:t>Contributions of sub-branches to year-on-year change of sales in services</w:t>
            </w:r>
            <w:r w:rsidRPr="00884D55">
              <w:rPr>
                <w:b/>
                <w:bCs/>
                <w:spacing w:val="-2"/>
                <w:lang w:val="en-GB"/>
              </w:rPr>
              <w:t>*</w:t>
            </w:r>
            <w:r w:rsidRPr="00884D55">
              <w:rPr>
                <w:b/>
                <w:spacing w:val="-2"/>
                <w:lang w:val="en-GB"/>
              </w:rPr>
              <w:br/>
            </w:r>
            <w:r w:rsidRPr="00884D55">
              <w:rPr>
                <w:spacing w:val="-2"/>
                <w:lang w:val="en-GB"/>
              </w:rPr>
              <w:t>(real, in p. p),</w:t>
            </w:r>
            <w:r w:rsidRPr="00884D55">
              <w:rPr>
                <w:b/>
                <w:spacing w:val="-2"/>
                <w:lang w:val="en-GB"/>
              </w:rPr>
              <w:t xml:space="preserve"> total sales in services</w:t>
            </w:r>
            <w:r w:rsidRPr="00884D55">
              <w:rPr>
                <w:b/>
                <w:bCs/>
                <w:spacing w:val="-2"/>
                <w:lang w:val="en-GB"/>
              </w:rPr>
              <w:t xml:space="preserve">* </w:t>
            </w:r>
            <w:r w:rsidRPr="00884D55">
              <w:rPr>
                <w:spacing w:val="-2"/>
                <w:lang w:val="en-GB"/>
              </w:rPr>
              <w:t>(2021=100, right axis),</w:t>
            </w:r>
            <w:r w:rsidRPr="00884D55">
              <w:rPr>
                <w:b/>
                <w:spacing w:val="-2"/>
                <w:lang w:val="en-GB"/>
              </w:rPr>
              <w:t xml:space="preserve"> balance of business </w:t>
            </w:r>
            <w:r w:rsidRPr="00481F92">
              <w:rPr>
                <w:b/>
                <w:spacing w:val="-8"/>
                <w:lang w:val="en-GB"/>
              </w:rPr>
              <w:t>confidence indicator in services</w:t>
            </w:r>
            <w:r w:rsidRPr="00481F92">
              <w:rPr>
                <w:b/>
                <w:bCs/>
                <w:spacing w:val="-8"/>
                <w:lang w:val="en-GB"/>
              </w:rPr>
              <w:t>**</w:t>
            </w:r>
            <w:r w:rsidRPr="00481F92">
              <w:rPr>
                <w:b/>
                <w:spacing w:val="-8"/>
                <w:lang w:val="en-GB"/>
              </w:rPr>
              <w:t xml:space="preserve"> </w:t>
            </w:r>
            <w:r w:rsidRPr="00481F92">
              <w:rPr>
                <w:spacing w:val="-8"/>
                <w:lang w:val="en-GB"/>
              </w:rPr>
              <w:t>(in p. p., right axis)</w:t>
            </w:r>
            <w:r w:rsidRPr="00481F92">
              <w:rPr>
                <w:b/>
                <w:bCs/>
                <w:spacing w:val="-8"/>
                <w:lang w:val="en-GB"/>
              </w:rPr>
              <w:t xml:space="preserve">, </w:t>
            </w:r>
            <w:r w:rsidRPr="00481F92">
              <w:rPr>
                <w:b/>
                <w:spacing w:val="-8"/>
                <w:lang w:val="en-GB"/>
              </w:rPr>
              <w:t>barriers to growth</w:t>
            </w:r>
            <w:r w:rsidRPr="00481F92">
              <w:rPr>
                <w:b/>
                <w:bCs/>
                <w:spacing w:val="-8"/>
                <w:lang w:val="en-GB"/>
              </w:rPr>
              <w:t>**</w:t>
            </w:r>
            <w:r w:rsidRPr="00481F92">
              <w:rPr>
                <w:b/>
                <w:spacing w:val="-8"/>
                <w:lang w:val="en-GB"/>
              </w:rPr>
              <w:t xml:space="preserve"> </w:t>
            </w:r>
            <w:r w:rsidRPr="00481F92">
              <w:rPr>
                <w:spacing w:val="-8"/>
                <w:lang w:val="en-GB"/>
              </w:rPr>
              <w:t>(in %, right axis)</w:t>
            </w:r>
            <w:r w:rsidRPr="00884D55">
              <w:rPr>
                <w:spacing w:val="-4"/>
                <w:lang w:val="en-GB"/>
              </w:rPr>
              <w:t xml:space="preserve"> </w:t>
            </w:r>
          </w:p>
        </w:tc>
      </w:tr>
      <w:tr w:rsidR="00B01DC6" w:rsidRPr="00884D55" w14:paraId="675FC4E9" w14:textId="77777777" w:rsidTr="006E7E89">
        <w:tblPrEx>
          <w:tblCellMar>
            <w:left w:w="70" w:type="dxa"/>
            <w:right w:w="70" w:type="dxa"/>
          </w:tblCellMar>
        </w:tblPrEx>
        <w:trPr>
          <w:trHeight w:val="170"/>
        </w:trPr>
        <w:tc>
          <w:tcPr>
            <w:tcW w:w="1814" w:type="dxa"/>
            <w:shd w:val="clear" w:color="auto" w:fill="auto"/>
          </w:tcPr>
          <w:p w14:paraId="1B349605" w14:textId="77777777" w:rsidR="00B01DC6" w:rsidRPr="00884D55" w:rsidRDefault="00B01DC6" w:rsidP="00B01DC6">
            <w:pPr>
              <w:pStyle w:val="Marginlie"/>
              <w:rPr>
                <w:lang w:val="en-GB"/>
              </w:rPr>
            </w:pPr>
          </w:p>
        </w:tc>
        <w:tc>
          <w:tcPr>
            <w:tcW w:w="229" w:type="dxa"/>
            <w:shd w:val="clear" w:color="auto" w:fill="auto"/>
          </w:tcPr>
          <w:p w14:paraId="4B6C0A8B" w14:textId="77777777" w:rsidR="00B01DC6" w:rsidRPr="00884D55" w:rsidRDefault="00B01DC6" w:rsidP="00B01DC6">
            <w:pPr>
              <w:pStyle w:val="Textpoznpodarou"/>
              <w:jc w:val="both"/>
              <w:rPr>
                <w:spacing w:val="-4"/>
                <w:lang w:val="en-GB"/>
              </w:rPr>
            </w:pPr>
          </w:p>
        </w:tc>
        <w:tc>
          <w:tcPr>
            <w:tcW w:w="7596" w:type="dxa"/>
            <w:shd w:val="clear" w:color="auto" w:fill="auto"/>
          </w:tcPr>
          <w:p w14:paraId="0ADD5057" w14:textId="2786E4EE" w:rsidR="00B01DC6" w:rsidRPr="00884D55" w:rsidRDefault="006E7E89" w:rsidP="00B01DC6">
            <w:pPr>
              <w:spacing w:after="0"/>
              <w:rPr>
                <w:rFonts w:cs="Arial"/>
                <w:sz w:val="14"/>
                <w:szCs w:val="14"/>
                <w:lang w:val="en-GB"/>
              </w:rPr>
            </w:pPr>
            <w:r>
              <w:rPr>
                <w:noProof/>
              </w:rPr>
              <w:drawing>
                <wp:inline distT="0" distB="0" distL="0" distR="0" wp14:anchorId="7D0954DA" wp14:editId="758BF9FE">
                  <wp:extent cx="4660117" cy="3636780"/>
                  <wp:effectExtent l="0" t="0" r="7620" b="1905"/>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B01DC6" w:rsidRPr="00884D55" w14:paraId="46116ACE" w14:textId="77777777" w:rsidTr="00803507">
        <w:trPr>
          <w:trHeight w:val="170"/>
        </w:trPr>
        <w:tc>
          <w:tcPr>
            <w:tcW w:w="1814" w:type="dxa"/>
            <w:shd w:val="clear" w:color="auto" w:fill="auto"/>
            <w:tcMar>
              <w:left w:w="0" w:type="dxa"/>
            </w:tcMar>
          </w:tcPr>
          <w:p w14:paraId="60121E65" w14:textId="77777777" w:rsidR="00B01DC6" w:rsidRPr="00884D55" w:rsidRDefault="00B01DC6" w:rsidP="00B01DC6">
            <w:pPr>
              <w:pStyle w:val="Marginlie"/>
              <w:rPr>
                <w:lang w:val="en-GB"/>
              </w:rPr>
            </w:pPr>
          </w:p>
        </w:tc>
        <w:tc>
          <w:tcPr>
            <w:tcW w:w="229" w:type="dxa"/>
            <w:shd w:val="clear" w:color="auto" w:fill="auto"/>
            <w:tcMar>
              <w:left w:w="0" w:type="dxa"/>
            </w:tcMar>
          </w:tcPr>
          <w:p w14:paraId="3224FD48"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50157EE8" w14:textId="77777777" w:rsidR="00B01DC6" w:rsidRPr="00884D55" w:rsidRDefault="00B01DC6" w:rsidP="00B01DC6">
            <w:pPr>
              <w:spacing w:after="0" w:line="240" w:lineRule="auto"/>
              <w:rPr>
                <w:rFonts w:cs="Arial"/>
                <w:spacing w:val="-6"/>
                <w:sz w:val="14"/>
                <w:szCs w:val="14"/>
                <w:lang w:val="en-GB"/>
              </w:rPr>
            </w:pPr>
            <w:r w:rsidRPr="00884D55">
              <w:rPr>
                <w:rFonts w:cs="Arial"/>
                <w:spacing w:val="-6"/>
                <w:sz w:val="14"/>
                <w:szCs w:val="14"/>
                <w:lang w:val="en-GB"/>
              </w:rPr>
              <w:t xml:space="preserve">Note: All data are seasonally adjusted, only contributions of sub-branches to the growth of sales are adjusted solely for calendar effects. </w:t>
            </w:r>
          </w:p>
          <w:p w14:paraId="63B27C9F" w14:textId="77777777" w:rsidR="00B01DC6" w:rsidRPr="00884D55" w:rsidRDefault="00B01DC6" w:rsidP="00B01DC6">
            <w:pPr>
              <w:spacing w:after="0" w:line="240" w:lineRule="auto"/>
              <w:rPr>
                <w:rFonts w:cs="Arial"/>
                <w:sz w:val="14"/>
                <w:szCs w:val="14"/>
                <w:lang w:val="en-GB"/>
              </w:rPr>
            </w:pPr>
            <w:r w:rsidRPr="00884D55">
              <w:rPr>
                <w:rFonts w:cs="Arial"/>
                <w:sz w:val="14"/>
                <w:szCs w:val="14"/>
                <w:lang w:val="en-GB"/>
              </w:rPr>
              <w:t xml:space="preserve">*Without branches trade, </w:t>
            </w:r>
            <w:r w:rsidRPr="00884D55">
              <w:rPr>
                <w:color w:val="0D0D0D" w:themeColor="text1" w:themeTint="F2"/>
                <w:sz w:val="14"/>
                <w:szCs w:val="14"/>
                <w:lang w:val="en-GB"/>
              </w:rPr>
              <w:t xml:space="preserve">financial activities, insurance activities, science, research and public services. </w:t>
            </w:r>
          </w:p>
          <w:p w14:paraId="5163C0A5" w14:textId="618C8661" w:rsidR="00B01DC6" w:rsidRPr="00884D55" w:rsidRDefault="00B01DC6" w:rsidP="00B01DC6">
            <w:pPr>
              <w:spacing w:after="0" w:line="240" w:lineRule="auto"/>
              <w:rPr>
                <w:rFonts w:cs="Arial"/>
                <w:spacing w:val="-4"/>
                <w:sz w:val="14"/>
                <w:szCs w:val="14"/>
                <w:lang w:val="en-GB"/>
              </w:rPr>
            </w:pPr>
            <w:r w:rsidRPr="00884D55">
              <w:rPr>
                <w:rFonts w:cs="Arial"/>
                <w:sz w:val="14"/>
                <w:szCs w:val="14"/>
                <w:lang w:val="en-GB"/>
              </w:rPr>
              <w:t>**Also involves the f</w:t>
            </w:r>
            <w:r w:rsidR="006E7E89">
              <w:rPr>
                <w:rFonts w:cs="Arial"/>
                <w:sz w:val="14"/>
                <w:szCs w:val="14"/>
                <w:lang w:val="en-GB"/>
              </w:rPr>
              <w:t>inancial sector. B</w:t>
            </w:r>
            <w:r w:rsidRPr="00884D55">
              <w:rPr>
                <w:rFonts w:cs="Arial"/>
                <w:sz w:val="14"/>
                <w:szCs w:val="14"/>
                <w:lang w:val="en-GB"/>
              </w:rPr>
              <w:t xml:space="preserve">arrier to growth express the level in the first </w:t>
            </w:r>
            <w:r w:rsidR="006E7E89" w:rsidRPr="00884D55">
              <w:rPr>
                <w:rFonts w:cs="Arial"/>
                <w:sz w:val="14"/>
                <w:szCs w:val="14"/>
                <w:lang w:val="en-GB"/>
              </w:rPr>
              <w:t>month of the given quarter</w:t>
            </w:r>
            <w:r w:rsidR="006E7E89">
              <w:rPr>
                <w:rFonts w:cs="Arial"/>
                <w:sz w:val="14"/>
                <w:szCs w:val="14"/>
                <w:lang w:val="en-GB"/>
              </w:rPr>
              <w:t xml:space="preserve">, balance of confidence is related to the second month of the quarter. </w:t>
            </w:r>
            <w:r w:rsidRPr="00884D55">
              <w:rPr>
                <w:rFonts w:cs="Arial"/>
                <w:spacing w:val="-2"/>
                <w:sz w:val="14"/>
                <w:szCs w:val="14"/>
                <w:lang w:val="en-GB"/>
              </w:rPr>
              <w:t>Businesses could have indicated more key barriers simultaneously</w:t>
            </w:r>
            <w:r w:rsidRPr="00884D55">
              <w:rPr>
                <w:rFonts w:cs="Arial"/>
                <w:sz w:val="14"/>
                <w:szCs w:val="14"/>
                <w:lang w:val="en-GB"/>
              </w:rPr>
              <w:t xml:space="preserve">. </w:t>
            </w:r>
          </w:p>
          <w:p w14:paraId="6AE09DC4" w14:textId="70BB1A6D" w:rsidR="00B01DC6" w:rsidRPr="006E7E89" w:rsidRDefault="006E7E89" w:rsidP="006E7E89">
            <w:pPr>
              <w:spacing w:after="200" w:line="240" w:lineRule="auto"/>
              <w:rPr>
                <w:rFonts w:cs="Arial"/>
                <w:sz w:val="14"/>
                <w:szCs w:val="14"/>
                <w:lang w:val="en-GB"/>
              </w:rPr>
            </w:pPr>
            <w:r>
              <w:rPr>
                <w:rFonts w:cs="Arial"/>
                <w:sz w:val="14"/>
                <w:szCs w:val="14"/>
                <w:lang w:val="en-GB"/>
              </w:rPr>
              <w:t>Source: CZSO, Eurostat</w:t>
            </w:r>
          </w:p>
        </w:tc>
      </w:tr>
      <w:tr w:rsidR="00B01DC6" w:rsidRPr="00884D55" w14:paraId="2DF39F9E" w14:textId="77777777" w:rsidTr="00803507">
        <w:trPr>
          <w:trHeight w:val="170"/>
        </w:trPr>
        <w:tc>
          <w:tcPr>
            <w:tcW w:w="1814" w:type="dxa"/>
            <w:shd w:val="clear" w:color="auto" w:fill="auto"/>
            <w:tcMar>
              <w:left w:w="0" w:type="dxa"/>
            </w:tcMar>
          </w:tcPr>
          <w:p w14:paraId="253B2B64" w14:textId="77777777" w:rsidR="00B01DC6" w:rsidRPr="00884D55" w:rsidRDefault="00B01DC6" w:rsidP="00B01DC6">
            <w:pPr>
              <w:pStyle w:val="Marginlie"/>
              <w:rPr>
                <w:color w:val="0D0D0D" w:themeColor="text1" w:themeTint="F2"/>
                <w:spacing w:val="0"/>
                <w:lang w:val="en-GB"/>
              </w:rPr>
            </w:pPr>
            <w:bookmarkStart w:id="20" w:name="_Hlk194780039"/>
            <w:r w:rsidRPr="00884D55">
              <w:rPr>
                <w:color w:val="0D0D0D" w:themeColor="text1" w:themeTint="F2"/>
                <w:spacing w:val="-4"/>
                <w:lang w:val="en-GB"/>
              </w:rPr>
              <w:t xml:space="preserve">The slight increase of sales in administrative and support activities was mainly due to travel agencies and also rental and operating leasing. Mainly the weaker demand for employment placement agency services had the opposite effect. </w:t>
            </w:r>
            <w:bookmarkEnd w:id="20"/>
          </w:p>
        </w:tc>
        <w:tc>
          <w:tcPr>
            <w:tcW w:w="229" w:type="dxa"/>
            <w:shd w:val="clear" w:color="auto" w:fill="auto"/>
            <w:tcMar>
              <w:left w:w="0" w:type="dxa"/>
            </w:tcMar>
          </w:tcPr>
          <w:p w14:paraId="69FC6AE6" w14:textId="77777777" w:rsidR="00B01DC6" w:rsidRPr="00884D55" w:rsidRDefault="00B01DC6" w:rsidP="00B01DC6">
            <w:pPr>
              <w:pStyle w:val="Textpoznpodarou"/>
              <w:jc w:val="both"/>
              <w:rPr>
                <w:color w:val="0D0D0D" w:themeColor="text1" w:themeTint="F2"/>
                <w:spacing w:val="-4"/>
                <w:lang w:val="en-GB"/>
              </w:rPr>
            </w:pPr>
          </w:p>
        </w:tc>
        <w:tc>
          <w:tcPr>
            <w:tcW w:w="7596" w:type="dxa"/>
            <w:shd w:val="clear" w:color="auto" w:fill="auto"/>
            <w:tcMar>
              <w:left w:w="0" w:type="dxa"/>
            </w:tcMar>
          </w:tcPr>
          <w:p w14:paraId="139DF603" w14:textId="77777777" w:rsidR="00B01DC6" w:rsidRPr="00884D55" w:rsidRDefault="00B01DC6" w:rsidP="00B01DC6">
            <w:pPr>
              <w:rPr>
                <w:rFonts w:cs="Arial"/>
                <w:color w:val="0D0D0D" w:themeColor="text1" w:themeTint="F2"/>
                <w:spacing w:val="-4"/>
                <w:lang w:val="en-GB"/>
              </w:rPr>
            </w:pPr>
            <w:bookmarkStart w:id="21" w:name="_Hlk194780070"/>
            <w:r w:rsidRPr="00884D55">
              <w:rPr>
                <w:color w:val="0D0D0D" w:themeColor="text1" w:themeTint="F2"/>
                <w:spacing w:val="-4"/>
                <w:lang w:val="en-GB"/>
              </w:rPr>
              <w:t>Sales increased by 1.9%, year-on-year, in the administrative and support service activities last year, driven mainly by the still rapidly growing performance of travel agencies and tour operators (+5.2%), which had already surpassed the 2019 level the year before. They mainly reflect the more frequent trips abroad by domestic households. Demand for a number of other services revived last year – especially for rental and operating leasing (+5.3%, e.g. for machinery, equipment or products for personal use and mainly for households, e.g. recreational and sports equipment</w:t>
            </w:r>
            <w:r w:rsidRPr="00884D55">
              <w:rPr>
                <w:rStyle w:val="Znakapoznpodarou"/>
                <w:color w:val="0D0D0D" w:themeColor="text1" w:themeTint="F2"/>
                <w:spacing w:val="-4"/>
                <w:lang w:val="en-GB"/>
              </w:rPr>
              <w:footnoteReference w:id="44"/>
            </w:r>
            <w:r w:rsidRPr="00884D55">
              <w:rPr>
                <w:color w:val="0D0D0D" w:themeColor="text1" w:themeTint="F2"/>
                <w:spacing w:val="-4"/>
                <w:lang w:val="en-GB"/>
              </w:rPr>
              <w:t xml:space="preserve">) or for administrative and office activities. By contrast, weaker demand persisted for a number of less sophisticated business services. The noticeable decline of employment placement agencies continued, their sales decreased at a double-digit rate for the third year in a row (by 11.6% last year, </w:t>
            </w:r>
            <w:r w:rsidRPr="00884D55">
              <w:rPr>
                <w:color w:val="0D0D0D" w:themeColor="text1" w:themeTint="F2"/>
                <w:spacing w:val="-4"/>
                <w:lang w:val="en-GB"/>
              </w:rPr>
              <w:lastRenderedPageBreak/>
              <w:t>they fell by almost half compared to 2019)</w:t>
            </w:r>
            <w:r w:rsidRPr="00884D55">
              <w:rPr>
                <w:rStyle w:val="Znakapoznpodarou"/>
                <w:color w:val="0D0D0D" w:themeColor="text1" w:themeTint="F2"/>
                <w:spacing w:val="-2"/>
                <w:lang w:val="en-GB"/>
              </w:rPr>
              <w:footnoteReference w:id="45"/>
            </w:r>
            <w:r w:rsidRPr="00884D55">
              <w:rPr>
                <w:color w:val="0D0D0D" w:themeColor="text1" w:themeTint="F2"/>
                <w:spacing w:val="-4"/>
                <w:lang w:val="en-GB"/>
              </w:rPr>
              <w:t xml:space="preserve">. The pressure to reduce costs associated also with the development of digitization was mirrored in a continued slight decrease of sales of security and investigation activities. </w:t>
            </w:r>
            <w:bookmarkEnd w:id="21"/>
          </w:p>
        </w:tc>
      </w:tr>
      <w:tr w:rsidR="00B01DC6" w:rsidRPr="00884D55" w14:paraId="69EF5419" w14:textId="77777777" w:rsidTr="00803507">
        <w:trPr>
          <w:trHeight w:val="170"/>
        </w:trPr>
        <w:tc>
          <w:tcPr>
            <w:tcW w:w="1814" w:type="dxa"/>
            <w:shd w:val="clear" w:color="auto" w:fill="auto"/>
            <w:tcMar>
              <w:left w:w="0" w:type="dxa"/>
            </w:tcMar>
          </w:tcPr>
          <w:p w14:paraId="763F31A8" w14:textId="77777777" w:rsidR="00B01DC6" w:rsidRPr="00884D55" w:rsidRDefault="00B01DC6" w:rsidP="00B01DC6">
            <w:pPr>
              <w:pStyle w:val="Marginlie"/>
              <w:rPr>
                <w:color w:val="0D0D0D" w:themeColor="text1" w:themeTint="F2"/>
                <w:spacing w:val="-6"/>
                <w:lang w:val="en-GB"/>
              </w:rPr>
            </w:pPr>
            <w:bookmarkStart w:id="24" w:name="_Hlk194782870"/>
            <w:r w:rsidRPr="00884D55">
              <w:rPr>
                <w:color w:val="0D0D0D" w:themeColor="text1" w:themeTint="F2"/>
                <w:spacing w:val="0"/>
                <w:lang w:val="en-GB"/>
              </w:rPr>
              <w:lastRenderedPageBreak/>
              <w:t xml:space="preserve">Stabilisation of prices in the economy led to a rapid improvement of consumer confidence at the beginning of last year. However, people's willingness to spend more still has its limits.  </w:t>
            </w:r>
            <w:bookmarkEnd w:id="24"/>
          </w:p>
        </w:tc>
        <w:tc>
          <w:tcPr>
            <w:tcW w:w="229" w:type="dxa"/>
            <w:shd w:val="clear" w:color="auto" w:fill="auto"/>
            <w:tcMar>
              <w:left w:w="0" w:type="dxa"/>
            </w:tcMar>
          </w:tcPr>
          <w:p w14:paraId="71610240" w14:textId="77777777" w:rsidR="00B01DC6" w:rsidRPr="00884D55" w:rsidRDefault="00B01DC6" w:rsidP="00B01DC6">
            <w:pPr>
              <w:pStyle w:val="Textpoznpodarou"/>
              <w:jc w:val="both"/>
              <w:rPr>
                <w:color w:val="0D0D0D" w:themeColor="text1" w:themeTint="F2"/>
                <w:spacing w:val="-4"/>
                <w:lang w:val="en-GB"/>
              </w:rPr>
            </w:pPr>
          </w:p>
        </w:tc>
        <w:tc>
          <w:tcPr>
            <w:tcW w:w="7596" w:type="dxa"/>
            <w:shd w:val="clear" w:color="auto" w:fill="auto"/>
            <w:tcMar>
              <w:left w:w="0" w:type="dxa"/>
            </w:tcMar>
          </w:tcPr>
          <w:p w14:paraId="31A033C8" w14:textId="3DCF474D" w:rsidR="00B01DC6" w:rsidRPr="00884D55" w:rsidRDefault="00B01DC6" w:rsidP="00B01DC6">
            <w:pPr>
              <w:spacing w:after="200"/>
              <w:rPr>
                <w:rFonts w:cs="Arial"/>
                <w:color w:val="0D0D0D" w:themeColor="text1" w:themeTint="F2"/>
                <w:spacing w:val="-4"/>
                <w:lang w:val="en-GB"/>
              </w:rPr>
            </w:pPr>
            <w:bookmarkStart w:id="25" w:name="_Hlk194782889"/>
            <w:r w:rsidRPr="00884D55">
              <w:rPr>
                <w:rFonts w:cs="Arial"/>
                <w:color w:val="0D0D0D" w:themeColor="text1" w:themeTint="F2"/>
                <w:spacing w:val="-4"/>
                <w:lang w:val="en-GB"/>
              </w:rPr>
              <w:t xml:space="preserve">Retail has also experienced a positive shift in recent quarters. Its premise was the return of consumer prices into the normal growth bands. This, together with the solid condition of the </w:t>
            </w:r>
            <w:r w:rsidR="002615E9">
              <w:rPr>
                <w:rFonts w:cs="Arial"/>
                <w:color w:val="0D0D0D" w:themeColor="text1" w:themeTint="F2"/>
                <w:spacing w:val="-4"/>
                <w:lang w:val="en-GB"/>
              </w:rPr>
              <w:t xml:space="preserve">Czech </w:t>
            </w:r>
            <w:r w:rsidRPr="00884D55">
              <w:rPr>
                <w:rFonts w:cs="Arial"/>
                <w:color w:val="0D0D0D" w:themeColor="text1" w:themeTint="F2"/>
                <w:spacing w:val="-4"/>
                <w:lang w:val="en-GB"/>
              </w:rPr>
              <w:t xml:space="preserve">labour market, quickly kick-started the growth of households' purchasing power and improved their overall confidence in the economy, which therefore rose to the highest level in the last two and a half years </w:t>
            </w:r>
            <w:r w:rsidR="002615E9">
              <w:rPr>
                <w:rFonts w:cs="Arial"/>
                <w:color w:val="0D0D0D" w:themeColor="text1" w:themeTint="F2"/>
                <w:spacing w:val="-4"/>
                <w:lang w:val="en-GB"/>
              </w:rPr>
              <w:t>in</w:t>
            </w:r>
            <w:r w:rsidRPr="00884D55">
              <w:rPr>
                <w:rFonts w:cs="Arial"/>
                <w:color w:val="0D0D0D" w:themeColor="text1" w:themeTint="F2"/>
                <w:spacing w:val="-4"/>
                <w:lang w:val="en-GB"/>
              </w:rPr>
              <w:t xml:space="preserve"> April</w:t>
            </w:r>
            <w:r w:rsidR="002615E9">
              <w:rPr>
                <w:rFonts w:cs="Arial"/>
                <w:color w:val="0D0D0D" w:themeColor="text1" w:themeTint="F2"/>
                <w:spacing w:val="-4"/>
                <w:lang w:val="en-GB"/>
              </w:rPr>
              <w:t xml:space="preserve"> 2024</w:t>
            </w:r>
            <w:r w:rsidRPr="00884D55">
              <w:rPr>
                <w:rFonts w:cs="Arial"/>
                <w:color w:val="0D0D0D" w:themeColor="text1" w:themeTint="F2"/>
                <w:spacing w:val="-4"/>
                <w:lang w:val="en-GB"/>
              </w:rPr>
              <w:t xml:space="preserve">. Although there was a slight deterioration subsequently, consumer pessimism was still lower in February </w:t>
            </w:r>
            <w:r w:rsidR="002615E9">
              <w:rPr>
                <w:rFonts w:cs="Arial"/>
                <w:color w:val="0D0D0D" w:themeColor="text1" w:themeTint="F2"/>
                <w:spacing w:val="-4"/>
                <w:lang w:val="en-GB"/>
              </w:rPr>
              <w:t>2025</w:t>
            </w:r>
            <w:r w:rsidRPr="00884D55">
              <w:rPr>
                <w:rFonts w:cs="Arial"/>
                <w:color w:val="0D0D0D" w:themeColor="text1" w:themeTint="F2"/>
                <w:spacing w:val="-4"/>
                <w:lang w:val="en-GB"/>
              </w:rPr>
              <w:t xml:space="preserve"> than in any month from 2022 to 2023. However, people still declare a higher intention to save and at the same time do not yet consider the current time to be very suitable for large purchases (investments or durable goods). In addition, people's concerns of rising prices and unemployment (currently slightly higher than their long-term average) began to grow again. This partly counteracts a faster recovery of demand for certain assortment groups of non-food goods. At the same time, however, </w:t>
            </w:r>
            <w:r w:rsidR="002615E9">
              <w:rPr>
                <w:rFonts w:cs="Arial"/>
                <w:color w:val="0D0D0D" w:themeColor="text1" w:themeTint="F2"/>
                <w:spacing w:val="-4"/>
                <w:lang w:val="en-GB"/>
              </w:rPr>
              <w:t>retaile</w:t>
            </w:r>
            <w:r w:rsidRPr="00884D55">
              <w:rPr>
                <w:rFonts w:cs="Arial"/>
                <w:color w:val="0D0D0D" w:themeColor="text1" w:themeTint="F2"/>
                <w:spacing w:val="-4"/>
                <w:lang w:val="en-GB"/>
              </w:rPr>
              <w:t xml:space="preserve">rs' optimism strengthened, with their level of confidence in the economy rising in February </w:t>
            </w:r>
            <w:r w:rsidR="002615E9">
              <w:rPr>
                <w:rFonts w:cs="Arial"/>
                <w:color w:val="0D0D0D" w:themeColor="text1" w:themeTint="F2"/>
                <w:spacing w:val="-4"/>
                <w:lang w:val="en-GB"/>
              </w:rPr>
              <w:t>2025</w:t>
            </w:r>
            <w:r w:rsidRPr="00884D55">
              <w:rPr>
                <w:rFonts w:cs="Arial"/>
                <w:color w:val="0D0D0D" w:themeColor="text1" w:themeTint="F2"/>
                <w:spacing w:val="-4"/>
                <w:lang w:val="en-GB"/>
              </w:rPr>
              <w:t xml:space="preserve"> to the highest level in almost two </w:t>
            </w:r>
            <w:r w:rsidR="002615E9">
              <w:rPr>
                <w:rFonts w:cs="Arial"/>
                <w:color w:val="0D0D0D" w:themeColor="text1" w:themeTint="F2"/>
                <w:spacing w:val="-4"/>
                <w:lang w:val="en-GB"/>
              </w:rPr>
              <w:t xml:space="preserve">last </w:t>
            </w:r>
            <w:r w:rsidRPr="00884D55">
              <w:rPr>
                <w:rFonts w:cs="Arial"/>
                <w:color w:val="0D0D0D" w:themeColor="text1" w:themeTint="F2"/>
                <w:spacing w:val="-4"/>
                <w:lang w:val="en-GB"/>
              </w:rPr>
              <w:t xml:space="preserve">years and simultaneously being comparable to the boom year of 2019. The development of inbound tourism also contributed to the recovery of retail throughout last year.   </w:t>
            </w:r>
            <w:bookmarkEnd w:id="25"/>
          </w:p>
        </w:tc>
      </w:tr>
      <w:tr w:rsidR="00B01DC6" w:rsidRPr="00884D55" w14:paraId="63E1E5D0" w14:textId="77777777" w:rsidTr="00803507">
        <w:trPr>
          <w:trHeight w:val="155"/>
        </w:trPr>
        <w:tc>
          <w:tcPr>
            <w:tcW w:w="1814" w:type="dxa"/>
            <w:vMerge w:val="restart"/>
            <w:shd w:val="clear" w:color="auto" w:fill="auto"/>
            <w:tcMar>
              <w:left w:w="0" w:type="dxa"/>
            </w:tcMar>
          </w:tcPr>
          <w:p w14:paraId="1D7A381F" w14:textId="77777777" w:rsidR="00B01DC6" w:rsidRPr="00884D55" w:rsidRDefault="00B01DC6" w:rsidP="00B01DC6">
            <w:pPr>
              <w:pStyle w:val="Marginlie"/>
              <w:rPr>
                <w:lang w:val="en-GB"/>
              </w:rPr>
            </w:pPr>
          </w:p>
        </w:tc>
        <w:tc>
          <w:tcPr>
            <w:tcW w:w="229" w:type="dxa"/>
            <w:vMerge w:val="restart"/>
            <w:shd w:val="clear" w:color="auto" w:fill="auto"/>
            <w:tcMar>
              <w:left w:w="0" w:type="dxa"/>
            </w:tcMar>
          </w:tcPr>
          <w:p w14:paraId="74C7CC75"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2FFBA47C" w14:textId="77777777" w:rsidR="00B01DC6" w:rsidRPr="00884D55" w:rsidRDefault="00B01DC6" w:rsidP="00B01DC6">
            <w:pPr>
              <w:spacing w:after="0"/>
              <w:rPr>
                <w:rFonts w:cs="Arial"/>
                <w:color w:val="0D0D0D" w:themeColor="text1" w:themeTint="F2"/>
                <w:spacing w:val="-4"/>
                <w:szCs w:val="20"/>
                <w:lang w:val="en-GB"/>
              </w:rPr>
            </w:pPr>
            <w:r w:rsidRPr="00884D55">
              <w:rPr>
                <w:b/>
                <w:lang w:val="en-GB"/>
              </w:rPr>
              <w:t xml:space="preserve">Chart 8 </w:t>
            </w:r>
            <w:r w:rsidRPr="00884D55">
              <w:rPr>
                <w:b/>
                <w:spacing w:val="-4"/>
                <w:lang w:val="en-GB"/>
              </w:rPr>
              <w:t>Contributions of sub-branches to year-on-year change of sales in retail trade</w:t>
            </w:r>
            <w:r w:rsidRPr="00884D55">
              <w:rPr>
                <w:rFonts w:cs="Arial"/>
                <w:b/>
                <w:bCs/>
                <w:color w:val="0D0D0D" w:themeColor="text1" w:themeTint="F2"/>
                <w:spacing w:val="-4"/>
                <w:lang w:val="en-GB"/>
              </w:rPr>
              <w:t xml:space="preserve">* </w:t>
            </w:r>
            <w:r w:rsidRPr="00884D55">
              <w:rPr>
                <w:rFonts w:cs="Arial"/>
                <w:color w:val="0D0D0D" w:themeColor="text1" w:themeTint="F2"/>
                <w:spacing w:val="-4"/>
                <w:lang w:val="en-GB"/>
              </w:rPr>
              <w:t xml:space="preserve">(real, in p.p.), </w:t>
            </w:r>
            <w:r w:rsidRPr="00884D55">
              <w:rPr>
                <w:rFonts w:cs="Arial"/>
                <w:b/>
                <w:bCs/>
                <w:color w:val="0D0D0D" w:themeColor="text1" w:themeTint="F2"/>
                <w:spacing w:val="-4"/>
                <w:szCs w:val="20"/>
                <w:lang w:val="en-GB"/>
              </w:rPr>
              <w:t xml:space="preserve">sales in retail trade and motorist segment of trade** </w:t>
            </w:r>
            <w:r w:rsidRPr="00884D55">
              <w:rPr>
                <w:rFonts w:cs="Arial"/>
                <w:color w:val="0D0D0D" w:themeColor="text1" w:themeTint="F2"/>
                <w:spacing w:val="-4"/>
                <w:szCs w:val="20"/>
                <w:lang w:val="en-GB"/>
              </w:rPr>
              <w:t>(real, level from year 2021=100, right axis),</w:t>
            </w:r>
            <w:r w:rsidRPr="00884D55">
              <w:rPr>
                <w:rFonts w:cs="Arial"/>
                <w:b/>
                <w:color w:val="0D0D0D" w:themeColor="text1" w:themeTint="F2"/>
                <w:spacing w:val="-4"/>
                <w:szCs w:val="20"/>
                <w:lang w:val="en-GB"/>
              </w:rPr>
              <w:t xml:space="preserve"> balance of business and consumer confidence indicator</w:t>
            </w:r>
            <w:r w:rsidRPr="00884D55">
              <w:rPr>
                <w:rFonts w:cs="Arial"/>
                <w:b/>
                <w:bCs/>
                <w:color w:val="0D0D0D" w:themeColor="text1" w:themeTint="F2"/>
                <w:spacing w:val="-4"/>
                <w:lang w:val="en-GB"/>
              </w:rPr>
              <w:t xml:space="preserve">*** </w:t>
            </w:r>
            <w:r w:rsidRPr="00884D55">
              <w:rPr>
                <w:rFonts w:cs="Arial"/>
                <w:color w:val="0D0D0D" w:themeColor="text1" w:themeTint="F2"/>
                <w:spacing w:val="-4"/>
                <w:lang w:val="en-GB"/>
              </w:rPr>
              <w:t xml:space="preserve">(in p. p, right axis.) </w:t>
            </w:r>
          </w:p>
        </w:tc>
      </w:tr>
      <w:tr w:rsidR="00B01DC6" w:rsidRPr="00884D55" w14:paraId="251E73B9" w14:textId="77777777" w:rsidTr="00364199">
        <w:tblPrEx>
          <w:tblCellMar>
            <w:left w:w="70" w:type="dxa"/>
            <w:right w:w="70" w:type="dxa"/>
          </w:tblCellMar>
        </w:tblPrEx>
        <w:trPr>
          <w:trHeight w:val="155"/>
        </w:trPr>
        <w:tc>
          <w:tcPr>
            <w:tcW w:w="1814" w:type="dxa"/>
            <w:vMerge/>
            <w:shd w:val="clear" w:color="auto" w:fill="auto"/>
          </w:tcPr>
          <w:p w14:paraId="6C3A4250" w14:textId="77777777" w:rsidR="00B01DC6" w:rsidRPr="00884D55" w:rsidRDefault="00B01DC6" w:rsidP="00B01DC6">
            <w:pPr>
              <w:pStyle w:val="Marginlie"/>
              <w:rPr>
                <w:lang w:val="en-GB"/>
              </w:rPr>
            </w:pPr>
          </w:p>
        </w:tc>
        <w:tc>
          <w:tcPr>
            <w:tcW w:w="229" w:type="dxa"/>
            <w:vMerge/>
            <w:shd w:val="clear" w:color="auto" w:fill="auto"/>
          </w:tcPr>
          <w:p w14:paraId="120EEA88" w14:textId="77777777" w:rsidR="00B01DC6" w:rsidRPr="00884D55" w:rsidRDefault="00B01DC6" w:rsidP="00B01DC6">
            <w:pPr>
              <w:pStyle w:val="Textpoznpodarou"/>
              <w:jc w:val="both"/>
              <w:rPr>
                <w:spacing w:val="-4"/>
                <w:lang w:val="en-GB"/>
              </w:rPr>
            </w:pPr>
          </w:p>
        </w:tc>
        <w:tc>
          <w:tcPr>
            <w:tcW w:w="7596" w:type="dxa"/>
            <w:shd w:val="clear" w:color="auto" w:fill="auto"/>
          </w:tcPr>
          <w:p w14:paraId="6148136F" w14:textId="4FFA3119" w:rsidR="00B01DC6" w:rsidRPr="00884D55" w:rsidRDefault="00364199" w:rsidP="00B01DC6">
            <w:pPr>
              <w:spacing w:after="0"/>
              <w:rPr>
                <w:rFonts w:cs="Arial"/>
                <w:color w:val="0D0D0D" w:themeColor="text1" w:themeTint="F2"/>
                <w:spacing w:val="-4"/>
                <w:szCs w:val="20"/>
                <w:lang w:val="en-GB"/>
              </w:rPr>
            </w:pPr>
            <w:r>
              <w:rPr>
                <w:noProof/>
              </w:rPr>
              <w:drawing>
                <wp:inline distT="0" distB="0" distL="0" distR="0" wp14:anchorId="4C3A7D86" wp14:editId="7AEE57AA">
                  <wp:extent cx="4734560" cy="3599180"/>
                  <wp:effectExtent l="0" t="0" r="8890" b="1270"/>
                  <wp:docPr id="435923176" name="Graf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B01DC6" w:rsidRPr="00884D55" w14:paraId="57367CA3" w14:textId="77777777" w:rsidTr="00803507">
        <w:trPr>
          <w:trHeight w:val="155"/>
        </w:trPr>
        <w:tc>
          <w:tcPr>
            <w:tcW w:w="1814" w:type="dxa"/>
            <w:vMerge/>
            <w:shd w:val="clear" w:color="auto" w:fill="auto"/>
            <w:tcMar>
              <w:left w:w="0" w:type="dxa"/>
            </w:tcMar>
          </w:tcPr>
          <w:p w14:paraId="1C4A575A" w14:textId="77777777" w:rsidR="00B01DC6" w:rsidRPr="00884D55" w:rsidRDefault="00B01DC6" w:rsidP="00B01DC6">
            <w:pPr>
              <w:pStyle w:val="Marginlie"/>
              <w:rPr>
                <w:lang w:val="en-GB"/>
              </w:rPr>
            </w:pPr>
          </w:p>
        </w:tc>
        <w:tc>
          <w:tcPr>
            <w:tcW w:w="229" w:type="dxa"/>
            <w:vMerge/>
            <w:shd w:val="clear" w:color="auto" w:fill="auto"/>
            <w:tcMar>
              <w:left w:w="0" w:type="dxa"/>
            </w:tcMar>
          </w:tcPr>
          <w:p w14:paraId="6B05D4AF"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59BD383B" w14:textId="77777777" w:rsidR="00B01DC6" w:rsidRPr="00884D55" w:rsidRDefault="00B01DC6" w:rsidP="00B01DC6">
            <w:pPr>
              <w:spacing w:after="0" w:line="240" w:lineRule="auto"/>
              <w:rPr>
                <w:rFonts w:cs="Arial"/>
                <w:sz w:val="14"/>
                <w:szCs w:val="14"/>
                <w:lang w:val="en-GB"/>
              </w:rPr>
            </w:pPr>
            <w:r w:rsidRPr="00884D55">
              <w:rPr>
                <w:rFonts w:cs="Arial"/>
                <w:color w:val="0D0D0D" w:themeColor="text1" w:themeTint="F2"/>
                <w:spacing w:val="-6"/>
                <w:lang w:val="en-GB"/>
              </w:rPr>
              <w:t>*</w:t>
            </w:r>
            <w:r w:rsidRPr="00884D55">
              <w:rPr>
                <w:rFonts w:cs="Arial"/>
                <w:sz w:val="14"/>
                <w:szCs w:val="14"/>
                <w:lang w:val="en-GB"/>
              </w:rPr>
              <w:t xml:space="preserve"> Sales are adjusted for calendar effects.       ** Sales are adjusted for both seasonal and calendar effects. </w:t>
            </w:r>
          </w:p>
          <w:p w14:paraId="3362251C" w14:textId="04591472" w:rsidR="00B01DC6" w:rsidRPr="00364199" w:rsidRDefault="00B01DC6" w:rsidP="006145FA">
            <w:pPr>
              <w:spacing w:after="0"/>
              <w:rPr>
                <w:rFonts w:cs="Arial"/>
                <w:color w:val="0D0D0D" w:themeColor="text1" w:themeTint="F2"/>
                <w:spacing w:val="-4"/>
                <w:sz w:val="14"/>
                <w:szCs w:val="14"/>
                <w:lang w:val="en-GB"/>
              </w:rPr>
            </w:pPr>
            <w:r w:rsidRPr="00884D55">
              <w:rPr>
                <w:rFonts w:cs="Arial"/>
                <w:color w:val="0D0D0D" w:themeColor="text1" w:themeTint="F2"/>
                <w:spacing w:val="-4"/>
                <w:sz w:val="14"/>
                <w:szCs w:val="14"/>
                <w:lang w:val="en-GB"/>
              </w:rPr>
              <w:t xml:space="preserve">*** </w:t>
            </w:r>
            <w:r w:rsidRPr="00884D55">
              <w:rPr>
                <w:rFonts w:cs="Arial"/>
                <w:color w:val="0D0D0D" w:themeColor="text1" w:themeTint="F2"/>
                <w:spacing w:val="-5"/>
                <w:sz w:val="14"/>
                <w:szCs w:val="14"/>
                <w:lang w:val="en-GB"/>
              </w:rPr>
              <w:t xml:space="preserve">Consumer confidence indicator balance is seasonally adjusted and expresses the position in the second month of the given quarter. </w:t>
            </w:r>
            <w:r w:rsidRPr="00884D55">
              <w:rPr>
                <w:rFonts w:cs="Arial"/>
                <w:color w:val="0D0D0D" w:themeColor="text1" w:themeTint="F2"/>
                <w:spacing w:val="-4"/>
                <w:sz w:val="14"/>
                <w:szCs w:val="14"/>
                <w:lang w:val="en-GB"/>
              </w:rPr>
              <w:t xml:space="preserve">                              Source: CZSO</w:t>
            </w:r>
          </w:p>
        </w:tc>
      </w:tr>
      <w:tr w:rsidR="00B01DC6" w:rsidRPr="00884D55" w14:paraId="1ADE890A" w14:textId="77777777" w:rsidTr="00803507">
        <w:trPr>
          <w:trHeight w:val="170"/>
        </w:trPr>
        <w:tc>
          <w:tcPr>
            <w:tcW w:w="1814" w:type="dxa"/>
            <w:shd w:val="clear" w:color="auto" w:fill="auto"/>
            <w:tcMar>
              <w:left w:w="0" w:type="dxa"/>
            </w:tcMar>
          </w:tcPr>
          <w:p w14:paraId="60584E68" w14:textId="0889E6E1" w:rsidR="00B01DC6" w:rsidRPr="00884D55" w:rsidRDefault="00B01DC6" w:rsidP="00B01DC6">
            <w:pPr>
              <w:pStyle w:val="Marginlie"/>
              <w:rPr>
                <w:color w:val="0D0D0D" w:themeColor="text1" w:themeTint="F2"/>
                <w:spacing w:val="0"/>
                <w:lang w:val="en-GB"/>
              </w:rPr>
            </w:pPr>
            <w:bookmarkStart w:id="26" w:name="_Hlk194782579"/>
            <w:r w:rsidRPr="006145FA">
              <w:rPr>
                <w:color w:val="0D0D0D" w:themeColor="text1" w:themeTint="F2"/>
                <w:spacing w:val="0"/>
                <w:lang w:val="en-GB"/>
              </w:rPr>
              <w:lastRenderedPageBreak/>
              <w:t xml:space="preserve">Year-on-year </w:t>
            </w:r>
            <w:r w:rsidRPr="00884D55">
              <w:rPr>
                <w:color w:val="0D0D0D" w:themeColor="text1" w:themeTint="F2"/>
                <w:spacing w:val="0"/>
                <w:lang w:val="en-GB"/>
              </w:rPr>
              <w:t>retail sales growth reached an almost three-year high in Q4</w:t>
            </w:r>
            <w:r w:rsidR="006145FA">
              <w:rPr>
                <w:color w:val="0D0D0D" w:themeColor="text1" w:themeTint="F2"/>
                <w:spacing w:val="0"/>
                <w:lang w:val="en-GB"/>
              </w:rPr>
              <w:t xml:space="preserve"> 2024</w:t>
            </w:r>
            <w:r w:rsidRPr="00884D55">
              <w:rPr>
                <w:color w:val="0D0D0D" w:themeColor="text1" w:themeTint="F2"/>
                <w:spacing w:val="0"/>
                <w:lang w:val="en-GB"/>
              </w:rPr>
              <w:t xml:space="preserve">. </w:t>
            </w:r>
            <w:bookmarkEnd w:id="26"/>
          </w:p>
          <w:p w14:paraId="36C4D9C7" w14:textId="77777777" w:rsidR="00B01DC6" w:rsidRPr="00884D55" w:rsidRDefault="00B01DC6" w:rsidP="00B01DC6">
            <w:pPr>
              <w:pStyle w:val="Marginlie"/>
              <w:rPr>
                <w:color w:val="0D0D0D" w:themeColor="text1" w:themeTint="F2"/>
                <w:spacing w:val="0"/>
                <w:lang w:val="en-GB"/>
              </w:rPr>
            </w:pPr>
          </w:p>
          <w:p w14:paraId="38E373A5" w14:textId="77777777" w:rsidR="00B01DC6" w:rsidRPr="00884D55" w:rsidRDefault="00B01DC6" w:rsidP="00B01DC6">
            <w:pPr>
              <w:pStyle w:val="Marginlie"/>
              <w:rPr>
                <w:color w:val="0D0D0D" w:themeColor="text1" w:themeTint="F2"/>
                <w:spacing w:val="0"/>
                <w:lang w:val="en-GB"/>
              </w:rPr>
            </w:pPr>
          </w:p>
          <w:p w14:paraId="08D85E4E" w14:textId="77777777" w:rsidR="00B01DC6" w:rsidRPr="00884D55" w:rsidRDefault="00B01DC6" w:rsidP="00B01DC6">
            <w:pPr>
              <w:pStyle w:val="Marginlie"/>
              <w:rPr>
                <w:color w:val="0D0D0D" w:themeColor="text1" w:themeTint="F2"/>
                <w:spacing w:val="0"/>
                <w:lang w:val="en-GB"/>
              </w:rPr>
            </w:pPr>
          </w:p>
          <w:p w14:paraId="6FA6963F" w14:textId="77777777" w:rsidR="00B01DC6" w:rsidRPr="00884D55" w:rsidRDefault="00B01DC6" w:rsidP="00B01DC6">
            <w:pPr>
              <w:pStyle w:val="Marginlie"/>
              <w:rPr>
                <w:color w:val="0D0D0D" w:themeColor="text1" w:themeTint="F2"/>
                <w:spacing w:val="0"/>
                <w:lang w:val="en-GB"/>
              </w:rPr>
            </w:pPr>
          </w:p>
          <w:p w14:paraId="64DEECC4" w14:textId="77777777" w:rsidR="00B01DC6" w:rsidRPr="00884D55" w:rsidRDefault="00B01DC6" w:rsidP="00B01DC6">
            <w:pPr>
              <w:pStyle w:val="Marginlie"/>
              <w:rPr>
                <w:color w:val="0D0D0D" w:themeColor="text1" w:themeTint="F2"/>
                <w:spacing w:val="0"/>
                <w:lang w:val="en-GB"/>
              </w:rPr>
            </w:pPr>
          </w:p>
          <w:p w14:paraId="572DFB09" w14:textId="77777777" w:rsidR="00B01DC6" w:rsidRPr="00884D55" w:rsidRDefault="00B01DC6" w:rsidP="00B01DC6">
            <w:pPr>
              <w:pStyle w:val="Marginlie"/>
              <w:rPr>
                <w:color w:val="0D0D0D" w:themeColor="text1" w:themeTint="F2"/>
                <w:spacing w:val="0"/>
                <w:lang w:val="en-GB"/>
              </w:rPr>
            </w:pPr>
            <w:bookmarkStart w:id="27" w:name="_Hlk194784688"/>
            <w:r w:rsidRPr="00884D55">
              <w:rPr>
                <w:color w:val="0D0D0D" w:themeColor="text1" w:themeTint="F2"/>
                <w:spacing w:val="0"/>
                <w:lang w:val="en-GB"/>
              </w:rPr>
              <w:t xml:space="preserve">Advancing digitization and modernization in logistics led to strong growth of sales via internet. However, sales continued to decline in a number of specialized stores.  </w:t>
            </w:r>
          </w:p>
          <w:bookmarkEnd w:id="27"/>
          <w:p w14:paraId="1A046E53" w14:textId="77777777" w:rsidR="00B01DC6" w:rsidRPr="00884D55" w:rsidRDefault="00B01DC6" w:rsidP="00B01DC6">
            <w:pPr>
              <w:pStyle w:val="Marginlie"/>
              <w:rPr>
                <w:color w:val="0D0D0D" w:themeColor="text1" w:themeTint="F2"/>
                <w:spacing w:val="0"/>
                <w:lang w:val="en-GB"/>
              </w:rPr>
            </w:pPr>
          </w:p>
          <w:p w14:paraId="370928C4" w14:textId="77777777" w:rsidR="00B01DC6" w:rsidRPr="00884D55" w:rsidRDefault="00B01DC6" w:rsidP="00B01DC6">
            <w:pPr>
              <w:pStyle w:val="Marginlie"/>
              <w:rPr>
                <w:color w:val="0D0D0D" w:themeColor="text1" w:themeTint="F2"/>
                <w:spacing w:val="0"/>
                <w:lang w:val="en-GB"/>
              </w:rPr>
            </w:pPr>
          </w:p>
          <w:p w14:paraId="756DAD09" w14:textId="77777777" w:rsidR="00B01DC6" w:rsidRPr="00884D55" w:rsidRDefault="00B01DC6" w:rsidP="00B01DC6">
            <w:pPr>
              <w:pStyle w:val="Marginlie"/>
              <w:rPr>
                <w:color w:val="0D0D0D" w:themeColor="text1" w:themeTint="F2"/>
                <w:spacing w:val="0"/>
                <w:lang w:val="en-GB"/>
              </w:rPr>
            </w:pPr>
          </w:p>
          <w:p w14:paraId="0B941734" w14:textId="77777777" w:rsidR="00B01DC6" w:rsidRPr="00884D55" w:rsidRDefault="00B01DC6" w:rsidP="00B01DC6">
            <w:pPr>
              <w:pStyle w:val="Marginlie"/>
              <w:rPr>
                <w:color w:val="0D0D0D" w:themeColor="text1" w:themeTint="F2"/>
                <w:spacing w:val="0"/>
                <w:lang w:val="en-GB"/>
              </w:rPr>
            </w:pPr>
          </w:p>
          <w:p w14:paraId="4B4ACCC7" w14:textId="77777777" w:rsidR="00B01DC6" w:rsidRPr="00884D55" w:rsidRDefault="00B01DC6" w:rsidP="00B01DC6">
            <w:pPr>
              <w:pStyle w:val="Marginlie"/>
              <w:rPr>
                <w:color w:val="0D0D0D" w:themeColor="text1" w:themeTint="F2"/>
                <w:spacing w:val="0"/>
                <w:lang w:val="en-GB"/>
              </w:rPr>
            </w:pPr>
          </w:p>
          <w:p w14:paraId="0F9ED28D" w14:textId="77777777" w:rsidR="00B01DC6" w:rsidRPr="00884D55" w:rsidRDefault="00B01DC6" w:rsidP="00B01DC6">
            <w:pPr>
              <w:pStyle w:val="Marginlie"/>
              <w:rPr>
                <w:color w:val="0D0D0D" w:themeColor="text1" w:themeTint="F2"/>
                <w:spacing w:val="0"/>
                <w:lang w:val="en-GB"/>
              </w:rPr>
            </w:pPr>
          </w:p>
          <w:p w14:paraId="5B00200C" w14:textId="77777777" w:rsidR="00B01DC6" w:rsidRPr="00884D55" w:rsidRDefault="00B01DC6" w:rsidP="00B01DC6">
            <w:pPr>
              <w:pStyle w:val="Marginlie"/>
              <w:rPr>
                <w:color w:val="0D0D0D" w:themeColor="text1" w:themeTint="F2"/>
                <w:spacing w:val="0"/>
                <w:lang w:val="en-GB"/>
              </w:rPr>
            </w:pPr>
            <w:bookmarkStart w:id="28" w:name="_Hlk194784962"/>
            <w:r w:rsidRPr="00884D55">
              <w:rPr>
                <w:color w:val="0D0D0D" w:themeColor="text1" w:themeTint="F2"/>
                <w:spacing w:val="0"/>
                <w:lang w:val="en-GB"/>
              </w:rPr>
              <w:t xml:space="preserve">Demand for fuel grew rapidly for the second year in a row, also thanks to the favourable development of their consumer prices. </w:t>
            </w:r>
          </w:p>
          <w:bookmarkEnd w:id="28"/>
          <w:p w14:paraId="2EDA485F" w14:textId="77777777" w:rsidR="00B01DC6" w:rsidRPr="00884D55" w:rsidRDefault="00B01DC6" w:rsidP="00B01DC6">
            <w:pPr>
              <w:pStyle w:val="Marginlie"/>
              <w:rPr>
                <w:spacing w:val="0"/>
                <w:lang w:val="en-GB"/>
              </w:rPr>
            </w:pPr>
          </w:p>
        </w:tc>
        <w:tc>
          <w:tcPr>
            <w:tcW w:w="229" w:type="dxa"/>
            <w:shd w:val="clear" w:color="auto" w:fill="auto"/>
            <w:tcMar>
              <w:left w:w="0" w:type="dxa"/>
            </w:tcMar>
          </w:tcPr>
          <w:p w14:paraId="07174074" w14:textId="77777777" w:rsidR="00B01DC6" w:rsidRPr="00884D55" w:rsidRDefault="00B01DC6" w:rsidP="00B01DC6">
            <w:pPr>
              <w:pStyle w:val="Textpoznpodarou"/>
              <w:jc w:val="both"/>
              <w:rPr>
                <w:spacing w:val="-4"/>
                <w:lang w:val="en-GB"/>
              </w:rPr>
            </w:pPr>
          </w:p>
        </w:tc>
        <w:tc>
          <w:tcPr>
            <w:tcW w:w="7596" w:type="dxa"/>
            <w:shd w:val="clear" w:color="auto" w:fill="auto"/>
            <w:tcMar>
              <w:left w:w="0" w:type="dxa"/>
            </w:tcMar>
          </w:tcPr>
          <w:p w14:paraId="221050C0" w14:textId="32FA2277" w:rsidR="00B01DC6" w:rsidRPr="00884D55" w:rsidRDefault="00B01DC6" w:rsidP="00B01DC6">
            <w:pPr>
              <w:spacing w:after="0"/>
              <w:rPr>
                <w:rFonts w:cs="Arial"/>
                <w:color w:val="0D0D0D" w:themeColor="text1" w:themeTint="F2"/>
                <w:spacing w:val="-4"/>
                <w:szCs w:val="20"/>
                <w:lang w:val="en-GB"/>
              </w:rPr>
            </w:pPr>
            <w:bookmarkStart w:id="29" w:name="_Hlk194784110"/>
            <w:r w:rsidRPr="006145FA">
              <w:rPr>
                <w:rFonts w:cs="Arial"/>
                <w:color w:val="0D0D0D" w:themeColor="text1" w:themeTint="F2"/>
                <w:spacing w:val="-4"/>
                <w:szCs w:val="20"/>
                <w:lang w:val="en-GB"/>
              </w:rPr>
              <w:t>Retail sales</w:t>
            </w:r>
            <w:r w:rsidRPr="00884D55">
              <w:rPr>
                <w:rStyle w:val="Znakapoznpodarou"/>
                <w:color w:val="0D0D0D" w:themeColor="text1" w:themeTint="F2"/>
                <w:spacing w:val="-4"/>
                <w:lang w:val="en-GB"/>
              </w:rPr>
              <w:footnoteReference w:id="46"/>
            </w:r>
            <w:r w:rsidRPr="00884D55">
              <w:rPr>
                <w:rFonts w:cs="Arial"/>
                <w:color w:val="0D0D0D" w:themeColor="text1" w:themeTint="F2"/>
                <w:spacing w:val="-4"/>
                <w:szCs w:val="20"/>
                <w:lang w:val="en-GB"/>
              </w:rPr>
              <w:t xml:space="preserve"> showed a slight quarter-on-quarter growth (+0.5%) already in Q3 2023 after seven quarters of unfavourable development</w:t>
            </w:r>
            <w:r w:rsidRPr="00884D55">
              <w:rPr>
                <w:rStyle w:val="Znakapoznpodarou"/>
                <w:color w:val="0D0D0D" w:themeColor="text1" w:themeTint="F2"/>
                <w:spacing w:val="-4"/>
                <w:szCs w:val="20"/>
                <w:lang w:val="en-GB"/>
              </w:rPr>
              <w:footnoteReference w:id="47"/>
            </w:r>
            <w:r w:rsidR="006145FA">
              <w:rPr>
                <w:rFonts w:cs="Arial"/>
                <w:color w:val="0D0D0D" w:themeColor="text1" w:themeTint="F2"/>
                <w:spacing w:val="-4"/>
                <w:szCs w:val="20"/>
                <w:lang w:val="en-GB"/>
              </w:rPr>
              <w:t>. The growth</w:t>
            </w:r>
            <w:r w:rsidRPr="00884D55">
              <w:rPr>
                <w:rFonts w:cs="Arial"/>
                <w:color w:val="0D0D0D" w:themeColor="text1" w:themeTint="F2"/>
                <w:spacing w:val="-4"/>
                <w:szCs w:val="20"/>
                <w:lang w:val="en-GB"/>
              </w:rPr>
              <w:t xml:space="preserve"> subsequently strengthened and exceeded </w:t>
            </w:r>
            <w:r w:rsidR="006145FA">
              <w:rPr>
                <w:rFonts w:cs="Arial"/>
                <w:color w:val="0D0D0D" w:themeColor="text1" w:themeTint="F2"/>
                <w:spacing w:val="-4"/>
                <w:szCs w:val="20"/>
                <w:lang w:val="en-GB"/>
              </w:rPr>
              <w:t>2% at the beginning of 2024</w:t>
            </w:r>
            <w:r w:rsidRPr="00884D55">
              <w:rPr>
                <w:rFonts w:cs="Arial"/>
                <w:color w:val="0D0D0D" w:themeColor="text1" w:themeTint="F2"/>
                <w:spacing w:val="-4"/>
                <w:szCs w:val="20"/>
                <w:lang w:val="en-GB"/>
              </w:rPr>
              <w:t xml:space="preserve"> (the recovery continued in the rest of the year, albeit at a more moderate pace). Nevertheless, the current level of sales lagged 1.7% behind the pre-crisis peak (from Q4 2019)</w:t>
            </w:r>
            <w:r w:rsidRPr="00884D55">
              <w:rPr>
                <w:rStyle w:val="Znakapoznpodarou"/>
                <w:color w:val="0D0D0D" w:themeColor="text1" w:themeTint="F2"/>
                <w:spacing w:val="-4"/>
                <w:szCs w:val="20"/>
                <w:lang w:val="en-GB"/>
              </w:rPr>
              <w:t xml:space="preserve"> </w:t>
            </w:r>
            <w:r w:rsidRPr="00884D55">
              <w:rPr>
                <w:rStyle w:val="Znakapoznpodarou"/>
                <w:color w:val="0D0D0D" w:themeColor="text1" w:themeTint="F2"/>
                <w:spacing w:val="-4"/>
                <w:szCs w:val="20"/>
                <w:lang w:val="en-GB"/>
              </w:rPr>
              <w:footnoteReference w:id="48"/>
            </w:r>
            <w:r w:rsidRPr="00884D55">
              <w:rPr>
                <w:rFonts w:cs="Arial"/>
                <w:color w:val="0D0D0D" w:themeColor="text1" w:themeTint="F2"/>
                <w:spacing w:val="-4"/>
                <w:szCs w:val="20"/>
                <w:lang w:val="en-GB"/>
              </w:rPr>
              <w:t>. Year-on-year sales growth strengthened since the beginning of 2024 and rose to 5.2% in Q4 (the most in almost three years). The current growth was mainly driven by higher demand for non-food goods (+6.5%, contribution to growth +3.5 p.p.), in that sales via internet alone (+16.9%, +2.7 p.p.). The impetus for the development of this sale was the advancing digitization and modernization in the field of logistics. Within the specialised stores</w:t>
            </w:r>
            <w:r w:rsidRPr="00884D55">
              <w:rPr>
                <w:rStyle w:val="Znakapoznpodarou"/>
                <w:color w:val="0D0D0D" w:themeColor="text1" w:themeTint="F2"/>
                <w:spacing w:val="-4"/>
                <w:szCs w:val="20"/>
                <w:lang w:val="en-GB"/>
              </w:rPr>
              <w:footnoteReference w:id="49"/>
            </w:r>
            <w:r w:rsidRPr="00884D55">
              <w:rPr>
                <w:rFonts w:cs="Arial"/>
                <w:color w:val="0D0D0D" w:themeColor="text1" w:themeTint="F2"/>
                <w:spacing w:val="-4"/>
                <w:szCs w:val="20"/>
                <w:lang w:val="en-GB"/>
              </w:rPr>
              <w:t xml:space="preserve">, demand for cosmetic and toilet products increased the most (+12.2%), sales of pharmaceutical and medical goods also increased briskly (+5.4%). However, demand has not yet recovered in a number of weight-important assortment groups of stores, which can be partially explained by the fact that part of their </w:t>
            </w:r>
            <w:r w:rsidR="0067789E">
              <w:rPr>
                <w:rFonts w:cs="Arial"/>
                <w:color w:val="0D0D0D" w:themeColor="text1" w:themeTint="F2"/>
                <w:spacing w:val="-4"/>
                <w:szCs w:val="20"/>
                <w:lang w:val="en-GB"/>
              </w:rPr>
              <w:t>consumers</w:t>
            </w:r>
            <w:r w:rsidRPr="00884D55">
              <w:rPr>
                <w:rFonts w:cs="Arial"/>
                <w:color w:val="0D0D0D" w:themeColor="text1" w:themeTint="F2"/>
                <w:spacing w:val="-4"/>
                <w:szCs w:val="20"/>
                <w:lang w:val="en-GB"/>
              </w:rPr>
              <w:t xml:space="preserve"> is increasingly oriented towards sales via internet and mail order houses. Still, the fact that some purchases of "non-essential" goods were probably postponed by part of households likely plays a role. </w:t>
            </w:r>
            <w:bookmarkStart w:id="32" w:name="_Hlk194785961"/>
            <w:bookmarkEnd w:id="29"/>
            <w:r w:rsidRPr="00884D55">
              <w:rPr>
                <w:rFonts w:cs="Arial"/>
                <w:color w:val="0D0D0D" w:themeColor="text1" w:themeTint="F2"/>
                <w:spacing w:val="-4"/>
                <w:szCs w:val="20"/>
                <w:lang w:val="en-GB"/>
              </w:rPr>
              <w:t>Retail sales of information and communication equipment in stores were lower by 3.3% compared to Q4 2023, retail sales of mainly household goods</w:t>
            </w:r>
            <w:r w:rsidRPr="00884D55">
              <w:rPr>
                <w:rStyle w:val="Znakapoznpodarou"/>
                <w:color w:val="0D0D0D" w:themeColor="text1" w:themeTint="F2"/>
                <w:spacing w:val="-4"/>
                <w:szCs w:val="20"/>
                <w:lang w:val="en-GB"/>
              </w:rPr>
              <w:footnoteReference w:id="50"/>
            </w:r>
            <w:r w:rsidRPr="00884D55">
              <w:rPr>
                <w:rFonts w:cs="Arial"/>
                <w:color w:val="0D0D0D" w:themeColor="text1" w:themeTint="F2"/>
                <w:spacing w:val="-4"/>
                <w:szCs w:val="20"/>
                <w:lang w:val="en-GB"/>
              </w:rPr>
              <w:t xml:space="preserve"> by 1.6%, and retail sales of cultural and recreation goods </w:t>
            </w:r>
            <w:r w:rsidR="0067789E">
              <w:rPr>
                <w:rFonts w:cs="Arial"/>
                <w:color w:val="0D0D0D" w:themeColor="text1" w:themeTint="F2"/>
                <w:spacing w:val="-4"/>
                <w:szCs w:val="20"/>
                <w:lang w:val="en-GB"/>
              </w:rPr>
              <w:t xml:space="preserve">dropped </w:t>
            </w:r>
            <w:r w:rsidRPr="00884D55">
              <w:rPr>
                <w:rFonts w:cs="Arial"/>
                <w:color w:val="0D0D0D" w:themeColor="text1" w:themeTint="F2"/>
                <w:spacing w:val="-4"/>
                <w:szCs w:val="20"/>
                <w:lang w:val="en-GB"/>
              </w:rPr>
              <w:t>by 0.4% (similar rates were also evident in these cate</w:t>
            </w:r>
            <w:r w:rsidR="0067789E">
              <w:rPr>
                <w:rFonts w:cs="Arial"/>
                <w:color w:val="0D0D0D" w:themeColor="text1" w:themeTint="F2"/>
                <w:spacing w:val="-4"/>
                <w:szCs w:val="20"/>
                <w:lang w:val="en-GB"/>
              </w:rPr>
              <w:t>gories in whole</w:t>
            </w:r>
            <w:r w:rsidRPr="00884D55">
              <w:rPr>
                <w:rFonts w:cs="Arial"/>
                <w:color w:val="0D0D0D" w:themeColor="text1" w:themeTint="F2"/>
                <w:spacing w:val="-4"/>
                <w:szCs w:val="20"/>
                <w:lang w:val="en-GB"/>
              </w:rPr>
              <w:t xml:space="preserve"> year </w:t>
            </w:r>
            <w:r w:rsidR="0067789E">
              <w:rPr>
                <w:rFonts w:cs="Arial"/>
                <w:color w:val="0D0D0D" w:themeColor="text1" w:themeTint="F2"/>
                <w:spacing w:val="-4"/>
                <w:szCs w:val="20"/>
                <w:lang w:val="en-GB"/>
              </w:rPr>
              <w:t>2024</w:t>
            </w:r>
            <w:r w:rsidRPr="00884D55">
              <w:rPr>
                <w:rFonts w:cs="Arial"/>
                <w:color w:val="0D0D0D" w:themeColor="text1" w:themeTint="F2"/>
                <w:spacing w:val="-4"/>
                <w:szCs w:val="20"/>
                <w:lang w:val="en-GB"/>
              </w:rPr>
              <w:t>). Sales for food increased more moderately compared to non-food goods (+1.8%), in that the year-on-year decrease continued in the segment of specialised stores</w:t>
            </w:r>
            <w:r w:rsidRPr="00884D55">
              <w:rPr>
                <w:rStyle w:val="Znakapoznpodarou"/>
                <w:color w:val="0D0D0D" w:themeColor="text1" w:themeTint="F2"/>
                <w:spacing w:val="-4"/>
                <w:szCs w:val="20"/>
                <w:lang w:val="en-GB"/>
              </w:rPr>
              <w:footnoteReference w:id="51"/>
            </w:r>
            <w:r w:rsidRPr="00884D55">
              <w:rPr>
                <w:rFonts w:cs="Arial"/>
                <w:color w:val="0D0D0D" w:themeColor="text1" w:themeTint="F2"/>
                <w:spacing w:val="-4"/>
                <w:szCs w:val="20"/>
                <w:lang w:val="en-GB"/>
              </w:rPr>
              <w:t xml:space="preserve"> for the eleventh quarter in a row (most recently by 2.4%). On the contrary, demand for fuels increased very dynamically, mainly due to their favourable price development</w:t>
            </w:r>
            <w:r w:rsidRPr="00884D55">
              <w:rPr>
                <w:rStyle w:val="Znakapoznpodarou"/>
                <w:color w:val="0D0D0D" w:themeColor="text1" w:themeTint="F2"/>
                <w:spacing w:val="-4"/>
                <w:szCs w:val="20"/>
                <w:lang w:val="en-GB"/>
              </w:rPr>
              <w:footnoteReference w:id="52"/>
            </w:r>
            <w:r w:rsidRPr="00884D55">
              <w:rPr>
                <w:rFonts w:cs="Arial"/>
                <w:color w:val="0D0D0D" w:themeColor="text1" w:themeTint="F2"/>
                <w:spacing w:val="-4"/>
                <w:szCs w:val="20"/>
                <w:lang w:val="en-GB"/>
              </w:rPr>
              <w:t>. The year-on-year growth for their sales accelerated last year and amounted to 10.2%</w:t>
            </w:r>
            <w:r w:rsidRPr="00884D55">
              <w:rPr>
                <w:rStyle w:val="Znakapoznpodarou"/>
                <w:color w:val="0D0D0D" w:themeColor="text1" w:themeTint="F2"/>
                <w:spacing w:val="-4"/>
                <w:szCs w:val="20"/>
                <w:lang w:val="en-GB"/>
              </w:rPr>
              <w:footnoteReference w:id="53"/>
            </w:r>
            <w:r w:rsidRPr="00884D55">
              <w:rPr>
                <w:rFonts w:cs="Arial"/>
                <w:color w:val="0D0D0D" w:themeColor="text1" w:themeTint="F2"/>
                <w:spacing w:val="-4"/>
                <w:szCs w:val="20"/>
                <w:lang w:val="en-GB"/>
              </w:rPr>
              <w:t xml:space="preserve"> in Q4 and contributed 1.1 p. p. to the growth of the total retail trade (i.e. almost twice as much as total food sales). Sales at petrol stations increased by almost 5% for the whole las</w:t>
            </w:r>
            <w:r w:rsidR="009556EB">
              <w:rPr>
                <w:rFonts w:cs="Arial"/>
                <w:color w:val="0D0D0D" w:themeColor="text1" w:themeTint="F2"/>
                <w:spacing w:val="-4"/>
                <w:szCs w:val="20"/>
                <w:lang w:val="en-GB"/>
              </w:rPr>
              <w:t>t year and approached the pace</w:t>
            </w:r>
            <w:r w:rsidRPr="00884D55">
              <w:rPr>
                <w:rFonts w:cs="Arial"/>
                <w:color w:val="0D0D0D" w:themeColor="text1" w:themeTint="F2"/>
                <w:spacing w:val="-4"/>
                <w:szCs w:val="20"/>
                <w:lang w:val="en-GB"/>
              </w:rPr>
              <w:t xml:space="preserve"> of 2023, when they were</w:t>
            </w:r>
            <w:r w:rsidR="009556EB">
              <w:rPr>
                <w:rFonts w:cs="Arial"/>
                <w:color w:val="0D0D0D" w:themeColor="text1" w:themeTint="F2"/>
                <w:spacing w:val="-4"/>
                <w:szCs w:val="20"/>
                <w:lang w:val="en-GB"/>
              </w:rPr>
              <w:t xml:space="preserve"> among the fastest growing </w:t>
            </w:r>
            <w:r w:rsidR="009556EB" w:rsidRPr="009556EB">
              <w:rPr>
                <w:rFonts w:cs="Arial"/>
                <w:color w:val="0D0D0D" w:themeColor="text1" w:themeTint="F2"/>
                <w:spacing w:val="-4"/>
                <w:szCs w:val="20"/>
                <w:lang w:val="en-GB"/>
              </w:rPr>
              <w:t>segment</w:t>
            </w:r>
            <w:r w:rsidR="009556EB">
              <w:rPr>
                <w:rFonts w:cs="Arial"/>
                <w:color w:val="0D0D0D" w:themeColor="text1" w:themeTint="F2"/>
                <w:spacing w:val="-4"/>
                <w:szCs w:val="20"/>
                <w:lang w:val="en-GB"/>
              </w:rPr>
              <w:t>s</w:t>
            </w:r>
            <w:r w:rsidRPr="00884D55">
              <w:rPr>
                <w:rFonts w:cs="Arial"/>
                <w:color w:val="0D0D0D" w:themeColor="text1" w:themeTint="F2"/>
                <w:spacing w:val="-4"/>
                <w:szCs w:val="20"/>
                <w:lang w:val="en-GB"/>
              </w:rPr>
              <w:t xml:space="preserve"> of the entire retail sector.</w:t>
            </w:r>
          </w:p>
          <w:bookmarkEnd w:id="32"/>
          <w:p w14:paraId="66F68879" w14:textId="77777777" w:rsidR="00B01DC6" w:rsidRPr="00884D55" w:rsidRDefault="00B01DC6" w:rsidP="00B01DC6">
            <w:pPr>
              <w:spacing w:after="0"/>
              <w:rPr>
                <w:rFonts w:cs="Arial"/>
                <w:color w:val="0D0D0D" w:themeColor="text1" w:themeTint="F2"/>
                <w:spacing w:val="-4"/>
                <w:szCs w:val="20"/>
                <w:lang w:val="en-GB"/>
              </w:rPr>
            </w:pPr>
          </w:p>
        </w:tc>
      </w:tr>
      <w:tr w:rsidR="00B01DC6" w:rsidRPr="00884D55" w14:paraId="67CCFAA2" w14:textId="77777777" w:rsidTr="00803507">
        <w:trPr>
          <w:trHeight w:val="170"/>
        </w:trPr>
        <w:tc>
          <w:tcPr>
            <w:tcW w:w="1814" w:type="dxa"/>
            <w:shd w:val="clear" w:color="auto" w:fill="auto"/>
            <w:tcMar>
              <w:left w:w="0" w:type="dxa"/>
            </w:tcMar>
          </w:tcPr>
          <w:p w14:paraId="663BFA81" w14:textId="0876006B" w:rsidR="00B01DC6" w:rsidRPr="009556EB" w:rsidRDefault="00B01DC6" w:rsidP="009556EB">
            <w:pPr>
              <w:pStyle w:val="Marginlie"/>
              <w:rPr>
                <w:spacing w:val="-5"/>
                <w:lang w:val="en-GB"/>
              </w:rPr>
            </w:pPr>
            <w:r w:rsidRPr="009556EB">
              <w:rPr>
                <w:spacing w:val="-5"/>
                <w:lang w:val="en-GB"/>
              </w:rPr>
              <w:t>Demand in the retail sales of automotive segment increased only very slightly last year after</w:t>
            </w:r>
            <w:r w:rsidR="009556EB">
              <w:rPr>
                <w:spacing w:val="-5"/>
                <w:lang w:val="en-GB"/>
              </w:rPr>
              <w:t xml:space="preserve"> a more </w:t>
            </w:r>
            <w:r w:rsidR="009556EB" w:rsidRPr="009556EB">
              <w:rPr>
                <w:spacing w:val="-6"/>
                <w:lang w:val="en-GB"/>
              </w:rPr>
              <w:t xml:space="preserve">significant recovery in </w:t>
            </w:r>
            <w:r w:rsidRPr="009556EB">
              <w:rPr>
                <w:spacing w:val="-6"/>
                <w:lang w:val="en-GB"/>
              </w:rPr>
              <w:t>2023.</w:t>
            </w:r>
            <w:r w:rsidRPr="009556EB">
              <w:rPr>
                <w:spacing w:val="-5"/>
                <w:lang w:val="en-GB"/>
              </w:rPr>
              <w:t xml:space="preserve"> </w:t>
            </w:r>
          </w:p>
        </w:tc>
        <w:tc>
          <w:tcPr>
            <w:tcW w:w="229" w:type="dxa"/>
            <w:shd w:val="clear" w:color="auto" w:fill="auto"/>
            <w:tcMar>
              <w:left w:w="0" w:type="dxa"/>
            </w:tcMar>
          </w:tcPr>
          <w:p w14:paraId="260617B5" w14:textId="77777777" w:rsidR="00B01DC6" w:rsidRPr="00884D55" w:rsidRDefault="00B01DC6" w:rsidP="00B01DC6">
            <w:pPr>
              <w:pStyle w:val="Textpoznpodarou"/>
              <w:jc w:val="both"/>
              <w:rPr>
                <w:color w:val="0D0D0D" w:themeColor="text1" w:themeTint="F2"/>
                <w:spacing w:val="-4"/>
                <w:lang w:val="en-GB"/>
              </w:rPr>
            </w:pPr>
          </w:p>
        </w:tc>
        <w:tc>
          <w:tcPr>
            <w:tcW w:w="7596" w:type="dxa"/>
            <w:shd w:val="clear" w:color="auto" w:fill="auto"/>
            <w:tcMar>
              <w:left w:w="0" w:type="dxa"/>
            </w:tcMar>
          </w:tcPr>
          <w:p w14:paraId="52C8435C" w14:textId="6BA0DE49" w:rsidR="00B01DC6" w:rsidRPr="00884D55" w:rsidRDefault="00B01DC6" w:rsidP="00B01DC6">
            <w:pPr>
              <w:spacing w:after="0"/>
              <w:rPr>
                <w:rFonts w:cs="Arial"/>
                <w:color w:val="0D0D0D" w:themeColor="text1" w:themeTint="F2"/>
                <w:szCs w:val="20"/>
                <w:lang w:val="en-GB"/>
              </w:rPr>
            </w:pPr>
            <w:bookmarkStart w:id="36" w:name="_Hlk194787235"/>
            <w:r w:rsidRPr="00884D55">
              <w:rPr>
                <w:rFonts w:cs="Arial"/>
                <w:color w:val="0D0D0D" w:themeColor="text1" w:themeTint="F2"/>
                <w:szCs w:val="20"/>
                <w:lang w:val="en-GB"/>
              </w:rPr>
              <w:t xml:space="preserve">Retail sales in the automotive segment increased only slightly (+0.6%) for the whole of last year </w:t>
            </w:r>
            <w:r w:rsidR="009556EB">
              <w:rPr>
                <w:rFonts w:cs="Arial"/>
                <w:color w:val="0D0D0D" w:themeColor="text1" w:themeTint="F2"/>
                <w:szCs w:val="20"/>
                <w:lang w:val="en-GB"/>
              </w:rPr>
              <w:t>(</w:t>
            </w:r>
            <w:r w:rsidRPr="00884D55">
              <w:rPr>
                <w:rFonts w:cs="Arial"/>
                <w:color w:val="0D0D0D" w:themeColor="text1" w:themeTint="F2"/>
                <w:szCs w:val="20"/>
                <w:lang w:val="en-GB"/>
              </w:rPr>
              <w:t>after a more significant recovery in 2023</w:t>
            </w:r>
            <w:r w:rsidR="009556EB">
              <w:rPr>
                <w:rFonts w:cs="Arial"/>
                <w:color w:val="0D0D0D" w:themeColor="text1" w:themeTint="F2"/>
                <w:szCs w:val="20"/>
                <w:lang w:val="en-GB"/>
              </w:rPr>
              <w:t>)</w:t>
            </w:r>
            <w:r w:rsidRPr="00884D55">
              <w:rPr>
                <w:rFonts w:cs="Arial"/>
                <w:color w:val="0D0D0D" w:themeColor="text1" w:themeTint="F2"/>
                <w:szCs w:val="20"/>
                <w:lang w:val="en-GB"/>
              </w:rPr>
              <w:t>. Sales increased by 1.3% (</w:t>
            </w:r>
            <w:r w:rsidR="009556EB">
              <w:rPr>
                <w:rFonts w:cs="Arial"/>
                <w:color w:val="0D0D0D" w:themeColor="text1" w:themeTint="F2"/>
                <w:szCs w:val="20"/>
                <w:lang w:val="en-GB"/>
              </w:rPr>
              <w:t xml:space="preserve">their volume was still </w:t>
            </w:r>
            <w:r w:rsidRPr="00884D55">
              <w:rPr>
                <w:rFonts w:cs="Arial"/>
                <w:color w:val="0D0D0D" w:themeColor="text1" w:themeTint="F2"/>
                <w:szCs w:val="20"/>
                <w:lang w:val="en-GB"/>
              </w:rPr>
              <w:t>more than 8% behind the pre-crisis peak in 2017) in the key segment of motor vehicle sales, the result of which depended mainly on corporate demand. Sales fell by 2.7% in the trade of parts and accessories last year and fell for the third time in a row.</w:t>
            </w:r>
            <w:bookmarkEnd w:id="36"/>
          </w:p>
        </w:tc>
      </w:tr>
    </w:tbl>
    <w:p w14:paraId="3DB80D5E" w14:textId="77777777" w:rsidR="00803507" w:rsidRPr="00884D55" w:rsidRDefault="00803507" w:rsidP="00803507">
      <w:pPr>
        <w:rPr>
          <w:rFonts w:eastAsia="MS Gothic"/>
          <w:highlight w:val="yellow"/>
          <w:lang w:val="en-GB"/>
        </w:rPr>
      </w:pPr>
    </w:p>
    <w:p w14:paraId="58E593EE" w14:textId="0E18EEAC" w:rsidR="00803507" w:rsidRPr="00884D55" w:rsidRDefault="00803507" w:rsidP="00803507">
      <w:pPr>
        <w:spacing w:after="0" w:line="240" w:lineRule="auto"/>
        <w:jc w:val="left"/>
        <w:rPr>
          <w:rFonts w:eastAsia="MS Gothic"/>
          <w:b/>
          <w:bCs/>
          <w:color w:val="86BF5E"/>
          <w:sz w:val="32"/>
          <w:szCs w:val="28"/>
          <w:highlight w:val="yellow"/>
          <w:lang w:val="en-GB"/>
        </w:rPr>
      </w:pPr>
      <w:bookmarkStart w:id="37" w:name="_GoBack"/>
      <w:bookmarkEnd w:id="37"/>
    </w:p>
    <w:bookmarkEnd w:id="0"/>
    <w:sectPr w:rsidR="00803507" w:rsidRPr="00884D55" w:rsidSect="008620CF">
      <w:headerReference w:type="even" r:id="rId16"/>
      <w:headerReference w:type="default" r:id="rId17"/>
      <w:footerReference w:type="even" r:id="rId18"/>
      <w:footerReference w:type="default" r:id="rId19"/>
      <w:pgSz w:w="11906" w:h="16838" w:code="9"/>
      <w:pgMar w:top="1134" w:right="1134" w:bottom="1418" w:left="1134" w:header="680" w:footer="680"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EB545" w14:textId="77777777" w:rsidR="006145FA" w:rsidRDefault="006145FA" w:rsidP="00E71A58">
      <w:r>
        <w:separator/>
      </w:r>
    </w:p>
  </w:endnote>
  <w:endnote w:type="continuationSeparator" w:id="0">
    <w:p w14:paraId="3C0B90D9" w14:textId="77777777" w:rsidR="006145FA" w:rsidRDefault="006145FA" w:rsidP="00E71A58">
      <w:r>
        <w:continuationSeparator/>
      </w:r>
    </w:p>
  </w:endnote>
  <w:endnote w:type="continuationNotice" w:id="1">
    <w:p w14:paraId="1EBDFB32" w14:textId="77777777" w:rsidR="006145FA" w:rsidRDefault="00614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8" w14:textId="743C0A1C" w:rsidR="006145FA" w:rsidRPr="00932443" w:rsidRDefault="006145FA"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8620CF">
      <w:rPr>
        <w:szCs w:val="16"/>
      </w:rPr>
      <w:t>24</w:t>
    </w:r>
    <w:r w:rsidRPr="00932443">
      <w:rPr>
        <w:szCs w:val="16"/>
      </w:rPr>
      <w:fldChar w:fldCharType="end"/>
    </w:r>
    <w:r w:rsidRPr="00932443">
      <w:rPr>
        <w:szCs w:val="16"/>
      </w:rPr>
      <w:tab/>
    </w:r>
    <w:r>
      <w:rPr>
        <w:szCs w:val="16"/>
      </w:rPr>
      <w:t>Year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9" w14:textId="6D3A2E1A" w:rsidR="006145FA" w:rsidRPr="00932443" w:rsidRDefault="006145FA"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Year 2024</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8620CF">
      <w:rPr>
        <w:rStyle w:val="ZpatChar"/>
        <w:szCs w:val="16"/>
      </w:rPr>
      <w:t>23</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C6EFC" w14:textId="77777777" w:rsidR="006145FA" w:rsidRDefault="006145FA" w:rsidP="00EA4302">
      <w:pPr>
        <w:spacing w:after="0"/>
      </w:pPr>
      <w:r>
        <w:separator/>
      </w:r>
    </w:p>
  </w:footnote>
  <w:footnote w:type="continuationSeparator" w:id="0">
    <w:p w14:paraId="1A4436FD" w14:textId="77777777" w:rsidR="006145FA" w:rsidRDefault="006145FA" w:rsidP="00E71A58">
      <w:r>
        <w:continuationSeparator/>
      </w:r>
    </w:p>
  </w:footnote>
  <w:footnote w:type="continuationNotice" w:id="1">
    <w:p w14:paraId="4F32D3FB" w14:textId="77777777" w:rsidR="006145FA" w:rsidRDefault="006145FA">
      <w:pPr>
        <w:spacing w:after="0" w:line="240" w:lineRule="auto"/>
      </w:pPr>
    </w:p>
  </w:footnote>
  <w:footnote w:id="2">
    <w:p w14:paraId="4AE753D5" w14:textId="77777777" w:rsidR="006145FA" w:rsidRPr="007163BD" w:rsidRDefault="006145FA" w:rsidP="00803507">
      <w:pPr>
        <w:pStyle w:val="Textpoznpodarou"/>
        <w:jc w:val="both"/>
        <w:rPr>
          <w:rFonts w:cs="Arial"/>
          <w:color w:val="0D0D0D" w:themeColor="text1" w:themeTint="F2"/>
          <w:spacing w:val="-2"/>
          <w:sz w:val="16"/>
          <w:szCs w:val="16"/>
        </w:rPr>
      </w:pPr>
      <w:r w:rsidRPr="007163BD">
        <w:rPr>
          <w:rStyle w:val="Znakapoznpodarou"/>
          <w:rFonts w:cs="Arial"/>
          <w:color w:val="0D0D0D" w:themeColor="text1" w:themeTint="F2"/>
          <w:spacing w:val="-2"/>
          <w:sz w:val="16"/>
          <w:szCs w:val="16"/>
        </w:rPr>
        <w:footnoteRef/>
      </w:r>
      <w:r w:rsidRPr="007163BD">
        <w:rPr>
          <w:rFonts w:cs="Arial"/>
          <w:color w:val="0D0D0D" w:themeColor="text1" w:themeTint="F2"/>
          <w:spacing w:val="-2"/>
          <w:sz w:val="16"/>
          <w:szCs w:val="16"/>
        </w:rPr>
        <w:t xml:space="preserve"> </w:t>
      </w:r>
      <w:r w:rsidRPr="008E7039">
        <w:rPr>
          <w:rFonts w:cs="Arial"/>
          <w:color w:val="0D0D0D" w:themeColor="text1" w:themeTint="F2"/>
          <w:spacing w:val="-2"/>
          <w:sz w:val="16"/>
          <w:szCs w:val="16"/>
          <w:lang w:val="en-GB"/>
        </w:rPr>
        <w:t>Data regarding GVA are expressed in constant prices and adjusted for both seasonal and calendar effects</w:t>
      </w:r>
      <w:r>
        <w:rPr>
          <w:rFonts w:cs="Arial"/>
          <w:color w:val="0D0D0D" w:themeColor="text1" w:themeTint="F2"/>
          <w:spacing w:val="-2"/>
          <w:sz w:val="16"/>
          <w:szCs w:val="16"/>
          <w:lang w:val="en-GB"/>
        </w:rPr>
        <w:t xml:space="preserve">. </w:t>
      </w:r>
    </w:p>
  </w:footnote>
  <w:footnote w:id="3">
    <w:p w14:paraId="2787FDFB" w14:textId="77777777" w:rsidR="006145FA" w:rsidRPr="004E09A6" w:rsidRDefault="006145FA" w:rsidP="00803507">
      <w:pPr>
        <w:pStyle w:val="Textpoznpodarou"/>
        <w:jc w:val="both"/>
        <w:rPr>
          <w:sz w:val="16"/>
          <w:szCs w:val="16"/>
          <w:lang w:val="en-GB"/>
        </w:rPr>
      </w:pPr>
      <w:r w:rsidRPr="006B6ECC">
        <w:rPr>
          <w:rStyle w:val="Znakapoznpodarou"/>
          <w:sz w:val="16"/>
          <w:szCs w:val="16"/>
        </w:rPr>
        <w:footnoteRef/>
      </w:r>
      <w:r w:rsidRPr="006B6ECC">
        <w:rPr>
          <w:sz w:val="16"/>
          <w:szCs w:val="16"/>
        </w:rPr>
        <w:t xml:space="preserve"> </w:t>
      </w:r>
      <w:r w:rsidRPr="00D41971">
        <w:rPr>
          <w:sz w:val="16"/>
          <w:szCs w:val="16"/>
        </w:rPr>
        <w:t xml:space="preserve">GVA exceeded the pre-crisis level by 29% in information and communication, by 15% in </w:t>
      </w:r>
      <w:r>
        <w:rPr>
          <w:sz w:val="16"/>
          <w:szCs w:val="16"/>
        </w:rPr>
        <w:t xml:space="preserve">financial </w:t>
      </w:r>
      <w:r w:rsidRPr="00D41971">
        <w:rPr>
          <w:sz w:val="16"/>
          <w:szCs w:val="16"/>
        </w:rPr>
        <w:t xml:space="preserve">and insurance activities, and by 6% in business services (professional, scientific, technical and administrative activities). On the </w:t>
      </w:r>
      <w:r>
        <w:rPr>
          <w:sz w:val="16"/>
          <w:szCs w:val="16"/>
        </w:rPr>
        <w:t>contrary</w:t>
      </w:r>
      <w:r w:rsidRPr="00D41971">
        <w:rPr>
          <w:sz w:val="16"/>
          <w:szCs w:val="16"/>
        </w:rPr>
        <w:t>, the performance of industry lagged behind</w:t>
      </w:r>
      <w:r>
        <w:rPr>
          <w:sz w:val="16"/>
          <w:szCs w:val="16"/>
        </w:rPr>
        <w:t xml:space="preserve"> Q4 2019</w:t>
      </w:r>
      <w:r w:rsidRPr="00D41971">
        <w:rPr>
          <w:sz w:val="16"/>
          <w:szCs w:val="16"/>
        </w:rPr>
        <w:t xml:space="preserve"> by 6%, the primary sector of the economy by 11% and the construction sector by 16%.</w:t>
      </w:r>
      <w:r>
        <w:rPr>
          <w:sz w:val="16"/>
          <w:szCs w:val="16"/>
        </w:rPr>
        <w:t xml:space="preserve"> </w:t>
      </w:r>
      <w:r w:rsidRPr="004E09A6">
        <w:rPr>
          <w:sz w:val="16"/>
          <w:szCs w:val="16"/>
          <w:lang w:val="en-GB"/>
        </w:rPr>
        <w:t xml:space="preserve"> </w:t>
      </w:r>
    </w:p>
  </w:footnote>
  <w:footnote w:id="4">
    <w:p w14:paraId="60FE43C1" w14:textId="77777777" w:rsidR="006145FA" w:rsidRPr="004E09A6" w:rsidRDefault="006145FA" w:rsidP="00803507">
      <w:pPr>
        <w:pStyle w:val="Textpoznpodarou"/>
        <w:jc w:val="both"/>
        <w:rPr>
          <w:sz w:val="16"/>
          <w:szCs w:val="16"/>
          <w:lang w:val="en-GB"/>
        </w:rPr>
      </w:pPr>
      <w:r w:rsidRPr="004E09A6">
        <w:rPr>
          <w:rStyle w:val="Znakapoznpodarou"/>
          <w:sz w:val="16"/>
          <w:szCs w:val="16"/>
          <w:lang w:val="en-GB"/>
        </w:rPr>
        <w:footnoteRef/>
      </w:r>
      <w:r w:rsidRPr="004E09A6">
        <w:rPr>
          <w:sz w:val="16"/>
          <w:szCs w:val="16"/>
          <w:lang w:val="en-GB"/>
        </w:rPr>
        <w:t xml:space="preserve"> </w:t>
      </w:r>
      <w:r>
        <w:rPr>
          <w:sz w:val="16"/>
          <w:szCs w:val="16"/>
          <w:lang w:val="en-GB"/>
        </w:rPr>
        <w:t xml:space="preserve">The </w:t>
      </w:r>
      <w:r w:rsidRPr="0030346C">
        <w:rPr>
          <w:sz w:val="16"/>
          <w:szCs w:val="16"/>
        </w:rPr>
        <w:t xml:space="preserve">GVA increased by 1% </w:t>
      </w:r>
      <w:r>
        <w:rPr>
          <w:sz w:val="16"/>
          <w:szCs w:val="16"/>
        </w:rPr>
        <w:t xml:space="preserve">in the EU </w:t>
      </w:r>
      <w:r w:rsidRPr="0030346C">
        <w:rPr>
          <w:sz w:val="16"/>
          <w:szCs w:val="16"/>
        </w:rPr>
        <w:t xml:space="preserve">last year (the aggregate output of the </w:t>
      </w:r>
      <w:r>
        <w:rPr>
          <w:sz w:val="16"/>
          <w:szCs w:val="16"/>
        </w:rPr>
        <w:t xml:space="preserve">branch </w:t>
      </w:r>
      <w:r w:rsidRPr="0030346C">
        <w:rPr>
          <w:sz w:val="16"/>
          <w:szCs w:val="16"/>
        </w:rPr>
        <w:t xml:space="preserve">grew more dynamically than in the Czech Republic for the fourth year in a row). In both the EU and the euro area, only services contributed to growth (public services were the most important last year), while performance declined in the entire primary and secondary sectors. The total GVA increased the most in Denmark (+3.9%), Malta (3.8%) and Spain (+3.6%), and </w:t>
      </w:r>
      <w:r>
        <w:rPr>
          <w:sz w:val="16"/>
          <w:szCs w:val="16"/>
        </w:rPr>
        <w:t>within</w:t>
      </w:r>
      <w:r w:rsidRPr="0030346C">
        <w:rPr>
          <w:sz w:val="16"/>
          <w:szCs w:val="16"/>
        </w:rPr>
        <w:t xml:space="preserve"> Central Europe in Poland (+2.1%) – the performance of the economy was also supported by industry</w:t>
      </w:r>
      <w:r>
        <w:rPr>
          <w:sz w:val="16"/>
          <w:szCs w:val="16"/>
        </w:rPr>
        <w:t xml:space="preserve"> in these countries</w:t>
      </w:r>
      <w:r w:rsidRPr="0030346C">
        <w:rPr>
          <w:sz w:val="16"/>
          <w:szCs w:val="16"/>
        </w:rPr>
        <w:t xml:space="preserve">. </w:t>
      </w:r>
      <w:r>
        <w:rPr>
          <w:sz w:val="16"/>
          <w:szCs w:val="16"/>
        </w:rPr>
        <w:t>In contrast</w:t>
      </w:r>
      <w:r w:rsidRPr="0030346C">
        <w:rPr>
          <w:sz w:val="16"/>
          <w:szCs w:val="16"/>
        </w:rPr>
        <w:t xml:space="preserve">, </w:t>
      </w:r>
      <w:r>
        <w:rPr>
          <w:sz w:val="16"/>
          <w:szCs w:val="16"/>
        </w:rPr>
        <w:t xml:space="preserve">the </w:t>
      </w:r>
      <w:r w:rsidRPr="0030346C">
        <w:rPr>
          <w:sz w:val="16"/>
          <w:szCs w:val="16"/>
        </w:rPr>
        <w:t>total GVA decreased in five countries – Germany (−0.3%), Latvia (−0.6%)</w:t>
      </w:r>
      <w:r>
        <w:rPr>
          <w:sz w:val="16"/>
          <w:szCs w:val="16"/>
        </w:rPr>
        <w:t xml:space="preserve"> and also in </w:t>
      </w:r>
      <w:r w:rsidRPr="0030346C">
        <w:rPr>
          <w:sz w:val="16"/>
          <w:szCs w:val="16"/>
        </w:rPr>
        <w:t>Finland (−0.2%), Estonia (−1.1%) and Austria (−1.4%), where the</w:t>
      </w:r>
      <w:r>
        <w:rPr>
          <w:sz w:val="16"/>
          <w:szCs w:val="16"/>
        </w:rPr>
        <w:t xml:space="preserve"> downturn occurred also in</w:t>
      </w:r>
      <w:r w:rsidRPr="0030346C">
        <w:rPr>
          <w:sz w:val="16"/>
          <w:szCs w:val="16"/>
        </w:rPr>
        <w:t xml:space="preserve"> 2023</w:t>
      </w:r>
      <w:r>
        <w:rPr>
          <w:sz w:val="16"/>
          <w:szCs w:val="16"/>
        </w:rPr>
        <w:t xml:space="preserve">. </w:t>
      </w:r>
      <w:r w:rsidRPr="004E09A6">
        <w:rPr>
          <w:sz w:val="16"/>
          <w:szCs w:val="16"/>
          <w:lang w:val="en-GB"/>
        </w:rPr>
        <w:t xml:space="preserve"> </w:t>
      </w:r>
    </w:p>
  </w:footnote>
  <w:footnote w:id="5">
    <w:p w14:paraId="157A39CD" w14:textId="0CBD36ED" w:rsidR="006145FA" w:rsidRPr="004E09A6" w:rsidRDefault="006145FA" w:rsidP="00803507">
      <w:pPr>
        <w:pStyle w:val="Textpoznpodarou"/>
        <w:jc w:val="both"/>
        <w:rPr>
          <w:color w:val="0D0D0D" w:themeColor="text1" w:themeTint="F2"/>
          <w:sz w:val="16"/>
          <w:szCs w:val="16"/>
          <w:lang w:val="en-GB"/>
        </w:rPr>
      </w:pPr>
      <w:r w:rsidRPr="004E09A6">
        <w:rPr>
          <w:rStyle w:val="Znakapoznpodarou"/>
          <w:sz w:val="16"/>
          <w:szCs w:val="16"/>
          <w:lang w:val="en-GB"/>
        </w:rPr>
        <w:footnoteRef/>
      </w:r>
      <w:r w:rsidRPr="004E09A6">
        <w:rPr>
          <w:sz w:val="16"/>
          <w:szCs w:val="16"/>
          <w:lang w:val="en-GB"/>
        </w:rPr>
        <w:t xml:space="preserve"> </w:t>
      </w:r>
      <w:r w:rsidRPr="008A23E7">
        <w:rPr>
          <w:sz w:val="16"/>
          <w:szCs w:val="16"/>
        </w:rPr>
        <w:t>Last year's cereal harvest of 7 521 thousand tons was lower in a year-on-year comparison (−5.9%) and against the five-year average (−6.5%)</w:t>
      </w:r>
      <w:r>
        <w:rPr>
          <w:sz w:val="16"/>
          <w:szCs w:val="16"/>
        </w:rPr>
        <w:t xml:space="preserve"> as well</w:t>
      </w:r>
      <w:r w:rsidRPr="008A23E7">
        <w:rPr>
          <w:sz w:val="16"/>
          <w:szCs w:val="16"/>
        </w:rPr>
        <w:t>. </w:t>
      </w:r>
      <w:r>
        <w:rPr>
          <w:sz w:val="16"/>
          <w:szCs w:val="16"/>
        </w:rPr>
        <w:t xml:space="preserve">It presents </w:t>
      </w:r>
      <w:r w:rsidRPr="008A23E7">
        <w:rPr>
          <w:sz w:val="16"/>
          <w:szCs w:val="16"/>
        </w:rPr>
        <w:t xml:space="preserve">the lowest cereal harvest in the last five years. Spring cereals were more successful, with the exception of spring wheat, while the harvest of winter cereals was significantly lower. The </w:t>
      </w:r>
      <w:r>
        <w:rPr>
          <w:sz w:val="16"/>
          <w:szCs w:val="16"/>
        </w:rPr>
        <w:t xml:space="preserve">oilseed </w:t>
      </w:r>
      <w:r w:rsidRPr="008A23E7">
        <w:rPr>
          <w:sz w:val="16"/>
          <w:szCs w:val="16"/>
        </w:rPr>
        <w:t>rape</w:t>
      </w:r>
      <w:r>
        <w:rPr>
          <w:sz w:val="16"/>
          <w:szCs w:val="16"/>
        </w:rPr>
        <w:t xml:space="preserve"> </w:t>
      </w:r>
      <w:r w:rsidRPr="008A23E7">
        <w:rPr>
          <w:sz w:val="16"/>
          <w:szCs w:val="16"/>
        </w:rPr>
        <w:t>harvest fell by more than a quarter</w:t>
      </w:r>
      <w:r>
        <w:rPr>
          <w:sz w:val="16"/>
          <w:szCs w:val="16"/>
        </w:rPr>
        <w:t>,</w:t>
      </w:r>
      <w:r w:rsidRPr="008A23E7">
        <w:rPr>
          <w:sz w:val="16"/>
          <w:szCs w:val="16"/>
        </w:rPr>
        <w:t xml:space="preserve"> year-on-year</w:t>
      </w:r>
      <w:r>
        <w:rPr>
          <w:sz w:val="16"/>
          <w:szCs w:val="16"/>
        </w:rPr>
        <w:t xml:space="preserve"> </w:t>
      </w:r>
      <w:r w:rsidRPr="008A23E7">
        <w:rPr>
          <w:sz w:val="16"/>
          <w:szCs w:val="16"/>
        </w:rPr>
        <w:t>to 947 thousand tons</w:t>
      </w:r>
      <w:r>
        <w:rPr>
          <w:sz w:val="16"/>
          <w:szCs w:val="16"/>
        </w:rPr>
        <w:t xml:space="preserve"> in 2024</w:t>
      </w:r>
      <w:r w:rsidRPr="008A23E7">
        <w:rPr>
          <w:sz w:val="16"/>
          <w:szCs w:val="16"/>
        </w:rPr>
        <w:t>. Compared to the five-year average, it was 20% lower.</w:t>
      </w:r>
      <w:r>
        <w:rPr>
          <w:sz w:val="16"/>
          <w:szCs w:val="16"/>
        </w:rPr>
        <w:t xml:space="preserve"> T</w:t>
      </w:r>
      <w:r w:rsidRPr="008A23E7">
        <w:rPr>
          <w:sz w:val="16"/>
          <w:szCs w:val="16"/>
        </w:rPr>
        <w:t xml:space="preserve">he </w:t>
      </w:r>
      <w:r>
        <w:rPr>
          <w:sz w:val="16"/>
          <w:szCs w:val="16"/>
        </w:rPr>
        <w:t xml:space="preserve">oilseed </w:t>
      </w:r>
      <w:r w:rsidRPr="008A23E7">
        <w:rPr>
          <w:sz w:val="16"/>
          <w:szCs w:val="16"/>
        </w:rPr>
        <w:t>rape</w:t>
      </w:r>
      <w:r>
        <w:rPr>
          <w:sz w:val="16"/>
          <w:szCs w:val="16"/>
        </w:rPr>
        <w:t xml:space="preserve"> </w:t>
      </w:r>
      <w:r w:rsidRPr="008A23E7">
        <w:rPr>
          <w:sz w:val="16"/>
          <w:szCs w:val="16"/>
        </w:rPr>
        <w:t xml:space="preserve">harvest </w:t>
      </w:r>
      <w:r>
        <w:rPr>
          <w:sz w:val="16"/>
          <w:szCs w:val="16"/>
        </w:rPr>
        <w:t xml:space="preserve">droped </w:t>
      </w:r>
      <w:r w:rsidRPr="008A23E7">
        <w:rPr>
          <w:sz w:val="16"/>
          <w:szCs w:val="16"/>
        </w:rPr>
        <w:t>below one million tons</w:t>
      </w:r>
      <w:r>
        <w:rPr>
          <w:sz w:val="16"/>
          <w:szCs w:val="16"/>
        </w:rPr>
        <w:t xml:space="preserve"> f</w:t>
      </w:r>
      <w:r w:rsidRPr="008A23E7">
        <w:rPr>
          <w:sz w:val="16"/>
          <w:szCs w:val="16"/>
        </w:rPr>
        <w:t xml:space="preserve">or the first time since 2007. On the </w:t>
      </w:r>
      <w:r>
        <w:rPr>
          <w:sz w:val="16"/>
          <w:szCs w:val="16"/>
        </w:rPr>
        <w:t>contrary</w:t>
      </w:r>
      <w:r w:rsidRPr="008A23E7">
        <w:rPr>
          <w:sz w:val="16"/>
          <w:szCs w:val="16"/>
        </w:rPr>
        <w:t>, the harvest of root crops was higher</w:t>
      </w:r>
      <w:r>
        <w:rPr>
          <w:sz w:val="16"/>
          <w:szCs w:val="16"/>
        </w:rPr>
        <w:t>,</w:t>
      </w:r>
      <w:r w:rsidRPr="008A23E7">
        <w:rPr>
          <w:sz w:val="16"/>
          <w:szCs w:val="16"/>
        </w:rPr>
        <w:t xml:space="preserve"> year-on-year</w:t>
      </w:r>
      <w:r>
        <w:rPr>
          <w:sz w:val="16"/>
          <w:szCs w:val="16"/>
        </w:rPr>
        <w:t>,</w:t>
      </w:r>
      <w:r w:rsidRPr="008A23E7">
        <w:rPr>
          <w:sz w:val="16"/>
          <w:szCs w:val="16"/>
        </w:rPr>
        <w:t xml:space="preserve"> last year, mainly due to the expansion of the sowing area and favourable yields per hectare. The harvest was also higher </w:t>
      </w:r>
      <w:r>
        <w:rPr>
          <w:sz w:val="16"/>
          <w:szCs w:val="16"/>
        </w:rPr>
        <w:t xml:space="preserve">in relation to </w:t>
      </w:r>
      <w:r w:rsidRPr="008A23E7">
        <w:rPr>
          <w:sz w:val="16"/>
          <w:szCs w:val="16"/>
        </w:rPr>
        <w:t>the five-year average, by 2% for potatoes and by 18% for sugar beet</w:t>
      </w:r>
      <w:r>
        <w:rPr>
          <w:sz w:val="16"/>
          <w:szCs w:val="16"/>
        </w:rPr>
        <w:t>. Most other industrial</w:t>
      </w:r>
      <w:r w:rsidRPr="008A23E7">
        <w:rPr>
          <w:sz w:val="16"/>
          <w:szCs w:val="16"/>
        </w:rPr>
        <w:t xml:space="preserve"> crops also </w:t>
      </w:r>
      <w:r>
        <w:rPr>
          <w:sz w:val="16"/>
          <w:szCs w:val="16"/>
        </w:rPr>
        <w:t xml:space="preserve">fared </w:t>
      </w:r>
      <w:r w:rsidRPr="008A23E7">
        <w:rPr>
          <w:sz w:val="16"/>
          <w:szCs w:val="16"/>
        </w:rPr>
        <w:t>well. Mainly due to the expansion of sowing, the poppy crop (+51%) a</w:t>
      </w:r>
      <w:r>
        <w:rPr>
          <w:sz w:val="16"/>
          <w:szCs w:val="16"/>
        </w:rPr>
        <w:t xml:space="preserve">s well as </w:t>
      </w:r>
      <w:r w:rsidRPr="008A23E7">
        <w:rPr>
          <w:sz w:val="16"/>
          <w:szCs w:val="16"/>
        </w:rPr>
        <w:t>soybean (+16%) increased</w:t>
      </w:r>
      <w:r>
        <w:rPr>
          <w:sz w:val="16"/>
          <w:szCs w:val="16"/>
        </w:rPr>
        <w:t>,</w:t>
      </w:r>
      <w:r w:rsidRPr="008A23E7">
        <w:rPr>
          <w:sz w:val="16"/>
          <w:szCs w:val="16"/>
        </w:rPr>
        <w:t xml:space="preserve"> year-on-year. Sufficient rainfall for most of the growing season was positively reflected in a solid harvest of most fo</w:t>
      </w:r>
      <w:r>
        <w:rPr>
          <w:sz w:val="16"/>
          <w:szCs w:val="16"/>
        </w:rPr>
        <w:t xml:space="preserve">rage </w:t>
      </w:r>
      <w:r w:rsidRPr="00C80736">
        <w:rPr>
          <w:sz w:val="16"/>
          <w:szCs w:val="16"/>
        </w:rPr>
        <w:t>crops (g</w:t>
      </w:r>
      <w:r>
        <w:rPr>
          <w:sz w:val="16"/>
          <w:szCs w:val="16"/>
        </w:rPr>
        <w:t xml:space="preserve">rain </w:t>
      </w:r>
      <w:r w:rsidRPr="00C80736">
        <w:rPr>
          <w:sz w:val="16"/>
          <w:szCs w:val="16"/>
        </w:rPr>
        <w:t>maize, clover). The hop harvest decreased compared to th</w:t>
      </w:r>
      <w:r>
        <w:rPr>
          <w:sz w:val="16"/>
          <w:szCs w:val="16"/>
        </w:rPr>
        <w:t>e above-average year 2023</w:t>
      </w:r>
      <w:r w:rsidRPr="00C80736">
        <w:rPr>
          <w:sz w:val="16"/>
          <w:szCs w:val="16"/>
        </w:rPr>
        <w:t xml:space="preserve"> (by 7%), and the harvest of both grapes and vegetable</w:t>
      </w:r>
      <w:r w:rsidRPr="008A23E7">
        <w:rPr>
          <w:sz w:val="16"/>
          <w:szCs w:val="16"/>
        </w:rPr>
        <w:t xml:space="preserve"> pr</w:t>
      </w:r>
      <w:r>
        <w:rPr>
          <w:sz w:val="16"/>
          <w:szCs w:val="16"/>
        </w:rPr>
        <w:t>oduction also decreased by a tenth. The f</w:t>
      </w:r>
      <w:r w:rsidRPr="008A23E7">
        <w:rPr>
          <w:sz w:val="16"/>
          <w:szCs w:val="16"/>
        </w:rPr>
        <w:t>rosts</w:t>
      </w:r>
      <w:r>
        <w:rPr>
          <w:sz w:val="16"/>
          <w:szCs w:val="16"/>
        </w:rPr>
        <w:t xml:space="preserve"> in April 2024</w:t>
      </w:r>
      <w:r w:rsidRPr="008A23E7">
        <w:rPr>
          <w:sz w:val="16"/>
          <w:szCs w:val="16"/>
        </w:rPr>
        <w:t xml:space="preserve"> affected the fruit harvest. It </w:t>
      </w:r>
      <w:r>
        <w:rPr>
          <w:sz w:val="16"/>
          <w:szCs w:val="16"/>
        </w:rPr>
        <w:t xml:space="preserve">plummeted </w:t>
      </w:r>
      <w:r w:rsidRPr="008A23E7">
        <w:rPr>
          <w:sz w:val="16"/>
          <w:szCs w:val="16"/>
        </w:rPr>
        <w:t>by 58%</w:t>
      </w:r>
      <w:r>
        <w:rPr>
          <w:sz w:val="16"/>
          <w:szCs w:val="16"/>
        </w:rPr>
        <w:t>,</w:t>
      </w:r>
      <w:r w:rsidRPr="008A23E7">
        <w:rPr>
          <w:sz w:val="16"/>
          <w:szCs w:val="16"/>
        </w:rPr>
        <w:t xml:space="preserve"> year-on-year</w:t>
      </w:r>
      <w:r>
        <w:rPr>
          <w:sz w:val="16"/>
          <w:szCs w:val="16"/>
        </w:rPr>
        <w:t xml:space="preserve"> </w:t>
      </w:r>
      <w:r w:rsidRPr="008A23E7">
        <w:rPr>
          <w:sz w:val="16"/>
          <w:szCs w:val="16"/>
        </w:rPr>
        <w:t>(and was 63% lower than the five-year average</w:t>
      </w:r>
      <w:r>
        <w:rPr>
          <w:sz w:val="16"/>
          <w:szCs w:val="16"/>
        </w:rPr>
        <w:t>)</w:t>
      </w:r>
      <w:r w:rsidRPr="008A23E7">
        <w:rPr>
          <w:sz w:val="16"/>
          <w:szCs w:val="16"/>
        </w:rPr>
        <w:t xml:space="preserve">. With the exception of peaches and apricots, the year-on-year drop </w:t>
      </w:r>
      <w:r>
        <w:rPr>
          <w:sz w:val="16"/>
          <w:szCs w:val="16"/>
        </w:rPr>
        <w:t xml:space="preserve">of </w:t>
      </w:r>
      <w:r w:rsidRPr="008A23E7">
        <w:rPr>
          <w:sz w:val="16"/>
          <w:szCs w:val="16"/>
        </w:rPr>
        <w:t>the harvest concerned all the main types of fruit.</w:t>
      </w:r>
      <w:r>
        <w:rPr>
          <w:sz w:val="16"/>
          <w:szCs w:val="16"/>
        </w:rPr>
        <w:t xml:space="preserve"> </w:t>
      </w:r>
    </w:p>
  </w:footnote>
  <w:footnote w:id="6">
    <w:p w14:paraId="0D083C87" w14:textId="77777777" w:rsidR="006145FA" w:rsidRPr="004E09A6" w:rsidRDefault="006145FA" w:rsidP="00803507">
      <w:pPr>
        <w:pStyle w:val="paragraph"/>
        <w:spacing w:before="0" w:beforeAutospacing="0" w:after="0" w:afterAutospacing="0"/>
        <w:jc w:val="both"/>
        <w:textAlignment w:val="baseline"/>
        <w:rPr>
          <w:rFonts w:ascii="Arial" w:eastAsia="MS Gothic" w:hAnsi="Arial" w:cs="Arial"/>
          <w:color w:val="000000"/>
          <w:sz w:val="16"/>
          <w:szCs w:val="16"/>
          <w:shd w:val="clear" w:color="auto" w:fill="FFFFFF"/>
          <w:lang w:val="en-GB"/>
        </w:rPr>
      </w:pPr>
      <w:r w:rsidRPr="004E09A6">
        <w:rPr>
          <w:rStyle w:val="Znakapoznpodarou"/>
          <w:rFonts w:ascii="Arial" w:hAnsi="Arial" w:cs="Arial"/>
          <w:sz w:val="16"/>
          <w:szCs w:val="16"/>
          <w:lang w:val="en-GB"/>
        </w:rPr>
        <w:footnoteRef/>
      </w:r>
      <w:r w:rsidRPr="004E09A6">
        <w:rPr>
          <w:rFonts w:ascii="Arial" w:hAnsi="Arial" w:cs="Arial"/>
          <w:sz w:val="16"/>
          <w:szCs w:val="16"/>
          <w:lang w:val="en-GB"/>
        </w:rPr>
        <w:t xml:space="preserve"> </w:t>
      </w:r>
      <w:r w:rsidRPr="00AC30EF">
        <w:rPr>
          <w:rFonts w:ascii="Arial" w:hAnsi="Arial" w:cs="Arial"/>
          <w:sz w:val="16"/>
          <w:szCs w:val="16"/>
        </w:rPr>
        <w:t>450 thousand tons of meat were produced in slaughterhouses in the Czech Republic</w:t>
      </w:r>
      <w:r>
        <w:rPr>
          <w:rFonts w:ascii="Arial" w:hAnsi="Arial" w:cs="Arial"/>
          <w:sz w:val="16"/>
          <w:szCs w:val="16"/>
        </w:rPr>
        <w:t xml:space="preserve"> for the whole year 2024</w:t>
      </w:r>
      <w:r w:rsidRPr="00AC30EF">
        <w:rPr>
          <w:rFonts w:ascii="Arial" w:hAnsi="Arial" w:cs="Arial"/>
          <w:sz w:val="16"/>
          <w:szCs w:val="16"/>
        </w:rPr>
        <w:t>. Production increased for the first time in the last three years, by 3.3%</w:t>
      </w:r>
      <w:r>
        <w:rPr>
          <w:rFonts w:ascii="Arial" w:hAnsi="Arial" w:cs="Arial"/>
          <w:sz w:val="16"/>
          <w:szCs w:val="16"/>
        </w:rPr>
        <w:t>,</w:t>
      </w:r>
      <w:r w:rsidRPr="00AC30EF">
        <w:rPr>
          <w:rFonts w:ascii="Arial" w:hAnsi="Arial" w:cs="Arial"/>
          <w:sz w:val="16"/>
          <w:szCs w:val="16"/>
        </w:rPr>
        <w:t xml:space="preserve"> year-on-year. The production volume was comparable to </w:t>
      </w:r>
      <w:r>
        <w:rPr>
          <w:rFonts w:ascii="Arial" w:hAnsi="Arial" w:cs="Arial"/>
          <w:sz w:val="16"/>
          <w:szCs w:val="16"/>
        </w:rPr>
        <w:t xml:space="preserve">year </w:t>
      </w:r>
      <w:r w:rsidRPr="00AC30EF">
        <w:rPr>
          <w:rFonts w:ascii="Arial" w:hAnsi="Arial" w:cs="Arial"/>
          <w:sz w:val="16"/>
          <w:szCs w:val="16"/>
        </w:rPr>
        <w:t xml:space="preserve">2020. Last year's increase was largely due to pork (with a growth by 6.9%), poultry production also strengthened more moderately (+1.1%), while </w:t>
      </w:r>
      <w:r>
        <w:rPr>
          <w:rFonts w:ascii="Arial" w:hAnsi="Arial" w:cs="Arial"/>
          <w:sz w:val="16"/>
          <w:szCs w:val="16"/>
        </w:rPr>
        <w:t xml:space="preserve">2% less </w:t>
      </w:r>
      <w:r w:rsidRPr="00AC30EF">
        <w:rPr>
          <w:rFonts w:ascii="Arial" w:hAnsi="Arial" w:cs="Arial"/>
          <w:sz w:val="16"/>
          <w:szCs w:val="16"/>
        </w:rPr>
        <w:t xml:space="preserve">beef (including veal) was produced. Direct milk purchases from producers increased by 1.7%, </w:t>
      </w:r>
      <w:r>
        <w:rPr>
          <w:rFonts w:ascii="Arial" w:hAnsi="Arial" w:cs="Arial"/>
          <w:sz w:val="16"/>
          <w:szCs w:val="16"/>
        </w:rPr>
        <w:t xml:space="preserve">thus </w:t>
      </w:r>
      <w:r w:rsidRPr="00AC30EF">
        <w:rPr>
          <w:rFonts w:ascii="Arial" w:hAnsi="Arial" w:cs="Arial"/>
          <w:sz w:val="16"/>
          <w:szCs w:val="16"/>
        </w:rPr>
        <w:t>continuing a similar long-term trend.</w:t>
      </w:r>
      <w:r w:rsidRPr="004E09A6">
        <w:rPr>
          <w:rFonts w:ascii="Arial" w:eastAsia="Calibri" w:hAnsi="Arial" w:cs="Arial"/>
          <w:color w:val="0D0D0D" w:themeColor="text1" w:themeTint="F2"/>
          <w:sz w:val="16"/>
          <w:szCs w:val="16"/>
          <w:lang w:val="en-GB"/>
        </w:rPr>
        <w:t xml:space="preserve"> </w:t>
      </w:r>
    </w:p>
  </w:footnote>
  <w:footnote w:id="7">
    <w:p w14:paraId="50D01BF9" w14:textId="77777777" w:rsidR="006145FA" w:rsidRPr="00875F74" w:rsidRDefault="006145FA" w:rsidP="00803507">
      <w:pPr>
        <w:spacing w:after="0" w:line="240" w:lineRule="auto"/>
        <w:rPr>
          <w:rFonts w:cs="Arial"/>
          <w:color w:val="0D0D0D" w:themeColor="text1" w:themeTint="F2"/>
          <w:spacing w:val="-4"/>
          <w:sz w:val="16"/>
          <w:szCs w:val="16"/>
          <w:lang w:val="en-GB"/>
        </w:rPr>
      </w:pPr>
      <w:r w:rsidRPr="008C2F46">
        <w:rPr>
          <w:rStyle w:val="Znakapoznpodarou"/>
          <w:spacing w:val="-4"/>
          <w:sz w:val="16"/>
          <w:szCs w:val="16"/>
        </w:rPr>
        <w:footnoteRef/>
      </w:r>
      <w:r w:rsidRPr="008C2F46">
        <w:rPr>
          <w:spacing w:val="-4"/>
          <w:sz w:val="16"/>
          <w:szCs w:val="16"/>
        </w:rPr>
        <w:t xml:space="preserve"> </w:t>
      </w:r>
      <w:r w:rsidRPr="00B73D35">
        <w:rPr>
          <w:rFonts w:cs="Arial"/>
          <w:color w:val="0D0D0D" w:themeColor="text1" w:themeTint="F2"/>
          <w:spacing w:val="-2"/>
          <w:sz w:val="16"/>
          <w:szCs w:val="16"/>
          <w:lang w:val="en-GB"/>
        </w:rPr>
        <w:t xml:space="preserve">Includes branches of mining and quarrying, manufacturing and also energetics (here as activities of </w:t>
      </w:r>
      <w:r>
        <w:rPr>
          <w:rFonts w:cs="Arial"/>
          <w:color w:val="0D0D0D" w:themeColor="text1" w:themeTint="F2"/>
          <w:spacing w:val="-2"/>
          <w:sz w:val="16"/>
          <w:szCs w:val="16"/>
          <w:lang w:val="en-GB"/>
        </w:rPr>
        <w:t xml:space="preserve">generation </w:t>
      </w:r>
      <w:r w:rsidRPr="00B73D35">
        <w:rPr>
          <w:rFonts w:cs="Arial"/>
          <w:color w:val="0D0D0D" w:themeColor="text1" w:themeTint="F2"/>
          <w:spacing w:val="-2"/>
          <w:sz w:val="16"/>
          <w:szCs w:val="16"/>
          <w:lang w:val="en-GB"/>
        </w:rPr>
        <w:t>and distribution of electricity, gas, heat and air conditioning supply). All year-on-year rates of growth of output are adjusted for calendar effects, quarter-on-quarter rates then also for seasonal effects.</w:t>
      </w:r>
    </w:p>
  </w:footnote>
  <w:footnote w:id="8">
    <w:p w14:paraId="5ACDFB3E" w14:textId="77777777" w:rsidR="006145FA" w:rsidRPr="00187B31" w:rsidRDefault="006145FA" w:rsidP="00803507">
      <w:pPr>
        <w:pStyle w:val="Textpoznpodarou"/>
        <w:jc w:val="both"/>
        <w:rPr>
          <w:color w:val="0D0D0D" w:themeColor="text1" w:themeTint="F2"/>
          <w:spacing w:val="-1"/>
          <w:sz w:val="16"/>
          <w:szCs w:val="16"/>
          <w:lang w:val="en-GB"/>
        </w:rPr>
      </w:pPr>
      <w:r w:rsidRPr="00875F74">
        <w:rPr>
          <w:rStyle w:val="Znakapoznpodarou"/>
          <w:sz w:val="16"/>
          <w:szCs w:val="16"/>
          <w:lang w:val="en-GB"/>
        </w:rPr>
        <w:footnoteRef/>
      </w:r>
      <w:r w:rsidRPr="00875F74">
        <w:rPr>
          <w:sz w:val="16"/>
          <w:szCs w:val="16"/>
          <w:lang w:val="en-GB"/>
        </w:rPr>
        <w:t xml:space="preserve"> </w:t>
      </w:r>
      <w:r w:rsidRPr="00D6567B">
        <w:rPr>
          <w:sz w:val="16"/>
          <w:szCs w:val="16"/>
        </w:rPr>
        <w:t xml:space="preserve">Two-thirds of the main industries lagged behind their peak from </w:t>
      </w:r>
      <w:r>
        <w:rPr>
          <w:sz w:val="16"/>
          <w:szCs w:val="16"/>
        </w:rPr>
        <w:t xml:space="preserve">time period </w:t>
      </w:r>
      <w:r w:rsidRPr="00D6567B">
        <w:rPr>
          <w:sz w:val="16"/>
          <w:szCs w:val="16"/>
        </w:rPr>
        <w:t xml:space="preserve">2015 to 2019 in Q4 last year – especially those linked to the energy sector (-24%) and those focused on durable consumption production (-19%). At the level of individual sectors, </w:t>
      </w:r>
      <w:r>
        <w:rPr>
          <w:sz w:val="16"/>
          <w:szCs w:val="16"/>
        </w:rPr>
        <w:t xml:space="preserve">it represented </w:t>
      </w:r>
      <w:r w:rsidRPr="00D6567B">
        <w:rPr>
          <w:sz w:val="16"/>
          <w:szCs w:val="16"/>
        </w:rPr>
        <w:t xml:space="preserve">mainly coal mining (by 59%), metal </w:t>
      </w:r>
      <w:r>
        <w:rPr>
          <w:sz w:val="16"/>
          <w:szCs w:val="16"/>
        </w:rPr>
        <w:t>manufacturing</w:t>
      </w:r>
      <w:r w:rsidRPr="00D6567B">
        <w:rPr>
          <w:sz w:val="16"/>
          <w:szCs w:val="16"/>
        </w:rPr>
        <w:t>, metallurgy and foundry (−32%), textile industry (−23%), footwear and leather</w:t>
      </w:r>
      <w:r>
        <w:rPr>
          <w:sz w:val="16"/>
          <w:szCs w:val="16"/>
        </w:rPr>
        <w:t>working</w:t>
      </w:r>
      <w:r w:rsidRPr="00D6567B">
        <w:rPr>
          <w:sz w:val="16"/>
          <w:szCs w:val="16"/>
        </w:rPr>
        <w:t xml:space="preserve"> industr</w:t>
      </w:r>
      <w:r>
        <w:rPr>
          <w:sz w:val="16"/>
          <w:szCs w:val="16"/>
        </w:rPr>
        <w:t xml:space="preserve">ies </w:t>
      </w:r>
      <w:r w:rsidRPr="00D6567B">
        <w:rPr>
          <w:sz w:val="16"/>
          <w:szCs w:val="16"/>
        </w:rPr>
        <w:t>(−22</w:t>
      </w:r>
      <w:r w:rsidRPr="00187B31">
        <w:rPr>
          <w:color w:val="0D0D0D" w:themeColor="text1" w:themeTint="F2"/>
          <w:sz w:val="16"/>
          <w:szCs w:val="16"/>
        </w:rPr>
        <w:t>%), printing (−20%) and energy industry (−20%). Among larger sectors further engineering (−15%), chemical industry (−14%), manfuacturing of building materials (−12%) and the rubber and plastic industry (−9%) were also included. On the contrary, production of capital goods (+6%) and non-durable goods (+5%) were currently situated above the pre-crisis level of output. Specifically the individual sectors were primarily the manufacturing of motor vehicles (+15%), pharmaceutical industry (+13%) and other manufacturing industry (+12%), paper (+11%) and food industries (+6%).</w:t>
      </w:r>
    </w:p>
  </w:footnote>
  <w:footnote w:id="9">
    <w:p w14:paraId="2B2C66EC" w14:textId="77777777" w:rsidR="006145FA" w:rsidRPr="00187B31" w:rsidRDefault="006145FA" w:rsidP="00803507">
      <w:pPr>
        <w:pStyle w:val="Textpoznpodarou"/>
        <w:jc w:val="both"/>
        <w:rPr>
          <w:color w:val="0D0D0D" w:themeColor="text1" w:themeTint="F2"/>
          <w:sz w:val="16"/>
          <w:szCs w:val="16"/>
          <w:lang w:val="en-GB"/>
        </w:rPr>
      </w:pPr>
      <w:r w:rsidRPr="00187B31">
        <w:rPr>
          <w:rStyle w:val="Znakapoznpodarou"/>
          <w:color w:val="0D0D0D" w:themeColor="text1" w:themeTint="F2"/>
          <w:sz w:val="16"/>
          <w:szCs w:val="16"/>
          <w:lang w:val="en-GB"/>
        </w:rPr>
        <w:footnoteRef/>
      </w:r>
      <w:r w:rsidRPr="00187B31">
        <w:rPr>
          <w:color w:val="0D0D0D" w:themeColor="text1" w:themeTint="F2"/>
          <w:sz w:val="16"/>
          <w:szCs w:val="16"/>
          <w:lang w:val="en-GB"/>
        </w:rPr>
        <w:t xml:space="preserve"> </w:t>
      </w:r>
      <w:r w:rsidRPr="00187B31">
        <w:rPr>
          <w:color w:val="0D0D0D" w:themeColor="text1" w:themeTint="F2"/>
          <w:sz w:val="16"/>
          <w:szCs w:val="16"/>
        </w:rPr>
        <w:t xml:space="preserve">It was only the second time in the modern history of the Czech Republic last year, that engineering contributed to the decline of the total industrial production the most of all its fields. The first time this happened was during the global financial crisis in 2009. </w:t>
      </w:r>
      <w:r w:rsidRPr="00187B31">
        <w:rPr>
          <w:color w:val="0D0D0D" w:themeColor="text1" w:themeTint="F2"/>
          <w:sz w:val="16"/>
          <w:szCs w:val="16"/>
          <w:lang w:val="en-GB"/>
        </w:rPr>
        <w:t xml:space="preserve"> </w:t>
      </w:r>
    </w:p>
  </w:footnote>
  <w:footnote w:id="10">
    <w:p w14:paraId="617526B4" w14:textId="5B2B40A9" w:rsidR="006145FA" w:rsidRPr="00AF606D" w:rsidRDefault="006145FA" w:rsidP="00803507">
      <w:pPr>
        <w:pStyle w:val="Textpoznpodarou"/>
        <w:jc w:val="both"/>
        <w:rPr>
          <w:color w:val="0D0D0D" w:themeColor="text1" w:themeTint="F2"/>
          <w:sz w:val="16"/>
          <w:szCs w:val="16"/>
          <w:lang w:val="en-GB"/>
        </w:rPr>
      </w:pPr>
      <w:r w:rsidRPr="00187B31">
        <w:rPr>
          <w:rStyle w:val="Znakapoznpodarou"/>
          <w:color w:val="0D0D0D" w:themeColor="text1" w:themeTint="F2"/>
          <w:sz w:val="16"/>
          <w:szCs w:val="16"/>
          <w:lang w:val="en-GB"/>
        </w:rPr>
        <w:footnoteRef/>
      </w:r>
      <w:r w:rsidRPr="00187B31">
        <w:rPr>
          <w:color w:val="0D0D0D" w:themeColor="text1" w:themeTint="F2"/>
          <w:sz w:val="16"/>
          <w:szCs w:val="16"/>
          <w:lang w:val="en-GB"/>
        </w:rPr>
        <w:t xml:space="preserve"> </w:t>
      </w:r>
      <w:r w:rsidRPr="00187B31">
        <w:rPr>
          <w:color w:val="0D0D0D" w:themeColor="text1" w:themeTint="F2"/>
          <w:spacing w:val="-3"/>
          <w:sz w:val="16"/>
          <w:szCs w:val="16"/>
          <w:lang w:val="en-GB"/>
        </w:rPr>
        <w:t xml:space="preserve">According to the Czech Automobile Industry Association, 1.453 mil personal vehicles were manufactured locally in year 2024, by 4% more, year-on-year (and at the same time by 1% more than in the so far record year 2018). </w:t>
      </w:r>
      <w:r w:rsidRPr="00187B31">
        <w:rPr>
          <w:color w:val="0D0D0D" w:themeColor="text1" w:themeTint="F2"/>
          <w:spacing w:val="-3"/>
          <w:sz w:val="16"/>
          <w:szCs w:val="16"/>
        </w:rPr>
        <w:t xml:space="preserve">This was due to the brisk pace of production at the very beginning of the year and at the end of Q3, while the pace of production weakened in November and December. A year-on-year decline was recorded in the segment of manfuacturing of electric vehicles (including hybrid vehicles), which accounted for 10.4% of the total manfuacturing </w:t>
      </w:r>
      <w:r w:rsidRPr="00AF606D">
        <w:rPr>
          <w:color w:val="0D0D0D" w:themeColor="text1" w:themeTint="F2"/>
          <w:spacing w:val="-3"/>
          <w:sz w:val="16"/>
          <w:szCs w:val="16"/>
        </w:rPr>
        <w:t>of passenger cars last year (12.9% a year earlier). In contrast, the production of most producers of other types of road motor vehicles strenghtened (motorcycles, commercial vehicles).</w:t>
      </w:r>
    </w:p>
  </w:footnote>
  <w:footnote w:id="11">
    <w:p w14:paraId="665A9F5B" w14:textId="3848A9ED" w:rsidR="006145FA" w:rsidRPr="00875F74" w:rsidRDefault="006145FA" w:rsidP="00803507">
      <w:pPr>
        <w:pStyle w:val="Textpoznpodarou"/>
        <w:jc w:val="both"/>
        <w:rPr>
          <w:lang w:val="en-GB"/>
        </w:rPr>
      </w:pPr>
      <w:r w:rsidRPr="00AF606D">
        <w:rPr>
          <w:rStyle w:val="Znakapoznpodarou"/>
          <w:color w:val="0D0D0D" w:themeColor="text1" w:themeTint="F2"/>
          <w:sz w:val="16"/>
          <w:szCs w:val="16"/>
          <w:lang w:val="en-GB"/>
        </w:rPr>
        <w:footnoteRef/>
      </w:r>
      <w:r w:rsidRPr="00AF606D">
        <w:rPr>
          <w:color w:val="0D0D0D" w:themeColor="text1" w:themeTint="F2"/>
          <w:sz w:val="16"/>
          <w:szCs w:val="16"/>
          <w:lang w:val="en-GB"/>
        </w:rPr>
        <w:t xml:space="preserve"> Produciotn in manufacturing of </w:t>
      </w:r>
      <w:r w:rsidRPr="00AF606D">
        <w:rPr>
          <w:color w:val="0D0D0D" w:themeColor="text1" w:themeTint="F2"/>
          <w:sz w:val="16"/>
          <w:szCs w:val="16"/>
        </w:rPr>
        <w:t xml:space="preserve">motor vehicles fell by 8.2%, year-on-year, in the whole EU last year (9.1% in the euro area). It fell by about a fifth in Belgium, the Netherlands and Italy, and it also decreased significantly in France (−14%) or Germany (−7%). </w:t>
      </w:r>
    </w:p>
  </w:footnote>
  <w:footnote w:id="12">
    <w:p w14:paraId="3DA04957" w14:textId="74CED656" w:rsidR="006145FA" w:rsidRPr="00B40C84" w:rsidRDefault="006145FA" w:rsidP="00803507">
      <w:pPr>
        <w:pStyle w:val="Textpoznpodarou"/>
        <w:jc w:val="both"/>
        <w:rPr>
          <w:sz w:val="16"/>
          <w:szCs w:val="16"/>
          <w:lang w:val="en-GB"/>
        </w:rPr>
      </w:pPr>
      <w:r w:rsidRPr="00B40C84">
        <w:rPr>
          <w:rStyle w:val="Znakapoznpodarou"/>
          <w:sz w:val="16"/>
          <w:szCs w:val="16"/>
          <w:lang w:val="en-GB"/>
        </w:rPr>
        <w:footnoteRef/>
      </w:r>
      <w:r w:rsidRPr="00B40C84">
        <w:rPr>
          <w:sz w:val="16"/>
          <w:szCs w:val="16"/>
          <w:lang w:val="en-GB"/>
        </w:rPr>
        <w:t xml:space="preserve"> The output increased by almost a tenth, quarter-on-quarter, in the mining of building materials in Q4 2024 and grew similarly </w:t>
      </w:r>
      <w:r>
        <w:rPr>
          <w:sz w:val="16"/>
          <w:szCs w:val="16"/>
          <w:lang w:val="en-GB"/>
        </w:rPr>
        <w:t xml:space="preserve">also </w:t>
      </w:r>
      <w:r w:rsidRPr="00B40C84">
        <w:rPr>
          <w:sz w:val="16"/>
          <w:szCs w:val="16"/>
          <w:lang w:val="en-GB"/>
        </w:rPr>
        <w:t xml:space="preserve">in the year-on-year comparison (growing for the first time in the last eleven quarters). </w:t>
      </w:r>
    </w:p>
  </w:footnote>
  <w:footnote w:id="13">
    <w:p w14:paraId="492A5BEE" w14:textId="2DE08AE9" w:rsidR="006145FA" w:rsidRPr="00B40C84" w:rsidRDefault="006145FA" w:rsidP="00803507">
      <w:pPr>
        <w:pStyle w:val="Textpoznpodarou"/>
        <w:jc w:val="both"/>
        <w:rPr>
          <w:spacing w:val="-2"/>
          <w:sz w:val="16"/>
          <w:szCs w:val="16"/>
          <w:lang w:val="en-GB"/>
        </w:rPr>
      </w:pPr>
      <w:r w:rsidRPr="00B40C84">
        <w:rPr>
          <w:rStyle w:val="Znakapoznpodarou"/>
          <w:spacing w:val="-2"/>
          <w:sz w:val="16"/>
          <w:szCs w:val="16"/>
          <w:lang w:val="en-GB"/>
        </w:rPr>
        <w:footnoteRef/>
      </w:r>
      <w:r w:rsidRPr="00B40C84">
        <w:rPr>
          <w:spacing w:val="-2"/>
          <w:sz w:val="16"/>
          <w:szCs w:val="16"/>
          <w:lang w:val="en-GB"/>
        </w:rPr>
        <w:t xml:space="preserve"> According to preliminary data from the Energy Regulatory Office, the total net electricity production (i.e. apart from intermediate consumption, including production losses) reached 69.0 TWh in the Czech Republic last year (the lowest since 2001) and decreased by 3.9%, year-on-year (half less than in 2023). The decrease of the production of steam power plants (−9.8%) was the most noticeable, while a more moderate decline also manifested due to outages at nuclear power plants (−2.4%), which still produced the most of all types of facilities (28 TWh). On the contrary, the development of photovoltaic power plants accelerated, their last year's increase of production (+24%, to 3.6 </w:t>
      </w:r>
      <w:r>
        <w:rPr>
          <w:spacing w:val="-2"/>
          <w:sz w:val="16"/>
          <w:szCs w:val="16"/>
          <w:lang w:val="en-GB"/>
        </w:rPr>
        <w:t>TWh) can be explained by</w:t>
      </w:r>
      <w:r w:rsidRPr="00B40C84">
        <w:rPr>
          <w:spacing w:val="-2"/>
          <w:sz w:val="16"/>
          <w:szCs w:val="16"/>
          <w:lang w:val="en-GB"/>
        </w:rPr>
        <w:t xml:space="preserve"> the increase in their installed capacity. The rainier year 2024 was mirrored in higher hydroelectric power plants production (+12%, to 2.7 TWh).</w:t>
      </w:r>
    </w:p>
  </w:footnote>
  <w:footnote w:id="14">
    <w:p w14:paraId="7915A4AE" w14:textId="09C2D491" w:rsidR="006145FA" w:rsidRPr="00B40C84" w:rsidRDefault="006145FA" w:rsidP="00803507">
      <w:pPr>
        <w:pStyle w:val="Textpoznpodarou"/>
        <w:jc w:val="both"/>
        <w:rPr>
          <w:sz w:val="16"/>
          <w:szCs w:val="16"/>
          <w:lang w:val="en-GB"/>
        </w:rPr>
      </w:pPr>
      <w:r w:rsidRPr="00B40C84">
        <w:rPr>
          <w:rStyle w:val="Znakapoznpodarou"/>
          <w:sz w:val="16"/>
          <w:szCs w:val="16"/>
          <w:lang w:val="en-GB"/>
        </w:rPr>
        <w:footnoteRef/>
      </w:r>
      <w:r w:rsidRPr="00B40C84">
        <w:rPr>
          <w:sz w:val="16"/>
          <w:szCs w:val="16"/>
          <w:lang w:val="en-GB"/>
        </w:rPr>
        <w:t xml:space="preserve"> Net electricity consumption arrived at 58 TWh in the Czech Republic last year (the lowest </w:t>
      </w:r>
      <w:r>
        <w:rPr>
          <w:sz w:val="16"/>
          <w:szCs w:val="16"/>
          <w:lang w:val="en-GB"/>
        </w:rPr>
        <w:t xml:space="preserve">level </w:t>
      </w:r>
      <w:r w:rsidRPr="00B40C84">
        <w:rPr>
          <w:sz w:val="16"/>
          <w:szCs w:val="16"/>
          <w:lang w:val="en-GB"/>
        </w:rPr>
        <w:t xml:space="preserve">since 2009). Its negligible year-on-year decrease </w:t>
      </w:r>
      <w:r>
        <w:rPr>
          <w:sz w:val="16"/>
          <w:szCs w:val="16"/>
          <w:lang w:val="en-GB"/>
        </w:rPr>
        <w:t xml:space="preserve">in 2024 </w:t>
      </w:r>
      <w:r w:rsidRPr="00B40C84">
        <w:rPr>
          <w:sz w:val="16"/>
          <w:szCs w:val="16"/>
          <w:lang w:val="en-GB"/>
        </w:rPr>
        <w:t xml:space="preserve">(−0.6%) was almost exclusively caused </w:t>
      </w:r>
      <w:r>
        <w:rPr>
          <w:sz w:val="16"/>
          <w:szCs w:val="16"/>
          <w:lang w:val="en-GB"/>
        </w:rPr>
        <w:t xml:space="preserve">by </w:t>
      </w:r>
      <w:r w:rsidRPr="00B40C84">
        <w:rPr>
          <w:sz w:val="16"/>
          <w:szCs w:val="16"/>
          <w:lang w:val="en-GB"/>
        </w:rPr>
        <w:t xml:space="preserve">the smaller segment of local consumption (i.e. entities directly connected to the plant) of several larger </w:t>
      </w:r>
      <w:r>
        <w:rPr>
          <w:sz w:val="16"/>
          <w:szCs w:val="16"/>
          <w:lang w:val="en-GB"/>
        </w:rPr>
        <w:t xml:space="preserve">businesses </w:t>
      </w:r>
      <w:r w:rsidRPr="00B40C84">
        <w:rPr>
          <w:sz w:val="16"/>
          <w:szCs w:val="16"/>
          <w:lang w:val="en-GB"/>
        </w:rPr>
        <w:t xml:space="preserve">that suspended operations last year. On the </w:t>
      </w:r>
      <w:r>
        <w:rPr>
          <w:sz w:val="16"/>
          <w:szCs w:val="16"/>
          <w:lang w:val="en-GB"/>
        </w:rPr>
        <w:t xml:space="preserve">contrary, </w:t>
      </w:r>
      <w:r w:rsidRPr="00B40C84">
        <w:rPr>
          <w:sz w:val="16"/>
          <w:szCs w:val="16"/>
          <w:lang w:val="en-GB"/>
        </w:rPr>
        <w:t>there was an increase of 1.4%</w:t>
      </w:r>
      <w:r>
        <w:rPr>
          <w:sz w:val="16"/>
          <w:szCs w:val="16"/>
          <w:lang w:val="en-GB"/>
        </w:rPr>
        <w:t xml:space="preserve"> </w:t>
      </w:r>
      <w:r w:rsidRPr="00B40C84">
        <w:rPr>
          <w:sz w:val="16"/>
          <w:szCs w:val="16"/>
          <w:lang w:val="en-GB"/>
        </w:rPr>
        <w:t>in the c</w:t>
      </w:r>
      <w:r>
        <w:rPr>
          <w:sz w:val="16"/>
          <w:szCs w:val="16"/>
          <w:lang w:val="en-GB"/>
        </w:rPr>
        <w:t xml:space="preserve">ategory of wholesale customers </w:t>
      </w:r>
      <w:r w:rsidRPr="00B40C84">
        <w:rPr>
          <w:sz w:val="16"/>
          <w:szCs w:val="16"/>
          <w:lang w:val="en-GB"/>
        </w:rPr>
        <w:t xml:space="preserve">(of which consumption grew by 5.6% for customers at the very high voltage level – i.e. basically the largest enterprises). </w:t>
      </w:r>
      <w:r>
        <w:rPr>
          <w:sz w:val="16"/>
          <w:szCs w:val="16"/>
          <w:lang w:val="en-GB"/>
        </w:rPr>
        <w:t>S</w:t>
      </w:r>
      <w:r w:rsidRPr="00B40C84">
        <w:rPr>
          <w:sz w:val="16"/>
          <w:szCs w:val="16"/>
          <w:lang w:val="en-GB"/>
        </w:rPr>
        <w:t>mall customers (+0.2%) and households (+1.1%)</w:t>
      </w:r>
      <w:r>
        <w:rPr>
          <w:sz w:val="16"/>
          <w:szCs w:val="16"/>
          <w:lang w:val="en-GB"/>
        </w:rPr>
        <w:t xml:space="preserve"> also consumed slightly more electricity last year. </w:t>
      </w:r>
      <w:r w:rsidRPr="00B40C84">
        <w:rPr>
          <w:sz w:val="16"/>
          <w:szCs w:val="16"/>
          <w:lang w:val="en-GB"/>
        </w:rPr>
        <w:t xml:space="preserve">Compared to 2019, when </w:t>
      </w:r>
      <w:r>
        <w:rPr>
          <w:sz w:val="16"/>
          <w:szCs w:val="16"/>
          <w:lang w:val="en-GB"/>
        </w:rPr>
        <w:t xml:space="preserve">the </w:t>
      </w:r>
      <w:r w:rsidRPr="00B40C84">
        <w:rPr>
          <w:sz w:val="16"/>
          <w:szCs w:val="16"/>
          <w:lang w:val="en-GB"/>
        </w:rPr>
        <w:t xml:space="preserve">total net </w:t>
      </w:r>
      <w:r>
        <w:rPr>
          <w:sz w:val="16"/>
          <w:szCs w:val="16"/>
          <w:lang w:val="en-GB"/>
        </w:rPr>
        <w:t xml:space="preserve">electricity </w:t>
      </w:r>
      <w:r w:rsidRPr="00B40C84">
        <w:rPr>
          <w:sz w:val="16"/>
          <w:szCs w:val="16"/>
          <w:lang w:val="en-GB"/>
        </w:rPr>
        <w:t xml:space="preserve">consumption </w:t>
      </w:r>
      <w:r>
        <w:rPr>
          <w:sz w:val="16"/>
          <w:szCs w:val="16"/>
          <w:lang w:val="en-GB"/>
        </w:rPr>
        <w:t xml:space="preserve">approached </w:t>
      </w:r>
      <w:r w:rsidRPr="00B40C84">
        <w:rPr>
          <w:sz w:val="16"/>
          <w:szCs w:val="16"/>
          <w:lang w:val="en-GB"/>
        </w:rPr>
        <w:t xml:space="preserve">the long-term maximum, consumption was lower by 6.9% last year, mainly due to a decrease </w:t>
      </w:r>
      <w:r>
        <w:rPr>
          <w:sz w:val="16"/>
          <w:szCs w:val="16"/>
          <w:lang w:val="en-GB"/>
        </w:rPr>
        <w:t xml:space="preserve">for wholesale </w:t>
      </w:r>
      <w:r w:rsidRPr="00B40C84">
        <w:rPr>
          <w:sz w:val="16"/>
          <w:szCs w:val="16"/>
          <w:lang w:val="en-GB"/>
        </w:rPr>
        <w:t xml:space="preserve">customers (-7.7%), while only households (+2.5%) increased their consumption, which is related to the growth </w:t>
      </w:r>
      <w:r>
        <w:rPr>
          <w:sz w:val="16"/>
          <w:szCs w:val="16"/>
          <w:lang w:val="en-GB"/>
        </w:rPr>
        <w:t>of</w:t>
      </w:r>
      <w:r w:rsidRPr="00B40C84">
        <w:rPr>
          <w:sz w:val="16"/>
          <w:szCs w:val="16"/>
          <w:lang w:val="en-GB"/>
        </w:rPr>
        <w:t xml:space="preserve"> their number </w:t>
      </w:r>
      <w:r>
        <w:rPr>
          <w:sz w:val="16"/>
          <w:szCs w:val="16"/>
          <w:lang w:val="en-GB"/>
        </w:rPr>
        <w:t xml:space="preserve">(population growth) as well as wider spread of home office work. </w:t>
      </w:r>
      <w:r w:rsidRPr="00B40C84">
        <w:rPr>
          <w:sz w:val="16"/>
          <w:szCs w:val="16"/>
          <w:lang w:val="en-GB"/>
        </w:rPr>
        <w:t xml:space="preserve"> </w:t>
      </w:r>
    </w:p>
  </w:footnote>
  <w:footnote w:id="15">
    <w:p w14:paraId="4E5BA4A4" w14:textId="77777777" w:rsidR="006145FA" w:rsidRPr="00B40C84" w:rsidRDefault="006145FA" w:rsidP="00803507">
      <w:pPr>
        <w:pStyle w:val="Textpoznpodarou"/>
        <w:jc w:val="both"/>
        <w:rPr>
          <w:lang w:val="en-GB"/>
        </w:rPr>
      </w:pPr>
      <w:r w:rsidRPr="00B40C84">
        <w:rPr>
          <w:rStyle w:val="Znakapoznpodarou"/>
          <w:sz w:val="16"/>
          <w:szCs w:val="16"/>
          <w:lang w:val="en-GB"/>
        </w:rPr>
        <w:footnoteRef/>
      </w:r>
      <w:r w:rsidRPr="00B40C84">
        <w:rPr>
          <w:sz w:val="16"/>
          <w:szCs w:val="16"/>
          <w:lang w:val="en-GB"/>
        </w:rPr>
        <w:t xml:space="preserve"> </w:t>
      </w:r>
      <w:r w:rsidRPr="001151A6">
        <w:rPr>
          <w:sz w:val="16"/>
          <w:szCs w:val="16"/>
          <w:lang w:val="en"/>
        </w:rPr>
        <w:t>Total gas consumption in the Czech Republic stagnated last year and was 28% lower than its 2021 peak (however, consumption converted to the long-term t</w:t>
      </w:r>
      <w:r>
        <w:rPr>
          <w:sz w:val="16"/>
          <w:szCs w:val="16"/>
          <w:lang w:val="en"/>
        </w:rPr>
        <w:t xml:space="preserve">hermal standard </w:t>
      </w:r>
      <w:r w:rsidRPr="001151A6">
        <w:rPr>
          <w:sz w:val="16"/>
          <w:szCs w:val="16"/>
          <w:lang w:val="en"/>
        </w:rPr>
        <w:t>increased</w:t>
      </w:r>
      <w:r>
        <w:rPr>
          <w:sz w:val="16"/>
          <w:szCs w:val="16"/>
          <w:lang w:val="en"/>
        </w:rPr>
        <w:t>,</w:t>
      </w:r>
      <w:r w:rsidRPr="001151A6">
        <w:rPr>
          <w:sz w:val="16"/>
          <w:szCs w:val="16"/>
          <w:lang w:val="en"/>
        </w:rPr>
        <w:t xml:space="preserve"> year-on-year</w:t>
      </w:r>
      <w:r>
        <w:rPr>
          <w:sz w:val="16"/>
          <w:szCs w:val="16"/>
          <w:lang w:val="en"/>
        </w:rPr>
        <w:t xml:space="preserve">, </w:t>
      </w:r>
      <w:r w:rsidRPr="001151A6">
        <w:rPr>
          <w:sz w:val="16"/>
          <w:szCs w:val="16"/>
          <w:lang w:val="en"/>
        </w:rPr>
        <w:t>for the first time in three years /by 1.8%/</w:t>
      </w:r>
      <w:r>
        <w:rPr>
          <w:sz w:val="16"/>
          <w:szCs w:val="16"/>
          <w:lang w:val="en"/>
        </w:rPr>
        <w:t xml:space="preserve"> last year</w:t>
      </w:r>
      <w:r w:rsidRPr="001151A6">
        <w:rPr>
          <w:sz w:val="16"/>
          <w:szCs w:val="16"/>
          <w:lang w:val="en"/>
        </w:rPr>
        <w:t xml:space="preserve">, </w:t>
      </w:r>
      <w:r>
        <w:rPr>
          <w:sz w:val="16"/>
          <w:szCs w:val="16"/>
          <w:lang w:val="en"/>
        </w:rPr>
        <w:t xml:space="preserve">in that </w:t>
      </w:r>
      <w:r w:rsidRPr="001151A6">
        <w:rPr>
          <w:sz w:val="16"/>
          <w:szCs w:val="16"/>
          <w:lang w:val="en"/>
        </w:rPr>
        <w:t xml:space="preserve">by 7.1% in Q4 2024). A slight increase in consumption (up to 2%) was recorded by all key customers </w:t>
      </w:r>
      <w:r>
        <w:rPr>
          <w:sz w:val="16"/>
          <w:szCs w:val="16"/>
          <w:lang w:val="en"/>
        </w:rPr>
        <w:t xml:space="preserve">last year </w:t>
      </w:r>
      <w:r w:rsidRPr="001151A6">
        <w:rPr>
          <w:sz w:val="16"/>
          <w:szCs w:val="16"/>
          <w:lang w:val="en"/>
        </w:rPr>
        <w:t xml:space="preserve">except households, which consumed 1.7% less gas (31% less </w:t>
      </w:r>
      <w:r>
        <w:rPr>
          <w:sz w:val="16"/>
          <w:szCs w:val="16"/>
          <w:lang w:val="en"/>
        </w:rPr>
        <w:t xml:space="preserve">compared to </w:t>
      </w:r>
      <w:r w:rsidRPr="001151A6">
        <w:rPr>
          <w:sz w:val="16"/>
          <w:szCs w:val="16"/>
          <w:lang w:val="en"/>
        </w:rPr>
        <w:t xml:space="preserve">2021). </w:t>
      </w:r>
    </w:p>
  </w:footnote>
  <w:footnote w:id="16">
    <w:p w14:paraId="2CC8041E" w14:textId="39F131B1" w:rsidR="006145FA" w:rsidRPr="00B40C84" w:rsidRDefault="006145FA" w:rsidP="00803507">
      <w:pPr>
        <w:pStyle w:val="Textpoznpodarou"/>
        <w:jc w:val="both"/>
        <w:rPr>
          <w:sz w:val="16"/>
          <w:szCs w:val="16"/>
          <w:lang w:val="en-GB"/>
        </w:rPr>
      </w:pPr>
      <w:r w:rsidRPr="00B40C84">
        <w:rPr>
          <w:rStyle w:val="Znakapoznpodarou"/>
          <w:sz w:val="16"/>
          <w:szCs w:val="16"/>
          <w:lang w:val="en-GB"/>
        </w:rPr>
        <w:footnoteRef/>
      </w:r>
      <w:r w:rsidRPr="00B40C84">
        <w:rPr>
          <w:sz w:val="16"/>
          <w:szCs w:val="16"/>
          <w:lang w:val="en-GB"/>
        </w:rPr>
        <w:t xml:space="preserve"> </w:t>
      </w:r>
      <w:r w:rsidRPr="001151A6">
        <w:rPr>
          <w:sz w:val="16"/>
          <w:szCs w:val="16"/>
          <w:lang w:val="en"/>
        </w:rPr>
        <w:t xml:space="preserve">According to the Czech Hydrometeorological Institute, the average air temperature </w:t>
      </w:r>
      <w:r>
        <w:rPr>
          <w:sz w:val="16"/>
          <w:szCs w:val="16"/>
          <w:lang w:val="en"/>
        </w:rPr>
        <w:t xml:space="preserve">attained </w:t>
      </w:r>
      <w:r w:rsidRPr="001151A6">
        <w:rPr>
          <w:sz w:val="16"/>
          <w:szCs w:val="16"/>
          <w:lang w:val="en"/>
        </w:rPr>
        <w:t>10.5 degrees Celsius in the Czech Republic</w:t>
      </w:r>
      <w:r>
        <w:rPr>
          <w:sz w:val="16"/>
          <w:szCs w:val="16"/>
          <w:lang w:val="en"/>
        </w:rPr>
        <w:t xml:space="preserve"> </w:t>
      </w:r>
      <w:r w:rsidRPr="001151A6">
        <w:rPr>
          <w:sz w:val="16"/>
          <w:szCs w:val="16"/>
          <w:lang w:val="en"/>
        </w:rPr>
        <w:t>last year and was higher</w:t>
      </w:r>
      <w:r>
        <w:rPr>
          <w:sz w:val="16"/>
          <w:szCs w:val="16"/>
          <w:lang w:val="en"/>
        </w:rPr>
        <w:t>,</w:t>
      </w:r>
      <w:r w:rsidRPr="001151A6">
        <w:rPr>
          <w:sz w:val="16"/>
          <w:szCs w:val="16"/>
          <w:lang w:val="en"/>
        </w:rPr>
        <w:t xml:space="preserve"> year-on-year (+0.6 degrees) even compared to the long-term </w:t>
      </w:r>
      <w:r>
        <w:rPr>
          <w:sz w:val="16"/>
          <w:szCs w:val="16"/>
          <w:lang w:val="en"/>
        </w:rPr>
        <w:t xml:space="preserve">standard </w:t>
      </w:r>
      <w:r w:rsidRPr="001151A6">
        <w:rPr>
          <w:sz w:val="16"/>
          <w:szCs w:val="16"/>
          <w:lang w:val="en"/>
        </w:rPr>
        <w:t xml:space="preserve">(+1.9). </w:t>
      </w:r>
      <w:r>
        <w:rPr>
          <w:sz w:val="16"/>
          <w:szCs w:val="16"/>
          <w:lang w:val="en"/>
        </w:rPr>
        <w:t xml:space="preserve">Nevertheless, it was lower last January (by </w:t>
      </w:r>
      <w:r w:rsidRPr="001151A6">
        <w:rPr>
          <w:sz w:val="16"/>
          <w:szCs w:val="16"/>
          <w:lang w:val="en"/>
        </w:rPr>
        <w:t>2.5 degrees)</w:t>
      </w:r>
      <w:r>
        <w:rPr>
          <w:sz w:val="16"/>
          <w:szCs w:val="16"/>
          <w:lang w:val="en"/>
        </w:rPr>
        <w:t xml:space="preserve"> </w:t>
      </w:r>
      <w:r w:rsidRPr="001151A6">
        <w:rPr>
          <w:sz w:val="16"/>
          <w:szCs w:val="16"/>
          <w:lang w:val="en"/>
        </w:rPr>
        <w:t>compared to the very warm year of 2023 and throughout the period from September to December (by an average of 1.3 degrees).</w:t>
      </w:r>
      <w:r>
        <w:rPr>
          <w:sz w:val="16"/>
          <w:szCs w:val="16"/>
          <w:lang w:val="en"/>
        </w:rPr>
        <w:t xml:space="preserve"> </w:t>
      </w:r>
    </w:p>
  </w:footnote>
  <w:footnote w:id="17">
    <w:p w14:paraId="1052B2E4" w14:textId="77777777" w:rsidR="006145FA" w:rsidRPr="00B40C84" w:rsidRDefault="006145FA" w:rsidP="00803507">
      <w:pPr>
        <w:pStyle w:val="Textpoznpodarou"/>
        <w:jc w:val="both"/>
        <w:rPr>
          <w:sz w:val="16"/>
          <w:szCs w:val="16"/>
          <w:lang w:val="en-GB"/>
        </w:rPr>
      </w:pPr>
      <w:r w:rsidRPr="00B40C84">
        <w:rPr>
          <w:rStyle w:val="Znakapoznpodarou"/>
          <w:sz w:val="16"/>
          <w:szCs w:val="16"/>
          <w:lang w:val="en-GB"/>
        </w:rPr>
        <w:footnoteRef/>
      </w:r>
      <w:r w:rsidRPr="00B40C84">
        <w:rPr>
          <w:sz w:val="16"/>
          <w:szCs w:val="16"/>
          <w:lang w:val="en-GB"/>
        </w:rPr>
        <w:t xml:space="preserve"> </w:t>
      </w:r>
      <w:bookmarkStart w:id="4" w:name="_Hlk194272074"/>
      <w:r>
        <w:rPr>
          <w:sz w:val="16"/>
          <w:szCs w:val="16"/>
          <w:lang w:val="en-GB"/>
        </w:rPr>
        <w:t>T</w:t>
      </w:r>
      <w:r w:rsidRPr="000B6D4D">
        <w:rPr>
          <w:sz w:val="16"/>
          <w:szCs w:val="16"/>
        </w:rPr>
        <w:t xml:space="preserve">he food industry had the highest growth impact on the </w:t>
      </w:r>
      <w:r>
        <w:rPr>
          <w:sz w:val="16"/>
          <w:szCs w:val="16"/>
        </w:rPr>
        <w:t xml:space="preserve">total </w:t>
      </w:r>
      <w:r w:rsidRPr="000B6D4D">
        <w:rPr>
          <w:sz w:val="16"/>
          <w:szCs w:val="16"/>
        </w:rPr>
        <w:t>industry of all industr</w:t>
      </w:r>
      <w:r>
        <w:rPr>
          <w:sz w:val="16"/>
          <w:szCs w:val="16"/>
        </w:rPr>
        <w:t>y sectors last year</w:t>
      </w:r>
      <w:r w:rsidRPr="000B6D4D">
        <w:rPr>
          <w:sz w:val="16"/>
          <w:szCs w:val="16"/>
        </w:rPr>
        <w:t xml:space="preserve">, which occurred for the first time in a comparable time series after </w:t>
      </w:r>
      <w:r>
        <w:rPr>
          <w:sz w:val="16"/>
          <w:szCs w:val="16"/>
        </w:rPr>
        <w:t xml:space="preserve">year </w:t>
      </w:r>
      <w:r w:rsidRPr="000B6D4D">
        <w:rPr>
          <w:sz w:val="16"/>
          <w:szCs w:val="16"/>
        </w:rPr>
        <w:t>2000.</w:t>
      </w:r>
      <w:r>
        <w:rPr>
          <w:sz w:val="16"/>
          <w:szCs w:val="16"/>
        </w:rPr>
        <w:t xml:space="preserve"> </w:t>
      </w:r>
      <w:r w:rsidRPr="00B40C84">
        <w:rPr>
          <w:sz w:val="16"/>
          <w:szCs w:val="16"/>
          <w:lang w:val="en-GB"/>
        </w:rPr>
        <w:t xml:space="preserve"> </w:t>
      </w:r>
      <w:bookmarkEnd w:id="4"/>
    </w:p>
  </w:footnote>
  <w:footnote w:id="18">
    <w:p w14:paraId="4FA58CF3" w14:textId="59C0B45F" w:rsidR="006145FA" w:rsidRPr="000B6D4D" w:rsidRDefault="006145FA" w:rsidP="00803507">
      <w:pPr>
        <w:pStyle w:val="Textpoznpodarou"/>
        <w:jc w:val="both"/>
        <w:rPr>
          <w:sz w:val="16"/>
          <w:szCs w:val="16"/>
          <w:lang w:val="en-GB"/>
        </w:rPr>
      </w:pPr>
      <w:r w:rsidRPr="008B130F">
        <w:rPr>
          <w:rStyle w:val="Znakapoznpodarou"/>
          <w:sz w:val="16"/>
          <w:szCs w:val="16"/>
        </w:rPr>
        <w:footnoteRef/>
      </w:r>
      <w:r w:rsidRPr="008B130F">
        <w:rPr>
          <w:sz w:val="16"/>
          <w:szCs w:val="16"/>
        </w:rPr>
        <w:t xml:space="preserve"> </w:t>
      </w:r>
      <w:bookmarkStart w:id="5" w:name="_Hlk194272197"/>
      <w:r w:rsidRPr="000B6D4D">
        <w:rPr>
          <w:sz w:val="16"/>
          <w:szCs w:val="16"/>
          <w:lang w:val="en-GB"/>
        </w:rPr>
        <w:t xml:space="preserve">Output of furniture manufacturing decreased by 2% last year, and even by 12.6% in the last two years. While </w:t>
      </w:r>
      <w:r>
        <w:rPr>
          <w:sz w:val="16"/>
          <w:szCs w:val="16"/>
          <w:lang w:val="en-GB"/>
        </w:rPr>
        <w:t xml:space="preserve">in 2023 mainly the </w:t>
      </w:r>
      <w:r w:rsidRPr="000B6D4D">
        <w:rPr>
          <w:sz w:val="16"/>
          <w:szCs w:val="16"/>
          <w:lang w:val="en-GB"/>
        </w:rPr>
        <w:t xml:space="preserve">sales </w:t>
      </w:r>
      <w:r>
        <w:rPr>
          <w:sz w:val="16"/>
          <w:szCs w:val="16"/>
          <w:lang w:val="en-GB"/>
        </w:rPr>
        <w:t xml:space="preserve">abroad </w:t>
      </w:r>
      <w:r w:rsidRPr="000B6D4D">
        <w:rPr>
          <w:sz w:val="16"/>
          <w:szCs w:val="16"/>
          <w:lang w:val="en-GB"/>
        </w:rPr>
        <w:t xml:space="preserve">were slow, </w:t>
      </w:r>
      <w:r>
        <w:rPr>
          <w:sz w:val="16"/>
          <w:szCs w:val="16"/>
          <w:lang w:val="en-GB"/>
        </w:rPr>
        <w:t xml:space="preserve">domestic </w:t>
      </w:r>
      <w:r w:rsidRPr="000B6D4D">
        <w:rPr>
          <w:sz w:val="16"/>
          <w:szCs w:val="16"/>
          <w:lang w:val="en-GB"/>
        </w:rPr>
        <w:t xml:space="preserve">weaker demand </w:t>
      </w:r>
      <w:r>
        <w:rPr>
          <w:sz w:val="16"/>
          <w:szCs w:val="16"/>
          <w:lang w:val="en-GB"/>
        </w:rPr>
        <w:t xml:space="preserve">manifested adversely in 2024. </w:t>
      </w:r>
      <w:r w:rsidRPr="000B6D4D">
        <w:rPr>
          <w:sz w:val="16"/>
          <w:szCs w:val="16"/>
          <w:lang w:val="en-GB"/>
        </w:rPr>
        <w:t xml:space="preserve"> </w:t>
      </w:r>
      <w:bookmarkEnd w:id="5"/>
    </w:p>
  </w:footnote>
  <w:footnote w:id="19">
    <w:p w14:paraId="1D1D21FE" w14:textId="55B90EAF" w:rsidR="006145FA" w:rsidRPr="0031148C" w:rsidRDefault="006145FA" w:rsidP="00803507">
      <w:pPr>
        <w:pStyle w:val="Textpoznpodarou"/>
        <w:jc w:val="both"/>
        <w:rPr>
          <w:rFonts w:cs="Arial"/>
          <w:color w:val="0D0D0D" w:themeColor="text1" w:themeTint="F2"/>
          <w:spacing w:val="-2"/>
          <w:sz w:val="16"/>
          <w:szCs w:val="16"/>
          <w:lang w:val="en-GB"/>
        </w:rPr>
      </w:pPr>
      <w:r w:rsidRPr="00F33536">
        <w:rPr>
          <w:rStyle w:val="Znakapoznpodarou"/>
          <w:rFonts w:cs="Arial"/>
          <w:color w:val="0D0D0D" w:themeColor="text1" w:themeTint="F2"/>
          <w:spacing w:val="-2"/>
          <w:sz w:val="16"/>
          <w:szCs w:val="16"/>
        </w:rPr>
        <w:footnoteRef/>
      </w:r>
      <w:r>
        <w:rPr>
          <w:rFonts w:cs="Arial"/>
          <w:color w:val="0D0D0D" w:themeColor="text1" w:themeTint="F2"/>
          <w:spacing w:val="-2"/>
          <w:sz w:val="16"/>
          <w:szCs w:val="16"/>
        </w:rPr>
        <w:t xml:space="preserve"> </w:t>
      </w:r>
      <w:r>
        <w:rPr>
          <w:rFonts w:cs="Arial"/>
          <w:color w:val="0D0D0D" w:themeColor="text1" w:themeTint="F2"/>
          <w:spacing w:val="-2"/>
          <w:sz w:val="16"/>
          <w:szCs w:val="16"/>
          <w:lang w:val="en-GB"/>
        </w:rPr>
        <w:t xml:space="preserve">New orders are monitored only in twelve manufacturing branches </w:t>
      </w:r>
      <w:r>
        <w:rPr>
          <w:rFonts w:cs="Arial"/>
          <w:color w:val="0D0D0D" w:themeColor="text1" w:themeTint="F2"/>
          <w:sz w:val="16"/>
          <w:szCs w:val="16"/>
          <w:lang w:val="en-GB"/>
        </w:rPr>
        <w:t xml:space="preserve">producing mostly custom-made products, with longer production cycle and larger stocks of orders. Year-on-year growth rates of orders are adjusted for calendar effects, quarter-on-quarter rates also for seasonal effects. </w:t>
      </w:r>
    </w:p>
  </w:footnote>
  <w:footnote w:id="20">
    <w:p w14:paraId="3AF53E2F" w14:textId="77777777" w:rsidR="006145FA" w:rsidRPr="007A5CBD" w:rsidRDefault="006145FA" w:rsidP="00803507">
      <w:pPr>
        <w:pStyle w:val="Textpoznpodarou"/>
        <w:jc w:val="both"/>
        <w:rPr>
          <w:color w:val="0D0D0D" w:themeColor="text1" w:themeTint="F2"/>
          <w:sz w:val="16"/>
          <w:szCs w:val="16"/>
          <w:lang w:val="en-GB"/>
        </w:rPr>
      </w:pPr>
      <w:r w:rsidRPr="007A5CBD">
        <w:rPr>
          <w:rStyle w:val="Znakapoznpodarou"/>
          <w:color w:val="0D0D0D" w:themeColor="text1" w:themeTint="F2"/>
          <w:sz w:val="16"/>
          <w:szCs w:val="16"/>
        </w:rPr>
        <w:footnoteRef/>
      </w:r>
      <w:r w:rsidRPr="007A5CBD">
        <w:rPr>
          <w:color w:val="0D0D0D" w:themeColor="text1" w:themeTint="F2"/>
          <w:sz w:val="16"/>
          <w:szCs w:val="16"/>
        </w:rPr>
        <w:t xml:space="preserve"> However, it still represented a significant barrier, exceptionally it comprised a dominant growth restriction (leatherworking, manufacturing of other transport equipment, repair and installation of machinery and equipment) in some sectors (food, beverage and metal</w:t>
      </w:r>
      <w:r>
        <w:rPr>
          <w:color w:val="0D0D0D" w:themeColor="text1" w:themeTint="F2"/>
          <w:sz w:val="16"/>
          <w:szCs w:val="16"/>
        </w:rPr>
        <w:t>working</w:t>
      </w:r>
      <w:r w:rsidRPr="007A5CBD">
        <w:rPr>
          <w:color w:val="0D0D0D" w:themeColor="text1" w:themeTint="F2"/>
          <w:sz w:val="16"/>
          <w:szCs w:val="16"/>
        </w:rPr>
        <w:t xml:space="preserve"> industry or subcontractor branches of motor vehicle manufacturing</w:t>
      </w:r>
      <w:r>
        <w:rPr>
          <w:color w:val="0D0D0D" w:themeColor="text1" w:themeTint="F2"/>
          <w:sz w:val="16"/>
          <w:szCs w:val="16"/>
        </w:rPr>
        <w:t>).</w:t>
      </w:r>
    </w:p>
  </w:footnote>
  <w:footnote w:id="21">
    <w:p w14:paraId="6D5F70C1" w14:textId="77777777" w:rsidR="006145FA" w:rsidRPr="007A5CBD" w:rsidRDefault="006145FA" w:rsidP="007A5CBD">
      <w:pPr>
        <w:pStyle w:val="Textpoznpodarou"/>
        <w:jc w:val="both"/>
        <w:rPr>
          <w:color w:val="0D0D0D" w:themeColor="text1" w:themeTint="F2"/>
          <w:sz w:val="16"/>
          <w:szCs w:val="16"/>
          <w:lang w:val="en-GB"/>
        </w:rPr>
      </w:pPr>
      <w:r w:rsidRPr="007A5CBD">
        <w:rPr>
          <w:rStyle w:val="Znakapoznpodarou"/>
          <w:color w:val="0D0D0D" w:themeColor="text1" w:themeTint="F2"/>
          <w:sz w:val="16"/>
          <w:szCs w:val="16"/>
          <w:lang w:val="en-GB"/>
        </w:rPr>
        <w:footnoteRef/>
      </w:r>
      <w:r w:rsidRPr="007A5CBD">
        <w:rPr>
          <w:color w:val="0D0D0D" w:themeColor="text1" w:themeTint="F2"/>
          <w:sz w:val="16"/>
          <w:szCs w:val="16"/>
          <w:lang w:val="en-GB"/>
        </w:rPr>
        <w:t xml:space="preserve"> </w:t>
      </w:r>
      <w:r w:rsidRPr="007A5CBD">
        <w:rPr>
          <w:color w:val="0D0D0D" w:themeColor="text1" w:themeTint="F2"/>
          <w:sz w:val="16"/>
          <w:szCs w:val="16"/>
        </w:rPr>
        <w:t>This barrier has been most evident in the chemical and petrochemical industries in recent months, and motor vehicle manufacturers have also still struggled with occasional outages of production components.</w:t>
      </w:r>
    </w:p>
  </w:footnote>
  <w:footnote w:id="22">
    <w:p w14:paraId="01759A99" w14:textId="77777777" w:rsidR="006145FA" w:rsidRPr="007A5CBD" w:rsidRDefault="006145FA" w:rsidP="00803507">
      <w:pPr>
        <w:pStyle w:val="Textpoznpodarou"/>
        <w:jc w:val="both"/>
        <w:rPr>
          <w:color w:val="0D0D0D" w:themeColor="text1" w:themeTint="F2"/>
          <w:sz w:val="16"/>
          <w:szCs w:val="16"/>
          <w:lang w:val="en-GB"/>
        </w:rPr>
      </w:pPr>
      <w:r w:rsidRPr="007A5CBD">
        <w:rPr>
          <w:rStyle w:val="Znakapoznpodarou"/>
          <w:color w:val="0D0D0D" w:themeColor="text1" w:themeTint="F2"/>
          <w:sz w:val="16"/>
          <w:szCs w:val="16"/>
          <w:lang w:val="en-GB"/>
        </w:rPr>
        <w:footnoteRef/>
      </w:r>
      <w:r w:rsidRPr="007A5CBD">
        <w:rPr>
          <w:color w:val="0D0D0D" w:themeColor="text1" w:themeTint="F2"/>
          <w:sz w:val="16"/>
          <w:szCs w:val="16"/>
          <w:lang w:val="en-GB"/>
        </w:rPr>
        <w:t xml:space="preserve"> </w:t>
      </w:r>
      <w:r>
        <w:rPr>
          <w:color w:val="0D0D0D" w:themeColor="text1" w:themeTint="F2"/>
          <w:sz w:val="16"/>
          <w:szCs w:val="16"/>
          <w:lang w:val="en-GB"/>
        </w:rPr>
        <w:t xml:space="preserve">According to the survey from February 2025, </w:t>
      </w:r>
      <w:r w:rsidRPr="007A5CBD">
        <w:rPr>
          <w:color w:val="0D0D0D" w:themeColor="text1" w:themeTint="F2"/>
          <w:sz w:val="16"/>
          <w:szCs w:val="16"/>
        </w:rPr>
        <w:t xml:space="preserve">21% of </w:t>
      </w:r>
      <w:r>
        <w:rPr>
          <w:color w:val="0D0D0D" w:themeColor="text1" w:themeTint="F2"/>
          <w:sz w:val="16"/>
          <w:szCs w:val="16"/>
        </w:rPr>
        <w:t xml:space="preserve">industrail </w:t>
      </w:r>
      <w:r w:rsidRPr="007A5CBD">
        <w:rPr>
          <w:color w:val="0D0D0D" w:themeColor="text1" w:themeTint="F2"/>
          <w:sz w:val="16"/>
          <w:szCs w:val="16"/>
        </w:rPr>
        <w:t xml:space="preserve">enterprises planned to raise prices of their production in the short term outlook, while only 2% planned to reduce prices. </w:t>
      </w:r>
    </w:p>
  </w:footnote>
  <w:footnote w:id="23">
    <w:p w14:paraId="17B88413" w14:textId="77777777" w:rsidR="006145FA" w:rsidRPr="007A5CBD" w:rsidRDefault="006145FA" w:rsidP="00803507">
      <w:pPr>
        <w:pStyle w:val="Textpoznpodarou"/>
        <w:jc w:val="both"/>
        <w:rPr>
          <w:color w:val="0D0D0D" w:themeColor="text1" w:themeTint="F2"/>
          <w:sz w:val="16"/>
          <w:szCs w:val="16"/>
          <w:lang w:val="en-GB"/>
        </w:rPr>
      </w:pPr>
      <w:r w:rsidRPr="007A5CBD">
        <w:rPr>
          <w:rStyle w:val="Znakapoznpodarou"/>
          <w:color w:val="0D0D0D" w:themeColor="text1" w:themeTint="F2"/>
          <w:sz w:val="16"/>
          <w:szCs w:val="16"/>
          <w:lang w:val="en-GB"/>
        </w:rPr>
        <w:footnoteRef/>
      </w:r>
      <w:r w:rsidRPr="007A5CBD">
        <w:rPr>
          <w:color w:val="0D0D0D" w:themeColor="text1" w:themeTint="F2"/>
          <w:sz w:val="16"/>
          <w:szCs w:val="16"/>
          <w:lang w:val="en-GB"/>
        </w:rPr>
        <w:t xml:space="preserve"> </w:t>
      </w:r>
      <w:r w:rsidRPr="007A5CBD">
        <w:rPr>
          <w:color w:val="0D0D0D" w:themeColor="text1" w:themeTint="F2"/>
          <w:sz w:val="16"/>
          <w:szCs w:val="16"/>
        </w:rPr>
        <w:t>In the three-month horizon, 22% of businesses expected its increase, while 16% expected a downturn</w:t>
      </w:r>
      <w:r>
        <w:rPr>
          <w:color w:val="0D0D0D" w:themeColor="text1" w:themeTint="F2"/>
          <w:sz w:val="16"/>
          <w:szCs w:val="16"/>
        </w:rPr>
        <w:t xml:space="preserve"> (February survey)</w:t>
      </w:r>
    </w:p>
  </w:footnote>
  <w:footnote w:id="24">
    <w:p w14:paraId="1CAF91FD" w14:textId="77777777" w:rsidR="006145FA" w:rsidRPr="00FB6648" w:rsidRDefault="006145FA" w:rsidP="00803507">
      <w:pPr>
        <w:pStyle w:val="Textpoznpodarou"/>
        <w:jc w:val="both"/>
        <w:rPr>
          <w:sz w:val="16"/>
          <w:szCs w:val="16"/>
          <w:lang w:val="en-GB"/>
        </w:rPr>
      </w:pPr>
      <w:r w:rsidRPr="007A5CBD">
        <w:rPr>
          <w:rStyle w:val="Znakapoznpodarou"/>
          <w:color w:val="0D0D0D" w:themeColor="text1" w:themeTint="F2"/>
          <w:sz w:val="16"/>
          <w:szCs w:val="16"/>
          <w:lang w:val="en-GB"/>
        </w:rPr>
        <w:footnoteRef/>
      </w:r>
      <w:r w:rsidRPr="007A5CBD">
        <w:rPr>
          <w:color w:val="0D0D0D" w:themeColor="text1" w:themeTint="F2"/>
          <w:sz w:val="16"/>
          <w:szCs w:val="16"/>
          <w:lang w:val="en-GB"/>
        </w:rPr>
        <w:t xml:space="preserve"> </w:t>
      </w:r>
      <w:r w:rsidRPr="007A5CBD">
        <w:rPr>
          <w:color w:val="0D0D0D" w:themeColor="text1" w:themeTint="F2"/>
          <w:sz w:val="16"/>
          <w:szCs w:val="16"/>
        </w:rPr>
        <w:t>According to a survey from February 2025, only 5% of businesses planned to hire workers in the three-month horizon, and 17% planned to lay off workers.</w:t>
      </w:r>
    </w:p>
  </w:footnote>
  <w:footnote w:id="25">
    <w:p w14:paraId="7B076A47" w14:textId="520EBFFF" w:rsidR="006145FA" w:rsidRPr="00FB6648" w:rsidRDefault="006145FA" w:rsidP="00803507">
      <w:pPr>
        <w:pStyle w:val="Textpoznpodarou"/>
        <w:jc w:val="both"/>
        <w:rPr>
          <w:lang w:val="en-GB"/>
        </w:rPr>
      </w:pPr>
      <w:r w:rsidRPr="00FB6648">
        <w:rPr>
          <w:rStyle w:val="Znakapoznpodarou"/>
          <w:sz w:val="16"/>
          <w:szCs w:val="16"/>
          <w:lang w:val="en-GB"/>
        </w:rPr>
        <w:footnoteRef/>
      </w:r>
      <w:r w:rsidRPr="00FB6648">
        <w:rPr>
          <w:sz w:val="16"/>
          <w:szCs w:val="16"/>
          <w:lang w:val="en-GB"/>
        </w:rPr>
        <w:t xml:space="preserve"> </w:t>
      </w:r>
      <w:r>
        <w:rPr>
          <w:sz w:val="16"/>
          <w:szCs w:val="16"/>
          <w:lang w:val="en-GB"/>
        </w:rPr>
        <w:t>H</w:t>
      </w:r>
      <w:r w:rsidRPr="00D8384D">
        <w:rPr>
          <w:sz w:val="16"/>
          <w:szCs w:val="16"/>
        </w:rPr>
        <w:t xml:space="preserve">owever, this effect was not nearly as pronounced as in </w:t>
      </w:r>
      <w:r>
        <w:rPr>
          <w:sz w:val="16"/>
          <w:szCs w:val="16"/>
        </w:rPr>
        <w:t xml:space="preserve">year </w:t>
      </w:r>
      <w:r w:rsidRPr="00D8384D">
        <w:rPr>
          <w:sz w:val="16"/>
          <w:szCs w:val="16"/>
        </w:rPr>
        <w:t>2016</w:t>
      </w:r>
      <w:r>
        <w:rPr>
          <w:sz w:val="16"/>
          <w:szCs w:val="16"/>
        </w:rPr>
        <w:t xml:space="preserve"> (i.e. the previous transition to the new funding period)</w:t>
      </w:r>
      <w:r w:rsidRPr="00D8384D">
        <w:rPr>
          <w:sz w:val="16"/>
          <w:szCs w:val="16"/>
        </w:rPr>
        <w:t xml:space="preserve">. </w:t>
      </w:r>
      <w:r>
        <w:rPr>
          <w:sz w:val="16"/>
          <w:szCs w:val="16"/>
        </w:rPr>
        <w:t>T</w:t>
      </w:r>
      <w:r w:rsidRPr="00D8384D">
        <w:rPr>
          <w:sz w:val="16"/>
          <w:szCs w:val="16"/>
        </w:rPr>
        <w:t xml:space="preserve">he total capital </w:t>
      </w:r>
      <w:r>
        <w:rPr>
          <w:sz w:val="16"/>
          <w:szCs w:val="16"/>
        </w:rPr>
        <w:t xml:space="preserve">outlays </w:t>
      </w:r>
      <w:r w:rsidRPr="00D8384D">
        <w:rPr>
          <w:sz w:val="16"/>
          <w:szCs w:val="16"/>
        </w:rPr>
        <w:t>of the state budget of the Czech Republic fell by only 0.2%</w:t>
      </w:r>
      <w:r>
        <w:rPr>
          <w:sz w:val="16"/>
          <w:szCs w:val="16"/>
        </w:rPr>
        <w:t>,</w:t>
      </w:r>
      <w:r w:rsidRPr="00D8384D">
        <w:rPr>
          <w:sz w:val="16"/>
          <w:szCs w:val="16"/>
        </w:rPr>
        <w:t xml:space="preserve"> year-on-year</w:t>
      </w:r>
      <w:r>
        <w:rPr>
          <w:sz w:val="16"/>
          <w:szCs w:val="16"/>
        </w:rPr>
        <w:t>,</w:t>
      </w:r>
      <w:r w:rsidRPr="00D8384D">
        <w:rPr>
          <w:sz w:val="16"/>
          <w:szCs w:val="16"/>
        </w:rPr>
        <w:t xml:space="preserve"> due to intensive drawing at the very end of the year</w:t>
      </w:r>
      <w:r>
        <w:rPr>
          <w:sz w:val="16"/>
          <w:szCs w:val="16"/>
        </w:rPr>
        <w:t xml:space="preserve"> in 2024</w:t>
      </w:r>
      <w:r w:rsidRPr="00D8384D">
        <w:rPr>
          <w:sz w:val="16"/>
          <w:szCs w:val="16"/>
        </w:rPr>
        <w:t xml:space="preserve">. The State Fund for Transport Infrastructure </w:t>
      </w:r>
      <w:r>
        <w:rPr>
          <w:sz w:val="16"/>
          <w:szCs w:val="16"/>
        </w:rPr>
        <w:t xml:space="preserve">anticipated </w:t>
      </w:r>
      <w:r w:rsidRPr="00D8384D">
        <w:rPr>
          <w:sz w:val="16"/>
          <w:szCs w:val="16"/>
        </w:rPr>
        <w:t>expenditures</w:t>
      </w:r>
      <w:r>
        <w:rPr>
          <w:sz w:val="16"/>
          <w:szCs w:val="16"/>
        </w:rPr>
        <w:t xml:space="preserve"> in the amount of </w:t>
      </w:r>
      <w:r w:rsidRPr="00D8384D">
        <w:rPr>
          <w:sz w:val="16"/>
          <w:szCs w:val="16"/>
        </w:rPr>
        <w:t xml:space="preserve">150 </w:t>
      </w:r>
      <w:r>
        <w:rPr>
          <w:sz w:val="16"/>
          <w:szCs w:val="16"/>
        </w:rPr>
        <w:t xml:space="preserve">bn CZK </w:t>
      </w:r>
      <w:r w:rsidRPr="00D8384D">
        <w:rPr>
          <w:sz w:val="16"/>
          <w:szCs w:val="16"/>
        </w:rPr>
        <w:t xml:space="preserve">for the whole last year (with the continuation of the multi-source financing model), which is only slightly less </w:t>
      </w:r>
      <w:r>
        <w:rPr>
          <w:sz w:val="16"/>
          <w:szCs w:val="16"/>
        </w:rPr>
        <w:t xml:space="preserve">compared to the record </w:t>
      </w:r>
      <w:r w:rsidRPr="00D8384D">
        <w:rPr>
          <w:sz w:val="16"/>
          <w:szCs w:val="16"/>
        </w:rPr>
        <w:t xml:space="preserve">year </w:t>
      </w:r>
      <w:r>
        <w:rPr>
          <w:sz w:val="16"/>
          <w:szCs w:val="16"/>
        </w:rPr>
        <w:t xml:space="preserve">2023 </w:t>
      </w:r>
      <w:r w:rsidRPr="00D8384D">
        <w:rPr>
          <w:sz w:val="16"/>
          <w:szCs w:val="16"/>
        </w:rPr>
        <w:t>(151 b</w:t>
      </w:r>
      <w:r>
        <w:rPr>
          <w:sz w:val="16"/>
          <w:szCs w:val="16"/>
        </w:rPr>
        <w:t>n CZK</w:t>
      </w:r>
      <w:r w:rsidRPr="00D8384D">
        <w:rPr>
          <w:sz w:val="16"/>
          <w:szCs w:val="16"/>
        </w:rPr>
        <w:t xml:space="preserve">). In the future, the construction industry should also benefit more and more from funds from the National Recovery Plan intended for </w:t>
      </w:r>
      <w:r>
        <w:rPr>
          <w:sz w:val="16"/>
          <w:szCs w:val="16"/>
        </w:rPr>
        <w:t xml:space="preserve">instance </w:t>
      </w:r>
      <w:r w:rsidRPr="00D8384D">
        <w:rPr>
          <w:sz w:val="16"/>
          <w:szCs w:val="16"/>
        </w:rPr>
        <w:t xml:space="preserve">to reduce the energy </w:t>
      </w:r>
      <w:r>
        <w:rPr>
          <w:sz w:val="16"/>
          <w:szCs w:val="16"/>
        </w:rPr>
        <w:t xml:space="preserve">intensity </w:t>
      </w:r>
      <w:r w:rsidRPr="00D8384D">
        <w:rPr>
          <w:sz w:val="16"/>
          <w:szCs w:val="16"/>
        </w:rPr>
        <w:t>of buildings.</w:t>
      </w:r>
    </w:p>
  </w:footnote>
  <w:footnote w:id="26">
    <w:p w14:paraId="66853175" w14:textId="77777777" w:rsidR="006145FA" w:rsidRPr="00FB6648" w:rsidRDefault="006145FA" w:rsidP="00803507">
      <w:pPr>
        <w:pStyle w:val="Textpoznpodarou"/>
        <w:jc w:val="both"/>
        <w:rPr>
          <w:sz w:val="16"/>
          <w:szCs w:val="16"/>
          <w:lang w:val="en-GB"/>
        </w:rPr>
      </w:pPr>
      <w:r w:rsidRPr="00FB6648">
        <w:rPr>
          <w:rStyle w:val="Znakapoznpodarou"/>
          <w:rFonts w:cs="Arial"/>
          <w:color w:val="0D0D0D" w:themeColor="text1" w:themeTint="F2"/>
          <w:sz w:val="16"/>
          <w:szCs w:val="16"/>
          <w:lang w:val="en-GB"/>
        </w:rPr>
        <w:footnoteRef/>
      </w:r>
      <w:r w:rsidRPr="00FB6648">
        <w:rPr>
          <w:rFonts w:cs="Arial"/>
          <w:color w:val="0D0D0D" w:themeColor="text1" w:themeTint="F2"/>
          <w:sz w:val="16"/>
          <w:szCs w:val="16"/>
          <w:lang w:val="en-GB"/>
        </w:rPr>
        <w:t xml:space="preserve"> </w:t>
      </w:r>
      <w:r>
        <w:rPr>
          <w:rFonts w:cs="Arial"/>
          <w:color w:val="0D0D0D" w:themeColor="text1" w:themeTint="F2"/>
          <w:sz w:val="16"/>
          <w:szCs w:val="16"/>
          <w:lang w:val="en-GB"/>
        </w:rPr>
        <w:t xml:space="preserve">Data regarding the construction output are in constant prices, year-on-year rates of growth are adjusted for calendar effects, quarter-on-quarter rates also for seasonality effects. </w:t>
      </w:r>
    </w:p>
  </w:footnote>
  <w:footnote w:id="27">
    <w:p w14:paraId="1EC74586" w14:textId="4A9E7B4B" w:rsidR="006145FA" w:rsidRPr="00FB6648" w:rsidRDefault="006145FA" w:rsidP="00803507">
      <w:pPr>
        <w:pStyle w:val="Textpoznpodarou"/>
        <w:jc w:val="both"/>
        <w:rPr>
          <w:sz w:val="16"/>
          <w:szCs w:val="16"/>
          <w:lang w:val="en-GB"/>
        </w:rPr>
      </w:pPr>
      <w:r w:rsidRPr="00FB6648">
        <w:rPr>
          <w:rStyle w:val="Znakapoznpodarou"/>
          <w:sz w:val="16"/>
          <w:szCs w:val="16"/>
          <w:lang w:val="en-GB"/>
        </w:rPr>
        <w:footnoteRef/>
      </w:r>
      <w:r w:rsidRPr="00FB6648">
        <w:rPr>
          <w:sz w:val="16"/>
          <w:szCs w:val="16"/>
          <w:lang w:val="en-GB"/>
        </w:rPr>
        <w:t xml:space="preserve"> </w:t>
      </w:r>
      <w:r w:rsidRPr="002B0638">
        <w:rPr>
          <w:sz w:val="16"/>
          <w:szCs w:val="16"/>
        </w:rPr>
        <w:t xml:space="preserve">These activities include, for example, </w:t>
      </w:r>
      <w:r>
        <w:rPr>
          <w:sz w:val="16"/>
          <w:szCs w:val="16"/>
        </w:rPr>
        <w:t>compilation, finishing e</w:t>
      </w:r>
      <w:r w:rsidRPr="00703C9A">
        <w:rPr>
          <w:sz w:val="16"/>
          <w:szCs w:val="16"/>
        </w:rPr>
        <w:t>lectrical, plumbing and other construction installation activities</w:t>
      </w:r>
      <w:r>
        <w:rPr>
          <w:sz w:val="16"/>
          <w:szCs w:val="16"/>
        </w:rPr>
        <w:t xml:space="preserve"> </w:t>
      </w:r>
      <w:r w:rsidRPr="002B0638">
        <w:rPr>
          <w:sz w:val="16"/>
          <w:szCs w:val="16"/>
        </w:rPr>
        <w:t xml:space="preserve">and are more the domain of smaller construction companies. </w:t>
      </w:r>
      <w:r>
        <w:rPr>
          <w:sz w:val="16"/>
          <w:szCs w:val="16"/>
        </w:rPr>
        <w:t xml:space="preserve">They </w:t>
      </w:r>
      <w:r w:rsidRPr="002B0638">
        <w:rPr>
          <w:sz w:val="16"/>
          <w:szCs w:val="16"/>
        </w:rPr>
        <w:t xml:space="preserve">benefited from a slight increase </w:t>
      </w:r>
      <w:r>
        <w:rPr>
          <w:sz w:val="16"/>
          <w:szCs w:val="16"/>
        </w:rPr>
        <w:t xml:space="preserve">of </w:t>
      </w:r>
      <w:r w:rsidRPr="002B0638">
        <w:rPr>
          <w:sz w:val="16"/>
          <w:szCs w:val="16"/>
        </w:rPr>
        <w:t>demand</w:t>
      </w:r>
      <w:r>
        <w:rPr>
          <w:sz w:val="16"/>
          <w:szCs w:val="16"/>
        </w:rPr>
        <w:t xml:space="preserve"> in year 2023</w:t>
      </w:r>
      <w:r w:rsidRPr="002B0638">
        <w:rPr>
          <w:sz w:val="16"/>
          <w:szCs w:val="16"/>
        </w:rPr>
        <w:t>.</w:t>
      </w:r>
    </w:p>
  </w:footnote>
  <w:footnote w:id="28">
    <w:p w14:paraId="5DC2EE5C" w14:textId="63C478FE" w:rsidR="006145FA" w:rsidRPr="009D6234" w:rsidRDefault="006145FA" w:rsidP="00803507">
      <w:pPr>
        <w:pStyle w:val="Textpoznpodarou"/>
        <w:jc w:val="both"/>
        <w:rPr>
          <w:sz w:val="16"/>
          <w:szCs w:val="16"/>
          <w:lang w:val="en-GB"/>
        </w:rPr>
      </w:pPr>
      <w:r w:rsidRPr="00224C0C">
        <w:rPr>
          <w:rStyle w:val="Znakapoznpodarou"/>
          <w:sz w:val="16"/>
          <w:szCs w:val="16"/>
        </w:rPr>
        <w:footnoteRef/>
      </w:r>
      <w:r>
        <w:rPr>
          <w:sz w:val="16"/>
          <w:szCs w:val="16"/>
        </w:rPr>
        <w:t xml:space="preserve"> </w:t>
      </w:r>
      <w:r>
        <w:rPr>
          <w:color w:val="0D0D0D" w:themeColor="text1" w:themeTint="F2"/>
          <w:sz w:val="16"/>
          <w:szCs w:val="16"/>
          <w:lang w:val="en-GB"/>
        </w:rPr>
        <w:t xml:space="preserve">According to the survey from February 2025, </w:t>
      </w:r>
      <w:r w:rsidRPr="00127C3C">
        <w:rPr>
          <w:sz w:val="16"/>
          <w:szCs w:val="16"/>
        </w:rPr>
        <w:t xml:space="preserve">11% of </w:t>
      </w:r>
      <w:r>
        <w:rPr>
          <w:sz w:val="16"/>
          <w:szCs w:val="16"/>
        </w:rPr>
        <w:t xml:space="preserve">construction </w:t>
      </w:r>
      <w:r w:rsidRPr="00127C3C">
        <w:rPr>
          <w:sz w:val="16"/>
          <w:szCs w:val="16"/>
        </w:rPr>
        <w:t>companies planned to hire workers within a three-month horizon</w:t>
      </w:r>
      <w:r>
        <w:rPr>
          <w:sz w:val="16"/>
          <w:szCs w:val="16"/>
        </w:rPr>
        <w:t xml:space="preserve"> </w:t>
      </w:r>
      <w:r w:rsidRPr="00127C3C">
        <w:rPr>
          <w:sz w:val="16"/>
          <w:szCs w:val="16"/>
        </w:rPr>
        <w:t xml:space="preserve">and 6% </w:t>
      </w:r>
      <w:r>
        <w:rPr>
          <w:sz w:val="16"/>
          <w:szCs w:val="16"/>
        </w:rPr>
        <w:t xml:space="preserve">then </w:t>
      </w:r>
      <w:r w:rsidRPr="00127C3C">
        <w:rPr>
          <w:sz w:val="16"/>
          <w:szCs w:val="16"/>
        </w:rPr>
        <w:t xml:space="preserve">to lay off. </w:t>
      </w:r>
      <w:r>
        <w:rPr>
          <w:sz w:val="16"/>
          <w:szCs w:val="16"/>
        </w:rPr>
        <w:t xml:space="preserve">Businesses </w:t>
      </w:r>
      <w:r w:rsidRPr="00127C3C">
        <w:rPr>
          <w:sz w:val="16"/>
          <w:szCs w:val="16"/>
        </w:rPr>
        <w:t>in the building construction segment were the most optimistic in this respect.</w:t>
      </w:r>
      <w:r>
        <w:rPr>
          <w:sz w:val="16"/>
          <w:szCs w:val="16"/>
        </w:rPr>
        <w:t xml:space="preserve"> </w:t>
      </w:r>
    </w:p>
  </w:footnote>
  <w:footnote w:id="29">
    <w:p w14:paraId="1A3F209B" w14:textId="77777777" w:rsidR="006145FA" w:rsidRPr="009D6234" w:rsidRDefault="006145FA" w:rsidP="00803507">
      <w:pPr>
        <w:pStyle w:val="Textpoznpodarou"/>
        <w:jc w:val="both"/>
        <w:rPr>
          <w:sz w:val="16"/>
          <w:szCs w:val="16"/>
          <w:lang w:val="en-GB"/>
        </w:rPr>
      </w:pPr>
      <w:r w:rsidRPr="009D6234">
        <w:rPr>
          <w:rStyle w:val="Znakapoznpodarou"/>
          <w:sz w:val="16"/>
          <w:szCs w:val="16"/>
          <w:lang w:val="en-GB"/>
        </w:rPr>
        <w:footnoteRef/>
      </w:r>
      <w:r>
        <w:rPr>
          <w:sz w:val="16"/>
          <w:szCs w:val="16"/>
        </w:rPr>
        <w:t xml:space="preserve"> </w:t>
      </w:r>
      <w:r w:rsidRPr="00215529">
        <w:rPr>
          <w:sz w:val="16"/>
          <w:szCs w:val="16"/>
        </w:rPr>
        <w:t xml:space="preserve">17% of </w:t>
      </w:r>
      <w:r>
        <w:rPr>
          <w:sz w:val="16"/>
          <w:szCs w:val="16"/>
        </w:rPr>
        <w:t xml:space="preserve">businesses </w:t>
      </w:r>
      <w:r w:rsidRPr="00215529">
        <w:rPr>
          <w:sz w:val="16"/>
          <w:szCs w:val="16"/>
        </w:rPr>
        <w:t xml:space="preserve">expected an improvement </w:t>
      </w:r>
      <w:r>
        <w:rPr>
          <w:sz w:val="16"/>
          <w:szCs w:val="16"/>
        </w:rPr>
        <w:t>i</w:t>
      </w:r>
      <w:r w:rsidRPr="00215529">
        <w:rPr>
          <w:sz w:val="16"/>
          <w:szCs w:val="16"/>
        </w:rPr>
        <w:t>n the six-month outlook in February this year, while 7% expected a deterioration.</w:t>
      </w:r>
    </w:p>
  </w:footnote>
  <w:footnote w:id="30">
    <w:p w14:paraId="02D2A458" w14:textId="77777777" w:rsidR="006145FA" w:rsidRPr="009D6234" w:rsidRDefault="006145FA" w:rsidP="00803507">
      <w:pPr>
        <w:pStyle w:val="Textpoznpodarou"/>
        <w:jc w:val="both"/>
        <w:rPr>
          <w:sz w:val="16"/>
          <w:szCs w:val="16"/>
          <w:lang w:val="en-GB"/>
        </w:rPr>
      </w:pPr>
      <w:r w:rsidRPr="009D6234">
        <w:rPr>
          <w:rStyle w:val="Znakapoznpodarou"/>
          <w:sz w:val="16"/>
          <w:szCs w:val="16"/>
          <w:lang w:val="en-GB"/>
        </w:rPr>
        <w:footnoteRef/>
      </w:r>
      <w:r w:rsidRPr="009D6234">
        <w:rPr>
          <w:sz w:val="16"/>
          <w:szCs w:val="16"/>
          <w:lang w:val="en-GB"/>
        </w:rPr>
        <w:t xml:space="preserve"> </w:t>
      </w:r>
      <w:r w:rsidRPr="00A92330">
        <w:rPr>
          <w:sz w:val="16"/>
          <w:szCs w:val="16"/>
        </w:rPr>
        <w:t xml:space="preserve">The exception was the </w:t>
      </w:r>
      <w:r>
        <w:rPr>
          <w:sz w:val="16"/>
          <w:szCs w:val="16"/>
        </w:rPr>
        <w:t>shortage o</w:t>
      </w:r>
      <w:r w:rsidRPr="00A92330">
        <w:rPr>
          <w:sz w:val="16"/>
          <w:szCs w:val="16"/>
        </w:rPr>
        <w:t xml:space="preserve">f materials or equipment, which plagued 15% of </w:t>
      </w:r>
      <w:r>
        <w:rPr>
          <w:sz w:val="16"/>
          <w:szCs w:val="16"/>
        </w:rPr>
        <w:t xml:space="preserve">businesses </w:t>
      </w:r>
      <w:r w:rsidRPr="00A92330">
        <w:rPr>
          <w:sz w:val="16"/>
          <w:szCs w:val="16"/>
        </w:rPr>
        <w:t>in February this year, compared to 22% a year ago.</w:t>
      </w:r>
      <w:r>
        <w:rPr>
          <w:sz w:val="16"/>
          <w:szCs w:val="16"/>
        </w:rPr>
        <w:t xml:space="preserve"> </w:t>
      </w:r>
      <w:r w:rsidRPr="009D6234">
        <w:rPr>
          <w:sz w:val="16"/>
          <w:szCs w:val="16"/>
          <w:lang w:val="en-GB"/>
        </w:rPr>
        <w:t xml:space="preserve">  </w:t>
      </w:r>
    </w:p>
  </w:footnote>
  <w:footnote w:id="31">
    <w:p w14:paraId="65F762C3" w14:textId="77777777" w:rsidR="006145FA" w:rsidRPr="009D6234" w:rsidRDefault="006145FA" w:rsidP="00803507">
      <w:pPr>
        <w:pStyle w:val="paragraph"/>
        <w:spacing w:before="0" w:beforeAutospacing="0" w:after="0" w:afterAutospacing="0"/>
        <w:jc w:val="both"/>
        <w:textAlignment w:val="baseline"/>
        <w:rPr>
          <w:rFonts w:ascii="Arial" w:eastAsia="Calibri" w:hAnsi="Arial" w:cs="Arial"/>
          <w:sz w:val="16"/>
          <w:szCs w:val="16"/>
          <w:lang w:val="en-GB"/>
        </w:rPr>
      </w:pPr>
      <w:r w:rsidRPr="009D6234">
        <w:rPr>
          <w:rStyle w:val="Znakapoznpodarou"/>
          <w:rFonts w:ascii="Arial" w:hAnsi="Arial" w:cs="Arial"/>
          <w:sz w:val="16"/>
          <w:szCs w:val="16"/>
          <w:lang w:val="en-GB"/>
        </w:rPr>
        <w:footnoteRef/>
      </w:r>
      <w:r w:rsidRPr="009D6234">
        <w:rPr>
          <w:rFonts w:ascii="Arial" w:hAnsi="Arial" w:cs="Arial"/>
          <w:sz w:val="16"/>
          <w:szCs w:val="16"/>
          <w:lang w:val="en-GB"/>
        </w:rPr>
        <w:t xml:space="preserve"> </w:t>
      </w:r>
      <w:r w:rsidRPr="00A21E67">
        <w:rPr>
          <w:rFonts w:ascii="Arial" w:hAnsi="Arial" w:cs="Arial"/>
          <w:sz w:val="16"/>
          <w:szCs w:val="16"/>
        </w:rPr>
        <w:t xml:space="preserve">Compared to </w:t>
      </w:r>
      <w:r>
        <w:rPr>
          <w:rFonts w:ascii="Arial" w:hAnsi="Arial" w:cs="Arial"/>
          <w:sz w:val="16"/>
          <w:szCs w:val="16"/>
        </w:rPr>
        <w:t xml:space="preserve">year </w:t>
      </w:r>
      <w:r w:rsidRPr="00A21E67">
        <w:rPr>
          <w:rFonts w:ascii="Arial" w:hAnsi="Arial" w:cs="Arial"/>
          <w:sz w:val="16"/>
          <w:szCs w:val="16"/>
        </w:rPr>
        <w:t xml:space="preserve">2019, the volume of construction output in the EU (and the euro area) was higher by 3.7% last year (all segments of the industry except for the construction of buildings were </w:t>
      </w:r>
      <w:r>
        <w:rPr>
          <w:rFonts w:ascii="Arial" w:hAnsi="Arial" w:cs="Arial"/>
          <w:sz w:val="16"/>
          <w:szCs w:val="16"/>
        </w:rPr>
        <w:t xml:space="preserve">situated </w:t>
      </w:r>
      <w:r w:rsidRPr="00A21E67">
        <w:rPr>
          <w:rFonts w:ascii="Arial" w:hAnsi="Arial" w:cs="Arial"/>
          <w:sz w:val="16"/>
          <w:szCs w:val="16"/>
        </w:rPr>
        <w:t xml:space="preserve">above the pre-crisis level). </w:t>
      </w:r>
      <w:r>
        <w:rPr>
          <w:rFonts w:ascii="Arial" w:hAnsi="Arial" w:cs="Arial"/>
          <w:sz w:val="16"/>
          <w:szCs w:val="16"/>
        </w:rPr>
        <w:t>O</w:t>
      </w:r>
      <w:r w:rsidRPr="00A21E67">
        <w:rPr>
          <w:rFonts w:ascii="Arial" w:hAnsi="Arial" w:cs="Arial"/>
          <w:sz w:val="16"/>
          <w:szCs w:val="16"/>
        </w:rPr>
        <w:t xml:space="preserve">n the </w:t>
      </w:r>
      <w:r>
        <w:rPr>
          <w:rFonts w:ascii="Arial" w:hAnsi="Arial" w:cs="Arial"/>
          <w:sz w:val="16"/>
          <w:szCs w:val="16"/>
        </w:rPr>
        <w:t>contrary</w:t>
      </w:r>
      <w:r w:rsidRPr="00A21E67">
        <w:rPr>
          <w:rFonts w:ascii="Arial" w:hAnsi="Arial" w:cs="Arial"/>
          <w:sz w:val="16"/>
          <w:szCs w:val="16"/>
        </w:rPr>
        <w:t>, construction lagged behind by 6.5%</w:t>
      </w:r>
      <w:r>
        <w:rPr>
          <w:rFonts w:ascii="Arial" w:hAnsi="Arial" w:cs="Arial"/>
          <w:sz w:val="16"/>
          <w:szCs w:val="16"/>
        </w:rPr>
        <w:t xml:space="preserve"> in the Czech Republic</w:t>
      </w:r>
      <w:r w:rsidRPr="00A21E67">
        <w:rPr>
          <w:rFonts w:ascii="Arial" w:hAnsi="Arial" w:cs="Arial"/>
          <w:sz w:val="16"/>
          <w:szCs w:val="16"/>
        </w:rPr>
        <w:t xml:space="preserve"> (of which</w:t>
      </w:r>
      <w:r>
        <w:rPr>
          <w:rFonts w:ascii="Arial" w:hAnsi="Arial" w:cs="Arial"/>
          <w:sz w:val="16"/>
          <w:szCs w:val="16"/>
        </w:rPr>
        <w:t xml:space="preserve"> building </w:t>
      </w:r>
      <w:r w:rsidRPr="00A21E67">
        <w:rPr>
          <w:rFonts w:ascii="Arial" w:hAnsi="Arial" w:cs="Arial"/>
          <w:sz w:val="16"/>
          <w:szCs w:val="16"/>
        </w:rPr>
        <w:t>construction</w:t>
      </w:r>
      <w:r>
        <w:rPr>
          <w:rFonts w:ascii="Arial" w:hAnsi="Arial" w:cs="Arial"/>
          <w:sz w:val="16"/>
          <w:szCs w:val="16"/>
        </w:rPr>
        <w:t xml:space="preserve"> </w:t>
      </w:r>
      <w:r w:rsidRPr="00A21E67">
        <w:rPr>
          <w:rFonts w:ascii="Arial" w:hAnsi="Arial" w:cs="Arial"/>
          <w:sz w:val="16"/>
          <w:szCs w:val="16"/>
        </w:rPr>
        <w:t xml:space="preserve">by 16% and specialized construction activities by 5%), similar to Germany. Slovakia (-32%) and, despite the current recovery, Spain (-18%) were the most lagging behind. On the other hand, production was above the 2019 level in about </w:t>
      </w:r>
      <w:r>
        <w:rPr>
          <w:rFonts w:ascii="Arial" w:hAnsi="Arial" w:cs="Arial"/>
          <w:sz w:val="16"/>
          <w:szCs w:val="16"/>
        </w:rPr>
        <w:t xml:space="preserve">one </w:t>
      </w:r>
      <w:r w:rsidRPr="00A21E67">
        <w:rPr>
          <w:rFonts w:ascii="Arial" w:hAnsi="Arial" w:cs="Arial"/>
          <w:sz w:val="16"/>
          <w:szCs w:val="16"/>
        </w:rPr>
        <w:t>half of the Member States</w:t>
      </w:r>
      <w:r>
        <w:rPr>
          <w:rFonts w:ascii="Arial" w:hAnsi="Arial" w:cs="Arial"/>
          <w:sz w:val="16"/>
          <w:szCs w:val="16"/>
        </w:rPr>
        <w:t xml:space="preserve"> - the</w:t>
      </w:r>
      <w:r w:rsidRPr="00A21E67">
        <w:rPr>
          <w:rFonts w:ascii="Arial" w:hAnsi="Arial" w:cs="Arial"/>
          <w:sz w:val="16"/>
          <w:szCs w:val="16"/>
        </w:rPr>
        <w:t xml:space="preserve"> most notably in Italy (+58%), Romania (+42%) and Slovenia (+31%).</w:t>
      </w:r>
      <w:r>
        <w:rPr>
          <w:rFonts w:ascii="Arial" w:hAnsi="Arial" w:cs="Arial"/>
          <w:sz w:val="16"/>
          <w:szCs w:val="16"/>
        </w:rPr>
        <w:t xml:space="preserve"> </w:t>
      </w:r>
    </w:p>
  </w:footnote>
  <w:footnote w:id="32">
    <w:p w14:paraId="5E94C5C8" w14:textId="77777777" w:rsidR="006145FA" w:rsidRPr="00282736" w:rsidRDefault="006145FA" w:rsidP="00803507">
      <w:pPr>
        <w:spacing w:after="0" w:line="240" w:lineRule="auto"/>
        <w:rPr>
          <w:lang w:val="en-GB"/>
        </w:rPr>
      </w:pPr>
      <w:r w:rsidRPr="0097315A">
        <w:rPr>
          <w:rStyle w:val="Znakapoznpodarou"/>
          <w:color w:val="0D0D0D" w:themeColor="text1" w:themeTint="F2"/>
          <w:sz w:val="16"/>
          <w:szCs w:val="16"/>
        </w:rPr>
        <w:footnoteRef/>
      </w:r>
      <w:r w:rsidRPr="0097315A">
        <w:rPr>
          <w:color w:val="0D0D0D" w:themeColor="text1" w:themeTint="F2"/>
          <w:sz w:val="16"/>
          <w:szCs w:val="16"/>
        </w:rPr>
        <w:t xml:space="preserve"> </w:t>
      </w:r>
      <w:r w:rsidRPr="00282736">
        <w:rPr>
          <w:color w:val="0D0D0D" w:themeColor="text1" w:themeTint="F2"/>
          <w:spacing w:val="-6"/>
          <w:sz w:val="16"/>
          <w:szCs w:val="16"/>
          <w:lang w:val="en-GB"/>
        </w:rPr>
        <w:t xml:space="preserve">Without trade, financial and insurance activities, science, research and public services. All data for services are in constant prices, year-on-year data are adjusted for calendar effects, quarter-on-quarter data are adjusted for seasonal effects (including the effect of the number of working days). </w:t>
      </w:r>
    </w:p>
  </w:footnote>
  <w:footnote w:id="33">
    <w:p w14:paraId="0C746C91" w14:textId="768A9924" w:rsidR="006145FA" w:rsidRPr="00282736" w:rsidRDefault="006145FA" w:rsidP="00803507">
      <w:pPr>
        <w:pStyle w:val="Textpoznpodarou"/>
        <w:jc w:val="both"/>
        <w:rPr>
          <w:sz w:val="16"/>
          <w:szCs w:val="16"/>
          <w:lang w:val="en-GB"/>
        </w:rPr>
      </w:pPr>
      <w:r w:rsidRPr="00282736">
        <w:rPr>
          <w:rStyle w:val="Znakapoznpodarou"/>
          <w:sz w:val="16"/>
          <w:szCs w:val="16"/>
          <w:lang w:val="en-GB"/>
        </w:rPr>
        <w:footnoteRef/>
      </w:r>
      <w:r w:rsidRPr="00282736">
        <w:rPr>
          <w:sz w:val="16"/>
          <w:szCs w:val="16"/>
          <w:lang w:val="en-GB"/>
        </w:rPr>
        <w:t xml:space="preserve"> </w:t>
      </w:r>
      <w:bookmarkStart w:id="7" w:name="_Hlk194769596"/>
      <w:r w:rsidRPr="00282736">
        <w:rPr>
          <w:sz w:val="16"/>
          <w:szCs w:val="16"/>
        </w:rPr>
        <w:t xml:space="preserve">Of the main economic activities, information and communication exceeded their sales level from Q4 2019 the most at the end of last year (+9.7%). On the </w:t>
      </w:r>
      <w:r>
        <w:rPr>
          <w:sz w:val="16"/>
          <w:szCs w:val="16"/>
        </w:rPr>
        <w:t>contrary</w:t>
      </w:r>
      <w:r w:rsidRPr="00282736">
        <w:rPr>
          <w:sz w:val="16"/>
          <w:szCs w:val="16"/>
        </w:rPr>
        <w:t xml:space="preserve">, </w:t>
      </w:r>
      <w:r>
        <w:rPr>
          <w:sz w:val="16"/>
          <w:szCs w:val="16"/>
        </w:rPr>
        <w:t xml:space="preserve">mainly </w:t>
      </w:r>
      <w:r w:rsidRPr="00282736">
        <w:rPr>
          <w:sz w:val="16"/>
          <w:szCs w:val="16"/>
        </w:rPr>
        <w:t>accommodation</w:t>
      </w:r>
      <w:r>
        <w:rPr>
          <w:sz w:val="16"/>
          <w:szCs w:val="16"/>
        </w:rPr>
        <w:t xml:space="preserve">, </w:t>
      </w:r>
      <w:r w:rsidRPr="00282736">
        <w:rPr>
          <w:sz w:val="16"/>
          <w:szCs w:val="16"/>
        </w:rPr>
        <w:t>food service</w:t>
      </w:r>
      <w:r>
        <w:rPr>
          <w:sz w:val="16"/>
          <w:szCs w:val="16"/>
        </w:rPr>
        <w:t xml:space="preserve"> and restaurants </w:t>
      </w:r>
      <w:r w:rsidRPr="00282736">
        <w:rPr>
          <w:sz w:val="16"/>
          <w:szCs w:val="16"/>
        </w:rPr>
        <w:t>(−</w:t>
      </w:r>
      <w:r>
        <w:rPr>
          <w:sz w:val="16"/>
          <w:szCs w:val="16"/>
        </w:rPr>
        <w:t>19.0</w:t>
      </w:r>
      <w:r w:rsidRPr="00282736">
        <w:rPr>
          <w:sz w:val="16"/>
          <w:szCs w:val="16"/>
        </w:rPr>
        <w:t>%) and administrative and support service activities (−4.8%) lagged behind.</w:t>
      </w:r>
      <w:r>
        <w:rPr>
          <w:sz w:val="16"/>
          <w:szCs w:val="16"/>
        </w:rPr>
        <w:t xml:space="preserve"> </w:t>
      </w:r>
      <w:bookmarkEnd w:id="7"/>
    </w:p>
  </w:footnote>
  <w:footnote w:id="34">
    <w:p w14:paraId="6975A128" w14:textId="77777777" w:rsidR="006145FA" w:rsidRPr="00282736" w:rsidRDefault="006145FA" w:rsidP="00803507">
      <w:pPr>
        <w:pStyle w:val="Textpoznpodarou"/>
        <w:jc w:val="both"/>
        <w:rPr>
          <w:sz w:val="16"/>
          <w:szCs w:val="16"/>
          <w:lang w:val="en-GB"/>
        </w:rPr>
      </w:pPr>
      <w:r w:rsidRPr="00282736">
        <w:rPr>
          <w:rStyle w:val="Znakapoznpodarou"/>
          <w:sz w:val="16"/>
          <w:szCs w:val="16"/>
          <w:lang w:val="en-GB"/>
        </w:rPr>
        <w:footnoteRef/>
      </w:r>
      <w:r w:rsidRPr="00282736">
        <w:rPr>
          <w:sz w:val="16"/>
          <w:szCs w:val="16"/>
          <w:lang w:val="en-GB"/>
        </w:rPr>
        <w:t xml:space="preserve"> </w:t>
      </w:r>
      <w:r w:rsidRPr="00A06FD3">
        <w:rPr>
          <w:sz w:val="16"/>
          <w:szCs w:val="16"/>
        </w:rPr>
        <w:t xml:space="preserve">This also includes the marginal segment </w:t>
      </w:r>
      <w:r>
        <w:rPr>
          <w:sz w:val="16"/>
          <w:szCs w:val="16"/>
        </w:rPr>
        <w:t xml:space="preserve">in terms of weight </w:t>
      </w:r>
      <w:r w:rsidRPr="00A06FD3">
        <w:rPr>
          <w:sz w:val="16"/>
          <w:szCs w:val="16"/>
        </w:rPr>
        <w:t>of transport</w:t>
      </w:r>
      <w:r>
        <w:rPr>
          <w:sz w:val="16"/>
          <w:szCs w:val="16"/>
        </w:rPr>
        <w:t xml:space="preserve"> via pipeline. </w:t>
      </w:r>
    </w:p>
  </w:footnote>
  <w:footnote w:id="35">
    <w:p w14:paraId="60B47B5B" w14:textId="79D280D7" w:rsidR="006145FA" w:rsidRPr="00AD0889" w:rsidRDefault="006145FA" w:rsidP="00803507">
      <w:pPr>
        <w:pStyle w:val="Textpoznpodarou"/>
        <w:jc w:val="both"/>
        <w:rPr>
          <w:sz w:val="16"/>
          <w:szCs w:val="16"/>
          <w:lang w:val="en-GB"/>
        </w:rPr>
      </w:pPr>
      <w:r w:rsidRPr="00282736">
        <w:rPr>
          <w:rStyle w:val="Znakapoznpodarou"/>
          <w:sz w:val="16"/>
          <w:szCs w:val="16"/>
          <w:lang w:val="en-GB"/>
        </w:rPr>
        <w:footnoteRef/>
      </w:r>
      <w:r w:rsidRPr="00282736">
        <w:rPr>
          <w:sz w:val="16"/>
          <w:szCs w:val="16"/>
          <w:lang w:val="en-GB"/>
        </w:rPr>
        <w:t xml:space="preserve"> </w:t>
      </w:r>
      <w:bookmarkStart w:id="9" w:name="_Hlk194771403"/>
      <w:r w:rsidRPr="00496AC2">
        <w:rPr>
          <w:sz w:val="16"/>
          <w:szCs w:val="16"/>
        </w:rPr>
        <w:t xml:space="preserve">According to </w:t>
      </w:r>
      <w:r>
        <w:rPr>
          <w:sz w:val="16"/>
          <w:szCs w:val="16"/>
        </w:rPr>
        <w:t xml:space="preserve">the </w:t>
      </w:r>
      <w:r w:rsidRPr="00496AC2">
        <w:rPr>
          <w:sz w:val="16"/>
          <w:szCs w:val="16"/>
        </w:rPr>
        <w:t xml:space="preserve">preliminary results of the Ministry of Transport of the Czech Republic, the number of passengers carried in rail transport </w:t>
      </w:r>
      <w:r>
        <w:rPr>
          <w:sz w:val="16"/>
          <w:szCs w:val="16"/>
        </w:rPr>
        <w:t xml:space="preserve">expanded year-on-year by </w:t>
      </w:r>
      <w:r w:rsidRPr="00496AC2">
        <w:rPr>
          <w:sz w:val="16"/>
          <w:szCs w:val="16"/>
        </w:rPr>
        <w:t xml:space="preserve">4.7%, in </w:t>
      </w:r>
      <w:r>
        <w:rPr>
          <w:sz w:val="16"/>
          <w:szCs w:val="16"/>
        </w:rPr>
        <w:t>u</w:t>
      </w:r>
      <w:r w:rsidRPr="0036127F">
        <w:rPr>
          <w:sz w:val="16"/>
          <w:szCs w:val="16"/>
        </w:rPr>
        <w:t>rban public passenger transport</w:t>
      </w:r>
      <w:r>
        <w:rPr>
          <w:sz w:val="16"/>
          <w:szCs w:val="16"/>
        </w:rPr>
        <w:t xml:space="preserve"> </w:t>
      </w:r>
      <w:r w:rsidRPr="00496AC2">
        <w:rPr>
          <w:sz w:val="16"/>
          <w:szCs w:val="16"/>
        </w:rPr>
        <w:t xml:space="preserve">by 1.5% and in bus transport </w:t>
      </w:r>
      <w:r>
        <w:rPr>
          <w:sz w:val="16"/>
          <w:szCs w:val="16"/>
        </w:rPr>
        <w:t xml:space="preserve">on the contrary fell </w:t>
      </w:r>
      <w:r w:rsidRPr="00496AC2">
        <w:rPr>
          <w:sz w:val="16"/>
          <w:szCs w:val="16"/>
        </w:rPr>
        <w:t xml:space="preserve">by 2.9% in Q1 to Q3 last year. </w:t>
      </w:r>
      <w:r>
        <w:rPr>
          <w:sz w:val="16"/>
          <w:szCs w:val="16"/>
        </w:rPr>
        <w:t xml:space="preserve">Nevertheless, </w:t>
      </w:r>
      <w:r w:rsidRPr="00496AC2">
        <w:rPr>
          <w:sz w:val="16"/>
          <w:szCs w:val="16"/>
        </w:rPr>
        <w:t xml:space="preserve">the number of </w:t>
      </w:r>
      <w:r>
        <w:rPr>
          <w:sz w:val="16"/>
          <w:szCs w:val="16"/>
        </w:rPr>
        <w:t xml:space="preserve">passengers </w:t>
      </w:r>
      <w:r w:rsidRPr="00496AC2">
        <w:rPr>
          <w:sz w:val="16"/>
          <w:szCs w:val="16"/>
        </w:rPr>
        <w:t>transported and achieved transport performance (in passenger-kilometres) is still</w:t>
      </w:r>
      <w:r>
        <w:rPr>
          <w:sz w:val="16"/>
          <w:szCs w:val="16"/>
        </w:rPr>
        <w:t xml:space="preserve"> in all cases</w:t>
      </w:r>
      <w:r w:rsidRPr="00496AC2">
        <w:rPr>
          <w:sz w:val="16"/>
          <w:szCs w:val="16"/>
        </w:rPr>
        <w:t xml:space="preserve"> below the 2019 level. Last year's performance was favourably influenced mainly by the development of long-distance and international transport, </w:t>
      </w:r>
      <w:r>
        <w:rPr>
          <w:sz w:val="16"/>
          <w:szCs w:val="16"/>
        </w:rPr>
        <w:t>however th</w:t>
      </w:r>
      <w:r w:rsidRPr="00496AC2">
        <w:rPr>
          <w:sz w:val="16"/>
          <w:szCs w:val="16"/>
        </w:rPr>
        <w:t xml:space="preserve">e growth </w:t>
      </w:r>
      <w:r>
        <w:rPr>
          <w:sz w:val="16"/>
          <w:szCs w:val="16"/>
        </w:rPr>
        <w:t>of</w:t>
      </w:r>
      <w:r w:rsidRPr="00496AC2">
        <w:rPr>
          <w:sz w:val="16"/>
          <w:szCs w:val="16"/>
        </w:rPr>
        <w:t xml:space="preserve"> domestic rail freight transport was partly dampened by the impacts of the September floods (due to which </w:t>
      </w:r>
      <w:r w:rsidRPr="00AD0889">
        <w:rPr>
          <w:sz w:val="16"/>
          <w:szCs w:val="16"/>
          <w:lang w:val="en-GB"/>
        </w:rPr>
        <w:t>the transport on the main railway corridor to Ostrava was temporarily suspended). Growth of freight transport performance was driven mainly by road transport in Q1 and Q3 2024, where the performance (in tonne-kilometres) increased by 6.9%, year-on-year.</w:t>
      </w:r>
      <w:bookmarkEnd w:id="9"/>
    </w:p>
  </w:footnote>
  <w:footnote w:id="36">
    <w:p w14:paraId="06ED4D9F" w14:textId="35F2A13E" w:rsidR="006145FA" w:rsidRPr="00AD0889" w:rsidRDefault="006145FA" w:rsidP="00803507">
      <w:pPr>
        <w:pStyle w:val="Textpoznpodarou"/>
        <w:jc w:val="both"/>
        <w:rPr>
          <w:sz w:val="16"/>
          <w:szCs w:val="16"/>
          <w:lang w:val="en-GB"/>
        </w:rPr>
      </w:pPr>
      <w:r w:rsidRPr="00AD0889">
        <w:rPr>
          <w:rStyle w:val="Znakapoznpodarou"/>
          <w:sz w:val="16"/>
          <w:szCs w:val="16"/>
          <w:lang w:val="en-GB"/>
        </w:rPr>
        <w:footnoteRef/>
      </w:r>
      <w:r>
        <w:rPr>
          <w:sz w:val="16"/>
          <w:szCs w:val="16"/>
          <w:lang w:val="en-GB"/>
        </w:rPr>
        <w:t xml:space="preserve"> S</w:t>
      </w:r>
      <w:r w:rsidRPr="00AD0889">
        <w:rPr>
          <w:sz w:val="16"/>
          <w:szCs w:val="16"/>
          <w:lang w:val="en-GB"/>
        </w:rPr>
        <w:t>ales in accommodation decreased by 2.5%, y</w:t>
      </w:r>
      <w:r>
        <w:rPr>
          <w:sz w:val="16"/>
          <w:szCs w:val="16"/>
          <w:lang w:val="en-GB"/>
        </w:rPr>
        <w:t>ear</w:t>
      </w:r>
      <w:r w:rsidRPr="00AD0889">
        <w:rPr>
          <w:sz w:val="16"/>
          <w:szCs w:val="16"/>
          <w:lang w:val="en-GB"/>
        </w:rPr>
        <w:t>-o</w:t>
      </w:r>
      <w:r>
        <w:rPr>
          <w:sz w:val="16"/>
          <w:szCs w:val="16"/>
          <w:lang w:val="en-GB"/>
        </w:rPr>
        <w:t>n</w:t>
      </w:r>
      <w:r w:rsidRPr="00AD0889">
        <w:rPr>
          <w:sz w:val="16"/>
          <w:szCs w:val="16"/>
          <w:lang w:val="en-GB"/>
        </w:rPr>
        <w:t>-y</w:t>
      </w:r>
      <w:r>
        <w:rPr>
          <w:sz w:val="16"/>
          <w:szCs w:val="16"/>
          <w:lang w:val="en-GB"/>
        </w:rPr>
        <w:t>ear</w:t>
      </w:r>
      <w:r w:rsidRPr="00AD0889">
        <w:rPr>
          <w:sz w:val="16"/>
          <w:szCs w:val="16"/>
          <w:lang w:val="en-GB"/>
        </w:rPr>
        <w:t xml:space="preserve">, </w:t>
      </w:r>
      <w:r>
        <w:rPr>
          <w:sz w:val="16"/>
          <w:szCs w:val="16"/>
          <w:lang w:val="en-GB"/>
        </w:rPr>
        <w:t>i</w:t>
      </w:r>
      <w:r w:rsidRPr="00AD0889">
        <w:rPr>
          <w:sz w:val="16"/>
          <w:szCs w:val="16"/>
          <w:lang w:val="en-GB"/>
        </w:rPr>
        <w:t>n Q3 2024</w:t>
      </w:r>
      <w:r>
        <w:rPr>
          <w:sz w:val="16"/>
          <w:szCs w:val="16"/>
          <w:lang w:val="en-GB"/>
        </w:rPr>
        <w:t xml:space="preserve"> </w:t>
      </w:r>
      <w:r w:rsidRPr="00AD0889">
        <w:rPr>
          <w:sz w:val="16"/>
          <w:szCs w:val="16"/>
          <w:lang w:val="en-GB"/>
        </w:rPr>
        <w:t>and by 1.9%</w:t>
      </w:r>
      <w:r>
        <w:rPr>
          <w:sz w:val="16"/>
          <w:szCs w:val="16"/>
          <w:lang w:val="en-GB"/>
        </w:rPr>
        <w:t xml:space="preserve"> in food service and restaurants</w:t>
      </w:r>
      <w:r w:rsidRPr="00AD0889">
        <w:rPr>
          <w:sz w:val="16"/>
          <w:szCs w:val="16"/>
          <w:lang w:val="en-GB"/>
        </w:rPr>
        <w:t xml:space="preserve">. Although this </w:t>
      </w:r>
      <w:r>
        <w:rPr>
          <w:sz w:val="16"/>
          <w:szCs w:val="16"/>
          <w:lang w:val="en-GB"/>
        </w:rPr>
        <w:t xml:space="preserve">does not present </w:t>
      </w:r>
      <w:r w:rsidRPr="00AD0889">
        <w:rPr>
          <w:sz w:val="16"/>
          <w:szCs w:val="16"/>
          <w:lang w:val="en-GB"/>
        </w:rPr>
        <w:t xml:space="preserve">a significant downturn, the simultaneous decline in both of the above-mentioned segments in the </w:t>
      </w:r>
      <w:r>
        <w:rPr>
          <w:sz w:val="16"/>
          <w:szCs w:val="16"/>
          <w:lang w:val="en-GB"/>
        </w:rPr>
        <w:t>summer</w:t>
      </w:r>
      <w:r w:rsidRPr="00AD0889">
        <w:rPr>
          <w:sz w:val="16"/>
          <w:szCs w:val="16"/>
          <w:lang w:val="en-GB"/>
        </w:rPr>
        <w:t xml:space="preserve"> tourist season has been unique in recent years (except for </w:t>
      </w:r>
      <w:r>
        <w:rPr>
          <w:sz w:val="16"/>
          <w:szCs w:val="16"/>
          <w:lang w:val="en-GB"/>
        </w:rPr>
        <w:t xml:space="preserve">pandemic year </w:t>
      </w:r>
      <w:r w:rsidRPr="00AD0889">
        <w:rPr>
          <w:sz w:val="16"/>
          <w:szCs w:val="16"/>
          <w:lang w:val="en-GB"/>
        </w:rPr>
        <w:t xml:space="preserve">2020, the last time </w:t>
      </w:r>
      <w:r>
        <w:rPr>
          <w:sz w:val="16"/>
          <w:szCs w:val="16"/>
          <w:lang w:val="en-GB"/>
        </w:rPr>
        <w:t xml:space="preserve">it </w:t>
      </w:r>
      <w:r w:rsidRPr="00AD0889">
        <w:rPr>
          <w:sz w:val="16"/>
          <w:szCs w:val="16"/>
          <w:lang w:val="en-GB"/>
        </w:rPr>
        <w:t>occurred was in 2009).</w:t>
      </w:r>
      <w:r>
        <w:rPr>
          <w:sz w:val="16"/>
          <w:szCs w:val="16"/>
          <w:lang w:val="en-GB"/>
        </w:rPr>
        <w:t xml:space="preserve"> </w:t>
      </w:r>
    </w:p>
  </w:footnote>
  <w:footnote w:id="37">
    <w:p w14:paraId="58C76E07" w14:textId="6CD82537" w:rsidR="006145FA" w:rsidRPr="00AD0889" w:rsidRDefault="006145FA" w:rsidP="00803507">
      <w:pPr>
        <w:pStyle w:val="Textpoznpodarou"/>
        <w:jc w:val="both"/>
        <w:rPr>
          <w:sz w:val="16"/>
          <w:szCs w:val="16"/>
          <w:lang w:val="en-GB"/>
        </w:rPr>
      </w:pPr>
      <w:r w:rsidRPr="00AD0889">
        <w:rPr>
          <w:rStyle w:val="Znakapoznpodarou"/>
          <w:sz w:val="16"/>
          <w:szCs w:val="16"/>
          <w:lang w:val="en-GB"/>
        </w:rPr>
        <w:footnoteRef/>
      </w:r>
      <w:r w:rsidRPr="00AD0889">
        <w:rPr>
          <w:sz w:val="16"/>
          <w:szCs w:val="16"/>
          <w:lang w:val="en-GB"/>
        </w:rPr>
        <w:t xml:space="preserve"> </w:t>
      </w:r>
      <w:bookmarkStart w:id="12" w:name="_Hlk194775368"/>
      <w:r w:rsidRPr="006145FA">
        <w:rPr>
          <w:spacing w:val="-2"/>
          <w:sz w:val="16"/>
          <w:szCs w:val="16"/>
          <w:lang w:val="en-GB"/>
        </w:rPr>
        <w:t>P</w:t>
      </w:r>
      <w:r w:rsidRPr="006145FA">
        <w:rPr>
          <w:spacing w:val="-2"/>
          <w:sz w:val="16"/>
          <w:szCs w:val="16"/>
        </w:rPr>
        <w:t xml:space="preserve">rices of accommodation services were raised by 9.2% and catering services by 7.4% in 2024. Compared to 2015, they were 92.5% higher in total both segments in December last year, while prices in the total consumer basket increased by "only" 52% over the same period. </w:t>
      </w:r>
    </w:p>
    <w:bookmarkEnd w:id="12"/>
  </w:footnote>
  <w:footnote w:id="38">
    <w:p w14:paraId="75D4F541" w14:textId="14606270" w:rsidR="006145FA" w:rsidRPr="008C2B87" w:rsidRDefault="006145FA" w:rsidP="00803507">
      <w:pPr>
        <w:pStyle w:val="paragraph"/>
        <w:spacing w:before="0" w:beforeAutospacing="0" w:after="0" w:afterAutospacing="0"/>
        <w:jc w:val="both"/>
        <w:textAlignment w:val="baseline"/>
        <w:rPr>
          <w:rFonts w:ascii="Arial" w:hAnsi="Arial" w:cs="Arial"/>
          <w:sz w:val="16"/>
          <w:szCs w:val="16"/>
          <w:lang w:val="en-GB"/>
        </w:rPr>
      </w:pPr>
      <w:r w:rsidRPr="00AD0889">
        <w:rPr>
          <w:rStyle w:val="Znakapoznpodarou"/>
          <w:rFonts w:ascii="Arial" w:hAnsi="Arial" w:cs="Arial"/>
          <w:sz w:val="16"/>
          <w:szCs w:val="16"/>
          <w:lang w:val="en-GB"/>
        </w:rPr>
        <w:footnoteRef/>
      </w:r>
      <w:r w:rsidRPr="00AD0889">
        <w:rPr>
          <w:rFonts w:ascii="Arial" w:hAnsi="Arial" w:cs="Arial"/>
          <w:sz w:val="16"/>
          <w:szCs w:val="16"/>
          <w:lang w:val="en-GB"/>
        </w:rPr>
        <w:t xml:space="preserve"> </w:t>
      </w:r>
      <w:bookmarkStart w:id="13" w:name="_Hlk194775767"/>
      <w:r w:rsidRPr="00AF1132">
        <w:rPr>
          <w:rFonts w:ascii="Arial" w:hAnsi="Arial" w:cs="Arial"/>
          <w:sz w:val="16"/>
          <w:szCs w:val="16"/>
        </w:rPr>
        <w:t xml:space="preserve">For the whole </w:t>
      </w:r>
      <w:r>
        <w:rPr>
          <w:rFonts w:ascii="Arial" w:hAnsi="Arial" w:cs="Arial"/>
          <w:sz w:val="16"/>
          <w:szCs w:val="16"/>
        </w:rPr>
        <w:t xml:space="preserve">year </w:t>
      </w:r>
      <w:r w:rsidRPr="00AF1132">
        <w:rPr>
          <w:rFonts w:ascii="Arial" w:hAnsi="Arial" w:cs="Arial"/>
          <w:sz w:val="16"/>
          <w:szCs w:val="16"/>
        </w:rPr>
        <w:t>2024, 22.8 mi</w:t>
      </w:r>
      <w:r>
        <w:rPr>
          <w:rFonts w:ascii="Arial" w:hAnsi="Arial" w:cs="Arial"/>
          <w:sz w:val="16"/>
          <w:szCs w:val="16"/>
        </w:rPr>
        <w:t xml:space="preserve">l </w:t>
      </w:r>
      <w:r w:rsidRPr="00AF1132">
        <w:rPr>
          <w:rFonts w:ascii="Arial" w:hAnsi="Arial" w:cs="Arial"/>
          <w:sz w:val="16"/>
          <w:szCs w:val="16"/>
        </w:rPr>
        <w:t xml:space="preserve">guests </w:t>
      </w:r>
      <w:r>
        <w:rPr>
          <w:rFonts w:ascii="Arial" w:hAnsi="Arial" w:cs="Arial"/>
          <w:sz w:val="16"/>
          <w:szCs w:val="16"/>
        </w:rPr>
        <w:t xml:space="preserve">arrived to mass accommodation facilities (MAF) </w:t>
      </w:r>
      <w:r w:rsidRPr="00AF1132">
        <w:rPr>
          <w:rFonts w:ascii="Arial" w:hAnsi="Arial" w:cs="Arial"/>
          <w:sz w:val="16"/>
          <w:szCs w:val="16"/>
        </w:rPr>
        <w:t>in the Czech Republic, spending 57.3 mil</w:t>
      </w:r>
      <w:r>
        <w:rPr>
          <w:rFonts w:ascii="Arial" w:hAnsi="Arial" w:cs="Arial"/>
          <w:sz w:val="16"/>
          <w:szCs w:val="16"/>
        </w:rPr>
        <w:t xml:space="preserve"> </w:t>
      </w:r>
      <w:r w:rsidRPr="00AF1132">
        <w:rPr>
          <w:rFonts w:ascii="Arial" w:hAnsi="Arial" w:cs="Arial"/>
          <w:sz w:val="16"/>
          <w:szCs w:val="16"/>
        </w:rPr>
        <w:t>nights here. The number of guests increased by 3.8%, y</w:t>
      </w:r>
      <w:r>
        <w:rPr>
          <w:rFonts w:ascii="Arial" w:hAnsi="Arial" w:cs="Arial"/>
          <w:sz w:val="16"/>
          <w:szCs w:val="16"/>
        </w:rPr>
        <w:t>ear</w:t>
      </w:r>
      <w:r w:rsidRPr="00AF1132">
        <w:rPr>
          <w:rFonts w:ascii="Arial" w:hAnsi="Arial" w:cs="Arial"/>
          <w:sz w:val="16"/>
          <w:szCs w:val="16"/>
        </w:rPr>
        <w:t>-o</w:t>
      </w:r>
      <w:r>
        <w:rPr>
          <w:rFonts w:ascii="Arial" w:hAnsi="Arial" w:cs="Arial"/>
          <w:sz w:val="16"/>
          <w:szCs w:val="16"/>
        </w:rPr>
        <w:t>n</w:t>
      </w:r>
      <w:r w:rsidRPr="00AF1132">
        <w:rPr>
          <w:rFonts w:ascii="Arial" w:hAnsi="Arial" w:cs="Arial"/>
          <w:sz w:val="16"/>
          <w:szCs w:val="16"/>
        </w:rPr>
        <w:t>-y</w:t>
      </w:r>
      <w:r>
        <w:rPr>
          <w:rFonts w:ascii="Arial" w:hAnsi="Arial" w:cs="Arial"/>
          <w:sz w:val="16"/>
          <w:szCs w:val="16"/>
        </w:rPr>
        <w:t>ear</w:t>
      </w:r>
      <w:r w:rsidRPr="00AF1132">
        <w:rPr>
          <w:rFonts w:ascii="Arial" w:hAnsi="Arial" w:cs="Arial"/>
          <w:sz w:val="16"/>
          <w:szCs w:val="16"/>
        </w:rPr>
        <w:t xml:space="preserve">, and their overnight stays by 2.6%. According to both indicators, tourism grew continuously for the fourth year in a row. </w:t>
      </w:r>
      <w:r>
        <w:rPr>
          <w:rFonts w:ascii="Arial" w:hAnsi="Arial" w:cs="Arial"/>
          <w:sz w:val="16"/>
          <w:szCs w:val="16"/>
        </w:rPr>
        <w:t xml:space="preserve">At the same time, </w:t>
      </w:r>
      <w:r w:rsidRPr="00AF1132">
        <w:rPr>
          <w:rFonts w:ascii="Arial" w:hAnsi="Arial" w:cs="Arial"/>
          <w:sz w:val="16"/>
          <w:szCs w:val="16"/>
        </w:rPr>
        <w:t>it exceeded the record level from the pre-crisis year 2019</w:t>
      </w:r>
      <w:r>
        <w:rPr>
          <w:rFonts w:ascii="Arial" w:hAnsi="Arial" w:cs="Arial"/>
          <w:sz w:val="16"/>
          <w:szCs w:val="16"/>
        </w:rPr>
        <w:t xml:space="preserve"> last year for the first time</w:t>
      </w:r>
      <w:r w:rsidRPr="00AF1132">
        <w:rPr>
          <w:rFonts w:ascii="Arial" w:hAnsi="Arial" w:cs="Arial"/>
          <w:sz w:val="16"/>
          <w:szCs w:val="16"/>
        </w:rPr>
        <w:t xml:space="preserve"> – by 3.7% for guests and by 0.5% for overnight stays. However, </w:t>
      </w:r>
      <w:r>
        <w:rPr>
          <w:rFonts w:ascii="Arial" w:hAnsi="Arial" w:cs="Arial"/>
          <w:sz w:val="16"/>
          <w:szCs w:val="16"/>
        </w:rPr>
        <w:t xml:space="preserve">in that </w:t>
      </w:r>
      <w:r w:rsidRPr="00AF1132">
        <w:rPr>
          <w:rFonts w:ascii="Arial" w:hAnsi="Arial" w:cs="Arial"/>
          <w:sz w:val="16"/>
          <w:szCs w:val="16"/>
        </w:rPr>
        <w:t xml:space="preserve">foreign </w:t>
      </w:r>
      <w:r>
        <w:rPr>
          <w:rFonts w:ascii="Arial" w:hAnsi="Arial" w:cs="Arial"/>
          <w:sz w:val="16"/>
          <w:szCs w:val="16"/>
        </w:rPr>
        <w:t>gues</w:t>
      </w:r>
      <w:r w:rsidRPr="00AF1132">
        <w:rPr>
          <w:rFonts w:ascii="Arial" w:hAnsi="Arial" w:cs="Arial"/>
          <w:sz w:val="16"/>
          <w:szCs w:val="16"/>
        </w:rPr>
        <w:t xml:space="preserve">ts still lagged slightly behind (by 3.7% and 6.1%, respectively), as </w:t>
      </w:r>
      <w:r>
        <w:rPr>
          <w:rFonts w:ascii="Arial" w:hAnsi="Arial" w:cs="Arial"/>
          <w:sz w:val="16"/>
          <w:szCs w:val="16"/>
        </w:rPr>
        <w:t xml:space="preserve">mainly the </w:t>
      </w:r>
      <w:r w:rsidRPr="00AF1132">
        <w:rPr>
          <w:rFonts w:ascii="Arial" w:hAnsi="Arial" w:cs="Arial"/>
          <w:sz w:val="16"/>
          <w:szCs w:val="16"/>
        </w:rPr>
        <w:t xml:space="preserve">demand from Russia and </w:t>
      </w:r>
      <w:r>
        <w:rPr>
          <w:rFonts w:ascii="Arial" w:hAnsi="Arial" w:cs="Arial"/>
          <w:sz w:val="16"/>
          <w:szCs w:val="16"/>
        </w:rPr>
        <w:t xml:space="preserve">distant </w:t>
      </w:r>
      <w:r w:rsidRPr="00AF1132">
        <w:rPr>
          <w:rFonts w:ascii="Arial" w:hAnsi="Arial" w:cs="Arial"/>
          <w:sz w:val="16"/>
          <w:szCs w:val="16"/>
        </w:rPr>
        <w:t xml:space="preserve">Asian countries was missing. </w:t>
      </w:r>
      <w:r>
        <w:rPr>
          <w:rFonts w:ascii="Arial" w:hAnsi="Arial" w:cs="Arial"/>
          <w:sz w:val="16"/>
          <w:szCs w:val="16"/>
        </w:rPr>
        <w:t xml:space="preserve">Of the most numerous </w:t>
      </w:r>
      <w:r w:rsidRPr="00AF1132">
        <w:rPr>
          <w:rFonts w:ascii="Arial" w:hAnsi="Arial" w:cs="Arial"/>
          <w:sz w:val="16"/>
          <w:szCs w:val="16"/>
        </w:rPr>
        <w:t xml:space="preserve">foreign guests, the number of overnight stays increased the most </w:t>
      </w:r>
      <w:r>
        <w:rPr>
          <w:rFonts w:ascii="Arial" w:hAnsi="Arial" w:cs="Arial"/>
          <w:sz w:val="16"/>
          <w:szCs w:val="16"/>
        </w:rPr>
        <w:t xml:space="preserve">for the citizens of </w:t>
      </w:r>
      <w:r w:rsidRPr="00AF1132">
        <w:rPr>
          <w:rFonts w:ascii="Arial" w:hAnsi="Arial" w:cs="Arial"/>
          <w:sz w:val="16"/>
          <w:szCs w:val="16"/>
        </w:rPr>
        <w:t xml:space="preserve">Israel (+48%) and Spain (+20%), the least </w:t>
      </w:r>
      <w:r>
        <w:rPr>
          <w:rFonts w:ascii="Arial" w:hAnsi="Arial" w:cs="Arial"/>
          <w:sz w:val="16"/>
          <w:szCs w:val="16"/>
        </w:rPr>
        <w:t xml:space="preserve">for </w:t>
      </w:r>
      <w:r w:rsidRPr="00AF1132">
        <w:rPr>
          <w:rFonts w:ascii="Arial" w:hAnsi="Arial" w:cs="Arial"/>
          <w:sz w:val="16"/>
          <w:szCs w:val="16"/>
        </w:rPr>
        <w:t>Germany (+3.4%) and Slovakia (+4.0%)</w:t>
      </w:r>
      <w:r>
        <w:rPr>
          <w:rFonts w:ascii="Arial" w:hAnsi="Arial" w:cs="Arial"/>
          <w:sz w:val="16"/>
          <w:szCs w:val="16"/>
        </w:rPr>
        <w:t xml:space="preserve"> last year</w:t>
      </w:r>
      <w:r w:rsidRPr="00AF1132">
        <w:rPr>
          <w:rFonts w:ascii="Arial" w:hAnsi="Arial" w:cs="Arial"/>
          <w:sz w:val="16"/>
          <w:szCs w:val="16"/>
        </w:rPr>
        <w:t xml:space="preserve">. </w:t>
      </w:r>
      <w:r>
        <w:rPr>
          <w:rFonts w:ascii="Arial" w:hAnsi="Arial" w:cs="Arial"/>
          <w:sz w:val="16"/>
          <w:szCs w:val="16"/>
        </w:rPr>
        <w:t>T</w:t>
      </w:r>
      <w:r w:rsidRPr="00AF1132">
        <w:rPr>
          <w:rFonts w:ascii="Arial" w:hAnsi="Arial" w:cs="Arial"/>
          <w:sz w:val="16"/>
          <w:szCs w:val="16"/>
        </w:rPr>
        <w:t>he demand of domestic guests fell</w:t>
      </w:r>
      <w:r>
        <w:rPr>
          <w:rFonts w:ascii="Arial" w:hAnsi="Arial" w:cs="Arial"/>
          <w:sz w:val="16"/>
          <w:szCs w:val="16"/>
        </w:rPr>
        <w:t>,</w:t>
      </w:r>
      <w:r w:rsidRPr="00AF1132">
        <w:rPr>
          <w:rFonts w:ascii="Arial" w:hAnsi="Arial" w:cs="Arial"/>
          <w:sz w:val="16"/>
          <w:szCs w:val="16"/>
        </w:rPr>
        <w:t xml:space="preserve"> year-on-year</w:t>
      </w:r>
      <w:r>
        <w:rPr>
          <w:rFonts w:ascii="Arial" w:hAnsi="Arial" w:cs="Arial"/>
          <w:sz w:val="16"/>
          <w:szCs w:val="16"/>
        </w:rPr>
        <w:t>, for the first time after three years last year</w:t>
      </w:r>
      <w:r w:rsidRPr="00AF1132">
        <w:rPr>
          <w:rFonts w:ascii="Arial" w:hAnsi="Arial" w:cs="Arial"/>
          <w:sz w:val="16"/>
          <w:szCs w:val="16"/>
        </w:rPr>
        <w:t xml:space="preserve"> (guests: -0.7%, </w:t>
      </w:r>
      <w:r>
        <w:rPr>
          <w:rFonts w:ascii="Arial" w:hAnsi="Arial" w:cs="Arial"/>
          <w:sz w:val="16"/>
          <w:szCs w:val="16"/>
        </w:rPr>
        <w:t>overnight stays</w:t>
      </w:r>
      <w:r w:rsidRPr="00AF1132">
        <w:rPr>
          <w:rFonts w:ascii="Arial" w:hAnsi="Arial" w:cs="Arial"/>
          <w:sz w:val="16"/>
          <w:szCs w:val="16"/>
        </w:rPr>
        <w:t xml:space="preserve">: -2.2%). This was mainly due to the weaker </w:t>
      </w:r>
      <w:r>
        <w:rPr>
          <w:rFonts w:ascii="Arial" w:hAnsi="Arial" w:cs="Arial"/>
          <w:sz w:val="16"/>
          <w:szCs w:val="16"/>
        </w:rPr>
        <w:t>Su</w:t>
      </w:r>
      <w:r w:rsidRPr="00AF1132">
        <w:rPr>
          <w:rFonts w:ascii="Arial" w:hAnsi="Arial" w:cs="Arial"/>
          <w:sz w:val="16"/>
          <w:szCs w:val="16"/>
        </w:rPr>
        <w:t xml:space="preserve">mmer season, when a larger part of Czech households </w:t>
      </w:r>
      <w:r>
        <w:rPr>
          <w:rFonts w:ascii="Arial" w:hAnsi="Arial" w:cs="Arial"/>
          <w:sz w:val="16"/>
          <w:szCs w:val="16"/>
        </w:rPr>
        <w:t xml:space="preserve">likely </w:t>
      </w:r>
      <w:r w:rsidRPr="00AF1132">
        <w:rPr>
          <w:rFonts w:ascii="Arial" w:hAnsi="Arial" w:cs="Arial"/>
          <w:sz w:val="16"/>
          <w:szCs w:val="16"/>
        </w:rPr>
        <w:t xml:space="preserve">preferred various foreign stays, often under more </w:t>
      </w:r>
      <w:r>
        <w:rPr>
          <w:rFonts w:ascii="Arial" w:hAnsi="Arial" w:cs="Arial"/>
          <w:sz w:val="16"/>
          <w:szCs w:val="16"/>
        </w:rPr>
        <w:t xml:space="preserve">price </w:t>
      </w:r>
      <w:r w:rsidRPr="00AF1132">
        <w:rPr>
          <w:rFonts w:ascii="Arial" w:hAnsi="Arial" w:cs="Arial"/>
          <w:sz w:val="16"/>
          <w:szCs w:val="16"/>
        </w:rPr>
        <w:t>attractive conditions. The number of overnight stays of domestic guests fell</w:t>
      </w:r>
      <w:r>
        <w:rPr>
          <w:rFonts w:ascii="Arial" w:hAnsi="Arial" w:cs="Arial"/>
          <w:sz w:val="16"/>
          <w:szCs w:val="16"/>
        </w:rPr>
        <w:t>,</w:t>
      </w:r>
      <w:r w:rsidRPr="00AF1132">
        <w:rPr>
          <w:rFonts w:ascii="Arial" w:hAnsi="Arial" w:cs="Arial"/>
          <w:sz w:val="16"/>
          <w:szCs w:val="16"/>
        </w:rPr>
        <w:t xml:space="preserve"> year-on-year</w:t>
      </w:r>
      <w:r>
        <w:rPr>
          <w:rFonts w:ascii="Arial" w:hAnsi="Arial" w:cs="Arial"/>
          <w:sz w:val="16"/>
          <w:szCs w:val="16"/>
        </w:rPr>
        <w:t>,</w:t>
      </w:r>
      <w:r w:rsidRPr="00AF1132">
        <w:rPr>
          <w:rFonts w:ascii="Arial" w:hAnsi="Arial" w:cs="Arial"/>
          <w:sz w:val="16"/>
          <w:szCs w:val="16"/>
        </w:rPr>
        <w:t xml:space="preserve"> in 12 out of 14 </w:t>
      </w:r>
      <w:r>
        <w:rPr>
          <w:rFonts w:ascii="Arial" w:hAnsi="Arial" w:cs="Arial"/>
          <w:sz w:val="16"/>
          <w:szCs w:val="16"/>
        </w:rPr>
        <w:t xml:space="preserve">Czech </w:t>
      </w:r>
      <w:r w:rsidRPr="00AF1132">
        <w:rPr>
          <w:rFonts w:ascii="Arial" w:hAnsi="Arial" w:cs="Arial"/>
          <w:sz w:val="16"/>
          <w:szCs w:val="16"/>
        </w:rPr>
        <w:t xml:space="preserve">regions last year (the most in the </w:t>
      </w:r>
      <w:r w:rsidRPr="00820F93">
        <w:rPr>
          <w:rFonts w:ascii="Arial" w:hAnsi="Arial" w:cs="Arial"/>
          <w:i/>
          <w:iCs/>
          <w:sz w:val="16"/>
          <w:szCs w:val="16"/>
        </w:rPr>
        <w:t>Olomouc</w:t>
      </w:r>
      <w:r w:rsidRPr="00AF1132">
        <w:rPr>
          <w:rFonts w:ascii="Arial" w:hAnsi="Arial" w:cs="Arial"/>
          <w:sz w:val="16"/>
          <w:szCs w:val="16"/>
        </w:rPr>
        <w:t xml:space="preserve"> region by 8%), while the demand </w:t>
      </w:r>
      <w:r>
        <w:rPr>
          <w:rFonts w:ascii="Arial" w:hAnsi="Arial" w:cs="Arial"/>
          <w:sz w:val="16"/>
          <w:szCs w:val="16"/>
        </w:rPr>
        <w:t xml:space="preserve">of </w:t>
      </w:r>
      <w:r w:rsidRPr="00AF1132">
        <w:rPr>
          <w:rFonts w:ascii="Arial" w:hAnsi="Arial" w:cs="Arial"/>
          <w:sz w:val="16"/>
          <w:szCs w:val="16"/>
        </w:rPr>
        <w:t>non-residents decreased only in two areas (</w:t>
      </w:r>
      <w:r w:rsidRPr="00793BBA">
        <w:rPr>
          <w:rFonts w:ascii="Arial" w:hAnsi="Arial" w:cs="Arial"/>
          <w:i/>
          <w:iCs/>
          <w:sz w:val="16"/>
          <w:szCs w:val="16"/>
        </w:rPr>
        <w:t>Ústí nad Labem</w:t>
      </w:r>
      <w:r w:rsidRPr="00AF1132">
        <w:rPr>
          <w:rFonts w:ascii="Arial" w:hAnsi="Arial" w:cs="Arial"/>
          <w:sz w:val="16"/>
          <w:szCs w:val="16"/>
        </w:rPr>
        <w:t xml:space="preserve"> and </w:t>
      </w:r>
      <w:r w:rsidRPr="00793BBA">
        <w:rPr>
          <w:rFonts w:ascii="Arial" w:hAnsi="Arial" w:cs="Arial"/>
          <w:i/>
          <w:iCs/>
          <w:sz w:val="16"/>
          <w:szCs w:val="16"/>
        </w:rPr>
        <w:t>Zlín</w:t>
      </w:r>
      <w:r w:rsidRPr="00AF1132">
        <w:rPr>
          <w:rFonts w:ascii="Arial" w:hAnsi="Arial" w:cs="Arial"/>
          <w:sz w:val="16"/>
          <w:szCs w:val="16"/>
        </w:rPr>
        <w:t xml:space="preserve">) and </w:t>
      </w:r>
      <w:r>
        <w:rPr>
          <w:rFonts w:ascii="Arial" w:hAnsi="Arial" w:cs="Arial"/>
          <w:sz w:val="16"/>
          <w:szCs w:val="16"/>
        </w:rPr>
        <w:t xml:space="preserve">growth </w:t>
      </w:r>
      <w:r w:rsidRPr="00AF1132">
        <w:rPr>
          <w:rFonts w:ascii="Arial" w:hAnsi="Arial" w:cs="Arial"/>
          <w:sz w:val="16"/>
          <w:szCs w:val="16"/>
        </w:rPr>
        <w:t xml:space="preserve">between 10 and 18% </w:t>
      </w:r>
      <w:r>
        <w:rPr>
          <w:rFonts w:ascii="Arial" w:hAnsi="Arial" w:cs="Arial"/>
          <w:sz w:val="16"/>
          <w:szCs w:val="16"/>
        </w:rPr>
        <w:t xml:space="preserve">was attained in four regions </w:t>
      </w:r>
      <w:r w:rsidRPr="00AF1132">
        <w:rPr>
          <w:rFonts w:ascii="Arial" w:hAnsi="Arial" w:cs="Arial"/>
          <w:sz w:val="16"/>
          <w:szCs w:val="16"/>
        </w:rPr>
        <w:t>(</w:t>
      </w:r>
      <w:r w:rsidRPr="00793BBA">
        <w:rPr>
          <w:rFonts w:ascii="Arial" w:hAnsi="Arial" w:cs="Arial"/>
          <w:i/>
          <w:iCs/>
          <w:sz w:val="16"/>
          <w:szCs w:val="16"/>
        </w:rPr>
        <w:t>Prague</w:t>
      </w:r>
      <w:r w:rsidRPr="00AF1132">
        <w:rPr>
          <w:rFonts w:ascii="Arial" w:hAnsi="Arial" w:cs="Arial"/>
          <w:sz w:val="16"/>
          <w:szCs w:val="16"/>
        </w:rPr>
        <w:t xml:space="preserve">, </w:t>
      </w:r>
      <w:r w:rsidRPr="00793BBA">
        <w:rPr>
          <w:rFonts w:ascii="Arial" w:hAnsi="Arial" w:cs="Arial"/>
          <w:i/>
          <w:iCs/>
          <w:sz w:val="16"/>
          <w:szCs w:val="16"/>
        </w:rPr>
        <w:t>Central Bohemia</w:t>
      </w:r>
      <w:r w:rsidRPr="00AF1132">
        <w:rPr>
          <w:rFonts w:ascii="Arial" w:hAnsi="Arial" w:cs="Arial"/>
          <w:sz w:val="16"/>
          <w:szCs w:val="16"/>
        </w:rPr>
        <w:t xml:space="preserve">, </w:t>
      </w:r>
      <w:r w:rsidRPr="00793BBA">
        <w:rPr>
          <w:rFonts w:ascii="Arial" w:hAnsi="Arial" w:cs="Arial"/>
          <w:i/>
          <w:iCs/>
          <w:sz w:val="16"/>
          <w:szCs w:val="16"/>
        </w:rPr>
        <w:t>South Bohemia</w:t>
      </w:r>
      <w:r w:rsidRPr="00AF1132">
        <w:rPr>
          <w:rFonts w:ascii="Arial" w:hAnsi="Arial" w:cs="Arial"/>
          <w:sz w:val="16"/>
          <w:szCs w:val="16"/>
        </w:rPr>
        <w:t xml:space="preserve"> and </w:t>
      </w:r>
      <w:r w:rsidRPr="00793BBA">
        <w:rPr>
          <w:rFonts w:ascii="Arial" w:hAnsi="Arial" w:cs="Arial"/>
          <w:i/>
          <w:iCs/>
          <w:sz w:val="16"/>
          <w:szCs w:val="16"/>
        </w:rPr>
        <w:t>Vysočina</w:t>
      </w:r>
      <w:r w:rsidRPr="00AF1132">
        <w:rPr>
          <w:rFonts w:ascii="Arial" w:hAnsi="Arial" w:cs="Arial"/>
          <w:sz w:val="16"/>
          <w:szCs w:val="16"/>
        </w:rPr>
        <w:t>), part</w:t>
      </w:r>
      <w:r>
        <w:rPr>
          <w:rFonts w:ascii="Arial" w:hAnsi="Arial" w:cs="Arial"/>
          <w:sz w:val="16"/>
          <w:szCs w:val="16"/>
        </w:rPr>
        <w:t>ially also due t</w:t>
      </w:r>
      <w:r w:rsidRPr="00AF1132">
        <w:rPr>
          <w:rFonts w:ascii="Arial" w:hAnsi="Arial" w:cs="Arial"/>
          <w:sz w:val="16"/>
          <w:szCs w:val="16"/>
        </w:rPr>
        <w:t>o the organisation of major sporting events in the first half of the year</w:t>
      </w:r>
      <w:r>
        <w:rPr>
          <w:rFonts w:ascii="Arial" w:hAnsi="Arial" w:cs="Arial"/>
          <w:sz w:val="16"/>
          <w:szCs w:val="16"/>
        </w:rPr>
        <w:t xml:space="preserve">. </w:t>
      </w:r>
      <w:bookmarkEnd w:id="13"/>
    </w:p>
  </w:footnote>
  <w:footnote w:id="39">
    <w:p w14:paraId="05D1C257" w14:textId="77777777" w:rsidR="006145FA" w:rsidRPr="008C2B87" w:rsidRDefault="006145FA" w:rsidP="00803507">
      <w:pPr>
        <w:pStyle w:val="paragraph"/>
        <w:spacing w:before="0" w:beforeAutospacing="0" w:after="0" w:afterAutospacing="0"/>
        <w:jc w:val="both"/>
        <w:textAlignment w:val="baseline"/>
        <w:rPr>
          <w:rFonts w:ascii="Arial" w:hAnsi="Arial" w:cs="Arial"/>
          <w:sz w:val="16"/>
          <w:szCs w:val="16"/>
          <w:lang w:val="en-GB"/>
        </w:rPr>
      </w:pPr>
      <w:r w:rsidRPr="008C2B87">
        <w:rPr>
          <w:rStyle w:val="Znakapoznpodarou"/>
          <w:rFonts w:ascii="Arial" w:hAnsi="Arial" w:cs="Arial"/>
          <w:sz w:val="16"/>
          <w:szCs w:val="16"/>
          <w:lang w:val="en-GB"/>
        </w:rPr>
        <w:footnoteRef/>
      </w:r>
      <w:r w:rsidRPr="008C2B87">
        <w:rPr>
          <w:rFonts w:ascii="Arial" w:hAnsi="Arial" w:cs="Arial"/>
          <w:sz w:val="16"/>
          <w:szCs w:val="16"/>
          <w:lang w:val="en-GB"/>
        </w:rPr>
        <w:t xml:space="preserve"> </w:t>
      </w:r>
      <w:bookmarkStart w:id="14" w:name="_Hlk194778703"/>
      <w:r w:rsidRPr="002E794C">
        <w:rPr>
          <w:rFonts w:ascii="Arial" w:hAnsi="Arial" w:cs="Arial"/>
          <w:sz w:val="16"/>
          <w:szCs w:val="16"/>
        </w:rPr>
        <w:t>After a temporary slight year-on-year decline in the number of guests in Q3 2024 (due to weaker demand from residents), the number of guests accommodated (+7.1%, to 5.0 million) and their overnight stays (+7.0%, to 11.7 million) increased in Q4 – in both cases, the levels of guest</w:t>
      </w:r>
      <w:r>
        <w:rPr>
          <w:rFonts w:ascii="Arial" w:hAnsi="Arial" w:cs="Arial"/>
          <w:sz w:val="16"/>
          <w:szCs w:val="16"/>
        </w:rPr>
        <w:t xml:space="preserve"> arrivals </w:t>
      </w:r>
      <w:r w:rsidRPr="002E794C">
        <w:rPr>
          <w:rFonts w:ascii="Arial" w:hAnsi="Arial" w:cs="Arial"/>
          <w:sz w:val="16"/>
          <w:szCs w:val="16"/>
        </w:rPr>
        <w:t xml:space="preserve">achieved are higher than at the end of 2019 (+6.2%, +3.3%), </w:t>
      </w:r>
      <w:r>
        <w:rPr>
          <w:rFonts w:ascii="Arial" w:hAnsi="Arial" w:cs="Arial"/>
          <w:sz w:val="16"/>
          <w:szCs w:val="16"/>
        </w:rPr>
        <w:t xml:space="preserve">in that </w:t>
      </w:r>
      <w:r w:rsidRPr="002E794C">
        <w:rPr>
          <w:rFonts w:ascii="Arial" w:hAnsi="Arial" w:cs="Arial"/>
          <w:sz w:val="16"/>
          <w:szCs w:val="16"/>
        </w:rPr>
        <w:t>foreign guests still lag slightly behind in both indicators (by 1%). </w:t>
      </w:r>
      <w:r>
        <w:rPr>
          <w:rFonts w:ascii="Arial" w:hAnsi="Arial" w:cs="Arial"/>
          <w:sz w:val="16"/>
          <w:szCs w:val="16"/>
        </w:rPr>
        <w:t>T</w:t>
      </w:r>
      <w:r w:rsidRPr="002E794C">
        <w:rPr>
          <w:rFonts w:ascii="Arial" w:hAnsi="Arial" w:cs="Arial"/>
          <w:sz w:val="16"/>
          <w:szCs w:val="16"/>
        </w:rPr>
        <w:t xml:space="preserve">here was a year-on-year increase </w:t>
      </w:r>
      <w:r>
        <w:rPr>
          <w:rFonts w:ascii="Arial" w:hAnsi="Arial" w:cs="Arial"/>
          <w:sz w:val="16"/>
          <w:szCs w:val="16"/>
        </w:rPr>
        <w:t>of</w:t>
      </w:r>
      <w:r w:rsidRPr="002E794C">
        <w:rPr>
          <w:rFonts w:ascii="Arial" w:hAnsi="Arial" w:cs="Arial"/>
          <w:sz w:val="16"/>
          <w:szCs w:val="16"/>
        </w:rPr>
        <w:t xml:space="preserve"> overnight stays for both domestic guests (+2.8%) and foreigners (+10.9%)</w:t>
      </w:r>
      <w:r>
        <w:rPr>
          <w:rFonts w:ascii="Arial" w:hAnsi="Arial" w:cs="Arial"/>
          <w:sz w:val="16"/>
          <w:szCs w:val="16"/>
        </w:rPr>
        <w:t xml:space="preserve"> in Q4</w:t>
      </w:r>
      <w:r w:rsidRPr="002E794C">
        <w:rPr>
          <w:rFonts w:ascii="Arial" w:hAnsi="Arial" w:cs="Arial"/>
          <w:sz w:val="16"/>
          <w:szCs w:val="16"/>
        </w:rPr>
        <w:t xml:space="preserve">. Of the most significantly represented foreign nationals, demand grew especially among Israelis (+216%, mainly </w:t>
      </w:r>
      <w:r>
        <w:rPr>
          <w:rFonts w:ascii="Arial" w:hAnsi="Arial" w:cs="Arial"/>
          <w:sz w:val="16"/>
          <w:szCs w:val="16"/>
        </w:rPr>
        <w:t xml:space="preserve">caused by the </w:t>
      </w:r>
      <w:r w:rsidRPr="002E794C">
        <w:rPr>
          <w:rFonts w:ascii="Arial" w:hAnsi="Arial" w:cs="Arial"/>
          <w:sz w:val="16"/>
          <w:szCs w:val="16"/>
        </w:rPr>
        <w:t xml:space="preserve">last year's weak base due to the outbreak of the war in Gaza), Ukraine (+21%), Great Britain (+17%) and Poland (+15%). The number of overnight stays of guests from Asia, especially from China, also accelerated, </w:t>
      </w:r>
      <w:r>
        <w:rPr>
          <w:rFonts w:ascii="Arial" w:hAnsi="Arial" w:cs="Arial"/>
          <w:sz w:val="16"/>
          <w:szCs w:val="16"/>
        </w:rPr>
        <w:t xml:space="preserve">however </w:t>
      </w:r>
      <w:r w:rsidRPr="002E794C">
        <w:rPr>
          <w:rFonts w:ascii="Arial" w:hAnsi="Arial" w:cs="Arial"/>
          <w:sz w:val="16"/>
          <w:szCs w:val="16"/>
        </w:rPr>
        <w:t>it has not yet made it into the top 10 countries with the highest demand for accommodation in the Czech Republic. Of the traditional guest groups, demand from Germans (+8%) and Slovaks (+7%) maintained a solid pace</w:t>
      </w:r>
      <w:r>
        <w:rPr>
          <w:rFonts w:ascii="Arial" w:hAnsi="Arial" w:cs="Arial"/>
          <w:sz w:val="16"/>
          <w:szCs w:val="16"/>
        </w:rPr>
        <w:t xml:space="preserve">. </w:t>
      </w:r>
      <w:bookmarkEnd w:id="14"/>
    </w:p>
  </w:footnote>
  <w:footnote w:id="40">
    <w:p w14:paraId="5B1943AB" w14:textId="77777777" w:rsidR="006145FA" w:rsidRPr="008C2B87" w:rsidRDefault="006145FA" w:rsidP="00803507">
      <w:pPr>
        <w:pStyle w:val="Textpoznpodarou"/>
        <w:jc w:val="both"/>
        <w:rPr>
          <w:sz w:val="16"/>
          <w:szCs w:val="16"/>
          <w:lang w:val="en-GB"/>
        </w:rPr>
      </w:pPr>
      <w:r w:rsidRPr="008C2B87">
        <w:rPr>
          <w:rStyle w:val="Znakapoznpodarou"/>
          <w:sz w:val="16"/>
          <w:szCs w:val="16"/>
          <w:lang w:val="en-GB"/>
        </w:rPr>
        <w:footnoteRef/>
      </w:r>
      <w:r w:rsidRPr="008C2B87">
        <w:rPr>
          <w:sz w:val="16"/>
          <w:szCs w:val="16"/>
          <w:lang w:val="en-GB"/>
        </w:rPr>
        <w:t xml:space="preserve"> T</w:t>
      </w:r>
      <w:r>
        <w:rPr>
          <w:sz w:val="16"/>
          <w:szCs w:val="16"/>
          <w:lang w:val="en-GB"/>
        </w:rPr>
        <w:t>hey mainly include programming, consultancy in IT area or c</w:t>
      </w:r>
      <w:r w:rsidRPr="001B3659">
        <w:rPr>
          <w:sz w:val="16"/>
          <w:szCs w:val="16"/>
          <w:lang w:val="en-GB"/>
        </w:rPr>
        <w:t>omputer facilities management activities</w:t>
      </w:r>
      <w:r>
        <w:rPr>
          <w:sz w:val="16"/>
          <w:szCs w:val="16"/>
          <w:lang w:val="en-GB"/>
        </w:rPr>
        <w:t xml:space="preserve">. </w:t>
      </w:r>
    </w:p>
  </w:footnote>
  <w:footnote w:id="41">
    <w:p w14:paraId="7345DC92" w14:textId="77777777" w:rsidR="006145FA" w:rsidRPr="008C2B87" w:rsidRDefault="006145FA" w:rsidP="00803507">
      <w:pPr>
        <w:pStyle w:val="Textpoznpodarou"/>
        <w:jc w:val="both"/>
        <w:rPr>
          <w:lang w:val="en-GB"/>
        </w:rPr>
      </w:pPr>
      <w:r w:rsidRPr="008C2B87">
        <w:rPr>
          <w:rStyle w:val="Znakapoznpodarou"/>
          <w:sz w:val="16"/>
          <w:szCs w:val="16"/>
          <w:lang w:val="en-GB"/>
        </w:rPr>
        <w:footnoteRef/>
      </w:r>
      <w:r w:rsidRPr="008C2B87">
        <w:rPr>
          <w:sz w:val="16"/>
          <w:szCs w:val="16"/>
          <w:lang w:val="en-GB"/>
        </w:rPr>
        <w:t xml:space="preserve"> </w:t>
      </w:r>
      <w:r w:rsidRPr="009422C7">
        <w:rPr>
          <w:sz w:val="16"/>
          <w:szCs w:val="16"/>
          <w:lang w:val="en-GB"/>
        </w:rPr>
        <w:t>They consist mainly of activities linked to the web portals, news press offices and agencies or data processing and hosting</w:t>
      </w:r>
      <w:r>
        <w:rPr>
          <w:sz w:val="16"/>
          <w:szCs w:val="16"/>
          <w:lang w:val="en-GB"/>
        </w:rPr>
        <w:t xml:space="preserve">. </w:t>
      </w:r>
    </w:p>
  </w:footnote>
  <w:footnote w:id="42">
    <w:p w14:paraId="5A2BCAFE" w14:textId="1D6CB86D" w:rsidR="006145FA" w:rsidRPr="008C2B87" w:rsidRDefault="006145FA" w:rsidP="00803507">
      <w:pPr>
        <w:pStyle w:val="Textpoznpodarou"/>
        <w:jc w:val="both"/>
        <w:rPr>
          <w:sz w:val="16"/>
          <w:szCs w:val="16"/>
          <w:lang w:val="en-GB"/>
        </w:rPr>
      </w:pPr>
      <w:r w:rsidRPr="008C2B87">
        <w:rPr>
          <w:rStyle w:val="Znakapoznpodarou"/>
          <w:sz w:val="16"/>
          <w:szCs w:val="16"/>
          <w:lang w:val="en-GB"/>
        </w:rPr>
        <w:footnoteRef/>
      </w:r>
      <w:r w:rsidRPr="008C2B87">
        <w:rPr>
          <w:sz w:val="16"/>
          <w:szCs w:val="16"/>
          <w:lang w:val="en-GB"/>
        </w:rPr>
        <w:t xml:space="preserve"> </w:t>
      </w:r>
      <w:r w:rsidRPr="003B0067">
        <w:rPr>
          <w:sz w:val="16"/>
          <w:szCs w:val="16"/>
          <w:lang w:val="en-GB"/>
        </w:rPr>
        <w:t xml:space="preserve">Segment of motion picture distribution </w:t>
      </w:r>
      <w:r>
        <w:rPr>
          <w:sz w:val="16"/>
          <w:szCs w:val="16"/>
          <w:lang w:val="en-GB"/>
        </w:rPr>
        <w:t xml:space="preserve">fared considerably better. According to the figures </w:t>
      </w:r>
      <w:r w:rsidRPr="003B0067">
        <w:rPr>
          <w:sz w:val="16"/>
          <w:szCs w:val="16"/>
          <w:lang w:val="en-GB"/>
        </w:rPr>
        <w:t>f</w:t>
      </w:r>
      <w:r>
        <w:rPr>
          <w:sz w:val="16"/>
          <w:szCs w:val="16"/>
          <w:lang w:val="en-GB"/>
        </w:rPr>
        <w:t xml:space="preserve">rom </w:t>
      </w:r>
      <w:r w:rsidRPr="003B0067">
        <w:rPr>
          <w:sz w:val="16"/>
          <w:szCs w:val="16"/>
          <w:lang w:val="en-GB"/>
        </w:rPr>
        <w:t>the Union of Motion Picture Distributors</w:t>
      </w:r>
      <w:r>
        <w:rPr>
          <w:sz w:val="16"/>
          <w:szCs w:val="16"/>
          <w:lang w:val="en-GB"/>
        </w:rPr>
        <w:t xml:space="preserve"> the gross nominal sales of the domestic cinema operators decreased only by 0.9%, year-on-year, last year (</w:t>
      </w:r>
      <w:r w:rsidRPr="009422C7">
        <w:rPr>
          <w:sz w:val="16"/>
          <w:szCs w:val="16"/>
        </w:rPr>
        <w:t xml:space="preserve">thanks to strong performances during the </w:t>
      </w:r>
      <w:r>
        <w:rPr>
          <w:sz w:val="16"/>
          <w:szCs w:val="16"/>
        </w:rPr>
        <w:t>summer</w:t>
      </w:r>
      <w:r w:rsidRPr="009422C7">
        <w:rPr>
          <w:sz w:val="16"/>
          <w:szCs w:val="16"/>
        </w:rPr>
        <w:t xml:space="preserve"> holiday months and also at the very end of </w:t>
      </w:r>
      <w:r>
        <w:rPr>
          <w:sz w:val="16"/>
          <w:szCs w:val="16"/>
        </w:rPr>
        <w:t>2024</w:t>
      </w:r>
      <w:r w:rsidRPr="009422C7">
        <w:rPr>
          <w:sz w:val="16"/>
          <w:szCs w:val="16"/>
        </w:rPr>
        <w:t>)</w:t>
      </w:r>
      <w:r>
        <w:rPr>
          <w:sz w:val="16"/>
          <w:szCs w:val="16"/>
        </w:rPr>
        <w:t>.</w:t>
      </w:r>
      <w:r>
        <w:rPr>
          <w:sz w:val="16"/>
          <w:szCs w:val="16"/>
          <w:lang w:val="en-GB"/>
        </w:rPr>
        <w:t xml:space="preserve"> The total attendance lowered </w:t>
      </w:r>
      <w:r w:rsidRPr="001B3659">
        <w:rPr>
          <w:sz w:val="16"/>
          <w:szCs w:val="16"/>
          <w:lang w:val="en-GB"/>
        </w:rPr>
        <w:t>by 2.2% analo</w:t>
      </w:r>
      <w:bookmarkStart w:id="17" w:name="_Hlk194777966"/>
      <w:r w:rsidRPr="001B3659">
        <w:rPr>
          <w:sz w:val="16"/>
          <w:szCs w:val="16"/>
          <w:lang w:val="en-GB"/>
        </w:rPr>
        <w:t>gously</w:t>
      </w:r>
      <w:r w:rsidRPr="00FA7F94">
        <w:rPr>
          <w:sz w:val="16"/>
          <w:szCs w:val="16"/>
        </w:rPr>
        <w:t xml:space="preserve">, while the number of performances increased by 2.5%. Compared to 2019, however, </w:t>
      </w:r>
      <w:r>
        <w:rPr>
          <w:sz w:val="16"/>
          <w:szCs w:val="16"/>
        </w:rPr>
        <w:t xml:space="preserve">the attendance of cinemas </w:t>
      </w:r>
      <w:r w:rsidRPr="00FA7F94">
        <w:rPr>
          <w:sz w:val="16"/>
          <w:szCs w:val="16"/>
        </w:rPr>
        <w:t>was down by 29% and sales by 14%.</w:t>
      </w:r>
      <w:r>
        <w:rPr>
          <w:sz w:val="16"/>
          <w:szCs w:val="16"/>
        </w:rPr>
        <w:t xml:space="preserve"> </w:t>
      </w:r>
    </w:p>
    <w:bookmarkEnd w:id="17"/>
  </w:footnote>
  <w:footnote w:id="43">
    <w:p w14:paraId="5D175926" w14:textId="77777777" w:rsidR="006145FA" w:rsidRPr="008C2B87" w:rsidRDefault="006145FA" w:rsidP="00803507">
      <w:pPr>
        <w:pStyle w:val="Textpoznpodarou"/>
        <w:jc w:val="both"/>
        <w:rPr>
          <w:sz w:val="16"/>
          <w:szCs w:val="16"/>
          <w:lang w:val="en-GB"/>
        </w:rPr>
      </w:pPr>
      <w:r w:rsidRPr="008C2B87">
        <w:rPr>
          <w:rStyle w:val="Znakapoznpodarou"/>
          <w:sz w:val="16"/>
          <w:szCs w:val="16"/>
          <w:lang w:val="en-GB"/>
        </w:rPr>
        <w:footnoteRef/>
      </w:r>
      <w:r w:rsidRPr="008C2B87">
        <w:rPr>
          <w:sz w:val="16"/>
          <w:szCs w:val="16"/>
          <w:lang w:val="en-GB"/>
        </w:rPr>
        <w:t xml:space="preserve"> </w:t>
      </w:r>
      <w:r w:rsidRPr="00DD7900">
        <w:rPr>
          <w:sz w:val="16"/>
          <w:szCs w:val="16"/>
          <w:lang w:val="en-GB"/>
        </w:rPr>
        <w:t>This sub-branch with significant share of small businesses mainly includes brokering activities, design, translation and photographic activities or activities of construction supervision.</w:t>
      </w:r>
      <w:r>
        <w:rPr>
          <w:sz w:val="16"/>
          <w:szCs w:val="16"/>
          <w:lang w:val="en-GB"/>
        </w:rPr>
        <w:t xml:space="preserve"> </w:t>
      </w:r>
    </w:p>
  </w:footnote>
  <w:footnote w:id="44">
    <w:p w14:paraId="63C3EFB4" w14:textId="60650AC3" w:rsidR="006145FA" w:rsidRPr="00316C23" w:rsidRDefault="006145FA" w:rsidP="00803507">
      <w:pPr>
        <w:pStyle w:val="Textpoznpodarou"/>
        <w:jc w:val="both"/>
        <w:rPr>
          <w:sz w:val="16"/>
          <w:szCs w:val="16"/>
          <w:lang w:val="en-GB"/>
        </w:rPr>
      </w:pPr>
      <w:r w:rsidRPr="00316C23">
        <w:rPr>
          <w:rStyle w:val="Znakapoznpodarou"/>
          <w:sz w:val="16"/>
          <w:szCs w:val="16"/>
          <w:lang w:val="en-GB"/>
        </w:rPr>
        <w:footnoteRef/>
      </w:r>
      <w:r w:rsidRPr="00316C23">
        <w:rPr>
          <w:sz w:val="16"/>
          <w:szCs w:val="16"/>
          <w:lang w:val="en-GB"/>
        </w:rPr>
        <w:t xml:space="preserve"> </w:t>
      </w:r>
      <w:bookmarkStart w:id="22" w:name="_Hlk194780464"/>
      <w:r w:rsidRPr="00F1290A">
        <w:rPr>
          <w:spacing w:val="-2"/>
          <w:sz w:val="16"/>
          <w:szCs w:val="16"/>
        </w:rPr>
        <w:t>On the contrary, the demand for the rental and leasing of cars and other light motor vehicles was rather stagnant</w:t>
      </w:r>
      <w:r>
        <w:rPr>
          <w:spacing w:val="-2"/>
          <w:sz w:val="16"/>
          <w:szCs w:val="16"/>
        </w:rPr>
        <w:t xml:space="preserve"> in </w:t>
      </w:r>
      <w:r w:rsidRPr="00F1290A">
        <w:rPr>
          <w:spacing w:val="-2"/>
          <w:sz w:val="16"/>
          <w:szCs w:val="16"/>
        </w:rPr>
        <w:t>the last year.</w:t>
      </w:r>
      <w:bookmarkEnd w:id="22"/>
    </w:p>
  </w:footnote>
  <w:footnote w:id="45">
    <w:p w14:paraId="6ECFB19E" w14:textId="767B378B" w:rsidR="006145FA" w:rsidRPr="00EE4A1B" w:rsidRDefault="006145FA" w:rsidP="00803507">
      <w:pPr>
        <w:pStyle w:val="Textpoznpodarou"/>
        <w:jc w:val="both"/>
        <w:rPr>
          <w:sz w:val="16"/>
          <w:szCs w:val="16"/>
          <w:lang w:val="en-GB"/>
        </w:rPr>
      </w:pPr>
      <w:r w:rsidRPr="00316C23">
        <w:rPr>
          <w:rStyle w:val="Znakapoznpodarou"/>
          <w:sz w:val="16"/>
          <w:szCs w:val="16"/>
          <w:lang w:val="en-GB"/>
        </w:rPr>
        <w:footnoteRef/>
      </w:r>
      <w:r w:rsidRPr="00316C23">
        <w:rPr>
          <w:sz w:val="16"/>
          <w:szCs w:val="16"/>
          <w:lang w:val="en-GB"/>
        </w:rPr>
        <w:t xml:space="preserve"> </w:t>
      </w:r>
      <w:bookmarkStart w:id="23" w:name="_Hlk194780643"/>
      <w:r w:rsidRPr="00397964">
        <w:rPr>
          <w:sz w:val="16"/>
          <w:szCs w:val="16"/>
        </w:rPr>
        <w:t xml:space="preserve">The decrease </w:t>
      </w:r>
      <w:r>
        <w:rPr>
          <w:sz w:val="16"/>
          <w:szCs w:val="16"/>
        </w:rPr>
        <w:t>of</w:t>
      </w:r>
      <w:r w:rsidRPr="00397964">
        <w:rPr>
          <w:sz w:val="16"/>
          <w:szCs w:val="16"/>
        </w:rPr>
        <w:t xml:space="preserve"> sales occurred also with a high growth </w:t>
      </w:r>
      <w:r>
        <w:rPr>
          <w:sz w:val="16"/>
          <w:szCs w:val="16"/>
        </w:rPr>
        <w:t xml:space="preserve">of </w:t>
      </w:r>
      <w:r w:rsidRPr="00397964">
        <w:rPr>
          <w:sz w:val="16"/>
          <w:szCs w:val="16"/>
        </w:rPr>
        <w:t>the number of working foreigners in the Czech Republic</w:t>
      </w:r>
      <w:r>
        <w:rPr>
          <w:sz w:val="16"/>
          <w:szCs w:val="16"/>
        </w:rPr>
        <w:t xml:space="preserve"> here</w:t>
      </w:r>
      <w:r w:rsidRPr="00397964">
        <w:rPr>
          <w:sz w:val="16"/>
          <w:szCs w:val="16"/>
        </w:rPr>
        <w:t xml:space="preserve">. Refugees from Ukraine have played a significant role in this </w:t>
      </w:r>
      <w:r>
        <w:rPr>
          <w:sz w:val="16"/>
          <w:szCs w:val="16"/>
        </w:rPr>
        <w:t xml:space="preserve">growth </w:t>
      </w:r>
      <w:r w:rsidRPr="00397964">
        <w:rPr>
          <w:sz w:val="16"/>
          <w:szCs w:val="16"/>
        </w:rPr>
        <w:t>over the past two years.</w:t>
      </w:r>
      <w:bookmarkEnd w:id="23"/>
      <w:r>
        <w:rPr>
          <w:sz w:val="16"/>
          <w:szCs w:val="16"/>
        </w:rPr>
        <w:t>T</w:t>
      </w:r>
      <w:r w:rsidRPr="002615E9">
        <w:rPr>
          <w:sz w:val="16"/>
          <w:szCs w:val="16"/>
        </w:rPr>
        <w:t>hanks to</w:t>
      </w:r>
      <w:r>
        <w:rPr>
          <w:sz w:val="16"/>
          <w:szCs w:val="16"/>
          <w:lang w:val="en-GB"/>
        </w:rPr>
        <w:t xml:space="preserve"> the Temporary protection status, which was </w:t>
      </w:r>
      <w:r w:rsidRPr="00EE4A1B">
        <w:rPr>
          <w:sz w:val="16"/>
          <w:szCs w:val="16"/>
          <w:lang w:val="en-GB"/>
        </w:rPr>
        <w:t xml:space="preserve">granted to these persons, their employment in the CR is administratively easier (compared to other groups of migrants from the so-called third countries) and thus they can seek employment more easily “directly” (without intermediary). </w:t>
      </w:r>
      <w:r>
        <w:rPr>
          <w:sz w:val="16"/>
          <w:szCs w:val="16"/>
          <w:lang w:val="en-GB"/>
        </w:rPr>
        <w:t xml:space="preserve">Apart from the above stated, the reduced demand for the agency workers on the part of key manufacturing branches undergoing recession (e.g. industry) can also play a role in the decrease of sales. </w:t>
      </w:r>
    </w:p>
  </w:footnote>
  <w:footnote w:id="46">
    <w:p w14:paraId="30DDE373" w14:textId="77777777" w:rsidR="006145FA" w:rsidRPr="00304274" w:rsidRDefault="006145FA" w:rsidP="00803507">
      <w:pPr>
        <w:spacing w:after="0" w:line="240" w:lineRule="auto"/>
        <w:rPr>
          <w:spacing w:val="-2"/>
          <w:lang w:val="en-GB"/>
        </w:rPr>
      </w:pPr>
      <w:r w:rsidRPr="00304274">
        <w:rPr>
          <w:rStyle w:val="Znakapoznpodarou"/>
          <w:color w:val="0D0D0D" w:themeColor="text1" w:themeTint="F2"/>
          <w:spacing w:val="-2"/>
          <w:sz w:val="16"/>
          <w:szCs w:val="16"/>
          <w:lang w:val="en-GB"/>
        </w:rPr>
        <w:footnoteRef/>
      </w:r>
      <w:r w:rsidRPr="00304274">
        <w:rPr>
          <w:color w:val="0D0D0D" w:themeColor="text1" w:themeTint="F2"/>
          <w:spacing w:val="-2"/>
          <w:sz w:val="16"/>
          <w:szCs w:val="16"/>
          <w:lang w:val="en-GB"/>
        </w:rPr>
        <w:t xml:space="preserve"> </w:t>
      </w:r>
      <w:r w:rsidRPr="00F85AEE">
        <w:rPr>
          <w:color w:val="0D0D0D" w:themeColor="text1" w:themeTint="F2"/>
          <w:spacing w:val="-2"/>
          <w:sz w:val="16"/>
          <w:szCs w:val="16"/>
        </w:rPr>
        <w:t>All year-on-year rates of retail sales are given at constant prices and adjusted for calendar effects, quarter-on-quarter rates are seasonally adjusted (including the effect of the number of working days). Retail trade includes only CZ-NACE 47</w:t>
      </w:r>
      <w:r>
        <w:rPr>
          <w:color w:val="0D0D0D" w:themeColor="text1" w:themeTint="F2"/>
          <w:spacing w:val="-2"/>
          <w:sz w:val="16"/>
          <w:szCs w:val="16"/>
        </w:rPr>
        <w:t xml:space="preserve"> branches</w:t>
      </w:r>
      <w:r w:rsidRPr="00F85AEE">
        <w:rPr>
          <w:color w:val="0D0D0D" w:themeColor="text1" w:themeTint="F2"/>
          <w:spacing w:val="-2"/>
          <w:sz w:val="16"/>
          <w:szCs w:val="16"/>
        </w:rPr>
        <w:t>.</w:t>
      </w:r>
      <w:r>
        <w:rPr>
          <w:color w:val="0D0D0D" w:themeColor="text1" w:themeTint="F2"/>
          <w:spacing w:val="-2"/>
          <w:sz w:val="16"/>
          <w:szCs w:val="16"/>
        </w:rPr>
        <w:t xml:space="preserve"> </w:t>
      </w:r>
    </w:p>
  </w:footnote>
  <w:footnote w:id="47">
    <w:p w14:paraId="4B6B7FBA" w14:textId="77777777" w:rsidR="006145FA" w:rsidRPr="00304274" w:rsidRDefault="006145FA" w:rsidP="00803507">
      <w:pPr>
        <w:pStyle w:val="Textpoznpodarou"/>
        <w:jc w:val="both"/>
        <w:rPr>
          <w:sz w:val="16"/>
          <w:szCs w:val="16"/>
          <w:lang w:val="en-GB"/>
        </w:rPr>
      </w:pPr>
      <w:r w:rsidRPr="00304274">
        <w:rPr>
          <w:rStyle w:val="Znakapoznpodarou"/>
          <w:sz w:val="16"/>
          <w:szCs w:val="16"/>
          <w:lang w:val="en-GB"/>
        </w:rPr>
        <w:footnoteRef/>
      </w:r>
      <w:r w:rsidRPr="00304274">
        <w:rPr>
          <w:sz w:val="16"/>
          <w:szCs w:val="16"/>
          <w:lang w:val="en-GB"/>
        </w:rPr>
        <w:t xml:space="preserve"> </w:t>
      </w:r>
      <w:bookmarkStart w:id="30" w:name="_Hlk194786327"/>
      <w:r w:rsidRPr="006F6DE3">
        <w:rPr>
          <w:sz w:val="16"/>
          <w:szCs w:val="16"/>
        </w:rPr>
        <w:t xml:space="preserve">This was the longest </w:t>
      </w:r>
      <w:r>
        <w:rPr>
          <w:sz w:val="16"/>
          <w:szCs w:val="16"/>
        </w:rPr>
        <w:t xml:space="preserve">downturn </w:t>
      </w:r>
      <w:r w:rsidRPr="006F6DE3">
        <w:rPr>
          <w:sz w:val="16"/>
          <w:szCs w:val="16"/>
        </w:rPr>
        <w:t xml:space="preserve">in a comparable time series (since </w:t>
      </w:r>
      <w:r>
        <w:rPr>
          <w:sz w:val="16"/>
          <w:szCs w:val="16"/>
        </w:rPr>
        <w:t xml:space="preserve">year </w:t>
      </w:r>
      <w:r w:rsidRPr="006F6DE3">
        <w:rPr>
          <w:sz w:val="16"/>
          <w:szCs w:val="16"/>
        </w:rPr>
        <w:t>2000). Between Q3 2021 and Q2 2023, retail sales decreased by 10.5%.</w:t>
      </w:r>
    </w:p>
    <w:bookmarkEnd w:id="30"/>
  </w:footnote>
  <w:footnote w:id="48">
    <w:p w14:paraId="760FF150" w14:textId="77777777" w:rsidR="006145FA" w:rsidRPr="00B915F2" w:rsidRDefault="006145FA" w:rsidP="00803507">
      <w:pPr>
        <w:pStyle w:val="Textpoznpodarou"/>
        <w:jc w:val="both"/>
        <w:rPr>
          <w:sz w:val="16"/>
          <w:szCs w:val="16"/>
          <w:lang w:val="en-GB"/>
        </w:rPr>
      </w:pPr>
      <w:r w:rsidRPr="00304274">
        <w:rPr>
          <w:rStyle w:val="Znakapoznpodarou"/>
          <w:sz w:val="16"/>
          <w:szCs w:val="16"/>
          <w:lang w:val="en-GB"/>
        </w:rPr>
        <w:footnoteRef/>
      </w:r>
      <w:r w:rsidRPr="00304274">
        <w:rPr>
          <w:sz w:val="16"/>
          <w:szCs w:val="16"/>
          <w:lang w:val="en-GB"/>
        </w:rPr>
        <w:t xml:space="preserve"> </w:t>
      </w:r>
      <w:bookmarkStart w:id="31" w:name="_Hlk194786658"/>
      <w:r w:rsidRPr="00E97B70">
        <w:rPr>
          <w:sz w:val="16"/>
          <w:szCs w:val="16"/>
        </w:rPr>
        <w:t>This is primarily related to a drop in sales for food (−10.6%), while the current demand for non-food goods is slightly above the level of Q4 2019 (+3.2%), mainly due to sales</w:t>
      </w:r>
      <w:r>
        <w:rPr>
          <w:sz w:val="16"/>
          <w:szCs w:val="16"/>
        </w:rPr>
        <w:t xml:space="preserve"> via internet</w:t>
      </w:r>
      <w:r w:rsidRPr="00E97B70">
        <w:rPr>
          <w:sz w:val="16"/>
          <w:szCs w:val="16"/>
        </w:rPr>
        <w:t xml:space="preserve"> (+41.6%). At the level of different specialised stores, the development </w:t>
      </w:r>
      <w:r>
        <w:rPr>
          <w:sz w:val="16"/>
          <w:szCs w:val="16"/>
        </w:rPr>
        <w:t>varied</w:t>
      </w:r>
      <w:r w:rsidRPr="00E97B70">
        <w:rPr>
          <w:sz w:val="16"/>
          <w:szCs w:val="16"/>
        </w:rPr>
        <w:t xml:space="preserve">, e.g. </w:t>
      </w:r>
      <w:r w:rsidRPr="00B915F2">
        <w:rPr>
          <w:sz w:val="16"/>
          <w:szCs w:val="16"/>
          <w:lang w:val="en-GB"/>
        </w:rPr>
        <w:t xml:space="preserve">clothing, footwear and leather goods (−24.3%) vs. cosmetic and toilet articles (+29.6%). </w:t>
      </w:r>
    </w:p>
    <w:bookmarkEnd w:id="31"/>
  </w:footnote>
  <w:footnote w:id="49">
    <w:p w14:paraId="5CA975BC" w14:textId="4548EEAC" w:rsidR="006145FA" w:rsidRPr="00B915F2" w:rsidRDefault="006145FA" w:rsidP="00803507">
      <w:pPr>
        <w:pStyle w:val="Textpoznpodarou"/>
        <w:jc w:val="both"/>
        <w:rPr>
          <w:sz w:val="16"/>
          <w:szCs w:val="16"/>
          <w:lang w:val="en-GB"/>
        </w:rPr>
      </w:pPr>
      <w:r w:rsidRPr="00B915F2">
        <w:rPr>
          <w:rStyle w:val="Znakapoznpodarou"/>
          <w:sz w:val="16"/>
          <w:szCs w:val="16"/>
          <w:lang w:val="en-GB"/>
        </w:rPr>
        <w:footnoteRef/>
      </w:r>
      <w:r w:rsidRPr="00B915F2">
        <w:rPr>
          <w:sz w:val="16"/>
          <w:szCs w:val="16"/>
          <w:lang w:val="en-GB"/>
        </w:rPr>
        <w:t xml:space="preserve"> In addition, sales continued to grow in the marginal segment of non-specialized stores with non-food goods predominating for the fourth year in a row (Q4</w:t>
      </w:r>
      <w:r w:rsidR="0067789E">
        <w:rPr>
          <w:sz w:val="16"/>
          <w:szCs w:val="16"/>
          <w:lang w:val="en-GB"/>
        </w:rPr>
        <w:t xml:space="preserve"> 2024</w:t>
      </w:r>
      <w:r w:rsidRPr="00B915F2">
        <w:rPr>
          <w:sz w:val="16"/>
          <w:szCs w:val="16"/>
          <w:lang w:val="en-GB"/>
        </w:rPr>
        <w:t xml:space="preserve">: +14.2%). It typically focuses on offering a variety of goods at discount prices. </w:t>
      </w:r>
    </w:p>
  </w:footnote>
  <w:footnote w:id="50">
    <w:p w14:paraId="6C1687E2" w14:textId="60786A4E" w:rsidR="006145FA" w:rsidRPr="00B915F2" w:rsidRDefault="006145FA" w:rsidP="00803507">
      <w:pPr>
        <w:pStyle w:val="Textpoznpodarou"/>
        <w:jc w:val="both"/>
        <w:rPr>
          <w:sz w:val="16"/>
          <w:szCs w:val="16"/>
          <w:lang w:val="en-GB"/>
        </w:rPr>
      </w:pPr>
      <w:r w:rsidRPr="00B915F2">
        <w:rPr>
          <w:rStyle w:val="Znakapoznpodarou"/>
          <w:sz w:val="16"/>
          <w:szCs w:val="16"/>
          <w:lang w:val="en-GB"/>
        </w:rPr>
        <w:footnoteRef/>
      </w:r>
      <w:r w:rsidRPr="00B915F2">
        <w:rPr>
          <w:sz w:val="16"/>
          <w:szCs w:val="16"/>
          <w:lang w:val="en-GB"/>
        </w:rPr>
        <w:t xml:space="preserve"> </w:t>
      </w:r>
      <w:r w:rsidRPr="005A291B">
        <w:rPr>
          <w:sz w:val="16"/>
          <w:szCs w:val="16"/>
        </w:rPr>
        <w:t>These include mainly hardware, building materials, paints, glass, DIY supplies, electrical appliances, electronics, furniture, l</w:t>
      </w:r>
      <w:r>
        <w:rPr>
          <w:sz w:val="16"/>
          <w:szCs w:val="16"/>
        </w:rPr>
        <w:t>ighting equipment</w:t>
      </w:r>
      <w:r w:rsidRPr="005A291B">
        <w:rPr>
          <w:sz w:val="16"/>
          <w:szCs w:val="16"/>
        </w:rPr>
        <w:t xml:space="preserve">, carpets </w:t>
      </w:r>
      <w:r>
        <w:rPr>
          <w:sz w:val="16"/>
          <w:szCs w:val="16"/>
        </w:rPr>
        <w:t xml:space="preserve">or </w:t>
      </w:r>
      <w:r w:rsidRPr="005A291B">
        <w:rPr>
          <w:sz w:val="16"/>
          <w:szCs w:val="16"/>
        </w:rPr>
        <w:t>home textiles.</w:t>
      </w:r>
    </w:p>
  </w:footnote>
  <w:footnote w:id="51">
    <w:p w14:paraId="3767DA18" w14:textId="3E137ECB" w:rsidR="006145FA" w:rsidRPr="00B915F2" w:rsidRDefault="006145FA" w:rsidP="00803507">
      <w:pPr>
        <w:pStyle w:val="Textpoznpodarou"/>
        <w:jc w:val="both"/>
        <w:rPr>
          <w:lang w:val="en-GB"/>
        </w:rPr>
      </w:pPr>
      <w:r w:rsidRPr="00B915F2">
        <w:rPr>
          <w:rStyle w:val="Znakapoznpodarou"/>
          <w:sz w:val="16"/>
          <w:szCs w:val="16"/>
          <w:lang w:val="en-GB"/>
        </w:rPr>
        <w:footnoteRef/>
      </w:r>
      <w:bookmarkStart w:id="33" w:name="_Hlk194788133"/>
      <w:r w:rsidR="0067789E">
        <w:rPr>
          <w:sz w:val="16"/>
          <w:szCs w:val="16"/>
        </w:rPr>
        <w:t>These include, for example stores aimed at</w:t>
      </w:r>
      <w:r w:rsidRPr="005A291B">
        <w:rPr>
          <w:sz w:val="16"/>
          <w:szCs w:val="16"/>
        </w:rPr>
        <w:t xml:space="preserve"> meat products, pastries, confectionery products or beverages. However, tobacco shops have the greatest weight here.</w:t>
      </w:r>
    </w:p>
    <w:bookmarkEnd w:id="33"/>
  </w:footnote>
  <w:footnote w:id="52">
    <w:p w14:paraId="2626A143" w14:textId="786FBE69" w:rsidR="006145FA" w:rsidRPr="00B915F2" w:rsidRDefault="006145FA" w:rsidP="00803507">
      <w:pPr>
        <w:pStyle w:val="Textpoznpodarou"/>
        <w:jc w:val="both"/>
        <w:rPr>
          <w:sz w:val="16"/>
          <w:szCs w:val="16"/>
          <w:lang w:val="en-GB"/>
        </w:rPr>
      </w:pPr>
      <w:r w:rsidRPr="00B915F2">
        <w:rPr>
          <w:rStyle w:val="Znakapoznpodarou"/>
          <w:sz w:val="16"/>
          <w:szCs w:val="16"/>
          <w:lang w:val="en-GB"/>
        </w:rPr>
        <w:footnoteRef/>
      </w:r>
      <w:r w:rsidRPr="00B915F2">
        <w:rPr>
          <w:sz w:val="16"/>
          <w:szCs w:val="16"/>
          <w:lang w:val="en-GB"/>
        </w:rPr>
        <w:t xml:space="preserve"> </w:t>
      </w:r>
      <w:bookmarkStart w:id="34" w:name="_Hlk194788154"/>
      <w:r w:rsidRPr="005A291B">
        <w:rPr>
          <w:sz w:val="16"/>
          <w:szCs w:val="16"/>
        </w:rPr>
        <w:t xml:space="preserve">Consumer prices of petrol and diesel </w:t>
      </w:r>
      <w:r>
        <w:rPr>
          <w:sz w:val="16"/>
          <w:szCs w:val="16"/>
        </w:rPr>
        <w:t xml:space="preserve">fuel </w:t>
      </w:r>
      <w:r w:rsidRPr="005A291B">
        <w:rPr>
          <w:sz w:val="16"/>
          <w:szCs w:val="16"/>
        </w:rPr>
        <w:t xml:space="preserve">fell uncharacteristically last year even during the main motoring season. </w:t>
      </w:r>
      <w:r>
        <w:rPr>
          <w:sz w:val="16"/>
          <w:szCs w:val="16"/>
        </w:rPr>
        <w:t>D</w:t>
      </w:r>
      <w:r w:rsidRPr="005A291B">
        <w:rPr>
          <w:sz w:val="16"/>
          <w:szCs w:val="16"/>
        </w:rPr>
        <w:t>iesel</w:t>
      </w:r>
      <w:r>
        <w:rPr>
          <w:sz w:val="16"/>
          <w:szCs w:val="16"/>
        </w:rPr>
        <w:t xml:space="preserve"> fuel w</w:t>
      </w:r>
      <w:r w:rsidRPr="005A291B">
        <w:rPr>
          <w:sz w:val="16"/>
          <w:szCs w:val="16"/>
        </w:rPr>
        <w:t xml:space="preserve">as sold at domestic filling stations for an average of about 34.2 </w:t>
      </w:r>
      <w:r>
        <w:rPr>
          <w:sz w:val="16"/>
          <w:szCs w:val="16"/>
        </w:rPr>
        <w:t xml:space="preserve">CZK </w:t>
      </w:r>
      <w:r w:rsidRPr="005A291B">
        <w:rPr>
          <w:sz w:val="16"/>
          <w:szCs w:val="16"/>
        </w:rPr>
        <w:t xml:space="preserve">per liter and Natural 95 petrol for 35.6 </w:t>
      </w:r>
      <w:r>
        <w:rPr>
          <w:sz w:val="16"/>
          <w:szCs w:val="16"/>
        </w:rPr>
        <w:t>CZK in October</w:t>
      </w:r>
      <w:r w:rsidR="0067789E">
        <w:rPr>
          <w:sz w:val="16"/>
          <w:szCs w:val="16"/>
        </w:rPr>
        <w:t xml:space="preserve"> 2024</w:t>
      </w:r>
      <w:r w:rsidRPr="005A291B">
        <w:rPr>
          <w:sz w:val="16"/>
          <w:szCs w:val="16"/>
        </w:rPr>
        <w:t xml:space="preserve">. In the case of diesel, it was the lowest value since July 2023 and for Natural </w:t>
      </w:r>
      <w:r>
        <w:rPr>
          <w:sz w:val="16"/>
          <w:szCs w:val="16"/>
        </w:rPr>
        <w:t xml:space="preserve">then </w:t>
      </w:r>
      <w:r w:rsidRPr="005A291B">
        <w:rPr>
          <w:sz w:val="16"/>
          <w:szCs w:val="16"/>
        </w:rPr>
        <w:t xml:space="preserve">even since October 2021. In addition to domestic households and companies, foreign carriers that carry out transit transport through the Czech Republic also probably reacted to this </w:t>
      </w:r>
      <w:r w:rsidR="009556EB">
        <w:rPr>
          <w:sz w:val="16"/>
          <w:szCs w:val="16"/>
        </w:rPr>
        <w:t xml:space="preserve">favourable price </w:t>
      </w:r>
      <w:r w:rsidRPr="005A291B">
        <w:rPr>
          <w:sz w:val="16"/>
          <w:szCs w:val="16"/>
        </w:rPr>
        <w:t>development</w:t>
      </w:r>
      <w:r>
        <w:rPr>
          <w:sz w:val="16"/>
          <w:szCs w:val="16"/>
        </w:rPr>
        <w:t>.</w:t>
      </w:r>
    </w:p>
    <w:bookmarkEnd w:id="34"/>
  </w:footnote>
  <w:footnote w:id="53">
    <w:p w14:paraId="33055950" w14:textId="77777777" w:rsidR="006145FA" w:rsidRPr="00B915F2" w:rsidRDefault="006145FA" w:rsidP="00803507">
      <w:pPr>
        <w:pStyle w:val="Textpoznpodarou"/>
        <w:jc w:val="both"/>
        <w:rPr>
          <w:sz w:val="16"/>
          <w:szCs w:val="16"/>
          <w:lang w:val="en-GB"/>
        </w:rPr>
      </w:pPr>
      <w:r w:rsidRPr="00B915F2">
        <w:rPr>
          <w:rStyle w:val="Znakapoznpodarou"/>
          <w:sz w:val="16"/>
          <w:szCs w:val="16"/>
          <w:lang w:val="en-GB"/>
        </w:rPr>
        <w:footnoteRef/>
      </w:r>
      <w:r w:rsidRPr="00B915F2">
        <w:rPr>
          <w:sz w:val="16"/>
          <w:szCs w:val="16"/>
          <w:lang w:val="en-GB"/>
        </w:rPr>
        <w:t xml:space="preserve"> </w:t>
      </w:r>
      <w:bookmarkStart w:id="35" w:name="_Hlk194788031"/>
      <w:r w:rsidRPr="005A291B">
        <w:rPr>
          <w:sz w:val="16"/>
          <w:szCs w:val="16"/>
        </w:rPr>
        <w:t>However, sales at current prices increased by less than 2%.</w:t>
      </w:r>
      <w:bookmarkEnd w:id="35"/>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6" w14:textId="33008622" w:rsidR="006145FA" w:rsidRPr="00C27E4F" w:rsidRDefault="006145FA" w:rsidP="00C27E4F">
    <w:pPr>
      <w:pStyle w:val="Zhlav"/>
    </w:pPr>
    <w: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7" w14:textId="66FE4D49" w:rsidR="006145FA" w:rsidRPr="006F5416" w:rsidRDefault="006145FA" w:rsidP="00937AE2">
    <w:pPr>
      <w:pStyle w:val="Zhlav"/>
    </w:pPr>
    <w: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02530768" o:spid="_x0000_i1026" type="#_x0000_t75" style="width:11.25pt;height:11.25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5"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3"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26"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29"/>
  </w:num>
  <w:num w:numId="14">
    <w:abstractNumId w:val="14"/>
  </w:num>
  <w:num w:numId="15">
    <w:abstractNumId w:val="20"/>
  </w:num>
  <w:num w:numId="16">
    <w:abstractNumId w:val="16"/>
  </w:num>
  <w:num w:numId="17">
    <w:abstractNumId w:val="30"/>
  </w:num>
  <w:num w:numId="18">
    <w:abstractNumId w:val="21"/>
  </w:num>
  <w:num w:numId="19">
    <w:abstractNumId w:val="32"/>
  </w:num>
  <w:num w:numId="20">
    <w:abstractNumId w:val="37"/>
  </w:num>
  <w:num w:numId="21">
    <w:abstractNumId w:val="28"/>
  </w:num>
  <w:num w:numId="22">
    <w:abstractNumId w:val="19"/>
  </w:num>
  <w:num w:numId="23">
    <w:abstractNumId w:val="17"/>
  </w:num>
  <w:num w:numId="24">
    <w:abstractNumId w:val="18"/>
  </w:num>
  <w:num w:numId="25">
    <w:abstractNumId w:val="35"/>
  </w:num>
  <w:num w:numId="26">
    <w:abstractNumId w:val="36"/>
  </w:num>
  <w:num w:numId="27">
    <w:abstractNumId w:val="13"/>
  </w:num>
  <w:num w:numId="28">
    <w:abstractNumId w:val="23"/>
  </w:num>
  <w:num w:numId="29">
    <w:abstractNumId w:val="22"/>
  </w:num>
  <w:num w:numId="30">
    <w:abstractNumId w:val="10"/>
  </w:num>
  <w:num w:numId="31">
    <w:abstractNumId w:val="24"/>
  </w:num>
  <w:num w:numId="32">
    <w:abstractNumId w:val="12"/>
  </w:num>
  <w:num w:numId="33">
    <w:abstractNumId w:val="39"/>
  </w:num>
  <w:num w:numId="34">
    <w:abstractNumId w:val="11"/>
  </w:num>
  <w:num w:numId="35">
    <w:abstractNumId w:val="31"/>
  </w:num>
  <w:num w:numId="36">
    <w:abstractNumId w:val="26"/>
  </w:num>
  <w:num w:numId="37">
    <w:abstractNumId w:val="25"/>
  </w:num>
  <w:num w:numId="38">
    <w:abstractNumId w:val="33"/>
  </w:num>
  <w:num w:numId="39">
    <w:abstractNumId w:val="3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62"/>
    <w:rsid w:val="0000209D"/>
    <w:rsid w:val="000024D3"/>
    <w:rsid w:val="00004D5A"/>
    <w:rsid w:val="000056D5"/>
    <w:rsid w:val="00006ABD"/>
    <w:rsid w:val="0000767A"/>
    <w:rsid w:val="00010256"/>
    <w:rsid w:val="00010702"/>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3793"/>
    <w:rsid w:val="001706D6"/>
    <w:rsid w:val="001714F2"/>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C5B"/>
    <w:rsid w:val="003103E0"/>
    <w:rsid w:val="00313B2D"/>
    <w:rsid w:val="00314F9F"/>
    <w:rsid w:val="00315D45"/>
    <w:rsid w:val="003209D6"/>
    <w:rsid w:val="00321924"/>
    <w:rsid w:val="0032656E"/>
    <w:rsid w:val="00326FE1"/>
    <w:rsid w:val="00332190"/>
    <w:rsid w:val="0034335E"/>
    <w:rsid w:val="00344668"/>
    <w:rsid w:val="003462D9"/>
    <w:rsid w:val="00360C86"/>
    <w:rsid w:val="00360FBC"/>
    <w:rsid w:val="00362E90"/>
    <w:rsid w:val="00364199"/>
    <w:rsid w:val="00364FA0"/>
    <w:rsid w:val="003657F3"/>
    <w:rsid w:val="003818DC"/>
    <w:rsid w:val="0038369B"/>
    <w:rsid w:val="00384327"/>
    <w:rsid w:val="00385D98"/>
    <w:rsid w:val="003905A9"/>
    <w:rsid w:val="003A2B4D"/>
    <w:rsid w:val="003A2D12"/>
    <w:rsid w:val="003A478C"/>
    <w:rsid w:val="003A5525"/>
    <w:rsid w:val="003A6B38"/>
    <w:rsid w:val="003B461F"/>
    <w:rsid w:val="003B5A32"/>
    <w:rsid w:val="003C3490"/>
    <w:rsid w:val="003C7E62"/>
    <w:rsid w:val="003D6920"/>
    <w:rsid w:val="003E0A6F"/>
    <w:rsid w:val="003E48F2"/>
    <w:rsid w:val="003E4C91"/>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41A0"/>
    <w:rsid w:val="004455BA"/>
    <w:rsid w:val="0045078A"/>
    <w:rsid w:val="0045086D"/>
    <w:rsid w:val="00451504"/>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2007E"/>
    <w:rsid w:val="0052337A"/>
    <w:rsid w:val="00525137"/>
    <w:rsid w:val="005251DD"/>
    <w:rsid w:val="0053014E"/>
    <w:rsid w:val="00530B52"/>
    <w:rsid w:val="00532CE7"/>
    <w:rsid w:val="0053324C"/>
    <w:rsid w:val="00534A28"/>
    <w:rsid w:val="00541508"/>
    <w:rsid w:val="00543498"/>
    <w:rsid w:val="0055599F"/>
    <w:rsid w:val="00556A6D"/>
    <w:rsid w:val="00556D68"/>
    <w:rsid w:val="00563EB8"/>
    <w:rsid w:val="005647BF"/>
    <w:rsid w:val="00564AF1"/>
    <w:rsid w:val="0057364B"/>
    <w:rsid w:val="00573683"/>
    <w:rsid w:val="00574773"/>
    <w:rsid w:val="00583FFD"/>
    <w:rsid w:val="005911BE"/>
    <w:rsid w:val="00593152"/>
    <w:rsid w:val="005A10F2"/>
    <w:rsid w:val="005A21E0"/>
    <w:rsid w:val="005A28FF"/>
    <w:rsid w:val="005A3DF8"/>
    <w:rsid w:val="005A5549"/>
    <w:rsid w:val="005A7038"/>
    <w:rsid w:val="005B121D"/>
    <w:rsid w:val="005C06ED"/>
    <w:rsid w:val="005C159F"/>
    <w:rsid w:val="005C2609"/>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4093"/>
    <w:rsid w:val="00625F8F"/>
    <w:rsid w:val="006350D5"/>
    <w:rsid w:val="006404A7"/>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95BEF"/>
    <w:rsid w:val="006977F6"/>
    <w:rsid w:val="00697A13"/>
    <w:rsid w:val="006A109C"/>
    <w:rsid w:val="006B0F92"/>
    <w:rsid w:val="006B344A"/>
    <w:rsid w:val="006B78D8"/>
    <w:rsid w:val="006C113F"/>
    <w:rsid w:val="006C123E"/>
    <w:rsid w:val="006C1752"/>
    <w:rsid w:val="006C56D4"/>
    <w:rsid w:val="006C6924"/>
    <w:rsid w:val="006C7CA6"/>
    <w:rsid w:val="006D3E8A"/>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3946"/>
    <w:rsid w:val="007240E2"/>
    <w:rsid w:val="00725BB5"/>
    <w:rsid w:val="007301CE"/>
    <w:rsid w:val="00730AE8"/>
    <w:rsid w:val="00730F1B"/>
    <w:rsid w:val="00741493"/>
    <w:rsid w:val="00752180"/>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20CF"/>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60D1"/>
    <w:rsid w:val="009B6FD3"/>
    <w:rsid w:val="009C1750"/>
    <w:rsid w:val="009C2E29"/>
    <w:rsid w:val="009C554B"/>
    <w:rsid w:val="009C719E"/>
    <w:rsid w:val="009C7A10"/>
    <w:rsid w:val="009D3ACD"/>
    <w:rsid w:val="009E5273"/>
    <w:rsid w:val="009E5DDB"/>
    <w:rsid w:val="009F4CA7"/>
    <w:rsid w:val="00A10D66"/>
    <w:rsid w:val="00A119FE"/>
    <w:rsid w:val="00A14114"/>
    <w:rsid w:val="00A14699"/>
    <w:rsid w:val="00A16413"/>
    <w:rsid w:val="00A16E1D"/>
    <w:rsid w:val="00A17D5B"/>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FED"/>
    <w:rsid w:val="00AA2996"/>
    <w:rsid w:val="00AA52BF"/>
    <w:rsid w:val="00AA559A"/>
    <w:rsid w:val="00AB2AF1"/>
    <w:rsid w:val="00AC45BD"/>
    <w:rsid w:val="00AD168E"/>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6D1E"/>
    <w:rsid w:val="00B80EC6"/>
    <w:rsid w:val="00B84CF6"/>
    <w:rsid w:val="00B879AA"/>
    <w:rsid w:val="00B92D1D"/>
    <w:rsid w:val="00B938C5"/>
    <w:rsid w:val="00B95940"/>
    <w:rsid w:val="00BA6C2B"/>
    <w:rsid w:val="00BB46F3"/>
    <w:rsid w:val="00BB4CB1"/>
    <w:rsid w:val="00BB4F98"/>
    <w:rsid w:val="00BC5C12"/>
    <w:rsid w:val="00BC7154"/>
    <w:rsid w:val="00BC731E"/>
    <w:rsid w:val="00BD366B"/>
    <w:rsid w:val="00BD6D50"/>
    <w:rsid w:val="00BE18B9"/>
    <w:rsid w:val="00BE1EB2"/>
    <w:rsid w:val="00BE2495"/>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D040DD"/>
    <w:rsid w:val="00D075BE"/>
    <w:rsid w:val="00D13986"/>
    <w:rsid w:val="00D21D83"/>
    <w:rsid w:val="00D235B7"/>
    <w:rsid w:val="00D23C02"/>
    <w:rsid w:val="00D25F28"/>
    <w:rsid w:val="00D26071"/>
    <w:rsid w:val="00D27973"/>
    <w:rsid w:val="00D35E1A"/>
    <w:rsid w:val="00D42211"/>
    <w:rsid w:val="00D50F46"/>
    <w:rsid w:val="00D57677"/>
    <w:rsid w:val="00D66223"/>
    <w:rsid w:val="00D71625"/>
    <w:rsid w:val="00D77C2A"/>
    <w:rsid w:val="00D8084C"/>
    <w:rsid w:val="00D8546D"/>
    <w:rsid w:val="00D915EA"/>
    <w:rsid w:val="00DA7C0C"/>
    <w:rsid w:val="00DB08A9"/>
    <w:rsid w:val="00DB2EC8"/>
    <w:rsid w:val="00DC5B3B"/>
    <w:rsid w:val="00DD129F"/>
    <w:rsid w:val="00DE02BD"/>
    <w:rsid w:val="00DF42FF"/>
    <w:rsid w:val="00E01C0E"/>
    <w:rsid w:val="00E03F9A"/>
    <w:rsid w:val="00E04694"/>
    <w:rsid w:val="00E063CE"/>
    <w:rsid w:val="00E12B1E"/>
    <w:rsid w:val="00E17262"/>
    <w:rsid w:val="00E200EF"/>
    <w:rsid w:val="00E253A2"/>
    <w:rsid w:val="00E3309D"/>
    <w:rsid w:val="00E43C1C"/>
    <w:rsid w:val="00E47EBA"/>
    <w:rsid w:val="00E50156"/>
    <w:rsid w:val="00E51643"/>
    <w:rsid w:val="00E53470"/>
    <w:rsid w:val="00E539F6"/>
    <w:rsid w:val="00E551F6"/>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D4FDC"/>
    <w:rsid w:val="00ED62C6"/>
    <w:rsid w:val="00ED64C1"/>
    <w:rsid w:val="00EE3446"/>
    <w:rsid w:val="00EE3E78"/>
    <w:rsid w:val="00EE4B1B"/>
    <w:rsid w:val="00EE7F19"/>
    <w:rsid w:val="00EF150D"/>
    <w:rsid w:val="00EF1F5A"/>
    <w:rsid w:val="00EF3741"/>
    <w:rsid w:val="00EF47BF"/>
    <w:rsid w:val="00F00320"/>
    <w:rsid w:val="00F04811"/>
    <w:rsid w:val="00F0488C"/>
    <w:rsid w:val="00F10F11"/>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Qmakro-2024\Celorok\ENGL\ENGL_Grafy_Odv&#283;tv&#237;_rok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Qmakro-2024\Celorok\ENGL\ENGL_Grafy_Odv&#283;tv&#237;_rok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Qmakro-2024\Celorok\ENGL\ENGL_Grafy_Odv&#283;tv&#237;_rok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Qmakro-2024\Celorok\ENGL\ENGL_Grafy_Odv&#283;tv&#237;_rok202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Qmakro-2024\Celorok\ENGL\ENGL_Grafy_Odv&#283;tv&#237;_rok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10992424025054E-2"/>
          <c:y val="1.5804777005479873E-2"/>
          <c:w val="0.84144249386957193"/>
          <c:h val="0.69135712481071809"/>
        </c:manualLayout>
      </c:layout>
      <c:barChart>
        <c:barDir val="col"/>
        <c:grouping val="stacked"/>
        <c:varyColors val="0"/>
        <c:ser>
          <c:idx val="0"/>
          <c:order val="0"/>
          <c:tx>
            <c:strRef>
              <c:f>'GRAF příspěvky IPP'!$A$27</c:f>
              <c:strCache>
                <c:ptCount val="1"/>
                <c:pt idx="0">
                  <c:v>Manufacture of transport equipment (29, 30)</c:v>
                </c:pt>
              </c:strCache>
            </c:strRef>
          </c:tx>
          <c:spPr>
            <a:solidFill>
              <a:srgbClr val="E8AFB2"/>
            </a:solidFill>
          </c:spPr>
          <c:invertIfNegative val="0"/>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IPP'!$R$27:$BE$27</c:f>
              <c:numCache>
                <c:formatCode>0.0</c:formatCode>
                <c:ptCount val="40"/>
                <c:pt idx="0">
                  <c:v>1.5407194734870255</c:v>
                </c:pt>
                <c:pt idx="1">
                  <c:v>2.1725345808437702</c:v>
                </c:pt>
                <c:pt idx="2">
                  <c:v>2.3822280390891484</c:v>
                </c:pt>
                <c:pt idx="3">
                  <c:v>2.8679001700331122</c:v>
                </c:pt>
                <c:pt idx="4">
                  <c:v>3.3256782968034511</c:v>
                </c:pt>
                <c:pt idx="5">
                  <c:v>2.7078368205204244</c:v>
                </c:pt>
                <c:pt idx="6">
                  <c:v>1.4770884945722993</c:v>
                </c:pt>
                <c:pt idx="7">
                  <c:v>1.0297006290395898</c:v>
                </c:pt>
                <c:pt idx="8">
                  <c:v>1.7408920839398754</c:v>
                </c:pt>
                <c:pt idx="9">
                  <c:v>2.1378802528812932</c:v>
                </c:pt>
                <c:pt idx="10">
                  <c:v>1.5935135243788106</c:v>
                </c:pt>
                <c:pt idx="11">
                  <c:v>1.6791873092801739</c:v>
                </c:pt>
                <c:pt idx="12">
                  <c:v>0.75268647024158142</c:v>
                </c:pt>
                <c:pt idx="13">
                  <c:v>0.54211789515047693</c:v>
                </c:pt>
                <c:pt idx="14">
                  <c:v>0.24127576647979335</c:v>
                </c:pt>
                <c:pt idx="15">
                  <c:v>0.97863378627142206</c:v>
                </c:pt>
                <c:pt idx="16">
                  <c:v>-0.2260516552234422</c:v>
                </c:pt>
                <c:pt idx="17">
                  <c:v>0.44759183220264459</c:v>
                </c:pt>
                <c:pt idx="18">
                  <c:v>0.76878503294695455</c:v>
                </c:pt>
                <c:pt idx="19">
                  <c:v>-1.0091759236462883</c:v>
                </c:pt>
                <c:pt idx="20">
                  <c:v>-1.5334709251303915</c:v>
                </c:pt>
                <c:pt idx="21">
                  <c:v>-9.3844961095672232</c:v>
                </c:pt>
                <c:pt idx="22">
                  <c:v>-0.1831246423410012</c:v>
                </c:pt>
                <c:pt idx="23">
                  <c:v>2.0633116605855042</c:v>
                </c:pt>
                <c:pt idx="24">
                  <c:v>1.8994738849431219</c:v>
                </c:pt>
                <c:pt idx="25">
                  <c:v>10.953828611576037</c:v>
                </c:pt>
                <c:pt idx="26">
                  <c:v>-3.7780334995738061</c:v>
                </c:pt>
                <c:pt idx="27">
                  <c:v>-3.2466705580298791</c:v>
                </c:pt>
                <c:pt idx="28">
                  <c:v>-1.9063093854042736</c:v>
                </c:pt>
                <c:pt idx="29">
                  <c:v>9.7229287758977434E-2</c:v>
                </c:pt>
                <c:pt idx="30">
                  <c:v>5.6033975682910881</c:v>
                </c:pt>
                <c:pt idx="31">
                  <c:v>4.0048776177966694</c:v>
                </c:pt>
                <c:pt idx="32">
                  <c:v>5.2654608767432789</c:v>
                </c:pt>
                <c:pt idx="33">
                  <c:v>5.0893549797795146</c:v>
                </c:pt>
                <c:pt idx="34">
                  <c:v>1.350201305962601</c:v>
                </c:pt>
                <c:pt idx="35">
                  <c:v>3.1919008208704018</c:v>
                </c:pt>
                <c:pt idx="36">
                  <c:v>0.64445872329340592</c:v>
                </c:pt>
                <c:pt idx="37">
                  <c:v>-1.0914106642915526</c:v>
                </c:pt>
                <c:pt idx="38">
                  <c:v>0.64631896939878564</c:v>
                </c:pt>
                <c:pt idx="39">
                  <c:v>-1.443838932981421</c:v>
                </c:pt>
              </c:numCache>
            </c:numRef>
          </c:val>
          <c:extLst>
            <c:ext xmlns:c16="http://schemas.microsoft.com/office/drawing/2014/chart" uri="{C3380CC4-5D6E-409C-BE32-E72D297353CC}">
              <c16:uniqueId val="{00000000-1739-4ABC-B9F7-4B77E097C513}"/>
            </c:ext>
          </c:extLst>
        </c:ser>
        <c:ser>
          <c:idx val="1"/>
          <c:order val="1"/>
          <c:tx>
            <c:strRef>
              <c:f>'GRAF příspěvky IPP'!$A$28</c:f>
              <c:strCache>
                <c:ptCount val="1"/>
                <c:pt idx="0">
                  <c:v>Rubber, electro technical ind. (22, 27)</c:v>
                </c:pt>
              </c:strCache>
            </c:strRef>
          </c:tx>
          <c:spPr>
            <a:solidFill>
              <a:srgbClr val="BD1B21"/>
            </a:solidFill>
          </c:spPr>
          <c:invertIfNegative val="0"/>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IPP'!$R$28:$BE$28</c:f>
              <c:numCache>
                <c:formatCode>0.0</c:formatCode>
                <c:ptCount val="40"/>
                <c:pt idx="0">
                  <c:v>1.0322214618878158</c:v>
                </c:pt>
                <c:pt idx="1">
                  <c:v>1.2386415260436179</c:v>
                </c:pt>
                <c:pt idx="2">
                  <c:v>1.4204776682885574</c:v>
                </c:pt>
                <c:pt idx="3">
                  <c:v>0.62919278136008572</c:v>
                </c:pt>
                <c:pt idx="4">
                  <c:v>0.8176750577912526</c:v>
                </c:pt>
                <c:pt idx="5">
                  <c:v>0.14129582168796412</c:v>
                </c:pt>
                <c:pt idx="6">
                  <c:v>0.27952572878212995</c:v>
                </c:pt>
                <c:pt idx="7">
                  <c:v>0.42980054252763067</c:v>
                </c:pt>
                <c:pt idx="8">
                  <c:v>0.79334952879496901</c:v>
                </c:pt>
                <c:pt idx="9">
                  <c:v>1.468356537050969</c:v>
                </c:pt>
                <c:pt idx="10">
                  <c:v>0.87390949425966125</c:v>
                </c:pt>
                <c:pt idx="11">
                  <c:v>1.644368824210785</c:v>
                </c:pt>
                <c:pt idx="12">
                  <c:v>1.0040337375607471</c:v>
                </c:pt>
                <c:pt idx="13">
                  <c:v>0.3253925650201499</c:v>
                </c:pt>
                <c:pt idx="14">
                  <c:v>0.43133954445298106</c:v>
                </c:pt>
                <c:pt idx="15">
                  <c:v>-5.9899261699036116E-2</c:v>
                </c:pt>
                <c:pt idx="16">
                  <c:v>0.52608733581744893</c:v>
                </c:pt>
                <c:pt idx="17">
                  <c:v>0.44070570288166666</c:v>
                </c:pt>
                <c:pt idx="18">
                  <c:v>0.16703875787161085</c:v>
                </c:pt>
                <c:pt idx="19">
                  <c:v>0.41508771908448316</c:v>
                </c:pt>
                <c:pt idx="20">
                  <c:v>-0.55255281731107375</c:v>
                </c:pt>
                <c:pt idx="21">
                  <c:v>-4.0630399723550301</c:v>
                </c:pt>
                <c:pt idx="22">
                  <c:v>-0.43874587338548932</c:v>
                </c:pt>
                <c:pt idx="23">
                  <c:v>0.53060699318837878</c:v>
                </c:pt>
                <c:pt idx="24">
                  <c:v>0.71105162663072174</c:v>
                </c:pt>
                <c:pt idx="25">
                  <c:v>5.4805586415138947</c:v>
                </c:pt>
                <c:pt idx="26">
                  <c:v>0.62204112300893599</c:v>
                </c:pt>
                <c:pt idx="27">
                  <c:v>-0.42420711975924758</c:v>
                </c:pt>
                <c:pt idx="28">
                  <c:v>8.4631931672039307E-2</c:v>
                </c:pt>
                <c:pt idx="29">
                  <c:v>0.14005433229429518</c:v>
                </c:pt>
                <c:pt idx="30">
                  <c:v>0.5413318311293237</c:v>
                </c:pt>
                <c:pt idx="31">
                  <c:v>0.61656643528720623</c:v>
                </c:pt>
                <c:pt idx="32">
                  <c:v>0.24570600684677693</c:v>
                </c:pt>
                <c:pt idx="33">
                  <c:v>0.13465018097113457</c:v>
                </c:pt>
                <c:pt idx="34">
                  <c:v>-0.41865316432893407</c:v>
                </c:pt>
                <c:pt idx="35">
                  <c:v>1.7959375973914976E-2</c:v>
                </c:pt>
                <c:pt idx="36">
                  <c:v>0.14184759123630111</c:v>
                </c:pt>
                <c:pt idx="37">
                  <c:v>-0.18894632096141117</c:v>
                </c:pt>
                <c:pt idx="38">
                  <c:v>0.1460354833760574</c:v>
                </c:pt>
                <c:pt idx="39">
                  <c:v>-0.54236501850354391</c:v>
                </c:pt>
              </c:numCache>
            </c:numRef>
          </c:val>
          <c:extLst>
            <c:ext xmlns:c16="http://schemas.microsoft.com/office/drawing/2014/chart" uri="{C3380CC4-5D6E-409C-BE32-E72D297353CC}">
              <c16:uniqueId val="{00000001-1739-4ABC-B9F7-4B77E097C513}"/>
            </c:ext>
          </c:extLst>
        </c:ser>
        <c:ser>
          <c:idx val="2"/>
          <c:order val="2"/>
          <c:tx>
            <c:strRef>
              <c:f>'GRAF příspěvky IPP'!$A$29</c:f>
              <c:strCache>
                <c:ptCount val="1"/>
                <c:pt idx="0">
                  <c:v>Machinery (28)</c:v>
                </c:pt>
              </c:strCache>
            </c:strRef>
          </c:tx>
          <c:spPr>
            <a:solidFill>
              <a:srgbClr val="BFE3F7"/>
            </a:solidFill>
          </c:spPr>
          <c:invertIfNegative val="0"/>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IPP'!$R$29:$BE$29</c:f>
              <c:numCache>
                <c:formatCode>0.0</c:formatCode>
                <c:ptCount val="40"/>
                <c:pt idx="0">
                  <c:v>0.27346966717109655</c:v>
                </c:pt>
                <c:pt idx="1">
                  <c:v>0.29320995735524691</c:v>
                </c:pt>
                <c:pt idx="2">
                  <c:v>0.38410423993096532</c:v>
                </c:pt>
                <c:pt idx="3">
                  <c:v>2.0725807050325191E-2</c:v>
                </c:pt>
                <c:pt idx="4">
                  <c:v>0.37252847603208256</c:v>
                </c:pt>
                <c:pt idx="5">
                  <c:v>-9.2809853017947919E-2</c:v>
                </c:pt>
                <c:pt idx="6">
                  <c:v>0.20293953400612441</c:v>
                </c:pt>
                <c:pt idx="7">
                  <c:v>0.32005157357499631</c:v>
                </c:pt>
                <c:pt idx="8">
                  <c:v>0.3345178851347928</c:v>
                </c:pt>
                <c:pt idx="9">
                  <c:v>1.1003694908923236</c:v>
                </c:pt>
                <c:pt idx="10">
                  <c:v>0.85805445400541835</c:v>
                </c:pt>
                <c:pt idx="11">
                  <c:v>0.80055944660911171</c:v>
                </c:pt>
                <c:pt idx="12">
                  <c:v>0.48868169907415326</c:v>
                </c:pt>
                <c:pt idx="13">
                  <c:v>0.13868742792561028</c:v>
                </c:pt>
                <c:pt idx="14">
                  <c:v>0.18638853797251198</c:v>
                </c:pt>
                <c:pt idx="15">
                  <c:v>-0.20071677551985512</c:v>
                </c:pt>
                <c:pt idx="16">
                  <c:v>0.20262845642032346</c:v>
                </c:pt>
                <c:pt idx="17">
                  <c:v>-9.1482438382696971E-3</c:v>
                </c:pt>
                <c:pt idx="18">
                  <c:v>-0.3267936607108648</c:v>
                </c:pt>
                <c:pt idx="19">
                  <c:v>-0.14957125605699437</c:v>
                </c:pt>
                <c:pt idx="20">
                  <c:v>-0.7072452096320988</c:v>
                </c:pt>
                <c:pt idx="21">
                  <c:v>-2.1308377913469609</c:v>
                </c:pt>
                <c:pt idx="22">
                  <c:v>-0.8017096029334061</c:v>
                </c:pt>
                <c:pt idx="23">
                  <c:v>-0.54797142039304825</c:v>
                </c:pt>
                <c:pt idx="24">
                  <c:v>7.0418186485785489E-2</c:v>
                </c:pt>
                <c:pt idx="25">
                  <c:v>2.0578698080975477</c:v>
                </c:pt>
                <c:pt idx="26">
                  <c:v>0.54818601226918828</c:v>
                </c:pt>
                <c:pt idx="27">
                  <c:v>0.28069390163067787</c:v>
                </c:pt>
                <c:pt idx="28">
                  <c:v>0.35744236675124313</c:v>
                </c:pt>
                <c:pt idx="29">
                  <c:v>9.163726334784672E-2</c:v>
                </c:pt>
                <c:pt idx="30">
                  <c:v>0.48969695684594233</c:v>
                </c:pt>
                <c:pt idx="31">
                  <c:v>0.65505074774565475</c:v>
                </c:pt>
                <c:pt idx="32">
                  <c:v>0.47333415427875108</c:v>
                </c:pt>
                <c:pt idx="33">
                  <c:v>0.39366501365458245</c:v>
                </c:pt>
                <c:pt idx="34">
                  <c:v>-0.57925539828873818</c:v>
                </c:pt>
                <c:pt idx="35">
                  <c:v>-0.75565745552359209</c:v>
                </c:pt>
                <c:pt idx="36">
                  <c:v>-0.90958280483335363</c:v>
                </c:pt>
                <c:pt idx="37">
                  <c:v>-0.79898975977682929</c:v>
                </c:pt>
                <c:pt idx="38">
                  <c:v>-0.39038787223559229</c:v>
                </c:pt>
                <c:pt idx="39">
                  <c:v>-0.52577764312337971</c:v>
                </c:pt>
              </c:numCache>
            </c:numRef>
          </c:val>
          <c:extLst>
            <c:ext xmlns:c16="http://schemas.microsoft.com/office/drawing/2014/chart" uri="{C3380CC4-5D6E-409C-BE32-E72D297353CC}">
              <c16:uniqueId val="{00000002-1739-4ABC-B9F7-4B77E097C513}"/>
            </c:ext>
          </c:extLst>
        </c:ser>
        <c:ser>
          <c:idx val="3"/>
          <c:order val="3"/>
          <c:tx>
            <c:strRef>
              <c:f>'GRAF příspěvky IPP'!$A$30</c:f>
              <c:strCache>
                <c:ptCount val="1"/>
                <c:pt idx="0">
                  <c:v>Fabricated metal product industry (25)</c:v>
                </c:pt>
              </c:strCache>
            </c:strRef>
          </c:tx>
          <c:spPr>
            <a:solidFill>
              <a:srgbClr val="48AEE7"/>
            </a:solidFill>
          </c:spPr>
          <c:invertIfNegative val="0"/>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IPP'!$R$30:$BE$30</c:f>
              <c:numCache>
                <c:formatCode>0.0</c:formatCode>
                <c:ptCount val="40"/>
                <c:pt idx="0">
                  <c:v>0.69488451852266242</c:v>
                </c:pt>
                <c:pt idx="1">
                  <c:v>0.78494764780669857</c:v>
                </c:pt>
                <c:pt idx="2">
                  <c:v>0.99085589155838827</c:v>
                </c:pt>
                <c:pt idx="3">
                  <c:v>0.60110426817331475</c:v>
                </c:pt>
                <c:pt idx="4">
                  <c:v>0.81011316513160325</c:v>
                </c:pt>
                <c:pt idx="5">
                  <c:v>0.36137817304287012</c:v>
                </c:pt>
                <c:pt idx="6">
                  <c:v>0.23174116441034223</c:v>
                </c:pt>
                <c:pt idx="7">
                  <c:v>0.25113007311661406</c:v>
                </c:pt>
                <c:pt idx="8">
                  <c:v>0.38676361423749528</c:v>
                </c:pt>
                <c:pt idx="9">
                  <c:v>0.95166355765299349</c:v>
                </c:pt>
                <c:pt idx="10">
                  <c:v>0.86091550298549102</c:v>
                </c:pt>
                <c:pt idx="11">
                  <c:v>0.96020285266505589</c:v>
                </c:pt>
                <c:pt idx="12">
                  <c:v>0.67147421279246411</c:v>
                </c:pt>
                <c:pt idx="13">
                  <c:v>0.46338675111775501</c:v>
                </c:pt>
                <c:pt idx="14">
                  <c:v>0.40465307945227347</c:v>
                </c:pt>
                <c:pt idx="15">
                  <c:v>0.13991647838864771</c:v>
                </c:pt>
                <c:pt idx="16">
                  <c:v>0.23284119938910905</c:v>
                </c:pt>
                <c:pt idx="17">
                  <c:v>-2.3018109664658163E-3</c:v>
                </c:pt>
                <c:pt idx="18">
                  <c:v>-0.27902616348258918</c:v>
                </c:pt>
                <c:pt idx="19">
                  <c:v>-0.28921256974210446</c:v>
                </c:pt>
                <c:pt idx="20">
                  <c:v>-0.59705730498174525</c:v>
                </c:pt>
                <c:pt idx="21">
                  <c:v>-2.0768472147616719</c:v>
                </c:pt>
                <c:pt idx="22">
                  <c:v>-0.62165835195312102</c:v>
                </c:pt>
                <c:pt idx="23">
                  <c:v>4.661253810289321E-2</c:v>
                </c:pt>
                <c:pt idx="24">
                  <c:v>0.43199022817486354</c:v>
                </c:pt>
                <c:pt idx="25">
                  <c:v>2.9892756169119599</c:v>
                </c:pt>
                <c:pt idx="26">
                  <c:v>0.80115118417297149</c:v>
                </c:pt>
                <c:pt idx="27">
                  <c:v>1.7480374899686599E-2</c:v>
                </c:pt>
                <c:pt idx="28">
                  <c:v>0.22606126438074842</c:v>
                </c:pt>
                <c:pt idx="29">
                  <c:v>-0.40391316067631411</c:v>
                </c:pt>
                <c:pt idx="30">
                  <c:v>-0.31530356237369034</c:v>
                </c:pt>
                <c:pt idx="31">
                  <c:v>-0.21511495335603445</c:v>
                </c:pt>
                <c:pt idx="32">
                  <c:v>-0.35397900669262772</c:v>
                </c:pt>
                <c:pt idx="33">
                  <c:v>-9.7037704818367973E-2</c:v>
                </c:pt>
                <c:pt idx="34">
                  <c:v>-0.20944175574103288</c:v>
                </c:pt>
                <c:pt idx="35">
                  <c:v>-0.27616423694939601</c:v>
                </c:pt>
                <c:pt idx="36">
                  <c:v>-0.11533650066363174</c:v>
                </c:pt>
                <c:pt idx="37">
                  <c:v>-3.7810887313516915E-2</c:v>
                </c:pt>
                <c:pt idx="38">
                  <c:v>0.34195451609937061</c:v>
                </c:pt>
                <c:pt idx="39">
                  <c:v>0.21350055999301737</c:v>
                </c:pt>
              </c:numCache>
            </c:numRef>
          </c:val>
          <c:extLst>
            <c:ext xmlns:c16="http://schemas.microsoft.com/office/drawing/2014/chart" uri="{C3380CC4-5D6E-409C-BE32-E72D297353CC}">
              <c16:uniqueId val="{00000003-1739-4ABC-B9F7-4B77E097C513}"/>
            </c:ext>
          </c:extLst>
        </c:ser>
        <c:ser>
          <c:idx val="4"/>
          <c:order val="4"/>
          <c:tx>
            <c:strRef>
              <c:f>'GRAF příspěvky IPP'!$A$31</c:f>
              <c:strCache>
                <c:ptCount val="1"/>
                <c:pt idx="0">
                  <c:v>PC, electronic and optical products (26)</c:v>
                </c:pt>
              </c:strCache>
            </c:strRef>
          </c:tx>
          <c:spPr>
            <a:solidFill>
              <a:srgbClr val="FDDEB3"/>
            </a:solidFill>
          </c:spPr>
          <c:invertIfNegative val="0"/>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IPP'!$R$31:$BE$31</c:f>
              <c:numCache>
                <c:formatCode>0.0</c:formatCode>
                <c:ptCount val="40"/>
                <c:pt idx="0">
                  <c:v>0.10274789516452397</c:v>
                </c:pt>
                <c:pt idx="1">
                  <c:v>1.6624023651880003E-2</c:v>
                </c:pt>
                <c:pt idx="2">
                  <c:v>3.1029768728409929E-2</c:v>
                </c:pt>
                <c:pt idx="3">
                  <c:v>-6.717825999350098E-2</c:v>
                </c:pt>
                <c:pt idx="4">
                  <c:v>-9.0690116406332948E-3</c:v>
                </c:pt>
                <c:pt idx="5">
                  <c:v>6.8577664711048592E-2</c:v>
                </c:pt>
                <c:pt idx="6">
                  <c:v>4.7878835623817111E-2</c:v>
                </c:pt>
                <c:pt idx="7">
                  <c:v>0.16200567329703564</c:v>
                </c:pt>
                <c:pt idx="8">
                  <c:v>0.1517960019133566</c:v>
                </c:pt>
                <c:pt idx="9">
                  <c:v>0.35040742405813147</c:v>
                </c:pt>
                <c:pt idx="10">
                  <c:v>0.22701547985990286</c:v>
                </c:pt>
                <c:pt idx="11">
                  <c:v>0.23483306705633769</c:v>
                </c:pt>
                <c:pt idx="12">
                  <c:v>0.38575845909308681</c:v>
                </c:pt>
                <c:pt idx="13">
                  <c:v>0.1585479563430445</c:v>
                </c:pt>
                <c:pt idx="14">
                  <c:v>0.63604123808561219</c:v>
                </c:pt>
                <c:pt idx="15">
                  <c:v>0.3169722012936107</c:v>
                </c:pt>
                <c:pt idx="16">
                  <c:v>-0.10335857004416719</c:v>
                </c:pt>
                <c:pt idx="17">
                  <c:v>-3.5698176267711781E-2</c:v>
                </c:pt>
                <c:pt idx="18">
                  <c:v>-0.60934912550064046</c:v>
                </c:pt>
                <c:pt idx="19">
                  <c:v>-0.3641176829939205</c:v>
                </c:pt>
                <c:pt idx="20">
                  <c:v>-0.1013700779981392</c:v>
                </c:pt>
                <c:pt idx="21">
                  <c:v>-0.31920945262277456</c:v>
                </c:pt>
                <c:pt idx="22">
                  <c:v>3.1049160053994794E-2</c:v>
                </c:pt>
                <c:pt idx="23">
                  <c:v>2.2349038466741165E-2</c:v>
                </c:pt>
                <c:pt idx="24">
                  <c:v>0.12974114989276717</c:v>
                </c:pt>
                <c:pt idx="25">
                  <c:v>0.21584801651012522</c:v>
                </c:pt>
                <c:pt idx="26">
                  <c:v>0.19235433870595794</c:v>
                </c:pt>
                <c:pt idx="27">
                  <c:v>-0.23658529827203256</c:v>
                </c:pt>
                <c:pt idx="28">
                  <c:v>2.5743609324786618E-2</c:v>
                </c:pt>
                <c:pt idx="29">
                  <c:v>-1.8799366382053821E-2</c:v>
                </c:pt>
                <c:pt idx="30">
                  <c:v>5.9979335669755836E-2</c:v>
                </c:pt>
                <c:pt idx="31">
                  <c:v>0.43229084470055362</c:v>
                </c:pt>
                <c:pt idx="32">
                  <c:v>0.14852239554173893</c:v>
                </c:pt>
                <c:pt idx="33">
                  <c:v>8.2622374748738417E-2</c:v>
                </c:pt>
                <c:pt idx="34">
                  <c:v>-7.2595785151553752E-2</c:v>
                </c:pt>
                <c:pt idx="35">
                  <c:v>-6.5766190142063766E-2</c:v>
                </c:pt>
                <c:pt idx="36">
                  <c:v>-4.0980058427674123E-3</c:v>
                </c:pt>
                <c:pt idx="37">
                  <c:v>0.22237077764463514</c:v>
                </c:pt>
                <c:pt idx="38">
                  <c:v>0.2994350214245195</c:v>
                </c:pt>
                <c:pt idx="39">
                  <c:v>9.5660960969806058E-2</c:v>
                </c:pt>
              </c:numCache>
            </c:numRef>
          </c:val>
          <c:extLst>
            <c:ext xmlns:c16="http://schemas.microsoft.com/office/drawing/2014/chart" uri="{C3380CC4-5D6E-409C-BE32-E72D297353CC}">
              <c16:uniqueId val="{00000004-1739-4ABC-B9F7-4B77E097C513}"/>
            </c:ext>
          </c:extLst>
        </c:ser>
        <c:ser>
          <c:idx val="5"/>
          <c:order val="5"/>
          <c:tx>
            <c:strRef>
              <c:f>'GRAF příspěvky IPP'!$A$32</c:f>
              <c:strCache>
                <c:ptCount val="1"/>
                <c:pt idx="0">
                  <c:v>Chemical, pharmaceutical ind. (20, 21)</c:v>
                </c:pt>
              </c:strCache>
            </c:strRef>
          </c:tx>
          <c:spPr>
            <a:solidFill>
              <a:srgbClr val="F8A124"/>
            </a:solidFill>
            <a:ln>
              <a:noFill/>
            </a:ln>
          </c:spPr>
          <c:invertIfNegative val="0"/>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IPP'!$R$32:$BE$32</c:f>
              <c:numCache>
                <c:formatCode>0.0</c:formatCode>
                <c:ptCount val="40"/>
                <c:pt idx="0">
                  <c:v>7.7157547125760104E-2</c:v>
                </c:pt>
                <c:pt idx="1">
                  <c:v>0.23593755110737841</c:v>
                </c:pt>
                <c:pt idx="2">
                  <c:v>-0.16353071050900619</c:v>
                </c:pt>
                <c:pt idx="3">
                  <c:v>-0.33446774192766959</c:v>
                </c:pt>
                <c:pt idx="4">
                  <c:v>-0.41480189964943331</c:v>
                </c:pt>
                <c:pt idx="5">
                  <c:v>-0.43289982593467702</c:v>
                </c:pt>
                <c:pt idx="6">
                  <c:v>-0.1055173929140575</c:v>
                </c:pt>
                <c:pt idx="7">
                  <c:v>0.23717747625834851</c:v>
                </c:pt>
                <c:pt idx="8">
                  <c:v>0.51439307947726998</c:v>
                </c:pt>
                <c:pt idx="9">
                  <c:v>0.83289717197907565</c:v>
                </c:pt>
                <c:pt idx="10">
                  <c:v>0.65310318202327911</c:v>
                </c:pt>
                <c:pt idx="11">
                  <c:v>0.50440121167449548</c:v>
                </c:pt>
                <c:pt idx="12">
                  <c:v>0.40911320927322647</c:v>
                </c:pt>
                <c:pt idx="13">
                  <c:v>7.7633111380155301E-2</c:v>
                </c:pt>
                <c:pt idx="14">
                  <c:v>-5.3190732776962651E-2</c:v>
                </c:pt>
                <c:pt idx="15">
                  <c:v>-7.1103221110709838E-2</c:v>
                </c:pt>
                <c:pt idx="16">
                  <c:v>9.3101613350728932E-2</c:v>
                </c:pt>
                <c:pt idx="17">
                  <c:v>6.1474211824515262E-2</c:v>
                </c:pt>
                <c:pt idx="18">
                  <c:v>0.2229684142187896</c:v>
                </c:pt>
                <c:pt idx="19">
                  <c:v>3.2130190492489386E-2</c:v>
                </c:pt>
                <c:pt idx="20">
                  <c:v>-3.6216479616950112E-2</c:v>
                </c:pt>
                <c:pt idx="21">
                  <c:v>-0.57135666895590331</c:v>
                </c:pt>
                <c:pt idx="22">
                  <c:v>-0.22076865898667289</c:v>
                </c:pt>
                <c:pt idx="23">
                  <c:v>0.42176753383241716</c:v>
                </c:pt>
                <c:pt idx="24">
                  <c:v>0.28424196563191712</c:v>
                </c:pt>
                <c:pt idx="25">
                  <c:v>0.82404678842772527</c:v>
                </c:pt>
                <c:pt idx="26">
                  <c:v>0.31952777567257618</c:v>
                </c:pt>
                <c:pt idx="27">
                  <c:v>8.8076042756232487E-2</c:v>
                </c:pt>
                <c:pt idx="28">
                  <c:v>0.24939661973096047</c:v>
                </c:pt>
                <c:pt idx="29">
                  <c:v>0.15903817714257876</c:v>
                </c:pt>
                <c:pt idx="30">
                  <c:v>-9.9247355732273501E-2</c:v>
                </c:pt>
                <c:pt idx="31">
                  <c:v>-0.29144141399320911</c:v>
                </c:pt>
                <c:pt idx="32">
                  <c:v>-0.59994122148973772</c:v>
                </c:pt>
                <c:pt idx="33">
                  <c:v>-0.17827397853552879</c:v>
                </c:pt>
                <c:pt idx="34">
                  <c:v>-7.4096438195475858E-2</c:v>
                </c:pt>
                <c:pt idx="35">
                  <c:v>-0.12545702643084153</c:v>
                </c:pt>
                <c:pt idx="36">
                  <c:v>0.29454256738625134</c:v>
                </c:pt>
                <c:pt idx="37">
                  <c:v>0.14532579767616829</c:v>
                </c:pt>
                <c:pt idx="38">
                  <c:v>-7.0700819787996E-2</c:v>
                </c:pt>
                <c:pt idx="39">
                  <c:v>-7.0260372748203834E-2</c:v>
                </c:pt>
              </c:numCache>
            </c:numRef>
          </c:val>
          <c:extLst>
            <c:ext xmlns:c16="http://schemas.microsoft.com/office/drawing/2014/chart" uri="{C3380CC4-5D6E-409C-BE32-E72D297353CC}">
              <c16:uniqueId val="{00000005-1739-4ABC-B9F7-4B77E097C513}"/>
            </c:ext>
          </c:extLst>
        </c:ser>
        <c:ser>
          <c:idx val="6"/>
          <c:order val="6"/>
          <c:tx>
            <c:strRef>
              <c:f>'GRAF příspěvky IPP'!$A$33</c:f>
              <c:strCache>
                <c:ptCount val="1"/>
                <c:pt idx="0">
                  <c:v>Remaining manufacturing industry*</c:v>
                </c:pt>
              </c:strCache>
            </c:strRef>
          </c:tx>
          <c:spPr>
            <a:solidFill>
              <a:schemeClr val="bg1">
                <a:lumMod val="85000"/>
              </a:schemeClr>
            </a:solidFill>
          </c:spPr>
          <c:invertIfNegative val="0"/>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IPP'!$R$33:$BE$33</c:f>
              <c:numCache>
                <c:formatCode>0.0</c:formatCode>
                <c:ptCount val="40"/>
                <c:pt idx="0">
                  <c:v>0.98443956746970962</c:v>
                </c:pt>
                <c:pt idx="1">
                  <c:v>0.89749369767930132</c:v>
                </c:pt>
                <c:pt idx="2">
                  <c:v>1.0110169889951346</c:v>
                </c:pt>
                <c:pt idx="3">
                  <c:v>-0.20272196687510713</c:v>
                </c:pt>
                <c:pt idx="4">
                  <c:v>-0.44835386658683185</c:v>
                </c:pt>
                <c:pt idx="5">
                  <c:v>-1.1528022020710338</c:v>
                </c:pt>
                <c:pt idx="6">
                  <c:v>-0.3721343772053517</c:v>
                </c:pt>
                <c:pt idx="7">
                  <c:v>0.44554477386112834</c:v>
                </c:pt>
                <c:pt idx="8">
                  <c:v>-0.13802711444318691</c:v>
                </c:pt>
                <c:pt idx="9">
                  <c:v>1.4520150527939983</c:v>
                </c:pt>
                <c:pt idx="10">
                  <c:v>0.65687676657011995</c:v>
                </c:pt>
                <c:pt idx="11">
                  <c:v>0.76186639439852744</c:v>
                </c:pt>
                <c:pt idx="12">
                  <c:v>1.1768838940724016</c:v>
                </c:pt>
                <c:pt idx="13">
                  <c:v>0.73260991135089881</c:v>
                </c:pt>
                <c:pt idx="14">
                  <c:v>1.1309843102453647</c:v>
                </c:pt>
                <c:pt idx="15">
                  <c:v>0.15993804771029091</c:v>
                </c:pt>
                <c:pt idx="16">
                  <c:v>-0.32185268974320136</c:v>
                </c:pt>
                <c:pt idx="17">
                  <c:v>-0.30512916964802844</c:v>
                </c:pt>
                <c:pt idx="18">
                  <c:v>-0.97407463154620033</c:v>
                </c:pt>
                <c:pt idx="19">
                  <c:v>-3.9701171551173531E-2</c:v>
                </c:pt>
                <c:pt idx="20">
                  <c:v>0.31377104389497573</c:v>
                </c:pt>
                <c:pt idx="21">
                  <c:v>-1.6010940767108721</c:v>
                </c:pt>
                <c:pt idx="22">
                  <c:v>-5.0886354263985356E-3</c:v>
                </c:pt>
                <c:pt idx="23">
                  <c:v>-0.12175513984550231</c:v>
                </c:pt>
                <c:pt idx="24">
                  <c:v>-3.8266442635213338E-3</c:v>
                </c:pt>
                <c:pt idx="25">
                  <c:v>3.2096494863267555</c:v>
                </c:pt>
                <c:pt idx="26">
                  <c:v>1.5269164135104876</c:v>
                </c:pt>
                <c:pt idx="27">
                  <c:v>1.1672516534140995</c:v>
                </c:pt>
                <c:pt idx="28">
                  <c:v>1.6897613509789093</c:v>
                </c:pt>
                <c:pt idx="29">
                  <c:v>0.27463646388985885</c:v>
                </c:pt>
                <c:pt idx="30">
                  <c:v>-1.6666009734324163</c:v>
                </c:pt>
                <c:pt idx="31">
                  <c:v>-1.5203967281233846</c:v>
                </c:pt>
                <c:pt idx="32">
                  <c:v>-3.3319687043801522</c:v>
                </c:pt>
                <c:pt idx="33">
                  <c:v>-3.5777565933600632</c:v>
                </c:pt>
                <c:pt idx="34">
                  <c:v>-1.8008778024447463</c:v>
                </c:pt>
                <c:pt idx="35">
                  <c:v>-1.6144958935641913</c:v>
                </c:pt>
                <c:pt idx="36">
                  <c:v>0.35378206685840219</c:v>
                </c:pt>
                <c:pt idx="37">
                  <c:v>0.27163877308090079</c:v>
                </c:pt>
                <c:pt idx="38">
                  <c:v>-0.21660427114322289</c:v>
                </c:pt>
                <c:pt idx="39">
                  <c:v>0.25946478879998447</c:v>
                </c:pt>
              </c:numCache>
            </c:numRef>
          </c:val>
          <c:extLst>
            <c:ext xmlns:c16="http://schemas.microsoft.com/office/drawing/2014/chart" uri="{C3380CC4-5D6E-409C-BE32-E72D297353CC}">
              <c16:uniqueId val="{00000006-1739-4ABC-B9F7-4B77E097C513}"/>
            </c:ext>
          </c:extLst>
        </c:ser>
        <c:ser>
          <c:idx val="7"/>
          <c:order val="7"/>
          <c:tx>
            <c:strRef>
              <c:f>'GRAF příspěvky IPP'!$A$34</c:f>
              <c:strCache>
                <c:ptCount val="1"/>
                <c:pt idx="0">
                  <c:v>Mining and energetics (B, D)</c:v>
                </c:pt>
              </c:strCache>
            </c:strRef>
          </c:tx>
          <c:spPr>
            <a:solidFill>
              <a:srgbClr val="808080"/>
            </a:solidFill>
          </c:spPr>
          <c:invertIfNegative val="0"/>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IPP'!$R$34:$BE$34</c:f>
              <c:numCache>
                <c:formatCode>0.0</c:formatCode>
                <c:ptCount val="40"/>
                <c:pt idx="0">
                  <c:v>0.14402037647140767</c:v>
                </c:pt>
                <c:pt idx="1">
                  <c:v>-0.33675824148789951</c:v>
                </c:pt>
                <c:pt idx="2">
                  <c:v>-0.3968935754815921</c:v>
                </c:pt>
                <c:pt idx="3">
                  <c:v>-1.1136308902205647</c:v>
                </c:pt>
                <c:pt idx="4">
                  <c:v>-0.66026658968149066</c:v>
                </c:pt>
                <c:pt idx="5">
                  <c:v>6.6763502761356674E-2</c:v>
                </c:pt>
                <c:pt idx="6">
                  <c:v>-0.46574952767530198</c:v>
                </c:pt>
                <c:pt idx="7">
                  <c:v>0.47124206252466205</c:v>
                </c:pt>
                <c:pt idx="8">
                  <c:v>0.68579685044543348</c:v>
                </c:pt>
                <c:pt idx="9">
                  <c:v>-0.21786071250878586</c:v>
                </c:pt>
                <c:pt idx="10">
                  <c:v>0.74762012671732325</c:v>
                </c:pt>
                <c:pt idx="11">
                  <c:v>0.67922569430551583</c:v>
                </c:pt>
                <c:pt idx="12">
                  <c:v>-0.54241645010765449</c:v>
                </c:pt>
                <c:pt idx="13">
                  <c:v>-1.8631527880888649E-3</c:v>
                </c:pt>
                <c:pt idx="14">
                  <c:v>0.78670127678843149</c:v>
                </c:pt>
                <c:pt idx="15">
                  <c:v>0.32960713526562863</c:v>
                </c:pt>
                <c:pt idx="16">
                  <c:v>6.8904910133199077E-2</c:v>
                </c:pt>
                <c:pt idx="17">
                  <c:v>0.12170682001164354</c:v>
                </c:pt>
                <c:pt idx="18">
                  <c:v>-0.5109816723970585</c:v>
                </c:pt>
                <c:pt idx="19">
                  <c:v>-0.36784640528649537</c:v>
                </c:pt>
                <c:pt idx="20">
                  <c:v>-1.0379724863245821</c:v>
                </c:pt>
                <c:pt idx="21">
                  <c:v>-1.638329285379571</c:v>
                </c:pt>
                <c:pt idx="22">
                  <c:v>-0.82494325172790062</c:v>
                </c:pt>
                <c:pt idx="23">
                  <c:v>-0.74239007583737793</c:v>
                </c:pt>
                <c:pt idx="24">
                  <c:v>0.59173920420433967</c:v>
                </c:pt>
                <c:pt idx="25">
                  <c:v>0.52615327133594958</c:v>
                </c:pt>
                <c:pt idx="26">
                  <c:v>0.31395777043368833</c:v>
                </c:pt>
                <c:pt idx="27">
                  <c:v>0.81666462236045811</c:v>
                </c:pt>
                <c:pt idx="28">
                  <c:v>-0.20911491653441394</c:v>
                </c:pt>
                <c:pt idx="29">
                  <c:v>0.24265195432480871</c:v>
                </c:pt>
                <c:pt idx="30">
                  <c:v>0.41439638250227284</c:v>
                </c:pt>
                <c:pt idx="31">
                  <c:v>-1.2876866574574628</c:v>
                </c:pt>
                <c:pt idx="32">
                  <c:v>-1.3047038808480234</c:v>
                </c:pt>
                <c:pt idx="33">
                  <c:v>-1.5785599472400031</c:v>
                </c:pt>
                <c:pt idx="34">
                  <c:v>-1.6275503109121168</c:v>
                </c:pt>
                <c:pt idx="35">
                  <c:v>-1.1079234071342297</c:v>
                </c:pt>
                <c:pt idx="36">
                  <c:v>-0.77225406933460294</c:v>
                </c:pt>
                <c:pt idx="37">
                  <c:v>-8.1033365758401241E-2</c:v>
                </c:pt>
                <c:pt idx="38">
                  <c:v>3.9457002680721442E-3</c:v>
                </c:pt>
                <c:pt idx="39">
                  <c:v>-0.18707025690625947</c:v>
                </c:pt>
              </c:numCache>
            </c:numRef>
          </c:val>
          <c:extLst>
            <c:ext xmlns:c16="http://schemas.microsoft.com/office/drawing/2014/chart" uri="{C3380CC4-5D6E-409C-BE32-E72D297353CC}">
              <c16:uniqueId val="{00000007-1739-4ABC-B9F7-4B77E097C513}"/>
            </c:ext>
          </c:extLst>
        </c:ser>
        <c:dLbls>
          <c:showLegendKey val="0"/>
          <c:showVal val="0"/>
          <c:showCatName val="0"/>
          <c:showSerName val="0"/>
          <c:showPercent val="0"/>
          <c:showBubbleSize val="0"/>
        </c:dLbls>
        <c:gapWidth val="15"/>
        <c:overlap val="100"/>
        <c:axId val="112768128"/>
        <c:axId val="112769664"/>
      </c:barChart>
      <c:lineChart>
        <c:grouping val="standard"/>
        <c:varyColors val="0"/>
        <c:ser>
          <c:idx val="8"/>
          <c:order val="8"/>
          <c:tx>
            <c:strRef>
              <c:f>'GRAF příspěvky IPP'!$A$35</c:f>
              <c:strCache>
                <c:ptCount val="1"/>
                <c:pt idx="0">
                  <c:v>Total output in industry (NACE B to D)</c:v>
                </c:pt>
              </c:strCache>
            </c:strRef>
          </c:tx>
          <c:spPr>
            <a:ln w="19050">
              <a:noFill/>
            </a:ln>
          </c:spPr>
          <c:marker>
            <c:symbol val="circle"/>
            <c:size val="4"/>
            <c:spPr>
              <a:solidFill>
                <a:srgbClr val="FFFF00"/>
              </a:solidFill>
              <a:ln>
                <a:solidFill>
                  <a:schemeClr val="tx1">
                    <a:lumMod val="95000"/>
                    <a:lumOff val="5000"/>
                  </a:schemeClr>
                </a:solidFill>
              </a:ln>
            </c:spPr>
          </c:marker>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IPP'!$R$35:$BE$35</c:f>
              <c:numCache>
                <c:formatCode>0.0</c:formatCode>
                <c:ptCount val="40"/>
                <c:pt idx="0">
                  <c:v>4.8496605073000012</c:v>
                </c:pt>
                <c:pt idx="1">
                  <c:v>5.3026307429999946</c:v>
                </c:pt>
                <c:pt idx="2">
                  <c:v>5.6592883106000045</c:v>
                </c:pt>
                <c:pt idx="3">
                  <c:v>2.4009241675999959</c:v>
                </c:pt>
                <c:pt idx="4">
                  <c:v>3.7935036281999999</c:v>
                </c:pt>
                <c:pt idx="5">
                  <c:v>1.667340101700006</c:v>
                </c:pt>
                <c:pt idx="6">
                  <c:v>1.295772459600002</c:v>
                </c:pt>
                <c:pt idx="7">
                  <c:v>3.346652804200005</c:v>
                </c:pt>
                <c:pt idx="8">
                  <c:v>4.4694819295000059</c:v>
                </c:pt>
                <c:pt idx="9">
                  <c:v>8.0757287747999982</c:v>
                </c:pt>
                <c:pt idx="10">
                  <c:v>6.471008530800006</c:v>
                </c:pt>
                <c:pt idx="11">
                  <c:v>7.2646448002000028</c:v>
                </c:pt>
                <c:pt idx="12">
                  <c:v>4.3462152320000058</c:v>
                </c:pt>
                <c:pt idx="13">
                  <c:v>2.4365124655000017</c:v>
                </c:pt>
                <c:pt idx="14">
                  <c:v>3.7641930207000058</c:v>
                </c:pt>
                <c:pt idx="15">
                  <c:v>1.5933483905999992</c:v>
                </c:pt>
                <c:pt idx="16">
                  <c:v>0.47230060009999875</c:v>
                </c:pt>
                <c:pt idx="17">
                  <c:v>0.71920116619999419</c:v>
                </c:pt>
                <c:pt idx="18">
                  <c:v>-1.5414330485999983</c:v>
                </c:pt>
                <c:pt idx="19">
                  <c:v>-1.7724070997000041</c:v>
                </c:pt>
                <c:pt idx="20">
                  <c:v>-4.2521142571000041</c:v>
                </c:pt>
                <c:pt idx="21">
                  <c:v>-21.785210571700006</c:v>
                </c:pt>
                <c:pt idx="22">
                  <c:v>-3.0649898566999951</c:v>
                </c:pt>
                <c:pt idx="23">
                  <c:v>1.6725311281000046</c:v>
                </c:pt>
                <c:pt idx="24">
                  <c:v>4.114829601699995</c:v>
                </c:pt>
                <c:pt idx="25">
                  <c:v>26.257230240699997</c:v>
                </c:pt>
                <c:pt idx="26">
                  <c:v>0.54610111819999929</c:v>
                </c:pt>
                <c:pt idx="27">
                  <c:v>-1.5372963810000044</c:v>
                </c:pt>
                <c:pt idx="28">
                  <c:v>0.51761284090000004</c:v>
                </c:pt>
                <c:pt idx="29">
                  <c:v>0.58253495169999781</c:v>
                </c:pt>
                <c:pt idx="30">
                  <c:v>5.027650182900004</c:v>
                </c:pt>
                <c:pt idx="31">
                  <c:v>2.3941458925999939</c:v>
                </c:pt>
                <c:pt idx="32">
                  <c:v>0.54243062000000464</c:v>
                </c:pt>
                <c:pt idx="33">
                  <c:v>0.26866432520000672</c:v>
                </c:pt>
                <c:pt idx="34">
                  <c:v>-3.4322693490999967</c:v>
                </c:pt>
                <c:pt idx="35">
                  <c:v>-0.73560401289999788</c:v>
                </c:pt>
                <c:pt idx="36">
                  <c:v>-0.36664043189999518</c:v>
                </c:pt>
                <c:pt idx="37">
                  <c:v>-1.558855649700007</c:v>
                </c:pt>
                <c:pt idx="38">
                  <c:v>0.75999672739999369</c:v>
                </c:pt>
                <c:pt idx="39">
                  <c:v>-2.2006859144999993</c:v>
                </c:pt>
              </c:numCache>
            </c:numRef>
          </c:val>
          <c:smooth val="0"/>
          <c:extLst>
            <c:ext xmlns:c16="http://schemas.microsoft.com/office/drawing/2014/chart" uri="{C3380CC4-5D6E-409C-BE32-E72D297353CC}">
              <c16:uniqueId val="{00000008-1739-4ABC-B9F7-4B77E097C513}"/>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9"/>
          <c:order val="9"/>
          <c:tx>
            <c:strRef>
              <c:f>'GRAF příspěvky IPP'!$A$36</c:f>
              <c:strCache>
                <c:ptCount val="1"/>
              </c:strCache>
            </c:strRef>
          </c:tx>
          <c:spPr>
            <a:ln w="15875">
              <a:noFill/>
              <a:prstDash val="sysDot"/>
            </a:ln>
          </c:spPr>
          <c:marker>
            <c:symbol val="none"/>
          </c:marker>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IPP'!$R$36:$BE$36</c:f>
              <c:numCache>
                <c:formatCode>General</c:formatCode>
                <c:ptCount val="40"/>
              </c:numCache>
            </c:numRef>
          </c:val>
          <c:smooth val="0"/>
          <c:extLst>
            <c:ext xmlns:c16="http://schemas.microsoft.com/office/drawing/2014/chart" uri="{C3380CC4-5D6E-409C-BE32-E72D297353CC}">
              <c16:uniqueId val="{00000009-1739-4ABC-B9F7-4B77E097C513}"/>
            </c:ext>
          </c:extLst>
        </c:ser>
        <c:ser>
          <c:idx val="10"/>
          <c:order val="10"/>
          <c:tx>
            <c:strRef>
              <c:f>'GRAF příspěvky IPP'!$A$37</c:f>
              <c:strCache>
                <c:ptCount val="1"/>
                <c:pt idx="0">
                  <c:v>Output, total industry CR (basis 2021=100)</c:v>
                </c:pt>
              </c:strCache>
            </c:strRef>
          </c:tx>
          <c:spPr>
            <a:ln w="15875">
              <a:solidFill>
                <a:schemeClr val="tx1">
                  <a:lumMod val="95000"/>
                  <a:lumOff val="5000"/>
                </a:schemeClr>
              </a:solidFill>
            </a:ln>
          </c:spPr>
          <c:marker>
            <c:symbol val="none"/>
          </c:marker>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IPP'!$R$37:$BE$37</c:f>
              <c:numCache>
                <c:formatCode>##0.0</c:formatCode>
                <c:ptCount val="40"/>
                <c:pt idx="0">
                  <c:v>88.4</c:v>
                </c:pt>
                <c:pt idx="1">
                  <c:v>89.9</c:v>
                </c:pt>
                <c:pt idx="2">
                  <c:v>90.9</c:v>
                </c:pt>
                <c:pt idx="3">
                  <c:v>90.1</c:v>
                </c:pt>
                <c:pt idx="4">
                  <c:v>91.8</c:v>
                </c:pt>
                <c:pt idx="5">
                  <c:v>91.3</c:v>
                </c:pt>
                <c:pt idx="6">
                  <c:v>92</c:v>
                </c:pt>
                <c:pt idx="7">
                  <c:v>93.1</c:v>
                </c:pt>
                <c:pt idx="8">
                  <c:v>95.6</c:v>
                </c:pt>
                <c:pt idx="9">
                  <c:v>98.6</c:v>
                </c:pt>
                <c:pt idx="10">
                  <c:v>98.2</c:v>
                </c:pt>
                <c:pt idx="11">
                  <c:v>100.1</c:v>
                </c:pt>
                <c:pt idx="12">
                  <c:v>100.1</c:v>
                </c:pt>
                <c:pt idx="13">
                  <c:v>101.1</c:v>
                </c:pt>
                <c:pt idx="14">
                  <c:v>102</c:v>
                </c:pt>
                <c:pt idx="15">
                  <c:v>101.3</c:v>
                </c:pt>
                <c:pt idx="16">
                  <c:v>100.6</c:v>
                </c:pt>
                <c:pt idx="17">
                  <c:v>102.2</c:v>
                </c:pt>
                <c:pt idx="18">
                  <c:v>100.1</c:v>
                </c:pt>
                <c:pt idx="19">
                  <c:v>99.4</c:v>
                </c:pt>
                <c:pt idx="20">
                  <c:v>96.7</c:v>
                </c:pt>
                <c:pt idx="21">
                  <c:v>80.2</c:v>
                </c:pt>
                <c:pt idx="22">
                  <c:v>97</c:v>
                </c:pt>
                <c:pt idx="23">
                  <c:v>101.1</c:v>
                </c:pt>
                <c:pt idx="24">
                  <c:v>99.6</c:v>
                </c:pt>
                <c:pt idx="25">
                  <c:v>100.7</c:v>
                </c:pt>
                <c:pt idx="26">
                  <c:v>98.5</c:v>
                </c:pt>
                <c:pt idx="27">
                  <c:v>99.3</c:v>
                </c:pt>
                <c:pt idx="28">
                  <c:v>100.7</c:v>
                </c:pt>
                <c:pt idx="29">
                  <c:v>101.4</c:v>
                </c:pt>
                <c:pt idx="30">
                  <c:v>102.8</c:v>
                </c:pt>
                <c:pt idx="31">
                  <c:v>101.9</c:v>
                </c:pt>
                <c:pt idx="32">
                  <c:v>101.2</c:v>
                </c:pt>
                <c:pt idx="33">
                  <c:v>101.5</c:v>
                </c:pt>
                <c:pt idx="34">
                  <c:v>99.2</c:v>
                </c:pt>
                <c:pt idx="35">
                  <c:v>101.5</c:v>
                </c:pt>
                <c:pt idx="36">
                  <c:v>100.9</c:v>
                </c:pt>
                <c:pt idx="37">
                  <c:v>99.9</c:v>
                </c:pt>
                <c:pt idx="38">
                  <c:v>99.8</c:v>
                </c:pt>
                <c:pt idx="39">
                  <c:v>99.2</c:v>
                </c:pt>
              </c:numCache>
            </c:numRef>
          </c:val>
          <c:smooth val="0"/>
          <c:extLst>
            <c:ext xmlns:c16="http://schemas.microsoft.com/office/drawing/2014/chart" uri="{C3380CC4-5D6E-409C-BE32-E72D297353CC}">
              <c16:uniqueId val="{0000000A-1739-4ABC-B9F7-4B77E097C513}"/>
            </c:ext>
          </c:extLst>
        </c:ser>
        <c:ser>
          <c:idx val="11"/>
          <c:order val="11"/>
          <c:tx>
            <c:strRef>
              <c:f>'GRAF příspěvky IPP'!$A$38</c:f>
              <c:strCache>
                <c:ptCount val="1"/>
                <c:pt idx="0">
                  <c:v>Output, total industry EU27 (basis 2021=100)</c:v>
                </c:pt>
              </c:strCache>
            </c:strRef>
          </c:tx>
          <c:spPr>
            <a:ln w="15875">
              <a:solidFill>
                <a:schemeClr val="tx1">
                  <a:lumMod val="50000"/>
                  <a:lumOff val="50000"/>
                </a:schemeClr>
              </a:solidFill>
              <a:prstDash val="sysDash"/>
            </a:ln>
          </c:spPr>
          <c:marker>
            <c:symbol val="none"/>
          </c:marker>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IPP'!$R$38:$BE$38</c:f>
              <c:numCache>
                <c:formatCode>#\ ##0.##########</c:formatCode>
                <c:ptCount val="40"/>
                <c:pt idx="0">
                  <c:v>93</c:v>
                </c:pt>
                <c:pt idx="1">
                  <c:v>93.8</c:v>
                </c:pt>
                <c:pt idx="2">
                  <c:v>94.1</c:v>
                </c:pt>
                <c:pt idx="3">
                  <c:v>93.9</c:v>
                </c:pt>
                <c:pt idx="4">
                  <c:v>94.5</c:v>
                </c:pt>
                <c:pt idx="5">
                  <c:v>94.5</c:v>
                </c:pt>
                <c:pt idx="6">
                  <c:v>94.6</c:v>
                </c:pt>
                <c:pt idx="7">
                  <c:v>95.7</c:v>
                </c:pt>
                <c:pt idx="8">
                  <c:v>96.1</c:v>
                </c:pt>
                <c:pt idx="9">
                  <c:v>97.3</c:v>
                </c:pt>
                <c:pt idx="10">
                  <c:v>98.7</c:v>
                </c:pt>
                <c:pt idx="11">
                  <c:v>100.6</c:v>
                </c:pt>
                <c:pt idx="12">
                  <c:v>99.2</c:v>
                </c:pt>
                <c:pt idx="13">
                  <c:v>99.7</c:v>
                </c:pt>
                <c:pt idx="14">
                  <c:v>99.4</c:v>
                </c:pt>
                <c:pt idx="15">
                  <c:v>99.1</c:v>
                </c:pt>
                <c:pt idx="16">
                  <c:v>99.5</c:v>
                </c:pt>
                <c:pt idx="17">
                  <c:v>99.3</c:v>
                </c:pt>
                <c:pt idx="18">
                  <c:v>98.7</c:v>
                </c:pt>
                <c:pt idx="19">
                  <c:v>98</c:v>
                </c:pt>
                <c:pt idx="20">
                  <c:v>95</c:v>
                </c:pt>
                <c:pt idx="21">
                  <c:v>80.3</c:v>
                </c:pt>
                <c:pt idx="22">
                  <c:v>93.5</c:v>
                </c:pt>
                <c:pt idx="23">
                  <c:v>98</c:v>
                </c:pt>
                <c:pt idx="24">
                  <c:v>99.5</c:v>
                </c:pt>
                <c:pt idx="25">
                  <c:v>100</c:v>
                </c:pt>
                <c:pt idx="26">
                  <c:v>99.7</c:v>
                </c:pt>
                <c:pt idx="27">
                  <c:v>100.7</c:v>
                </c:pt>
                <c:pt idx="28">
                  <c:v>101.8</c:v>
                </c:pt>
                <c:pt idx="29">
                  <c:v>102.5</c:v>
                </c:pt>
                <c:pt idx="30">
                  <c:v>103</c:v>
                </c:pt>
                <c:pt idx="31">
                  <c:v>102.6</c:v>
                </c:pt>
                <c:pt idx="32">
                  <c:v>103</c:v>
                </c:pt>
                <c:pt idx="33">
                  <c:v>102.1</c:v>
                </c:pt>
                <c:pt idx="34">
                  <c:v>99.7</c:v>
                </c:pt>
                <c:pt idx="35">
                  <c:v>99.6</c:v>
                </c:pt>
                <c:pt idx="36">
                  <c:v>99</c:v>
                </c:pt>
                <c:pt idx="37">
                  <c:v>98.8</c:v>
                </c:pt>
                <c:pt idx="38" formatCode="General">
                  <c:v>98.6</c:v>
                </c:pt>
                <c:pt idx="39" formatCode="General">
                  <c:v>98.3</c:v>
                </c:pt>
              </c:numCache>
            </c:numRef>
          </c:val>
          <c:smooth val="0"/>
          <c:extLst>
            <c:ext xmlns:c16="http://schemas.microsoft.com/office/drawing/2014/chart" uri="{C3380CC4-5D6E-409C-BE32-E72D297353CC}">
              <c16:uniqueId val="{0000000B-1739-4ABC-B9F7-4B77E097C513}"/>
            </c:ext>
          </c:extLst>
        </c:ser>
        <c:ser>
          <c:idx val="12"/>
          <c:order val="12"/>
          <c:tx>
            <c:strRef>
              <c:f>'GRAF příspěvky IPP'!$A$39</c:f>
              <c:strCache>
                <c:ptCount val="1"/>
                <c:pt idx="0">
                  <c:v>Output, total industry Germany (2021=100)</c:v>
                </c:pt>
              </c:strCache>
            </c:strRef>
          </c:tx>
          <c:spPr>
            <a:ln w="15875">
              <a:solidFill>
                <a:srgbClr val="996633"/>
              </a:solidFill>
              <a:prstDash val="dash"/>
            </a:ln>
          </c:spPr>
          <c:marker>
            <c:symbol val="none"/>
          </c:marker>
          <c:cat>
            <c:multiLvlStrRef>
              <c:f>'GRAF příspěvky IPP'!$R$25:$BE$26</c:f>
              <c:multiLvlStrCache>
                <c:ptCount val="4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lvl>
                <c:lvl>
                  <c:pt idx="0">
                    <c:v>2015</c:v>
                  </c:pt>
                  <c:pt idx="4">
                    <c:v>2016</c:v>
                  </c:pt>
                  <c:pt idx="8">
                    <c:v>2017</c:v>
                  </c:pt>
                  <c:pt idx="12">
                    <c:v>2018</c:v>
                  </c:pt>
                  <c:pt idx="16">
                    <c:v>2019</c:v>
                  </c:pt>
                  <c:pt idx="20">
                    <c:v>2020</c:v>
                  </c:pt>
                  <c:pt idx="24">
                    <c:v>2021</c:v>
                  </c:pt>
                  <c:pt idx="28">
                    <c:v>2022</c:v>
                  </c:pt>
                  <c:pt idx="32">
                    <c:v>2023</c:v>
                  </c:pt>
                  <c:pt idx="36">
                    <c:v>2024</c:v>
                  </c:pt>
                </c:lvl>
              </c:multiLvlStrCache>
            </c:multiLvlStrRef>
          </c:cat>
          <c:val>
            <c:numRef>
              <c:f>'GRAF příspěvky IPP'!$R$39:$BE$39</c:f>
              <c:numCache>
                <c:formatCode>#\ ##0.##########</c:formatCode>
                <c:ptCount val="40"/>
                <c:pt idx="0">
                  <c:v>102.7</c:v>
                </c:pt>
                <c:pt idx="1">
                  <c:v>104</c:v>
                </c:pt>
                <c:pt idx="2">
                  <c:v>103.8</c:v>
                </c:pt>
                <c:pt idx="3">
                  <c:v>103.3</c:v>
                </c:pt>
                <c:pt idx="4">
                  <c:v>104.4</c:v>
                </c:pt>
                <c:pt idx="5">
                  <c:v>104</c:v>
                </c:pt>
                <c:pt idx="6">
                  <c:v>104.4</c:v>
                </c:pt>
                <c:pt idx="7">
                  <c:v>104.5</c:v>
                </c:pt>
                <c:pt idx="8">
                  <c:v>105</c:v>
                </c:pt>
                <c:pt idx="9">
                  <c:v>107</c:v>
                </c:pt>
                <c:pt idx="10">
                  <c:v>108.8</c:v>
                </c:pt>
                <c:pt idx="11">
                  <c:v>109.6</c:v>
                </c:pt>
                <c:pt idx="12">
                  <c:v>109</c:v>
                </c:pt>
                <c:pt idx="13">
                  <c:v>109.8</c:v>
                </c:pt>
                <c:pt idx="14">
                  <c:v>108.8</c:v>
                </c:pt>
                <c:pt idx="15">
                  <c:v>107.2</c:v>
                </c:pt>
                <c:pt idx="16">
                  <c:v>107</c:v>
                </c:pt>
                <c:pt idx="17">
                  <c:v>105.8</c:v>
                </c:pt>
                <c:pt idx="18">
                  <c:v>104.6</c:v>
                </c:pt>
                <c:pt idx="19">
                  <c:v>102.9</c:v>
                </c:pt>
                <c:pt idx="20">
                  <c:v>101.3</c:v>
                </c:pt>
                <c:pt idx="21">
                  <c:v>82.9</c:v>
                </c:pt>
                <c:pt idx="22">
                  <c:v>94.8</c:v>
                </c:pt>
                <c:pt idx="23">
                  <c:v>100.9</c:v>
                </c:pt>
                <c:pt idx="24">
                  <c:v>100.8</c:v>
                </c:pt>
                <c:pt idx="25">
                  <c:v>99.9</c:v>
                </c:pt>
                <c:pt idx="26">
                  <c:v>96.9</c:v>
                </c:pt>
                <c:pt idx="27">
                  <c:v>99.9</c:v>
                </c:pt>
                <c:pt idx="28">
                  <c:v>99.3</c:v>
                </c:pt>
                <c:pt idx="29">
                  <c:v>98.8</c:v>
                </c:pt>
                <c:pt idx="30">
                  <c:v>99.3</c:v>
                </c:pt>
                <c:pt idx="31">
                  <c:v>98.9</c:v>
                </c:pt>
                <c:pt idx="32">
                  <c:v>100.1</c:v>
                </c:pt>
                <c:pt idx="33">
                  <c:v>98.3</c:v>
                </c:pt>
                <c:pt idx="34">
                  <c:v>95.8</c:v>
                </c:pt>
                <c:pt idx="35">
                  <c:v>94.5</c:v>
                </c:pt>
                <c:pt idx="36">
                  <c:v>94.5</c:v>
                </c:pt>
                <c:pt idx="37">
                  <c:v>93.4</c:v>
                </c:pt>
                <c:pt idx="38" formatCode="General">
                  <c:v>91.9</c:v>
                </c:pt>
                <c:pt idx="39" formatCode="General">
                  <c:v>91.1</c:v>
                </c:pt>
              </c:numCache>
            </c:numRef>
          </c:val>
          <c:smooth val="0"/>
          <c:extLst>
            <c:ext xmlns:c16="http://schemas.microsoft.com/office/drawing/2014/chart" uri="{C3380CC4-5D6E-409C-BE32-E72D297353CC}">
              <c16:uniqueId val="{0000000C-1739-4ABC-B9F7-4B77E097C513}"/>
            </c:ext>
          </c:extLst>
        </c:ser>
        <c:dLbls>
          <c:showLegendKey val="0"/>
          <c:showVal val="0"/>
          <c:showCatName val="0"/>
          <c:showSerName val="0"/>
          <c:showPercent val="0"/>
          <c:showBubbleSize val="0"/>
        </c:dLbls>
        <c:marker val="1"/>
        <c:smooth val="0"/>
        <c:axId val="1513731104"/>
        <c:axId val="1513729024"/>
      </c:lineChart>
      <c:catAx>
        <c:axId val="112768128"/>
        <c:scaling>
          <c:orientation val="minMax"/>
        </c:scaling>
        <c:delete val="0"/>
        <c:axPos val="b"/>
        <c:numFmt formatCode="General" sourceLinked="1"/>
        <c:majorTickMark val="none"/>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30"/>
          <c:min val="-25"/>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u="none" strike="noStrike" baseline="0">
                    <a:effectLst/>
                  </a:rPr>
                  <a:t>Industrial production (contribution to growth)</a:t>
                </a:r>
                <a:endParaRPr lang="cs-CZ" sz="700" b="0" i="1">
                  <a:latin typeface="Arial" panose="020B0604020202020204" pitchFamily="34" charset="0"/>
                  <a:cs typeface="Arial" panose="020B0604020202020204" pitchFamily="34" charset="0"/>
                </a:endParaRPr>
              </a:p>
            </c:rich>
          </c:tx>
          <c:layout>
            <c:manualLayout>
              <c:xMode val="edge"/>
              <c:yMode val="edge"/>
              <c:x val="0"/>
              <c:y val="0.1165198004318692"/>
            </c:manualLayout>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5"/>
      </c:valAx>
      <c:valAx>
        <c:axId val="1513729024"/>
        <c:scaling>
          <c:orientation val="minMax"/>
          <c:max val="118"/>
          <c:min val="52"/>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Output in industry (basis 2021=100)</a:t>
                </a:r>
              </a:p>
            </c:rich>
          </c:tx>
          <c:layout>
            <c:manualLayout>
              <c:xMode val="edge"/>
              <c:yMode val="edge"/>
              <c:x val="0.97040158454025283"/>
              <c:y val="0.16649922312229412"/>
            </c:manualLayout>
          </c:layout>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513731104"/>
        <c:crosses val="max"/>
        <c:crossBetween val="between"/>
        <c:majorUnit val="6"/>
      </c:valAx>
      <c:catAx>
        <c:axId val="1513731104"/>
        <c:scaling>
          <c:orientation val="minMax"/>
        </c:scaling>
        <c:delete val="1"/>
        <c:axPos val="b"/>
        <c:numFmt formatCode="General" sourceLinked="1"/>
        <c:majorTickMark val="out"/>
        <c:minorTickMark val="none"/>
        <c:tickLblPos val="nextTo"/>
        <c:crossAx val="1513729024"/>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5.257665068025226E-3"/>
          <c:y val="0.78956533796177808"/>
          <c:w val="0.98866589538224925"/>
          <c:h val="0.20327688625655532"/>
        </c:manualLayout>
      </c:layout>
      <c:overlay val="0"/>
      <c:spPr>
        <a:ln w="6350">
          <a:solidFill>
            <a:prstClr val="black">
              <a:lumMod val="95000"/>
              <a:lumOff val="5000"/>
            </a:prstClr>
          </a:solidFill>
        </a:ln>
      </c:spPr>
      <c:txPr>
        <a:bodyPr/>
        <a:lstStyle/>
        <a:p>
          <a:pPr>
            <a:defRPr sz="72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88042665536843E-2"/>
          <c:y val="1.5647041011259352E-2"/>
          <c:w val="0.84974974879787502"/>
          <c:h val="0.750636022143085"/>
        </c:manualLayout>
      </c:layout>
      <c:barChart>
        <c:barDir val="col"/>
        <c:grouping val="clustered"/>
        <c:varyColors val="0"/>
        <c:ser>
          <c:idx val="0"/>
          <c:order val="0"/>
          <c:tx>
            <c:strRef>
              <c:f>'výkonnost odvětví 2'!$A$36</c:f>
              <c:strCache>
                <c:ptCount val="1"/>
                <c:pt idx="0">
                  <c:v>Total orders (all industry)</c:v>
                </c:pt>
              </c:strCache>
            </c:strRef>
          </c:tx>
          <c:spPr>
            <a:solidFill>
              <a:schemeClr val="bg1">
                <a:lumMod val="75000"/>
              </a:schemeClr>
            </a:solidFill>
            <a:ln>
              <a:noFill/>
            </a:ln>
          </c:spPr>
          <c:invertIfNegative val="0"/>
          <c:cat>
            <c:multiLvlStrRef>
              <c:f>'výkonnost odvětví 2'!$AD$34:$BF$35</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2'!$AD$36:$BF$36</c:f>
              <c:numCache>
                <c:formatCode>##0.0</c:formatCode>
                <c:ptCount val="29"/>
                <c:pt idx="0">
                  <c:v>3.2993551214999997</c:v>
                </c:pt>
                <c:pt idx="1">
                  <c:v>2.9773571834000023</c:v>
                </c:pt>
                <c:pt idx="2">
                  <c:v>3.5300064828000046</c:v>
                </c:pt>
                <c:pt idx="3">
                  <c:v>2.4324207204000032</c:v>
                </c:pt>
                <c:pt idx="4">
                  <c:v>3.2234606388999936</c:v>
                </c:pt>
                <c:pt idx="5">
                  <c:v>2.1291359181000047</c:v>
                </c:pt>
                <c:pt idx="6">
                  <c:v>-1.1496242270000039</c:v>
                </c:pt>
                <c:pt idx="7">
                  <c:v>-2.8233445845000062</c:v>
                </c:pt>
                <c:pt idx="8">
                  <c:v>-4.1421474552000035</c:v>
                </c:pt>
                <c:pt idx="9">
                  <c:v>-27.261303375300002</c:v>
                </c:pt>
                <c:pt idx="10">
                  <c:v>-0.61408028729999842</c:v>
                </c:pt>
                <c:pt idx="11">
                  <c:v>6.5219093458999993</c:v>
                </c:pt>
                <c:pt idx="12">
                  <c:v>10.302386093899997</c:v>
                </c:pt>
                <c:pt idx="13">
                  <c:v>47.006791835400008</c:v>
                </c:pt>
                <c:pt idx="14">
                  <c:v>7.4121163405999937</c:v>
                </c:pt>
                <c:pt idx="15">
                  <c:v>4.1365790068000052</c:v>
                </c:pt>
                <c:pt idx="16">
                  <c:v>6.8490137814000036</c:v>
                </c:pt>
                <c:pt idx="17">
                  <c:v>10.085971342999997</c:v>
                </c:pt>
                <c:pt idx="18">
                  <c:v>15.318582962099995</c:v>
                </c:pt>
                <c:pt idx="19">
                  <c:v>12.433152473999996</c:v>
                </c:pt>
                <c:pt idx="20">
                  <c:v>2.9052841525000019</c:v>
                </c:pt>
                <c:pt idx="21">
                  <c:v>-2.3914562299000011</c:v>
                </c:pt>
                <c:pt idx="22">
                  <c:v>-4.8730479777999989</c:v>
                </c:pt>
                <c:pt idx="23">
                  <c:v>-0.99576249449999921</c:v>
                </c:pt>
                <c:pt idx="24">
                  <c:v>4.5372733083000014</c:v>
                </c:pt>
                <c:pt idx="25">
                  <c:v>3.973817590799996</c:v>
                </c:pt>
                <c:pt idx="26">
                  <c:v>4.913717146099998</c:v>
                </c:pt>
                <c:pt idx="27">
                  <c:v>1.1531009624000035</c:v>
                </c:pt>
              </c:numCache>
            </c:numRef>
          </c:val>
          <c:extLst>
            <c:ext xmlns:c16="http://schemas.microsoft.com/office/drawing/2014/chart" uri="{C3380CC4-5D6E-409C-BE32-E72D297353CC}">
              <c16:uniqueId val="{00000000-BD9C-4931-A207-81D227EB8736}"/>
            </c:ext>
          </c:extLst>
        </c:ser>
        <c:dLbls>
          <c:showLegendKey val="0"/>
          <c:showVal val="0"/>
          <c:showCatName val="0"/>
          <c:showSerName val="0"/>
          <c:showPercent val="0"/>
          <c:showBubbleSize val="0"/>
        </c:dLbls>
        <c:gapWidth val="30"/>
        <c:axId val="112768128"/>
        <c:axId val="112769664"/>
      </c:barChart>
      <c:lineChart>
        <c:grouping val="standard"/>
        <c:varyColors val="0"/>
        <c:ser>
          <c:idx val="1"/>
          <c:order val="1"/>
          <c:tx>
            <c:strRef>
              <c:f>'výkonnost odvětví 2'!$A$37</c:f>
              <c:strCache>
                <c:ptCount val="1"/>
                <c:pt idx="0">
                  <c:v>In that: domestic orders</c:v>
                </c:pt>
              </c:strCache>
            </c:strRef>
          </c:tx>
          <c:spPr>
            <a:ln w="15875">
              <a:noFill/>
              <a:prstDash val="sysDot"/>
            </a:ln>
          </c:spPr>
          <c:marker>
            <c:symbol val="diamond"/>
            <c:size val="5"/>
            <c:spPr>
              <a:solidFill>
                <a:srgbClr val="984807"/>
              </a:solidFill>
              <a:ln>
                <a:noFill/>
              </a:ln>
            </c:spPr>
          </c:marker>
          <c:cat>
            <c:multiLvlStrRef>
              <c:f>'výkonnost odvětví 2'!$AD$34:$BF$35</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2'!$AD$37:$BF$37</c:f>
              <c:numCache>
                <c:formatCode>##0.0</c:formatCode>
                <c:ptCount val="29"/>
                <c:pt idx="0">
                  <c:v>2.1530605192999985</c:v>
                </c:pt>
                <c:pt idx="1">
                  <c:v>2.440306231799994</c:v>
                </c:pt>
                <c:pt idx="2">
                  <c:v>4.7510172912000002</c:v>
                </c:pt>
                <c:pt idx="3">
                  <c:v>3.3084884759999937</c:v>
                </c:pt>
                <c:pt idx="4">
                  <c:v>7.6964313707999992</c:v>
                </c:pt>
                <c:pt idx="5">
                  <c:v>5.9656126075999936</c:v>
                </c:pt>
                <c:pt idx="6">
                  <c:v>0.2850715043000065</c:v>
                </c:pt>
                <c:pt idx="7">
                  <c:v>-0.84674153630000148</c:v>
                </c:pt>
                <c:pt idx="8">
                  <c:v>0.84542569580000304</c:v>
                </c:pt>
                <c:pt idx="9">
                  <c:v>-25.680778364399998</c:v>
                </c:pt>
                <c:pt idx="10">
                  <c:v>-3.379983194199994</c:v>
                </c:pt>
                <c:pt idx="11">
                  <c:v>5.566224000099993</c:v>
                </c:pt>
                <c:pt idx="12">
                  <c:v>2.1984888990999991</c:v>
                </c:pt>
                <c:pt idx="13">
                  <c:v>42.282763352500012</c:v>
                </c:pt>
                <c:pt idx="14">
                  <c:v>9.2435624139999959</c:v>
                </c:pt>
                <c:pt idx="15">
                  <c:v>5.7946060289000059</c:v>
                </c:pt>
                <c:pt idx="16">
                  <c:v>8.7628335220999958</c:v>
                </c:pt>
                <c:pt idx="17">
                  <c:v>15.459617554999994</c:v>
                </c:pt>
                <c:pt idx="18">
                  <c:v>26.231847318299998</c:v>
                </c:pt>
                <c:pt idx="19">
                  <c:v>19.254464608299998</c:v>
                </c:pt>
                <c:pt idx="20">
                  <c:v>12.015611591400003</c:v>
                </c:pt>
                <c:pt idx="21">
                  <c:v>2.2971826952999947</c:v>
                </c:pt>
                <c:pt idx="22">
                  <c:v>-6.8090795378000024</c:v>
                </c:pt>
                <c:pt idx="23">
                  <c:v>-0.66200910400000623</c:v>
                </c:pt>
                <c:pt idx="24">
                  <c:v>4.0524108900000044</c:v>
                </c:pt>
                <c:pt idx="25">
                  <c:v>3.1106756708999939</c:v>
                </c:pt>
                <c:pt idx="26">
                  <c:v>7.9767878582999998</c:v>
                </c:pt>
                <c:pt idx="27">
                  <c:v>2.422567383599997</c:v>
                </c:pt>
              </c:numCache>
            </c:numRef>
          </c:val>
          <c:smooth val="0"/>
          <c:extLst>
            <c:ext xmlns:c16="http://schemas.microsoft.com/office/drawing/2014/chart" uri="{C3380CC4-5D6E-409C-BE32-E72D297353CC}">
              <c16:uniqueId val="{00000001-BD9C-4931-A207-81D227EB8736}"/>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2"/>
          <c:order val="2"/>
          <c:tx>
            <c:strRef>
              <c:f>'výkonnost odvětví 2'!$A$38</c:f>
              <c:strCache>
                <c:ptCount val="1"/>
                <c:pt idx="0">
                  <c:v>Utilisation of production capacities (total)</c:v>
                </c:pt>
              </c:strCache>
            </c:strRef>
          </c:tx>
          <c:spPr>
            <a:ln w="15875">
              <a:solidFill>
                <a:schemeClr val="accent6">
                  <a:lumMod val="75000"/>
                </a:schemeClr>
              </a:solidFill>
            </a:ln>
          </c:spPr>
          <c:marker>
            <c:symbol val="none"/>
          </c:marker>
          <c:cat>
            <c:multiLvlStrRef>
              <c:f>'výkonnost odvětví 2'!$AD$34:$BF$35</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2'!$AD$38:$BF$38</c:f>
              <c:numCache>
                <c:formatCode>##0.0</c:formatCode>
                <c:ptCount val="29"/>
                <c:pt idx="0">
                  <c:v>85.33</c:v>
                </c:pt>
                <c:pt idx="1">
                  <c:v>84.89</c:v>
                </c:pt>
                <c:pt idx="2">
                  <c:v>85.13</c:v>
                </c:pt>
                <c:pt idx="3">
                  <c:v>84.76</c:v>
                </c:pt>
                <c:pt idx="4">
                  <c:v>84.93</c:v>
                </c:pt>
                <c:pt idx="5">
                  <c:v>85.19</c:v>
                </c:pt>
                <c:pt idx="6">
                  <c:v>83.6</c:v>
                </c:pt>
                <c:pt idx="7">
                  <c:v>83.7</c:v>
                </c:pt>
                <c:pt idx="8">
                  <c:v>84.2</c:v>
                </c:pt>
                <c:pt idx="9">
                  <c:v>70.400000000000006</c:v>
                </c:pt>
                <c:pt idx="10">
                  <c:v>76.3</c:v>
                </c:pt>
                <c:pt idx="11">
                  <c:v>82.7</c:v>
                </c:pt>
                <c:pt idx="12">
                  <c:v>85.8</c:v>
                </c:pt>
                <c:pt idx="13">
                  <c:v>84.4</c:v>
                </c:pt>
                <c:pt idx="14">
                  <c:v>86.41</c:v>
                </c:pt>
                <c:pt idx="15">
                  <c:v>77.599999999999994</c:v>
                </c:pt>
                <c:pt idx="16">
                  <c:v>83.6</c:v>
                </c:pt>
                <c:pt idx="17">
                  <c:v>82.17</c:v>
                </c:pt>
                <c:pt idx="18">
                  <c:v>83.5</c:v>
                </c:pt>
                <c:pt idx="19">
                  <c:v>81.099999999999994</c:v>
                </c:pt>
                <c:pt idx="20">
                  <c:v>81.400000000000006</c:v>
                </c:pt>
                <c:pt idx="21">
                  <c:v>83.7</c:v>
                </c:pt>
                <c:pt idx="22">
                  <c:v>83.5</c:v>
                </c:pt>
                <c:pt idx="23">
                  <c:v>83.6</c:v>
                </c:pt>
                <c:pt idx="24">
                  <c:v>83.1</c:v>
                </c:pt>
                <c:pt idx="25">
                  <c:v>83</c:v>
                </c:pt>
                <c:pt idx="26">
                  <c:v>80.599999999999994</c:v>
                </c:pt>
                <c:pt idx="27">
                  <c:v>82.47</c:v>
                </c:pt>
                <c:pt idx="28">
                  <c:v>82.7</c:v>
                </c:pt>
              </c:numCache>
            </c:numRef>
          </c:val>
          <c:smooth val="0"/>
          <c:extLst>
            <c:ext xmlns:c16="http://schemas.microsoft.com/office/drawing/2014/chart" uri="{C3380CC4-5D6E-409C-BE32-E72D297353CC}">
              <c16:uniqueId val="{00000002-BD9C-4931-A207-81D227EB8736}"/>
            </c:ext>
          </c:extLst>
        </c:ser>
        <c:ser>
          <c:idx val="3"/>
          <c:order val="3"/>
          <c:tx>
            <c:strRef>
              <c:f>'výkonnost odvětví 2'!$A$39</c:f>
              <c:strCache>
                <c:ptCount val="1"/>
                <c:pt idx="0">
                  <c:v>Utilisation of cap. (motor vehicles ind.)</c:v>
                </c:pt>
              </c:strCache>
            </c:strRef>
          </c:tx>
          <c:spPr>
            <a:ln w="15875">
              <a:solidFill>
                <a:schemeClr val="accent6">
                  <a:lumMod val="75000"/>
                </a:schemeClr>
              </a:solidFill>
              <a:prstDash val="sysDash"/>
            </a:ln>
          </c:spPr>
          <c:marker>
            <c:symbol val="none"/>
          </c:marker>
          <c:cat>
            <c:multiLvlStrRef>
              <c:f>'výkonnost odvětví 2'!$AD$34:$BF$35</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2'!$AD$39:$BF$39</c:f>
              <c:numCache>
                <c:formatCode>##0.0</c:formatCode>
                <c:ptCount val="29"/>
                <c:pt idx="0">
                  <c:v>91.4</c:v>
                </c:pt>
                <c:pt idx="1">
                  <c:v>91.3</c:v>
                </c:pt>
                <c:pt idx="2">
                  <c:v>92.9</c:v>
                </c:pt>
                <c:pt idx="3">
                  <c:v>92.5</c:v>
                </c:pt>
                <c:pt idx="4">
                  <c:v>92.9</c:v>
                </c:pt>
                <c:pt idx="5">
                  <c:v>92.7</c:v>
                </c:pt>
                <c:pt idx="6">
                  <c:v>92.8</c:v>
                </c:pt>
                <c:pt idx="7">
                  <c:v>93</c:v>
                </c:pt>
                <c:pt idx="8">
                  <c:v>90.6</c:v>
                </c:pt>
                <c:pt idx="9">
                  <c:v>45</c:v>
                </c:pt>
                <c:pt idx="10">
                  <c:v>79.099999999999994</c:v>
                </c:pt>
                <c:pt idx="11">
                  <c:v>96.9</c:v>
                </c:pt>
                <c:pt idx="12">
                  <c:v>94.9</c:v>
                </c:pt>
                <c:pt idx="13">
                  <c:v>89.6</c:v>
                </c:pt>
                <c:pt idx="14">
                  <c:v>95.3</c:v>
                </c:pt>
                <c:pt idx="15">
                  <c:v>55.8</c:v>
                </c:pt>
                <c:pt idx="16">
                  <c:v>84.5</c:v>
                </c:pt>
                <c:pt idx="17">
                  <c:v>76.7</c:v>
                </c:pt>
                <c:pt idx="18">
                  <c:v>79</c:v>
                </c:pt>
                <c:pt idx="19">
                  <c:v>74.099999999999994</c:v>
                </c:pt>
                <c:pt idx="20">
                  <c:v>79.400000000000006</c:v>
                </c:pt>
                <c:pt idx="21">
                  <c:v>92.7</c:v>
                </c:pt>
                <c:pt idx="22">
                  <c:v>92.2</c:v>
                </c:pt>
                <c:pt idx="23">
                  <c:v>92.2</c:v>
                </c:pt>
                <c:pt idx="24">
                  <c:v>92.7</c:v>
                </c:pt>
                <c:pt idx="25">
                  <c:v>93.5</c:v>
                </c:pt>
                <c:pt idx="26">
                  <c:v>89.9</c:v>
                </c:pt>
                <c:pt idx="27">
                  <c:v>92.9</c:v>
                </c:pt>
                <c:pt idx="28">
                  <c:v>93.100000000000009</c:v>
                </c:pt>
              </c:numCache>
            </c:numRef>
          </c:val>
          <c:smooth val="0"/>
          <c:extLst>
            <c:ext xmlns:c16="http://schemas.microsoft.com/office/drawing/2014/chart" uri="{C3380CC4-5D6E-409C-BE32-E72D297353CC}">
              <c16:uniqueId val="{00000003-BD9C-4931-A207-81D227EB8736}"/>
            </c:ext>
          </c:extLst>
        </c:ser>
        <c:ser>
          <c:idx val="4"/>
          <c:order val="4"/>
          <c:tx>
            <c:strRef>
              <c:f>'výkonnost odvětví 2'!$A$40</c:f>
              <c:strCache>
                <c:ptCount val="1"/>
                <c:pt idx="0">
                  <c:v>Barrier: inadequate demand</c:v>
                </c:pt>
              </c:strCache>
            </c:strRef>
          </c:tx>
          <c:spPr>
            <a:ln w="15875">
              <a:solidFill>
                <a:srgbClr val="00B050"/>
              </a:solidFill>
              <a:prstDash val="solid"/>
            </a:ln>
          </c:spPr>
          <c:marker>
            <c:symbol val="none"/>
          </c:marker>
          <c:cat>
            <c:multiLvlStrRef>
              <c:f>'výkonnost odvětví 2'!$AD$34:$BF$35</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2'!$AD$40:$BF$40</c:f>
              <c:numCache>
                <c:formatCode>#\ ##0.0</c:formatCode>
                <c:ptCount val="29"/>
                <c:pt idx="0">
                  <c:v>35.4</c:v>
                </c:pt>
                <c:pt idx="1">
                  <c:v>36.299999999999997</c:v>
                </c:pt>
                <c:pt idx="2">
                  <c:v>32.4</c:v>
                </c:pt>
                <c:pt idx="3">
                  <c:v>32.9</c:v>
                </c:pt>
                <c:pt idx="4">
                  <c:v>33.799999999999997</c:v>
                </c:pt>
                <c:pt idx="5">
                  <c:v>36.200000000000003</c:v>
                </c:pt>
                <c:pt idx="6">
                  <c:v>41</c:v>
                </c:pt>
                <c:pt idx="7">
                  <c:v>47.1</c:v>
                </c:pt>
                <c:pt idx="8">
                  <c:v>49.8</c:v>
                </c:pt>
                <c:pt idx="9">
                  <c:v>58.8</c:v>
                </c:pt>
                <c:pt idx="10">
                  <c:v>63</c:v>
                </c:pt>
                <c:pt idx="11">
                  <c:v>44.4</c:v>
                </c:pt>
                <c:pt idx="12">
                  <c:v>46.9</c:v>
                </c:pt>
                <c:pt idx="13">
                  <c:v>38.700000000000003</c:v>
                </c:pt>
                <c:pt idx="14">
                  <c:v>25.4</c:v>
                </c:pt>
                <c:pt idx="15">
                  <c:v>27.9</c:v>
                </c:pt>
                <c:pt idx="16">
                  <c:v>29.9</c:v>
                </c:pt>
                <c:pt idx="17">
                  <c:v>21.3</c:v>
                </c:pt>
                <c:pt idx="18">
                  <c:v>18.7</c:v>
                </c:pt>
                <c:pt idx="19">
                  <c:v>29.4</c:v>
                </c:pt>
                <c:pt idx="20">
                  <c:v>42.5</c:v>
                </c:pt>
                <c:pt idx="21">
                  <c:v>42</c:v>
                </c:pt>
                <c:pt idx="22">
                  <c:v>44.3</c:v>
                </c:pt>
                <c:pt idx="23">
                  <c:v>46.2</c:v>
                </c:pt>
                <c:pt idx="24">
                  <c:v>47.5</c:v>
                </c:pt>
                <c:pt idx="25">
                  <c:v>49.8</c:v>
                </c:pt>
                <c:pt idx="26">
                  <c:v>52</c:v>
                </c:pt>
                <c:pt idx="27">
                  <c:v>49</c:v>
                </c:pt>
                <c:pt idx="28">
                  <c:v>63.5</c:v>
                </c:pt>
              </c:numCache>
            </c:numRef>
          </c:val>
          <c:smooth val="0"/>
          <c:extLst>
            <c:ext xmlns:c16="http://schemas.microsoft.com/office/drawing/2014/chart" uri="{C3380CC4-5D6E-409C-BE32-E72D297353CC}">
              <c16:uniqueId val="{00000004-BD9C-4931-A207-81D227EB8736}"/>
            </c:ext>
          </c:extLst>
        </c:ser>
        <c:ser>
          <c:idx val="5"/>
          <c:order val="5"/>
          <c:tx>
            <c:strRef>
              <c:f>'výkonnost odvětví 2'!$A$41</c:f>
              <c:strCache>
                <c:ptCount val="1"/>
                <c:pt idx="0">
                  <c:v>Barrier: lack of workers</c:v>
                </c:pt>
              </c:strCache>
            </c:strRef>
          </c:tx>
          <c:spPr>
            <a:ln w="15875">
              <a:solidFill>
                <a:srgbClr val="6FE772"/>
              </a:solidFill>
              <a:prstDash val="solid"/>
            </a:ln>
          </c:spPr>
          <c:marker>
            <c:symbol val="none"/>
          </c:marker>
          <c:cat>
            <c:multiLvlStrRef>
              <c:f>'výkonnost odvětví 2'!$AD$34:$BF$35</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2'!$AD$41:$BF$41</c:f>
              <c:numCache>
                <c:formatCode>#\ ##0.0</c:formatCode>
                <c:ptCount val="29"/>
                <c:pt idx="0">
                  <c:v>43.5</c:v>
                </c:pt>
                <c:pt idx="1">
                  <c:v>42.3</c:v>
                </c:pt>
                <c:pt idx="2">
                  <c:v>43.2</c:v>
                </c:pt>
                <c:pt idx="3">
                  <c:v>46.3</c:v>
                </c:pt>
                <c:pt idx="4">
                  <c:v>39</c:v>
                </c:pt>
                <c:pt idx="5">
                  <c:v>35.1</c:v>
                </c:pt>
                <c:pt idx="6">
                  <c:v>40.200000000000003</c:v>
                </c:pt>
                <c:pt idx="7">
                  <c:v>39.200000000000003</c:v>
                </c:pt>
                <c:pt idx="8">
                  <c:v>27.7</c:v>
                </c:pt>
                <c:pt idx="9">
                  <c:v>13.5</c:v>
                </c:pt>
                <c:pt idx="10">
                  <c:v>16.7</c:v>
                </c:pt>
                <c:pt idx="11">
                  <c:v>17.600000000000001</c:v>
                </c:pt>
                <c:pt idx="12">
                  <c:v>22</c:v>
                </c:pt>
                <c:pt idx="13">
                  <c:v>18.399999999999999</c:v>
                </c:pt>
                <c:pt idx="14">
                  <c:v>27.6</c:v>
                </c:pt>
                <c:pt idx="15">
                  <c:v>22.6</c:v>
                </c:pt>
                <c:pt idx="16">
                  <c:v>24.9</c:v>
                </c:pt>
                <c:pt idx="17">
                  <c:v>18.600000000000001</c:v>
                </c:pt>
                <c:pt idx="18">
                  <c:v>26.1</c:v>
                </c:pt>
                <c:pt idx="19">
                  <c:v>24.9</c:v>
                </c:pt>
                <c:pt idx="20">
                  <c:v>16.600000000000001</c:v>
                </c:pt>
                <c:pt idx="21">
                  <c:v>20.6</c:v>
                </c:pt>
                <c:pt idx="22">
                  <c:v>18.899999999999999</c:v>
                </c:pt>
                <c:pt idx="23">
                  <c:v>22.5</c:v>
                </c:pt>
                <c:pt idx="24">
                  <c:v>14.6</c:v>
                </c:pt>
                <c:pt idx="25">
                  <c:v>11.8</c:v>
                </c:pt>
                <c:pt idx="26">
                  <c:v>12.8</c:v>
                </c:pt>
                <c:pt idx="27">
                  <c:v>17.8</c:v>
                </c:pt>
                <c:pt idx="28">
                  <c:v>13.2</c:v>
                </c:pt>
              </c:numCache>
            </c:numRef>
          </c:val>
          <c:smooth val="0"/>
          <c:extLst>
            <c:ext xmlns:c16="http://schemas.microsoft.com/office/drawing/2014/chart" uri="{C3380CC4-5D6E-409C-BE32-E72D297353CC}">
              <c16:uniqueId val="{00000005-BD9C-4931-A207-81D227EB8736}"/>
            </c:ext>
          </c:extLst>
        </c:ser>
        <c:ser>
          <c:idx val="6"/>
          <c:order val="6"/>
          <c:tx>
            <c:strRef>
              <c:f>'výkonnost odvětví 2'!$A$42</c:f>
              <c:strCache>
                <c:ptCount val="1"/>
                <c:pt idx="0">
                  <c:v>Barrier: shortage of material/equipment</c:v>
                </c:pt>
              </c:strCache>
            </c:strRef>
          </c:tx>
          <c:spPr>
            <a:ln w="15875">
              <a:solidFill>
                <a:schemeClr val="accent3">
                  <a:lumMod val="75000"/>
                </a:schemeClr>
              </a:solidFill>
              <a:prstDash val="dash"/>
            </a:ln>
          </c:spPr>
          <c:marker>
            <c:symbol val="none"/>
          </c:marker>
          <c:cat>
            <c:multiLvlStrRef>
              <c:f>'výkonnost odvětví 2'!$AD$34:$BF$35</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2'!$AD$42:$BF$42</c:f>
              <c:numCache>
                <c:formatCode>#\ ##0.0</c:formatCode>
                <c:ptCount val="29"/>
                <c:pt idx="0">
                  <c:v>11.9</c:v>
                </c:pt>
                <c:pt idx="1">
                  <c:v>11.7</c:v>
                </c:pt>
                <c:pt idx="2">
                  <c:v>13.9</c:v>
                </c:pt>
                <c:pt idx="3">
                  <c:v>23.5</c:v>
                </c:pt>
                <c:pt idx="4">
                  <c:v>26.4</c:v>
                </c:pt>
                <c:pt idx="5">
                  <c:v>24.7</c:v>
                </c:pt>
                <c:pt idx="6">
                  <c:v>22</c:v>
                </c:pt>
                <c:pt idx="7">
                  <c:v>10.5</c:v>
                </c:pt>
                <c:pt idx="8">
                  <c:v>17.899999999999999</c:v>
                </c:pt>
                <c:pt idx="9">
                  <c:v>10.199999999999999</c:v>
                </c:pt>
                <c:pt idx="10">
                  <c:v>6.7</c:v>
                </c:pt>
                <c:pt idx="11">
                  <c:v>10.9</c:v>
                </c:pt>
                <c:pt idx="12">
                  <c:v>23.1</c:v>
                </c:pt>
                <c:pt idx="13">
                  <c:v>32.1</c:v>
                </c:pt>
                <c:pt idx="14">
                  <c:v>45.9</c:v>
                </c:pt>
                <c:pt idx="15">
                  <c:v>41.2</c:v>
                </c:pt>
                <c:pt idx="16">
                  <c:v>39.299999999999997</c:v>
                </c:pt>
                <c:pt idx="17">
                  <c:v>47.8</c:v>
                </c:pt>
                <c:pt idx="18">
                  <c:v>53.4</c:v>
                </c:pt>
                <c:pt idx="19">
                  <c:v>46.4</c:v>
                </c:pt>
                <c:pt idx="20">
                  <c:v>37.4</c:v>
                </c:pt>
                <c:pt idx="21">
                  <c:v>32.5</c:v>
                </c:pt>
                <c:pt idx="22">
                  <c:v>20.6</c:v>
                </c:pt>
                <c:pt idx="23">
                  <c:v>17.100000000000001</c:v>
                </c:pt>
                <c:pt idx="24">
                  <c:v>32.700000000000003</c:v>
                </c:pt>
                <c:pt idx="25">
                  <c:v>28.1</c:v>
                </c:pt>
                <c:pt idx="26">
                  <c:v>13</c:v>
                </c:pt>
                <c:pt idx="27">
                  <c:v>24.7</c:v>
                </c:pt>
                <c:pt idx="28">
                  <c:v>11.9</c:v>
                </c:pt>
              </c:numCache>
            </c:numRef>
          </c:val>
          <c:smooth val="0"/>
          <c:extLst>
            <c:ext xmlns:c16="http://schemas.microsoft.com/office/drawing/2014/chart" uri="{C3380CC4-5D6E-409C-BE32-E72D297353CC}">
              <c16:uniqueId val="{00000006-BD9C-4931-A207-81D227EB8736}"/>
            </c:ext>
          </c:extLst>
        </c:ser>
        <c:ser>
          <c:idx val="7"/>
          <c:order val="7"/>
          <c:tx>
            <c:strRef>
              <c:f>'výkonnost odvětví 2'!$A$43</c:f>
              <c:strCache>
                <c:ptCount val="1"/>
                <c:pt idx="0">
                  <c:v>Total confidence indicator in industry</c:v>
                </c:pt>
              </c:strCache>
            </c:strRef>
          </c:tx>
          <c:spPr>
            <a:ln w="15875">
              <a:solidFill>
                <a:schemeClr val="bg1">
                  <a:lumMod val="65000"/>
                </a:schemeClr>
              </a:solidFill>
              <a:prstDash val="sysDot"/>
            </a:ln>
          </c:spPr>
          <c:marker>
            <c:symbol val="circle"/>
            <c:size val="5"/>
            <c:spPr>
              <a:solidFill>
                <a:srgbClr val="FFFF00"/>
              </a:solidFill>
              <a:ln>
                <a:solidFill>
                  <a:schemeClr val="tx1">
                    <a:lumMod val="50000"/>
                    <a:lumOff val="50000"/>
                  </a:schemeClr>
                </a:solidFill>
              </a:ln>
            </c:spPr>
          </c:marker>
          <c:cat>
            <c:multiLvlStrRef>
              <c:f>'výkonnost odvětví 2'!$AD$34:$BF$35</c:f>
              <c:multiLvlStrCache>
                <c:ptCount val="29"/>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2'!$AD$43:$BF$43</c:f>
              <c:numCache>
                <c:formatCode>#\ ##0.0</c:formatCode>
                <c:ptCount val="29"/>
                <c:pt idx="0">
                  <c:v>3.7</c:v>
                </c:pt>
                <c:pt idx="1">
                  <c:v>2</c:v>
                </c:pt>
                <c:pt idx="2">
                  <c:v>2.2999999999999998</c:v>
                </c:pt>
                <c:pt idx="3">
                  <c:v>2.2999999999999998</c:v>
                </c:pt>
                <c:pt idx="4">
                  <c:v>0.3</c:v>
                </c:pt>
                <c:pt idx="5">
                  <c:v>-2</c:v>
                </c:pt>
                <c:pt idx="6">
                  <c:v>-3</c:v>
                </c:pt>
                <c:pt idx="7">
                  <c:v>-6.7</c:v>
                </c:pt>
                <c:pt idx="8">
                  <c:v>-5</c:v>
                </c:pt>
                <c:pt idx="9">
                  <c:v>-25</c:v>
                </c:pt>
                <c:pt idx="10">
                  <c:v>-6.3</c:v>
                </c:pt>
                <c:pt idx="11">
                  <c:v>-10</c:v>
                </c:pt>
                <c:pt idx="12">
                  <c:v>-1.3</c:v>
                </c:pt>
                <c:pt idx="13">
                  <c:v>5.3</c:v>
                </c:pt>
                <c:pt idx="14">
                  <c:v>-1.3</c:v>
                </c:pt>
                <c:pt idx="15">
                  <c:v>-5.3</c:v>
                </c:pt>
                <c:pt idx="16">
                  <c:v>-0.3</c:v>
                </c:pt>
                <c:pt idx="17">
                  <c:v>8.3000000000000007</c:v>
                </c:pt>
                <c:pt idx="18">
                  <c:v>-1.7</c:v>
                </c:pt>
                <c:pt idx="19">
                  <c:v>-8.3000000000000007</c:v>
                </c:pt>
                <c:pt idx="20">
                  <c:v>-10.1</c:v>
                </c:pt>
                <c:pt idx="21">
                  <c:v>-7</c:v>
                </c:pt>
                <c:pt idx="22">
                  <c:v>-7</c:v>
                </c:pt>
                <c:pt idx="23">
                  <c:v>-6</c:v>
                </c:pt>
                <c:pt idx="24">
                  <c:v>-14</c:v>
                </c:pt>
                <c:pt idx="25">
                  <c:v>-8.6999999999999993</c:v>
                </c:pt>
                <c:pt idx="26">
                  <c:v>-7.7</c:v>
                </c:pt>
                <c:pt idx="27">
                  <c:v>-8.3000000000000007</c:v>
                </c:pt>
                <c:pt idx="28">
                  <c:v>-6</c:v>
                </c:pt>
              </c:numCache>
            </c:numRef>
          </c:val>
          <c:smooth val="0"/>
          <c:extLst>
            <c:ext xmlns:c16="http://schemas.microsoft.com/office/drawing/2014/chart" uri="{C3380CC4-5D6E-409C-BE32-E72D297353CC}">
              <c16:uniqueId val="{00000007-BD9C-4931-A207-81D227EB8736}"/>
            </c:ext>
          </c:extLst>
        </c:ser>
        <c:dLbls>
          <c:showLegendKey val="0"/>
          <c:showVal val="0"/>
          <c:showCatName val="0"/>
          <c:showSerName val="0"/>
          <c:showPercent val="0"/>
          <c:showBubbleSize val="0"/>
        </c:dLbls>
        <c:marker val="1"/>
        <c:smooth val="0"/>
        <c:axId val="1239819375"/>
        <c:axId val="1239826863"/>
      </c:lineChart>
      <c:catAx>
        <c:axId val="112768128"/>
        <c:scaling>
          <c:orientation val="minMax"/>
        </c:scaling>
        <c:delete val="0"/>
        <c:axPos val="b"/>
        <c:numFmt formatCode="General" sourceLinked="1"/>
        <c:majorTickMark val="out"/>
        <c:minorTickMark val="none"/>
        <c:tickLblPos val="low"/>
        <c:crossAx val="112769664"/>
        <c:crosses val="autoZero"/>
        <c:auto val="1"/>
        <c:lblAlgn val="ctr"/>
        <c:lblOffset val="0"/>
        <c:noMultiLvlLbl val="0"/>
      </c:catAx>
      <c:valAx>
        <c:axId val="112769664"/>
        <c:scaling>
          <c:orientation val="minMax"/>
          <c:max val="90"/>
          <c:min val="-40"/>
        </c:scaling>
        <c:delete val="0"/>
        <c:axPos val="l"/>
        <c:majorGridlines>
          <c:spPr>
            <a:ln>
              <a:solidFill>
                <a:srgbClr val="BEBEBE"/>
              </a:solidFill>
            </a:ln>
          </c:spPr>
        </c:majorGridlines>
        <c:title>
          <c:tx>
            <c:rich>
              <a:bodyPr/>
              <a:lstStyle/>
              <a:p>
                <a:pPr>
                  <a:defRPr sz="700" b="0" i="1"/>
                </a:pPr>
                <a:r>
                  <a:rPr lang="cs-CZ" sz="700" b="0" i="1"/>
                  <a:t>Orders</a:t>
                </a:r>
              </a:p>
            </c:rich>
          </c:tx>
          <c:layout/>
          <c:overlay val="0"/>
        </c:title>
        <c:numFmt formatCode="0" sourceLinked="0"/>
        <c:majorTickMark val="out"/>
        <c:minorTickMark val="none"/>
        <c:tickLblPos val="nextTo"/>
        <c:crossAx val="112768128"/>
        <c:crosses val="autoZero"/>
        <c:crossBetween val="between"/>
        <c:majorUnit val="10"/>
      </c:valAx>
      <c:valAx>
        <c:axId val="1239826863"/>
        <c:scaling>
          <c:orientation val="minMax"/>
          <c:max val="10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i="1">
                    <a:effectLst/>
                  </a:rPr>
                  <a:t>Utilisation of production capacities, growth barriers, confidence</a:t>
                </a:r>
              </a:p>
            </c:rich>
          </c:tx>
          <c:layout/>
          <c:overlay val="0"/>
        </c:title>
        <c:numFmt formatCode="#,##0" sourceLinked="0"/>
        <c:majorTickMark val="out"/>
        <c:minorTickMark val="none"/>
        <c:tickLblPos val="nextTo"/>
        <c:crossAx val="1239819375"/>
        <c:crosses val="max"/>
        <c:crossBetween val="between"/>
        <c:majorUnit val="10"/>
      </c:valAx>
      <c:catAx>
        <c:axId val="1239819375"/>
        <c:scaling>
          <c:orientation val="minMax"/>
        </c:scaling>
        <c:delete val="1"/>
        <c:axPos val="b"/>
        <c:numFmt formatCode="General" sourceLinked="1"/>
        <c:majorTickMark val="out"/>
        <c:minorTickMark val="none"/>
        <c:tickLblPos val="nextTo"/>
        <c:crossAx val="12398268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5.0624233317308007E-3"/>
          <c:y val="0.85586452851148542"/>
          <c:w val="0.99016081878579243"/>
          <c:h val="0.13715127117944995"/>
        </c:manualLayout>
      </c:layout>
      <c:overlay val="0"/>
      <c:spPr>
        <a:ln w="6350">
          <a:solidFill>
            <a:prstClr val="black">
              <a:lumMod val="95000"/>
              <a:lumOff val="5000"/>
            </a:prstClr>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5237839893753009"/>
          <c:h val="0.75413191483370345"/>
        </c:manualLayout>
      </c:layout>
      <c:barChart>
        <c:barDir val="col"/>
        <c:grouping val="stacked"/>
        <c:varyColors val="0"/>
        <c:ser>
          <c:idx val="1"/>
          <c:order val="1"/>
          <c:tx>
            <c:strRef>
              <c:f>'výkonnost odvětví 3'!$Y$10</c:f>
              <c:strCache>
                <c:ptCount val="1"/>
                <c:pt idx="0">
                  <c:v>Building construction (contribution in p.p.)</c:v>
                </c:pt>
              </c:strCache>
            </c:strRef>
          </c:tx>
          <c:spPr>
            <a:solidFill>
              <a:schemeClr val="accent5">
                <a:lumMod val="60000"/>
                <a:lumOff val="40000"/>
              </a:schemeClr>
            </a:solidFill>
            <a:ln>
              <a:noFill/>
            </a:ln>
          </c:spPr>
          <c:invertIfNegative val="0"/>
          <c:cat>
            <c:multiLvlStrRef>
              <c:f>'výkonnost odvětví 3'!$V$31:$W$71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3'!$Y$31:$Y$71</c:f>
              <c:numCache>
                <c:formatCode>0.0</c:formatCode>
                <c:ptCount val="41"/>
                <c:pt idx="0">
                  <c:v>5.748716579411445</c:v>
                </c:pt>
                <c:pt idx="1">
                  <c:v>4.7489923277143378</c:v>
                </c:pt>
                <c:pt idx="2">
                  <c:v>0.72860376801438353</c:v>
                </c:pt>
                <c:pt idx="3">
                  <c:v>-1.5997494872130962</c:v>
                </c:pt>
                <c:pt idx="4">
                  <c:v>-4.5800585311347017</c:v>
                </c:pt>
                <c:pt idx="5">
                  <c:v>-4.8364432126044203</c:v>
                </c:pt>
                <c:pt idx="6">
                  <c:v>0.7673453632215238</c:v>
                </c:pt>
                <c:pt idx="7">
                  <c:v>3.5913890122868475</c:v>
                </c:pt>
                <c:pt idx="8">
                  <c:v>1.818439140996319</c:v>
                </c:pt>
                <c:pt idx="9">
                  <c:v>9.5161866462127662</c:v>
                </c:pt>
                <c:pt idx="10">
                  <c:v>3.2650480956647083</c:v>
                </c:pt>
                <c:pt idx="11">
                  <c:v>2.30805126241866</c:v>
                </c:pt>
                <c:pt idx="12">
                  <c:v>13.039459362857237</c:v>
                </c:pt>
                <c:pt idx="13">
                  <c:v>5.6850806062932753</c:v>
                </c:pt>
                <c:pt idx="14">
                  <c:v>7.036028465591686</c:v>
                </c:pt>
                <c:pt idx="15">
                  <c:v>2.3869078764089537</c:v>
                </c:pt>
                <c:pt idx="16">
                  <c:v>2.4727635166988868</c:v>
                </c:pt>
                <c:pt idx="17">
                  <c:v>2.9341574628565144</c:v>
                </c:pt>
                <c:pt idx="18">
                  <c:v>-0.67535503037810629</c:v>
                </c:pt>
                <c:pt idx="19">
                  <c:v>1.7116954805541678</c:v>
                </c:pt>
                <c:pt idx="20">
                  <c:v>-0.69584807703082285</c:v>
                </c:pt>
                <c:pt idx="21">
                  <c:v>-7.7523651483361782</c:v>
                </c:pt>
                <c:pt idx="22">
                  <c:v>-7.0746219815718145</c:v>
                </c:pt>
                <c:pt idx="23">
                  <c:v>-7.7412314636348389</c:v>
                </c:pt>
                <c:pt idx="24">
                  <c:v>-5.0641975026487787</c:v>
                </c:pt>
                <c:pt idx="25">
                  <c:v>2.4686114215313406</c:v>
                </c:pt>
                <c:pt idx="26">
                  <c:v>2.7039460751579787</c:v>
                </c:pt>
                <c:pt idx="27">
                  <c:v>5.3901043052775774</c:v>
                </c:pt>
                <c:pt idx="28">
                  <c:v>7.2623756026241066</c:v>
                </c:pt>
                <c:pt idx="29">
                  <c:v>3.5226467380079853</c:v>
                </c:pt>
                <c:pt idx="30">
                  <c:v>-0.76089367968381272</c:v>
                </c:pt>
                <c:pt idx="31">
                  <c:v>-1.4458047635776528</c:v>
                </c:pt>
                <c:pt idx="32">
                  <c:v>2.0832552278460348</c:v>
                </c:pt>
                <c:pt idx="33">
                  <c:v>-1.8028342486885289</c:v>
                </c:pt>
                <c:pt idx="34">
                  <c:v>-0.44895734326731668</c:v>
                </c:pt>
                <c:pt idx="35">
                  <c:v>-2.3451012647049301</c:v>
                </c:pt>
                <c:pt idx="36">
                  <c:v>-4.8382296506486542</c:v>
                </c:pt>
                <c:pt idx="37">
                  <c:v>-3.1423406804938172</c:v>
                </c:pt>
                <c:pt idx="38">
                  <c:v>-1.8669557036141273</c:v>
                </c:pt>
                <c:pt idx="39">
                  <c:v>1.6859130817420198</c:v>
                </c:pt>
              </c:numCache>
            </c:numRef>
          </c:val>
          <c:extLst>
            <c:ext xmlns:c16="http://schemas.microsoft.com/office/drawing/2014/chart" uri="{C3380CC4-5D6E-409C-BE32-E72D297353CC}">
              <c16:uniqueId val="{00000000-D3CA-457D-AC10-C1336E1F1BFE}"/>
            </c:ext>
          </c:extLst>
        </c:ser>
        <c:ser>
          <c:idx val="2"/>
          <c:order val="2"/>
          <c:tx>
            <c:strRef>
              <c:f>'výkonnost odvětví 3'!$Z$10</c:f>
              <c:strCache>
                <c:ptCount val="1"/>
                <c:pt idx="0">
                  <c:v>Civil engineering works (contribution)</c:v>
                </c:pt>
              </c:strCache>
            </c:strRef>
          </c:tx>
          <c:spPr>
            <a:solidFill>
              <a:schemeClr val="accent2">
                <a:lumMod val="60000"/>
                <a:lumOff val="40000"/>
              </a:schemeClr>
            </a:solidFill>
            <a:ln>
              <a:noFill/>
            </a:ln>
          </c:spPr>
          <c:invertIfNegative val="0"/>
          <c:cat>
            <c:multiLvlStrRef>
              <c:f>'výkonnost odvětví 3'!$V$31:$W$71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3'!$Z$31:$Z$71</c:f>
              <c:numCache>
                <c:formatCode>0.0</c:formatCode>
                <c:ptCount val="41"/>
                <c:pt idx="0">
                  <c:v>3.8654453061663498</c:v>
                </c:pt>
                <c:pt idx="1">
                  <c:v>8.4074328223660437</c:v>
                </c:pt>
                <c:pt idx="2">
                  <c:v>8.536513170572011</c:v>
                </c:pt>
                <c:pt idx="3">
                  <c:v>3.3830353457973681</c:v>
                </c:pt>
                <c:pt idx="4">
                  <c:v>-1.4655710356774887</c:v>
                </c:pt>
                <c:pt idx="5">
                  <c:v>-6.4494987337786789</c:v>
                </c:pt>
                <c:pt idx="6">
                  <c:v>-8.0288007564184198</c:v>
                </c:pt>
                <c:pt idx="7">
                  <c:v>-6.8710829128275535</c:v>
                </c:pt>
                <c:pt idx="8">
                  <c:v>-4.1473356084740605</c:v>
                </c:pt>
                <c:pt idx="9">
                  <c:v>-1.1362269417632547</c:v>
                </c:pt>
                <c:pt idx="10">
                  <c:v>-1.6997694917449739</c:v>
                </c:pt>
                <c:pt idx="11">
                  <c:v>0.18912136047288933</c:v>
                </c:pt>
                <c:pt idx="12">
                  <c:v>2.313855161184069</c:v>
                </c:pt>
                <c:pt idx="13">
                  <c:v>1.4433818342413158</c:v>
                </c:pt>
                <c:pt idx="14">
                  <c:v>5.805340800033207</c:v>
                </c:pt>
                <c:pt idx="15">
                  <c:v>2.0257219814852485</c:v>
                </c:pt>
                <c:pt idx="16">
                  <c:v>2.8832113797347176</c:v>
                </c:pt>
                <c:pt idx="17">
                  <c:v>2.2916559515195796</c:v>
                </c:pt>
                <c:pt idx="18">
                  <c:v>0.1275103650053056</c:v>
                </c:pt>
                <c:pt idx="19">
                  <c:v>0.80716183036284428</c:v>
                </c:pt>
                <c:pt idx="20">
                  <c:v>2.6239699221333534</c:v>
                </c:pt>
                <c:pt idx="21">
                  <c:v>0.26317252359280197</c:v>
                </c:pt>
                <c:pt idx="22">
                  <c:v>-3.3347591135837273</c:v>
                </c:pt>
                <c:pt idx="23">
                  <c:v>-0.42839192125115316</c:v>
                </c:pt>
                <c:pt idx="24">
                  <c:v>-0.39271300493205069</c:v>
                </c:pt>
                <c:pt idx="25">
                  <c:v>1.8656417213430043</c:v>
                </c:pt>
                <c:pt idx="26">
                  <c:v>0.51733150492014313</c:v>
                </c:pt>
                <c:pt idx="27">
                  <c:v>-1.0537686221660534</c:v>
                </c:pt>
                <c:pt idx="28">
                  <c:v>5.358400328070565</c:v>
                </c:pt>
                <c:pt idx="29">
                  <c:v>1.3483477190828432</c:v>
                </c:pt>
                <c:pt idx="30">
                  <c:v>0.66790441347725993</c:v>
                </c:pt>
                <c:pt idx="31">
                  <c:v>1.4140192158313873</c:v>
                </c:pt>
                <c:pt idx="32">
                  <c:v>-3.8377803274302602</c:v>
                </c:pt>
                <c:pt idx="33">
                  <c:v>-2.3734546360443498</c:v>
                </c:pt>
                <c:pt idx="34">
                  <c:v>-0.1386838999559698</c:v>
                </c:pt>
                <c:pt idx="35">
                  <c:v>-0.56173564084297578</c:v>
                </c:pt>
                <c:pt idx="36">
                  <c:v>1.2662423560224092</c:v>
                </c:pt>
                <c:pt idx="37">
                  <c:v>-1.4597213726065921</c:v>
                </c:pt>
                <c:pt idx="38">
                  <c:v>0.28895473079141204</c:v>
                </c:pt>
                <c:pt idx="39">
                  <c:v>1.5102548903099675</c:v>
                </c:pt>
              </c:numCache>
            </c:numRef>
          </c:val>
          <c:extLst>
            <c:ext xmlns:c16="http://schemas.microsoft.com/office/drawing/2014/chart" uri="{C3380CC4-5D6E-409C-BE32-E72D297353CC}">
              <c16:uniqueId val="{00000001-D3CA-457D-AC10-C1336E1F1BFE}"/>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'výkonnost odvětví 3'!$X$10</c:f>
              <c:strCache>
                <c:ptCount val="1"/>
                <c:pt idx="0">
                  <c:v>Total construction output</c:v>
                </c:pt>
              </c:strCache>
            </c:strRef>
          </c:tx>
          <c:spPr>
            <a:ln>
              <a:noFill/>
            </a:ln>
          </c:spPr>
          <c:marker>
            <c:symbol val="dash"/>
            <c:size val="5"/>
            <c:spPr>
              <a:solidFill>
                <a:schemeClr val="bg1"/>
              </a:solidFill>
              <a:ln>
                <a:solidFill>
                  <a:schemeClr val="tx1">
                    <a:lumMod val="95000"/>
                    <a:lumOff val="5000"/>
                  </a:schemeClr>
                </a:solidFill>
              </a:ln>
            </c:spPr>
          </c:marker>
          <c:cat>
            <c:multiLvlStrRef>
              <c:f>'výkonnost odvětví 3'!$V$31:$W$71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3'!$X$31:$X$71</c:f>
              <c:numCache>
                <c:formatCode>0.0</c:formatCode>
                <c:ptCount val="41"/>
                <c:pt idx="0">
                  <c:v>9.6141618855778006</c:v>
                </c:pt>
                <c:pt idx="1">
                  <c:v>13.156425150080381</c:v>
                </c:pt>
                <c:pt idx="2">
                  <c:v>9.2651169385864023</c:v>
                </c:pt>
                <c:pt idx="3">
                  <c:v>1.7832858585842644</c:v>
                </c:pt>
                <c:pt idx="4">
                  <c:v>-6.0456295668121669</c:v>
                </c:pt>
                <c:pt idx="5">
                  <c:v>-11.28594194638309</c:v>
                </c:pt>
                <c:pt idx="6">
                  <c:v>-7.2614553931968828</c:v>
                </c:pt>
                <c:pt idx="7">
                  <c:v>-3.2796939005406927</c:v>
                </c:pt>
                <c:pt idx="8">
                  <c:v>-2.3288964674777475</c:v>
                </c:pt>
                <c:pt idx="9">
                  <c:v>8.3799597044495187</c:v>
                </c:pt>
                <c:pt idx="10">
                  <c:v>1.5652786039197224</c:v>
                </c:pt>
                <c:pt idx="11">
                  <c:v>2.4971726228915543</c:v>
                </c:pt>
                <c:pt idx="12">
                  <c:v>15.353314524041295</c:v>
                </c:pt>
                <c:pt idx="13">
                  <c:v>7.1284624405345767</c:v>
                </c:pt>
                <c:pt idx="14">
                  <c:v>12.84136926562492</c:v>
                </c:pt>
                <c:pt idx="15">
                  <c:v>4.4126298578941885</c:v>
                </c:pt>
                <c:pt idx="16">
                  <c:v>5.355974896433608</c:v>
                </c:pt>
                <c:pt idx="17">
                  <c:v>5.2258134143760913</c:v>
                </c:pt>
                <c:pt idx="18">
                  <c:v>-0.54784466537279286</c:v>
                </c:pt>
                <c:pt idx="19">
                  <c:v>2.5188573109170278</c:v>
                </c:pt>
                <c:pt idx="20">
                  <c:v>1.9281218451025097</c:v>
                </c:pt>
                <c:pt idx="21">
                  <c:v>-7.4891926247433531</c:v>
                </c:pt>
                <c:pt idx="22">
                  <c:v>-10.409381095155553</c:v>
                </c:pt>
                <c:pt idx="23">
                  <c:v>-8.1696233848860089</c:v>
                </c:pt>
                <c:pt idx="24">
                  <c:v>-5.466636542981135</c:v>
                </c:pt>
                <c:pt idx="25">
                  <c:v>4.3235198503092249</c:v>
                </c:pt>
                <c:pt idx="26">
                  <c:v>3.2106587838742087</c:v>
                </c:pt>
                <c:pt idx="27">
                  <c:v>4.3256021763069583</c:v>
                </c:pt>
                <c:pt idx="28">
                  <c:v>12.620775930694663</c:v>
                </c:pt>
                <c:pt idx="29">
                  <c:v>4.8709944570908021</c:v>
                </c:pt>
                <c:pt idx="30">
                  <c:v>-9.2989266206558341E-2</c:v>
                </c:pt>
                <c:pt idx="31">
                  <c:v>-3.1785547746267184E-2</c:v>
                </c:pt>
                <c:pt idx="32">
                  <c:v>-1.7545250995842139</c:v>
                </c:pt>
                <c:pt idx="33">
                  <c:v>-4.1762888847328838</c:v>
                </c:pt>
                <c:pt idx="34">
                  <c:v>-0.58764124322328826</c:v>
                </c:pt>
                <c:pt idx="35">
                  <c:v>-2.9068369055479195</c:v>
                </c:pt>
                <c:pt idx="36">
                  <c:v>-3.5719872946262115</c:v>
                </c:pt>
                <c:pt idx="37">
                  <c:v>-4.6020620531004113</c:v>
                </c:pt>
                <c:pt idx="38">
                  <c:v>-1.5780009728227213</c:v>
                </c:pt>
                <c:pt idx="39">
                  <c:v>3.1961679720519811</c:v>
                </c:pt>
              </c:numCache>
            </c:numRef>
          </c:val>
          <c:smooth val="0"/>
          <c:extLst>
            <c:ext xmlns:c16="http://schemas.microsoft.com/office/drawing/2014/chart" uri="{C3380CC4-5D6E-409C-BE32-E72D297353CC}">
              <c16:uniqueId val="{00000002-D3CA-457D-AC10-C1336E1F1BFE}"/>
            </c:ext>
          </c:extLst>
        </c:ser>
        <c:ser>
          <c:idx val="3"/>
          <c:order val="3"/>
          <c:tx>
            <c:strRef>
              <c:f>'výkonnost odvětví 3'!$AA$10</c:f>
              <c:strCache>
                <c:ptCount val="1"/>
                <c:pt idx="0">
                  <c:v>New domestic construction orders </c:v>
                </c:pt>
              </c:strCache>
            </c:strRef>
          </c:tx>
          <c:spPr>
            <a:ln w="9525">
              <a:solidFill>
                <a:srgbClr val="984807"/>
              </a:solidFill>
              <a:prstDash val="sysDot"/>
            </a:ln>
          </c:spPr>
          <c:marker>
            <c:symbol val="diamond"/>
            <c:size val="4"/>
            <c:spPr>
              <a:solidFill>
                <a:srgbClr val="996633"/>
              </a:solidFill>
              <a:ln>
                <a:solidFill>
                  <a:srgbClr val="984807"/>
                </a:solidFill>
              </a:ln>
            </c:spPr>
          </c:marker>
          <c:cat>
            <c:multiLvlStrRef>
              <c:f>'výkonnost odvětví 3'!$V$31:$W$71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3'!$AA$31:$AA$71</c:f>
              <c:numCache>
                <c:formatCode>0.0</c:formatCode>
                <c:ptCount val="41"/>
                <c:pt idx="0">
                  <c:v>-3.1547956675580053</c:v>
                </c:pt>
                <c:pt idx="1">
                  <c:v>9.7504961091663205</c:v>
                </c:pt>
                <c:pt idx="2">
                  <c:v>-1.097606022761255</c:v>
                </c:pt>
                <c:pt idx="3">
                  <c:v>-2.3987783410040464</c:v>
                </c:pt>
                <c:pt idx="4">
                  <c:v>-6.6406358945753823</c:v>
                </c:pt>
                <c:pt idx="5">
                  <c:v>-0.49977652269311079</c:v>
                </c:pt>
                <c:pt idx="6">
                  <c:v>-7.0322087253454839</c:v>
                </c:pt>
                <c:pt idx="7">
                  <c:v>10.122126124559955</c:v>
                </c:pt>
                <c:pt idx="8">
                  <c:v>16.177217458847437</c:v>
                </c:pt>
                <c:pt idx="9">
                  <c:v>9.5350878984013008</c:v>
                </c:pt>
                <c:pt idx="10">
                  <c:v>-1.2817324431350698</c:v>
                </c:pt>
                <c:pt idx="11">
                  <c:v>15.620806693503823</c:v>
                </c:pt>
                <c:pt idx="12">
                  <c:v>30.10697387368856</c:v>
                </c:pt>
                <c:pt idx="13">
                  <c:v>32.836878110611963</c:v>
                </c:pt>
                <c:pt idx="14">
                  <c:v>5.2768249907951201</c:v>
                </c:pt>
                <c:pt idx="15">
                  <c:v>1.8944565811032277</c:v>
                </c:pt>
                <c:pt idx="16">
                  <c:v>14.157245632065781</c:v>
                </c:pt>
                <c:pt idx="17">
                  <c:v>-9.3849543241233135</c:v>
                </c:pt>
                <c:pt idx="18">
                  <c:v>17.407871000993993</c:v>
                </c:pt>
                <c:pt idx="19">
                  <c:v>5.8323004254463768</c:v>
                </c:pt>
                <c:pt idx="20">
                  <c:v>-12.441635069859245</c:v>
                </c:pt>
                <c:pt idx="21">
                  <c:v>7.497345722028669</c:v>
                </c:pt>
                <c:pt idx="22">
                  <c:v>2.0599736606932879</c:v>
                </c:pt>
                <c:pt idx="23">
                  <c:v>7.5507850088630164</c:v>
                </c:pt>
                <c:pt idx="24">
                  <c:v>28.856340981154403</c:v>
                </c:pt>
                <c:pt idx="25">
                  <c:v>22.047871359987184</c:v>
                </c:pt>
                <c:pt idx="26">
                  <c:v>10.015015612184257</c:v>
                </c:pt>
                <c:pt idx="27">
                  <c:v>1.0053213537781147</c:v>
                </c:pt>
                <c:pt idx="28">
                  <c:v>13.067478460417874</c:v>
                </c:pt>
                <c:pt idx="29">
                  <c:v>17.619163607261129</c:v>
                </c:pt>
                <c:pt idx="30">
                  <c:v>12.421954480552543</c:v>
                </c:pt>
                <c:pt idx="31">
                  <c:v>13.031852753748723</c:v>
                </c:pt>
                <c:pt idx="32">
                  <c:v>-10.144501025957553</c:v>
                </c:pt>
                <c:pt idx="33">
                  <c:v>-18.697561390531931</c:v>
                </c:pt>
                <c:pt idx="34">
                  <c:v>27.514816854662854</c:v>
                </c:pt>
                <c:pt idx="35">
                  <c:v>9.3063425617587683</c:v>
                </c:pt>
                <c:pt idx="36">
                  <c:v>30.48574840110382</c:v>
                </c:pt>
                <c:pt idx="37">
                  <c:v>24.810378988741093</c:v>
                </c:pt>
                <c:pt idx="38">
                  <c:v>-2.1445567903011948</c:v>
                </c:pt>
                <c:pt idx="39">
                  <c:v>17.246427278094785</c:v>
                </c:pt>
              </c:numCache>
            </c:numRef>
          </c:val>
          <c:smooth val="0"/>
          <c:extLst>
            <c:ext xmlns:c16="http://schemas.microsoft.com/office/drawing/2014/chart" uri="{C3380CC4-5D6E-409C-BE32-E72D297353CC}">
              <c16:uniqueId val="{00000003-D3CA-457D-AC10-C1336E1F1BFE}"/>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4"/>
          <c:order val="4"/>
          <c:tx>
            <c:strRef>
              <c:f>'výkonnost odvětví 3'!$AB$10</c:f>
              <c:strCache>
                <c:ptCount val="1"/>
                <c:pt idx="0">
                  <c:v>Barrier: inadequate demand </c:v>
                </c:pt>
              </c:strCache>
            </c:strRef>
          </c:tx>
          <c:spPr>
            <a:ln w="15875">
              <a:solidFill>
                <a:srgbClr val="00B050"/>
              </a:solidFill>
              <a:prstDash val="solid"/>
            </a:ln>
          </c:spPr>
          <c:marker>
            <c:symbol val="none"/>
          </c:marker>
          <c:cat>
            <c:multiLvlStrRef>
              <c:f>'výkonnost odvětví 3'!$V$31:$W$71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3'!$AB$31:$AB$71</c:f>
              <c:numCache>
                <c:formatCode>#\ ##0.0</c:formatCode>
                <c:ptCount val="41"/>
                <c:pt idx="0">
                  <c:v>67.3</c:v>
                </c:pt>
                <c:pt idx="1">
                  <c:v>60.7</c:v>
                </c:pt>
                <c:pt idx="2">
                  <c:v>58.6</c:v>
                </c:pt>
                <c:pt idx="3">
                  <c:v>58.2</c:v>
                </c:pt>
                <c:pt idx="4">
                  <c:v>58.5</c:v>
                </c:pt>
                <c:pt idx="5">
                  <c:v>62.6</c:v>
                </c:pt>
                <c:pt idx="6">
                  <c:v>60.3</c:v>
                </c:pt>
                <c:pt idx="7">
                  <c:v>55.7</c:v>
                </c:pt>
                <c:pt idx="8">
                  <c:v>55.7</c:v>
                </c:pt>
                <c:pt idx="9">
                  <c:v>54.8</c:v>
                </c:pt>
                <c:pt idx="10">
                  <c:v>49.1</c:v>
                </c:pt>
                <c:pt idx="11">
                  <c:v>47.1</c:v>
                </c:pt>
                <c:pt idx="12">
                  <c:v>40.1</c:v>
                </c:pt>
                <c:pt idx="13">
                  <c:v>39.4</c:v>
                </c:pt>
                <c:pt idx="14">
                  <c:v>33</c:v>
                </c:pt>
                <c:pt idx="15">
                  <c:v>23.3</c:v>
                </c:pt>
                <c:pt idx="16">
                  <c:v>26.5</c:v>
                </c:pt>
                <c:pt idx="17">
                  <c:v>26.7</c:v>
                </c:pt>
                <c:pt idx="18">
                  <c:v>18.899999999999999</c:v>
                </c:pt>
                <c:pt idx="19">
                  <c:v>19.600000000000001</c:v>
                </c:pt>
                <c:pt idx="20">
                  <c:v>31.6</c:v>
                </c:pt>
                <c:pt idx="21">
                  <c:v>31.3</c:v>
                </c:pt>
                <c:pt idx="22">
                  <c:v>38.6</c:v>
                </c:pt>
                <c:pt idx="23" formatCode="General">
                  <c:v>39.200000000000003</c:v>
                </c:pt>
                <c:pt idx="24">
                  <c:v>30.8</c:v>
                </c:pt>
                <c:pt idx="25">
                  <c:v>35.9</c:v>
                </c:pt>
                <c:pt idx="26">
                  <c:v>23.2</c:v>
                </c:pt>
                <c:pt idx="27">
                  <c:v>19.5</c:v>
                </c:pt>
                <c:pt idx="28">
                  <c:v>21.3</c:v>
                </c:pt>
                <c:pt idx="29">
                  <c:v>21.1</c:v>
                </c:pt>
                <c:pt idx="30">
                  <c:v>19.3</c:v>
                </c:pt>
                <c:pt idx="31">
                  <c:v>20.6</c:v>
                </c:pt>
                <c:pt idx="32">
                  <c:v>31.9</c:v>
                </c:pt>
                <c:pt idx="33">
                  <c:v>32.299999999999997</c:v>
                </c:pt>
                <c:pt idx="34">
                  <c:v>36.299999999999997</c:v>
                </c:pt>
                <c:pt idx="35">
                  <c:v>29.2</c:v>
                </c:pt>
                <c:pt idx="36" formatCode="0.0">
                  <c:v>20.5</c:v>
                </c:pt>
                <c:pt idx="37" formatCode="0.0">
                  <c:v>22.3</c:v>
                </c:pt>
                <c:pt idx="38" formatCode="0.0">
                  <c:v>24</c:v>
                </c:pt>
                <c:pt idx="39" formatCode="0.0">
                  <c:v>25.3</c:v>
                </c:pt>
                <c:pt idx="40" formatCode="0.0">
                  <c:v>24.1</c:v>
                </c:pt>
              </c:numCache>
            </c:numRef>
          </c:val>
          <c:smooth val="0"/>
          <c:extLst>
            <c:ext xmlns:c16="http://schemas.microsoft.com/office/drawing/2014/chart" uri="{C3380CC4-5D6E-409C-BE32-E72D297353CC}">
              <c16:uniqueId val="{00000004-D3CA-457D-AC10-C1336E1F1BFE}"/>
            </c:ext>
          </c:extLst>
        </c:ser>
        <c:ser>
          <c:idx val="5"/>
          <c:order val="5"/>
          <c:tx>
            <c:strRef>
              <c:f>'výkonnost odvětví 3'!$AC$10</c:f>
              <c:strCache>
                <c:ptCount val="1"/>
                <c:pt idx="0">
                  <c:v>Growth barrier: lack of workers</c:v>
                </c:pt>
              </c:strCache>
            </c:strRef>
          </c:tx>
          <c:spPr>
            <a:ln w="15875">
              <a:solidFill>
                <a:schemeClr val="accent3">
                  <a:lumMod val="75000"/>
                </a:schemeClr>
              </a:solidFill>
              <a:prstDash val="dash"/>
            </a:ln>
          </c:spPr>
          <c:marker>
            <c:symbol val="none"/>
          </c:marker>
          <c:cat>
            <c:multiLvlStrRef>
              <c:f>'výkonnost odvětví 3'!$V$31:$W$71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3'!$AC$31:$AC$71</c:f>
              <c:numCache>
                <c:formatCode>#\ ##0.0</c:formatCode>
                <c:ptCount val="41"/>
                <c:pt idx="0">
                  <c:v>8.1999999999999993</c:v>
                </c:pt>
                <c:pt idx="1">
                  <c:v>8.1</c:v>
                </c:pt>
                <c:pt idx="2">
                  <c:v>6.2</c:v>
                </c:pt>
                <c:pt idx="3">
                  <c:v>6</c:v>
                </c:pt>
                <c:pt idx="4">
                  <c:v>6.4</c:v>
                </c:pt>
                <c:pt idx="5">
                  <c:v>7.2</c:v>
                </c:pt>
                <c:pt idx="6">
                  <c:v>7.2</c:v>
                </c:pt>
                <c:pt idx="7">
                  <c:v>10.5</c:v>
                </c:pt>
                <c:pt idx="8">
                  <c:v>13.7</c:v>
                </c:pt>
                <c:pt idx="9">
                  <c:v>14.9</c:v>
                </c:pt>
                <c:pt idx="10">
                  <c:v>21.8</c:v>
                </c:pt>
                <c:pt idx="11">
                  <c:v>21.3</c:v>
                </c:pt>
                <c:pt idx="12">
                  <c:v>26.7</c:v>
                </c:pt>
                <c:pt idx="13">
                  <c:v>30.2</c:v>
                </c:pt>
                <c:pt idx="14">
                  <c:v>28.6</c:v>
                </c:pt>
                <c:pt idx="15">
                  <c:v>38.6</c:v>
                </c:pt>
                <c:pt idx="16">
                  <c:v>36</c:v>
                </c:pt>
                <c:pt idx="17">
                  <c:v>43.4</c:v>
                </c:pt>
                <c:pt idx="18">
                  <c:v>50.7</c:v>
                </c:pt>
                <c:pt idx="19">
                  <c:v>46.7</c:v>
                </c:pt>
                <c:pt idx="20">
                  <c:v>51.2</c:v>
                </c:pt>
                <c:pt idx="21">
                  <c:v>46</c:v>
                </c:pt>
                <c:pt idx="22">
                  <c:v>36.1</c:v>
                </c:pt>
                <c:pt idx="23" formatCode="0.0">
                  <c:v>32.299999999999997</c:v>
                </c:pt>
                <c:pt idx="24">
                  <c:v>47.3</c:v>
                </c:pt>
                <c:pt idx="25">
                  <c:v>31.7</c:v>
                </c:pt>
                <c:pt idx="26">
                  <c:v>41.7</c:v>
                </c:pt>
                <c:pt idx="27">
                  <c:v>42.8</c:v>
                </c:pt>
                <c:pt idx="28">
                  <c:v>56.4</c:v>
                </c:pt>
                <c:pt idx="29">
                  <c:v>44.3</c:v>
                </c:pt>
                <c:pt idx="30">
                  <c:v>39.799999999999997</c:v>
                </c:pt>
                <c:pt idx="31">
                  <c:v>47.7</c:v>
                </c:pt>
                <c:pt idx="32">
                  <c:v>39</c:v>
                </c:pt>
                <c:pt idx="33">
                  <c:v>35.5</c:v>
                </c:pt>
                <c:pt idx="34">
                  <c:v>30.6</c:v>
                </c:pt>
                <c:pt idx="35">
                  <c:v>31.2</c:v>
                </c:pt>
                <c:pt idx="36" formatCode="0.0">
                  <c:v>53.5</c:v>
                </c:pt>
                <c:pt idx="37" formatCode="0.0">
                  <c:v>46.7</c:v>
                </c:pt>
                <c:pt idx="38" formatCode="0.0">
                  <c:v>42.5</c:v>
                </c:pt>
                <c:pt idx="39" formatCode="0.0">
                  <c:v>42.2</c:v>
                </c:pt>
                <c:pt idx="40" formatCode="0.0">
                  <c:v>54.5</c:v>
                </c:pt>
              </c:numCache>
            </c:numRef>
          </c:val>
          <c:smooth val="0"/>
          <c:extLst>
            <c:ext xmlns:c16="http://schemas.microsoft.com/office/drawing/2014/chart" uri="{C3380CC4-5D6E-409C-BE32-E72D297353CC}">
              <c16:uniqueId val="{00000005-D3CA-457D-AC10-C1336E1F1BFE}"/>
            </c:ext>
          </c:extLst>
        </c:ser>
        <c:ser>
          <c:idx val="6"/>
          <c:order val="6"/>
          <c:tx>
            <c:strRef>
              <c:f>'výkonnost odvětví 3'!$AD$10</c:f>
              <c:strCache>
                <c:ptCount val="1"/>
                <c:pt idx="0">
                  <c:v>Barrier: shortage of material/equipment</c:v>
                </c:pt>
              </c:strCache>
            </c:strRef>
          </c:tx>
          <c:spPr>
            <a:ln w="15875">
              <a:solidFill>
                <a:srgbClr val="37DD3B"/>
              </a:solidFill>
              <a:prstDash val="sysDash"/>
            </a:ln>
          </c:spPr>
          <c:marker>
            <c:symbol val="none"/>
          </c:marker>
          <c:cat>
            <c:multiLvlStrRef>
              <c:f>'výkonnost odvětví 3'!$V$31:$W$71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3'!$AD$31:$AD$71</c:f>
              <c:numCache>
                <c:formatCode>#\ ##0.0</c:formatCode>
                <c:ptCount val="41"/>
                <c:pt idx="0">
                  <c:v>0.1</c:v>
                </c:pt>
                <c:pt idx="1">
                  <c:v>0.4</c:v>
                </c:pt>
                <c:pt idx="2">
                  <c:v>4</c:v>
                </c:pt>
                <c:pt idx="3">
                  <c:v>0.5</c:v>
                </c:pt>
                <c:pt idx="4">
                  <c:v>0.4</c:v>
                </c:pt>
                <c:pt idx="5">
                  <c:v>0.5</c:v>
                </c:pt>
                <c:pt idx="6">
                  <c:v>0.5</c:v>
                </c:pt>
                <c:pt idx="7">
                  <c:v>1.5</c:v>
                </c:pt>
                <c:pt idx="8">
                  <c:v>0.3</c:v>
                </c:pt>
                <c:pt idx="9">
                  <c:v>0.3</c:v>
                </c:pt>
                <c:pt idx="10">
                  <c:v>3.3</c:v>
                </c:pt>
                <c:pt idx="11">
                  <c:v>4.2</c:v>
                </c:pt>
                <c:pt idx="12">
                  <c:v>5.5</c:v>
                </c:pt>
                <c:pt idx="13">
                  <c:v>1.2</c:v>
                </c:pt>
                <c:pt idx="14">
                  <c:v>6.8</c:v>
                </c:pt>
                <c:pt idx="15">
                  <c:v>3.5</c:v>
                </c:pt>
                <c:pt idx="16">
                  <c:v>4.3</c:v>
                </c:pt>
                <c:pt idx="17">
                  <c:v>5.7</c:v>
                </c:pt>
                <c:pt idx="18">
                  <c:v>5.3</c:v>
                </c:pt>
                <c:pt idx="19">
                  <c:v>4</c:v>
                </c:pt>
                <c:pt idx="20">
                  <c:v>1.9</c:v>
                </c:pt>
                <c:pt idx="21">
                  <c:v>3.4</c:v>
                </c:pt>
                <c:pt idx="22">
                  <c:v>1.3</c:v>
                </c:pt>
                <c:pt idx="23">
                  <c:v>0.8</c:v>
                </c:pt>
                <c:pt idx="24">
                  <c:v>1.3</c:v>
                </c:pt>
                <c:pt idx="25">
                  <c:v>4.3</c:v>
                </c:pt>
                <c:pt idx="26">
                  <c:v>16.3</c:v>
                </c:pt>
                <c:pt idx="27">
                  <c:v>22.8</c:v>
                </c:pt>
                <c:pt idx="28">
                  <c:v>24.7</c:v>
                </c:pt>
                <c:pt idx="29">
                  <c:v>41.3</c:v>
                </c:pt>
                <c:pt idx="30">
                  <c:v>38.6</c:v>
                </c:pt>
                <c:pt idx="31">
                  <c:v>23.4</c:v>
                </c:pt>
                <c:pt idx="32">
                  <c:v>19.5</c:v>
                </c:pt>
                <c:pt idx="33">
                  <c:v>17</c:v>
                </c:pt>
                <c:pt idx="34">
                  <c:v>13</c:v>
                </c:pt>
                <c:pt idx="35">
                  <c:v>13.9</c:v>
                </c:pt>
                <c:pt idx="36" formatCode="0.0">
                  <c:v>22.5</c:v>
                </c:pt>
                <c:pt idx="37" formatCode="0.0">
                  <c:v>22.2</c:v>
                </c:pt>
                <c:pt idx="38" formatCode="0.0">
                  <c:v>22.2</c:v>
                </c:pt>
                <c:pt idx="39" formatCode="0.0">
                  <c:v>18</c:v>
                </c:pt>
                <c:pt idx="40" formatCode="0.0">
                  <c:v>15.5</c:v>
                </c:pt>
              </c:numCache>
            </c:numRef>
          </c:val>
          <c:smooth val="0"/>
          <c:extLst>
            <c:ext xmlns:c16="http://schemas.microsoft.com/office/drawing/2014/chart" uri="{C3380CC4-5D6E-409C-BE32-E72D297353CC}">
              <c16:uniqueId val="{00000006-D3CA-457D-AC10-C1336E1F1BFE}"/>
            </c:ext>
          </c:extLst>
        </c:ser>
        <c:ser>
          <c:idx val="7"/>
          <c:order val="7"/>
          <c:tx>
            <c:strRef>
              <c:f>'výkonnost odvětví 3'!$AE$10</c:f>
              <c:strCache>
                <c:ptCount val="1"/>
                <c:pt idx="0">
                  <c:v>Confidence indicator in construction </c:v>
                </c:pt>
              </c:strCache>
            </c:strRef>
          </c:tx>
          <c:spPr>
            <a:ln w="15875">
              <a:solidFill>
                <a:schemeClr val="bg1">
                  <a:lumMod val="65000"/>
                </a:schemeClr>
              </a:solidFill>
              <a:prstDash val="sysDot"/>
            </a:ln>
          </c:spPr>
          <c:marker>
            <c:symbol val="circle"/>
            <c:size val="5"/>
            <c:spPr>
              <a:solidFill>
                <a:srgbClr val="FFFF00"/>
              </a:solidFill>
              <a:ln>
                <a:solidFill>
                  <a:schemeClr val="tx1">
                    <a:lumMod val="50000"/>
                    <a:lumOff val="50000"/>
                  </a:schemeClr>
                </a:solidFill>
              </a:ln>
            </c:spPr>
          </c:marker>
          <c:cat>
            <c:multiLvlStrRef>
              <c:f>'výkonnost odvětví 3'!$V$31:$W$71</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3'!$AE$31:$AE$71</c:f>
              <c:numCache>
                <c:formatCode>0.0</c:formatCode>
                <c:ptCount val="41"/>
                <c:pt idx="0">
                  <c:v>-21</c:v>
                </c:pt>
                <c:pt idx="1">
                  <c:v>-16</c:v>
                </c:pt>
                <c:pt idx="2">
                  <c:v>-20</c:v>
                </c:pt>
                <c:pt idx="3">
                  <c:v>-14.5</c:v>
                </c:pt>
                <c:pt idx="4">
                  <c:v>-14.5</c:v>
                </c:pt>
                <c:pt idx="5">
                  <c:v>-25.5</c:v>
                </c:pt>
                <c:pt idx="6">
                  <c:v>-24.5</c:v>
                </c:pt>
                <c:pt idx="7">
                  <c:v>-23</c:v>
                </c:pt>
                <c:pt idx="8">
                  <c:v>-22.5</c:v>
                </c:pt>
                <c:pt idx="9">
                  <c:v>-24.5</c:v>
                </c:pt>
                <c:pt idx="10">
                  <c:v>-18.5</c:v>
                </c:pt>
                <c:pt idx="11">
                  <c:v>-15</c:v>
                </c:pt>
                <c:pt idx="12">
                  <c:v>-9</c:v>
                </c:pt>
                <c:pt idx="13">
                  <c:v>-6</c:v>
                </c:pt>
                <c:pt idx="14">
                  <c:v>-2</c:v>
                </c:pt>
                <c:pt idx="15">
                  <c:v>1</c:v>
                </c:pt>
                <c:pt idx="16">
                  <c:v>3.5</c:v>
                </c:pt>
                <c:pt idx="17">
                  <c:v>4</c:v>
                </c:pt>
                <c:pt idx="18">
                  <c:v>-1</c:v>
                </c:pt>
                <c:pt idx="19">
                  <c:v>1</c:v>
                </c:pt>
                <c:pt idx="20">
                  <c:v>-3</c:v>
                </c:pt>
                <c:pt idx="21">
                  <c:v>-15</c:v>
                </c:pt>
                <c:pt idx="22">
                  <c:v>-13</c:v>
                </c:pt>
                <c:pt idx="23">
                  <c:v>-11.5</c:v>
                </c:pt>
                <c:pt idx="24">
                  <c:v>-6</c:v>
                </c:pt>
                <c:pt idx="25">
                  <c:v>-5.5</c:v>
                </c:pt>
                <c:pt idx="26">
                  <c:v>-4.5</c:v>
                </c:pt>
                <c:pt idx="27">
                  <c:v>-6.5</c:v>
                </c:pt>
                <c:pt idx="28">
                  <c:v>6.5</c:v>
                </c:pt>
                <c:pt idx="29">
                  <c:v>-2</c:v>
                </c:pt>
                <c:pt idx="30">
                  <c:v>-9</c:v>
                </c:pt>
                <c:pt idx="31">
                  <c:v>-4.5</c:v>
                </c:pt>
                <c:pt idx="32">
                  <c:v>-11.5</c:v>
                </c:pt>
                <c:pt idx="33">
                  <c:v>-15.5</c:v>
                </c:pt>
                <c:pt idx="34">
                  <c:v>-16.5</c:v>
                </c:pt>
                <c:pt idx="35">
                  <c:v>-11</c:v>
                </c:pt>
                <c:pt idx="36">
                  <c:v>-7</c:v>
                </c:pt>
                <c:pt idx="37">
                  <c:v>-14</c:v>
                </c:pt>
                <c:pt idx="38">
                  <c:v>-12</c:v>
                </c:pt>
                <c:pt idx="39">
                  <c:v>-5</c:v>
                </c:pt>
                <c:pt idx="40">
                  <c:v>-4</c:v>
                </c:pt>
              </c:numCache>
            </c:numRef>
          </c:val>
          <c:smooth val="0"/>
          <c:extLst>
            <c:ext xmlns:c16="http://schemas.microsoft.com/office/drawing/2014/chart" uri="{C3380CC4-5D6E-409C-BE32-E72D297353CC}">
              <c16:uniqueId val="{00000007-D3CA-457D-AC10-C1336E1F1BFE}"/>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70"/>
          <c:min val="-20"/>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Orders, Contribution to change of construction output</a:t>
                </a:r>
              </a:p>
            </c:rich>
          </c:tx>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10"/>
      </c:valAx>
      <c:valAx>
        <c:axId val="1118080463"/>
        <c:scaling>
          <c:orientation val="minMax"/>
          <c:max val="80"/>
          <c:min val="-10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Confidence indicator, Growth barriers</a:t>
                </a:r>
              </a:p>
            </c:rich>
          </c:tx>
          <c:layout/>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7.6126793553942364E-3"/>
          <c:y val="0.85936703322638608"/>
          <c:w val="0.9801437714811797"/>
          <c:h val="0.13362821778942557"/>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385677352723435E-2"/>
          <c:y val="1.5803328678987455E-2"/>
          <c:w val="0.83979584077702996"/>
          <c:h val="0.69902590308489432"/>
        </c:manualLayout>
      </c:layout>
      <c:barChart>
        <c:barDir val="col"/>
        <c:grouping val="stacked"/>
        <c:varyColors val="0"/>
        <c:ser>
          <c:idx val="0"/>
          <c:order val="1"/>
          <c:tx>
            <c:strRef>
              <c:f>'Služby-příspěvky k růstu-4'!$D$33</c:f>
              <c:strCache>
                <c:ptCount val="1"/>
                <c:pt idx="0">
                  <c:v>Transportation and storage (p.p.)</c:v>
                </c:pt>
              </c:strCache>
            </c:strRef>
          </c:tx>
          <c:spPr>
            <a:solidFill>
              <a:srgbClr val="92D050"/>
            </a:solidFill>
            <a:ln>
              <a:noFill/>
            </a:ln>
          </c:spPr>
          <c:invertIfNegative val="0"/>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růstu-4'!$D$46:$D$86</c:f>
              <c:numCache>
                <c:formatCode>0.0</c:formatCode>
                <c:ptCount val="41"/>
                <c:pt idx="0">
                  <c:v>0.28583707131499864</c:v>
                </c:pt>
                <c:pt idx="1">
                  <c:v>9.9073319502600551E-2</c:v>
                </c:pt>
                <c:pt idx="2">
                  <c:v>0.31769782750540138</c:v>
                </c:pt>
                <c:pt idx="3">
                  <c:v>0.12210619116400009</c:v>
                </c:pt>
                <c:pt idx="4">
                  <c:v>0.28220883268199926</c:v>
                </c:pt>
                <c:pt idx="5">
                  <c:v>6.1181950046598127E-2</c:v>
                </c:pt>
                <c:pt idx="6">
                  <c:v>0.16591602609100148</c:v>
                </c:pt>
                <c:pt idx="7">
                  <c:v>0.78068825847900136</c:v>
                </c:pt>
                <c:pt idx="8">
                  <c:v>1.5613141921709988</c:v>
                </c:pt>
                <c:pt idx="9">
                  <c:v>1.122930781783998</c:v>
                </c:pt>
                <c:pt idx="10">
                  <c:v>1.0641446548009998</c:v>
                </c:pt>
                <c:pt idx="11">
                  <c:v>0.59189353382399879</c:v>
                </c:pt>
                <c:pt idx="12">
                  <c:v>1.6915596254819993</c:v>
                </c:pt>
                <c:pt idx="13">
                  <c:v>1.8149616493690008</c:v>
                </c:pt>
                <c:pt idx="14">
                  <c:v>1.4972066301569984</c:v>
                </c:pt>
                <c:pt idx="15">
                  <c:v>0.48435757114800193</c:v>
                </c:pt>
                <c:pt idx="16">
                  <c:v>8.7680447270998052E-2</c:v>
                </c:pt>
                <c:pt idx="17">
                  <c:v>-0.13218522120399967</c:v>
                </c:pt>
                <c:pt idx="18">
                  <c:v>-0.30882816758200105</c:v>
                </c:pt>
                <c:pt idx="19">
                  <c:v>-7.2429796977600117E-2</c:v>
                </c:pt>
                <c:pt idx="20">
                  <c:v>-1.5388901719333996</c:v>
                </c:pt>
                <c:pt idx="21">
                  <c:v>-6.3630415493666987</c:v>
                </c:pt>
                <c:pt idx="22">
                  <c:v>-3.9404740003479741</c:v>
                </c:pt>
                <c:pt idx="23">
                  <c:v>-1.3606128435167992</c:v>
                </c:pt>
                <c:pt idx="24">
                  <c:v>0.4088656896211989</c:v>
                </c:pt>
                <c:pt idx="25">
                  <c:v>6.4764937929024002</c:v>
                </c:pt>
                <c:pt idx="26">
                  <c:v>3.6894021043711978</c:v>
                </c:pt>
                <c:pt idx="27">
                  <c:v>3.3161613281704816</c:v>
                </c:pt>
                <c:pt idx="28">
                  <c:v>3.9415319244440563</c:v>
                </c:pt>
                <c:pt idx="29">
                  <c:v>4.0147374068873427</c:v>
                </c:pt>
                <c:pt idx="30">
                  <c:v>3.2326582654640639</c:v>
                </c:pt>
                <c:pt idx="31">
                  <c:v>0.69681855970799866</c:v>
                </c:pt>
                <c:pt idx="32">
                  <c:v>-1.2185276536319998</c:v>
                </c:pt>
                <c:pt idx="33">
                  <c:v>-3.0875052672391559</c:v>
                </c:pt>
                <c:pt idx="34">
                  <c:v>-3.4635195368510443</c:v>
                </c:pt>
                <c:pt idx="35">
                  <c:v>-2.6097941119313268</c:v>
                </c:pt>
                <c:pt idx="36">
                  <c:v>0.16494056157849463</c:v>
                </c:pt>
                <c:pt idx="37">
                  <c:v>1.1308906822011455</c:v>
                </c:pt>
                <c:pt idx="38">
                  <c:v>1.589128813838234</c:v>
                </c:pt>
                <c:pt idx="39">
                  <c:v>1.3973082438572044</c:v>
                </c:pt>
              </c:numCache>
            </c:numRef>
          </c:val>
          <c:extLst>
            <c:ext xmlns:c16="http://schemas.microsoft.com/office/drawing/2014/chart" uri="{C3380CC4-5D6E-409C-BE32-E72D297353CC}">
              <c16:uniqueId val="{00000000-66A6-42C7-A441-D7EB5BC9DDE5}"/>
            </c:ext>
          </c:extLst>
        </c:ser>
        <c:ser>
          <c:idx val="1"/>
          <c:order val="2"/>
          <c:tx>
            <c:strRef>
              <c:f>'Služby-příspěvky k růstu-4'!$E$33</c:f>
              <c:strCache>
                <c:ptCount val="1"/>
                <c:pt idx="0">
                  <c:v>Accommodation, food service activities (p.p.)</c:v>
                </c:pt>
              </c:strCache>
            </c:strRef>
          </c:tx>
          <c:spPr>
            <a:solidFill>
              <a:srgbClr val="00B0F0"/>
            </a:solidFill>
            <a:ln>
              <a:noFill/>
            </a:ln>
          </c:spPr>
          <c:invertIfNegative val="0"/>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růstu-4'!$E$46:$E$86</c:f>
              <c:numCache>
                <c:formatCode>0.0</c:formatCode>
                <c:ptCount val="41"/>
                <c:pt idx="0">
                  <c:v>0.22716240604080018</c:v>
                </c:pt>
                <c:pt idx="1">
                  <c:v>0.65001523589900034</c:v>
                </c:pt>
                <c:pt idx="2">
                  <c:v>0.65043885271950042</c:v>
                </c:pt>
                <c:pt idx="3">
                  <c:v>0.40286531384040036</c:v>
                </c:pt>
                <c:pt idx="4">
                  <c:v>0.47082926396040031</c:v>
                </c:pt>
                <c:pt idx="5">
                  <c:v>0.17677577920749962</c:v>
                </c:pt>
                <c:pt idx="6">
                  <c:v>0.57113528170200001</c:v>
                </c:pt>
                <c:pt idx="7">
                  <c:v>0.60157631975219972</c:v>
                </c:pt>
                <c:pt idx="8">
                  <c:v>0.9154231899449996</c:v>
                </c:pt>
                <c:pt idx="9">
                  <c:v>1.2344281014258005</c:v>
                </c:pt>
                <c:pt idx="10">
                  <c:v>0.55621615324820017</c:v>
                </c:pt>
                <c:pt idx="11">
                  <c:v>0.45646654612940007</c:v>
                </c:pt>
                <c:pt idx="12">
                  <c:v>0.20372087178279991</c:v>
                </c:pt>
                <c:pt idx="13">
                  <c:v>5.3418687620000245E-2</c:v>
                </c:pt>
                <c:pt idx="14">
                  <c:v>6.3072083089999523E-2</c:v>
                </c:pt>
                <c:pt idx="15">
                  <c:v>-3.690856285000052E-2</c:v>
                </c:pt>
                <c:pt idx="16">
                  <c:v>-0.36352759744700047</c:v>
                </c:pt>
                <c:pt idx="17">
                  <c:v>-0.66972254409340026</c:v>
                </c:pt>
                <c:pt idx="18">
                  <c:v>0.55939150605359955</c:v>
                </c:pt>
                <c:pt idx="19">
                  <c:v>0.81136645955399955</c:v>
                </c:pt>
                <c:pt idx="20">
                  <c:v>-1.02121923221554</c:v>
                </c:pt>
                <c:pt idx="21">
                  <c:v>-4.7572576440565006</c:v>
                </c:pt>
                <c:pt idx="22">
                  <c:v>-1.8794605145432095</c:v>
                </c:pt>
                <c:pt idx="23">
                  <c:v>-4.4951618716172961</c:v>
                </c:pt>
                <c:pt idx="24">
                  <c:v>-3.6368266071500002</c:v>
                </c:pt>
                <c:pt idx="25">
                  <c:v>1.403393156328441</c:v>
                </c:pt>
                <c:pt idx="26">
                  <c:v>0.6598381955792999</c:v>
                </c:pt>
                <c:pt idx="27">
                  <c:v>2.8955998605449214</c:v>
                </c:pt>
                <c:pt idx="28">
                  <c:v>2.8319505685055999</c:v>
                </c:pt>
                <c:pt idx="29">
                  <c:v>2.4351367431930284</c:v>
                </c:pt>
                <c:pt idx="30">
                  <c:v>-0.4578554378915255</c:v>
                </c:pt>
                <c:pt idx="31">
                  <c:v>0.56708776868759969</c:v>
                </c:pt>
                <c:pt idx="32">
                  <c:v>0.47225441264799972</c:v>
                </c:pt>
                <c:pt idx="33">
                  <c:v>-2.9316566566892487E-2</c:v>
                </c:pt>
                <c:pt idx="34">
                  <c:v>0.13048974572998381</c:v>
                </c:pt>
                <c:pt idx="35">
                  <c:v>7.6423660532273313E-2</c:v>
                </c:pt>
                <c:pt idx="36">
                  <c:v>0.1848493231119803</c:v>
                </c:pt>
                <c:pt idx="37">
                  <c:v>0.17228374675569749</c:v>
                </c:pt>
                <c:pt idx="38" formatCode="0.00">
                  <c:v>-0.15240558895996556</c:v>
                </c:pt>
                <c:pt idx="39">
                  <c:v>-2.022758040197273E-3</c:v>
                </c:pt>
              </c:numCache>
            </c:numRef>
          </c:val>
          <c:extLst>
            <c:ext xmlns:c16="http://schemas.microsoft.com/office/drawing/2014/chart" uri="{C3380CC4-5D6E-409C-BE32-E72D297353CC}">
              <c16:uniqueId val="{00000001-66A6-42C7-A441-D7EB5BC9DDE5}"/>
            </c:ext>
          </c:extLst>
        </c:ser>
        <c:ser>
          <c:idx val="2"/>
          <c:order val="3"/>
          <c:tx>
            <c:strRef>
              <c:f>'Služby-příspěvky k růstu-4'!$F$33</c:f>
              <c:strCache>
                <c:ptCount val="1"/>
                <c:pt idx="0">
                  <c:v>Information and communication (p.p.)</c:v>
                </c:pt>
              </c:strCache>
            </c:strRef>
          </c:tx>
          <c:spPr>
            <a:solidFill>
              <a:srgbClr val="E6E100"/>
            </a:solidFill>
            <a:ln>
              <a:noFill/>
            </a:ln>
          </c:spPr>
          <c:invertIfNegative val="0"/>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růstu-4'!$F$46:$F$86</c:f>
              <c:numCache>
                <c:formatCode>0.0</c:formatCode>
                <c:ptCount val="41"/>
                <c:pt idx="0">
                  <c:v>1.3475600006119992</c:v>
                </c:pt>
                <c:pt idx="1">
                  <c:v>0.66866302459200067</c:v>
                </c:pt>
                <c:pt idx="2">
                  <c:v>0.76957802431699907</c:v>
                </c:pt>
                <c:pt idx="3">
                  <c:v>1.4886414789369995</c:v>
                </c:pt>
                <c:pt idx="4">
                  <c:v>0.31877743705500039</c:v>
                </c:pt>
                <c:pt idx="5">
                  <c:v>0.20661529177999968</c:v>
                </c:pt>
                <c:pt idx="6">
                  <c:v>0.33414735394100048</c:v>
                </c:pt>
                <c:pt idx="7">
                  <c:v>-1.5907952160003447E-3</c:v>
                </c:pt>
                <c:pt idx="8">
                  <c:v>0.81368973776000075</c:v>
                </c:pt>
                <c:pt idx="9">
                  <c:v>0.85417546131300082</c:v>
                </c:pt>
                <c:pt idx="10">
                  <c:v>0.70502890964199894</c:v>
                </c:pt>
                <c:pt idx="11">
                  <c:v>0.57956639880599936</c:v>
                </c:pt>
                <c:pt idx="12">
                  <c:v>1.4478889516160005</c:v>
                </c:pt>
                <c:pt idx="13">
                  <c:v>0.80994689822300014</c:v>
                </c:pt>
                <c:pt idx="14">
                  <c:v>1.4688126825399994</c:v>
                </c:pt>
                <c:pt idx="15">
                  <c:v>1.086122449493</c:v>
                </c:pt>
                <c:pt idx="16">
                  <c:v>0.58941772132699954</c:v>
                </c:pt>
                <c:pt idx="17">
                  <c:v>1.4226829106699992</c:v>
                </c:pt>
                <c:pt idx="18">
                  <c:v>1.6743952337219994</c:v>
                </c:pt>
                <c:pt idx="19">
                  <c:v>0.80346819102189926</c:v>
                </c:pt>
                <c:pt idx="20">
                  <c:v>0.70778641415200061</c:v>
                </c:pt>
                <c:pt idx="21">
                  <c:v>-0.1282918788954005</c:v>
                </c:pt>
                <c:pt idx="22">
                  <c:v>-0.45078576191000025</c:v>
                </c:pt>
                <c:pt idx="23">
                  <c:v>-0.76558883395124844</c:v>
                </c:pt>
                <c:pt idx="24">
                  <c:v>0.7323319913259988</c:v>
                </c:pt>
                <c:pt idx="25">
                  <c:v>1.7146685449672157</c:v>
                </c:pt>
                <c:pt idx="26">
                  <c:v>1.7390352765915991</c:v>
                </c:pt>
                <c:pt idx="27">
                  <c:v>2.1094183846328769</c:v>
                </c:pt>
                <c:pt idx="28">
                  <c:v>1.7462317635008986</c:v>
                </c:pt>
                <c:pt idx="29">
                  <c:v>0.98445967195199957</c:v>
                </c:pt>
                <c:pt idx="30">
                  <c:v>0.77337609083225878</c:v>
                </c:pt>
                <c:pt idx="31">
                  <c:v>0.38147059089411911</c:v>
                </c:pt>
                <c:pt idx="32">
                  <c:v>0.58107099629639936</c:v>
                </c:pt>
                <c:pt idx="33">
                  <c:v>-4.8041419345950746E-3</c:v>
                </c:pt>
                <c:pt idx="34">
                  <c:v>-0.79090249402026913</c:v>
                </c:pt>
                <c:pt idx="35">
                  <c:v>-0.79098952511955656</c:v>
                </c:pt>
                <c:pt idx="36">
                  <c:v>0.17906498409731675</c:v>
                </c:pt>
                <c:pt idx="37">
                  <c:v>0.47783399153316797</c:v>
                </c:pt>
                <c:pt idx="38">
                  <c:v>0.83732198648409195</c:v>
                </c:pt>
                <c:pt idx="39">
                  <c:v>0.51255147083949859</c:v>
                </c:pt>
              </c:numCache>
            </c:numRef>
          </c:val>
          <c:extLst>
            <c:ext xmlns:c16="http://schemas.microsoft.com/office/drawing/2014/chart" uri="{C3380CC4-5D6E-409C-BE32-E72D297353CC}">
              <c16:uniqueId val="{00000002-66A6-42C7-A441-D7EB5BC9DDE5}"/>
            </c:ext>
          </c:extLst>
        </c:ser>
        <c:ser>
          <c:idx val="4"/>
          <c:order val="4"/>
          <c:tx>
            <c:strRef>
              <c:f>'Služby-příspěvky k růstu-4'!$G$33</c:f>
              <c:strCache>
                <c:ptCount val="1"/>
                <c:pt idx="0">
                  <c:v>Real estate activities (p.p.)</c:v>
                </c:pt>
              </c:strCache>
            </c:strRef>
          </c:tx>
          <c:spPr>
            <a:solidFill>
              <a:schemeClr val="accent5">
                <a:lumMod val="60000"/>
                <a:lumOff val="40000"/>
              </a:schemeClr>
            </a:solidFill>
            <a:ln>
              <a:noFill/>
              <a:prstDash val="sysDash"/>
            </a:ln>
          </c:spPr>
          <c:invertIfNegative val="0"/>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růstu-4'!$G$46:$G$86</c:f>
              <c:numCache>
                <c:formatCode>0.0</c:formatCode>
                <c:ptCount val="41"/>
                <c:pt idx="0">
                  <c:v>4.746770298419966E-2</c:v>
                </c:pt>
                <c:pt idx="1">
                  <c:v>-7.1736494634002381E-3</c:v>
                </c:pt>
                <c:pt idx="2">
                  <c:v>0.12594742008660062</c:v>
                </c:pt>
                <c:pt idx="3">
                  <c:v>2.5503553016999546E-2</c:v>
                </c:pt>
                <c:pt idx="4">
                  <c:v>0.25581412202700016</c:v>
                </c:pt>
                <c:pt idx="5">
                  <c:v>-5.8871280300053285E-4</c:v>
                </c:pt>
                <c:pt idx="6">
                  <c:v>0.14820611830979977</c:v>
                </c:pt>
                <c:pt idx="7">
                  <c:v>-6.673245353100031E-2</c:v>
                </c:pt>
                <c:pt idx="8">
                  <c:v>0.21337518275449996</c:v>
                </c:pt>
                <c:pt idx="9">
                  <c:v>0.44510148149939993</c:v>
                </c:pt>
                <c:pt idx="10">
                  <c:v>-2.3161044655499695E-2</c:v>
                </c:pt>
                <c:pt idx="11">
                  <c:v>0.13973557355700003</c:v>
                </c:pt>
                <c:pt idx="12">
                  <c:v>2.4776891451000493E-2</c:v>
                </c:pt>
                <c:pt idx="13">
                  <c:v>-0.24771466350479987</c:v>
                </c:pt>
                <c:pt idx="14">
                  <c:v>-0.12634060942140016</c:v>
                </c:pt>
                <c:pt idx="15">
                  <c:v>-0.22296155792339972</c:v>
                </c:pt>
                <c:pt idx="16">
                  <c:v>-0.59230274151539974</c:v>
                </c:pt>
                <c:pt idx="17">
                  <c:v>-0.14941666489739952</c:v>
                </c:pt>
                <c:pt idx="18">
                  <c:v>0.15857003378880019</c:v>
                </c:pt>
                <c:pt idx="19">
                  <c:v>0.41231320665960003</c:v>
                </c:pt>
                <c:pt idx="20">
                  <c:v>0.43752910629419994</c:v>
                </c:pt>
                <c:pt idx="21">
                  <c:v>-0.31303453713669938</c:v>
                </c:pt>
                <c:pt idx="22">
                  <c:v>-0.26031344919999999</c:v>
                </c:pt>
                <c:pt idx="23">
                  <c:v>-0.23208025015669992</c:v>
                </c:pt>
                <c:pt idx="24">
                  <c:v>-0.20727484949260061</c:v>
                </c:pt>
                <c:pt idx="25">
                  <c:v>0.47370519994304983</c:v>
                </c:pt>
                <c:pt idx="26">
                  <c:v>-3.6755858435000024E-3</c:v>
                </c:pt>
                <c:pt idx="27">
                  <c:v>0.24022375891920059</c:v>
                </c:pt>
                <c:pt idx="28">
                  <c:v>0.94375719852960038</c:v>
                </c:pt>
                <c:pt idx="29">
                  <c:v>0.47234436927200024</c:v>
                </c:pt>
                <c:pt idx="30">
                  <c:v>0.21995623369736816</c:v>
                </c:pt>
                <c:pt idx="31">
                  <c:v>0.35020828853333319</c:v>
                </c:pt>
                <c:pt idx="32">
                  <c:v>0.14392327619039993</c:v>
                </c:pt>
                <c:pt idx="33">
                  <c:v>-0.1535664718109308</c:v>
                </c:pt>
                <c:pt idx="34">
                  <c:v>-0.26289383434401792</c:v>
                </c:pt>
                <c:pt idx="35">
                  <c:v>-0.2058550959691883</c:v>
                </c:pt>
                <c:pt idx="36">
                  <c:v>-0.13908627763966458</c:v>
                </c:pt>
                <c:pt idx="37">
                  <c:v>0.25695615851757753</c:v>
                </c:pt>
                <c:pt idx="38">
                  <c:v>-0.17471502977673614</c:v>
                </c:pt>
                <c:pt idx="39">
                  <c:v>-3.1665190432808026E-3</c:v>
                </c:pt>
              </c:numCache>
            </c:numRef>
          </c:val>
          <c:extLst>
            <c:ext xmlns:c16="http://schemas.microsoft.com/office/drawing/2014/chart" uri="{C3380CC4-5D6E-409C-BE32-E72D297353CC}">
              <c16:uniqueId val="{00000003-66A6-42C7-A441-D7EB5BC9DDE5}"/>
            </c:ext>
          </c:extLst>
        </c:ser>
        <c:ser>
          <c:idx val="5"/>
          <c:order val="5"/>
          <c:tx>
            <c:strRef>
              <c:f>'Služby-příspěvky k růstu-4'!$H$33</c:f>
              <c:strCache>
                <c:ptCount val="1"/>
                <c:pt idx="0">
                  <c:v>Professional, scientific and technic. act. (p.p.)</c:v>
                </c:pt>
              </c:strCache>
            </c:strRef>
          </c:tx>
          <c:spPr>
            <a:solidFill>
              <a:schemeClr val="accent6">
                <a:lumMod val="60000"/>
                <a:lumOff val="40000"/>
              </a:schemeClr>
            </a:solidFill>
            <a:ln>
              <a:noFill/>
            </a:ln>
          </c:spPr>
          <c:invertIfNegative val="0"/>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růstu-4'!$H$46:$H$86</c:f>
              <c:numCache>
                <c:formatCode>0.0</c:formatCode>
                <c:ptCount val="41"/>
                <c:pt idx="0">
                  <c:v>1.0880520996029996</c:v>
                </c:pt>
                <c:pt idx="1">
                  <c:v>0.74361697973999985</c:v>
                </c:pt>
                <c:pt idx="2">
                  <c:v>1.1124163133600007</c:v>
                </c:pt>
                <c:pt idx="3">
                  <c:v>-4.565689538760101E-2</c:v>
                </c:pt>
                <c:pt idx="4">
                  <c:v>-0.42777544952319951</c:v>
                </c:pt>
                <c:pt idx="5">
                  <c:v>-1.3881659651599989</c:v>
                </c:pt>
                <c:pt idx="6">
                  <c:v>3.2450629870800683E-2</c:v>
                </c:pt>
                <c:pt idx="7">
                  <c:v>-0.31316142237530059</c:v>
                </c:pt>
                <c:pt idx="8">
                  <c:v>0.97301367041999931</c:v>
                </c:pt>
                <c:pt idx="9">
                  <c:v>0.61036630698759931</c:v>
                </c:pt>
                <c:pt idx="10">
                  <c:v>0.29822562376110068</c:v>
                </c:pt>
                <c:pt idx="11">
                  <c:v>0.39661775964799895</c:v>
                </c:pt>
                <c:pt idx="12">
                  <c:v>1.0432277278803002</c:v>
                </c:pt>
                <c:pt idx="13">
                  <c:v>0.5277616084097011</c:v>
                </c:pt>
                <c:pt idx="14">
                  <c:v>0.33063617776669868</c:v>
                </c:pt>
                <c:pt idx="15">
                  <c:v>-0.3275368981885991</c:v>
                </c:pt>
                <c:pt idx="16">
                  <c:v>-0.22084952351709861</c:v>
                </c:pt>
                <c:pt idx="17">
                  <c:v>0.93052352491439916</c:v>
                </c:pt>
                <c:pt idx="18">
                  <c:v>-1.1995249704883002</c:v>
                </c:pt>
                <c:pt idx="19">
                  <c:v>0.1316248734900006</c:v>
                </c:pt>
                <c:pt idx="20">
                  <c:v>-1.2601566612770994</c:v>
                </c:pt>
                <c:pt idx="21">
                  <c:v>-3.4366386991859987</c:v>
                </c:pt>
                <c:pt idx="22">
                  <c:v>-1.7291196666688515</c:v>
                </c:pt>
                <c:pt idx="23">
                  <c:v>-1.6772597720676004</c:v>
                </c:pt>
                <c:pt idx="24">
                  <c:v>-1.8347622986275864</c:v>
                </c:pt>
                <c:pt idx="25">
                  <c:v>2.6531876759010991</c:v>
                </c:pt>
                <c:pt idx="26">
                  <c:v>1.7505045923527998</c:v>
                </c:pt>
                <c:pt idx="27">
                  <c:v>2.2451866810505154</c:v>
                </c:pt>
                <c:pt idx="28">
                  <c:v>2.2898640824340011</c:v>
                </c:pt>
                <c:pt idx="29">
                  <c:v>1.3871387656222238</c:v>
                </c:pt>
                <c:pt idx="30">
                  <c:v>0.9921896123260866</c:v>
                </c:pt>
                <c:pt idx="31">
                  <c:v>0.14074578420000097</c:v>
                </c:pt>
                <c:pt idx="32">
                  <c:v>0.82031999790419874</c:v>
                </c:pt>
                <c:pt idx="33">
                  <c:v>0.78145474556333916</c:v>
                </c:pt>
                <c:pt idx="34">
                  <c:v>0.12880900106180337</c:v>
                </c:pt>
                <c:pt idx="35">
                  <c:v>0.82761557316941203</c:v>
                </c:pt>
                <c:pt idx="36">
                  <c:v>0.47952504555295244</c:v>
                </c:pt>
                <c:pt idx="37">
                  <c:v>0.70023975529588289</c:v>
                </c:pt>
                <c:pt idx="38">
                  <c:v>0.30650736077845059</c:v>
                </c:pt>
                <c:pt idx="39">
                  <c:v>3.4664741728812364E-2</c:v>
                </c:pt>
              </c:numCache>
            </c:numRef>
          </c:val>
          <c:extLst>
            <c:ext xmlns:c16="http://schemas.microsoft.com/office/drawing/2014/chart" uri="{C3380CC4-5D6E-409C-BE32-E72D297353CC}">
              <c16:uniqueId val="{00000004-66A6-42C7-A441-D7EB5BC9DDE5}"/>
            </c:ext>
          </c:extLst>
        </c:ser>
        <c:ser>
          <c:idx val="6"/>
          <c:order val="6"/>
          <c:tx>
            <c:strRef>
              <c:f>'Služby-příspěvky k růstu-4'!$I$33</c:f>
              <c:strCache>
                <c:ptCount val="1"/>
                <c:pt idx="0">
                  <c:v>Admin.+support service act.(contrib. in p.p.)</c:v>
                </c:pt>
              </c:strCache>
            </c:strRef>
          </c:tx>
          <c:spPr>
            <a:solidFill>
              <a:schemeClr val="accent1">
                <a:lumMod val="20000"/>
                <a:lumOff val="80000"/>
              </a:schemeClr>
            </a:solidFill>
            <a:ln>
              <a:noFill/>
            </a:ln>
          </c:spPr>
          <c:invertIfNegative val="0"/>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růstu-4'!$I$46:$I$86</c:f>
              <c:numCache>
                <c:formatCode>0.0</c:formatCode>
                <c:ptCount val="41"/>
                <c:pt idx="0">
                  <c:v>0.43712925900860061</c:v>
                </c:pt>
                <c:pt idx="1">
                  <c:v>0.52715289377499985</c:v>
                </c:pt>
                <c:pt idx="2">
                  <c:v>0.30410241097500013</c:v>
                </c:pt>
                <c:pt idx="3">
                  <c:v>0.36652377459450047</c:v>
                </c:pt>
                <c:pt idx="4">
                  <c:v>0.38200556495039989</c:v>
                </c:pt>
                <c:pt idx="5">
                  <c:v>5.5683904032899467E-2</c:v>
                </c:pt>
                <c:pt idx="6">
                  <c:v>0.25322776738810082</c:v>
                </c:pt>
                <c:pt idx="7">
                  <c:v>0.50752865690419957</c:v>
                </c:pt>
                <c:pt idx="8">
                  <c:v>1.2867283782210006</c:v>
                </c:pt>
                <c:pt idx="9">
                  <c:v>1.1106873038032994</c:v>
                </c:pt>
                <c:pt idx="10">
                  <c:v>0.67802933227800077</c:v>
                </c:pt>
                <c:pt idx="11">
                  <c:v>0.27967830350980011</c:v>
                </c:pt>
                <c:pt idx="12">
                  <c:v>0.54732406709499937</c:v>
                </c:pt>
                <c:pt idx="13">
                  <c:v>0.38206091352559962</c:v>
                </c:pt>
                <c:pt idx="14">
                  <c:v>0.39483194314119968</c:v>
                </c:pt>
                <c:pt idx="15">
                  <c:v>-3.3562302980400686E-2</c:v>
                </c:pt>
                <c:pt idx="16">
                  <c:v>-1.2004885543983994</c:v>
                </c:pt>
                <c:pt idx="17">
                  <c:v>0.45312965092039981</c:v>
                </c:pt>
                <c:pt idx="18">
                  <c:v>-0.39654158277710005</c:v>
                </c:pt>
                <c:pt idx="19">
                  <c:v>1.3094816479706997</c:v>
                </c:pt>
                <c:pt idx="20">
                  <c:v>-1.1435941660679998</c:v>
                </c:pt>
                <c:pt idx="21">
                  <c:v>-5.2829127749359994</c:v>
                </c:pt>
                <c:pt idx="22">
                  <c:v>-4.9399258629473684</c:v>
                </c:pt>
                <c:pt idx="23">
                  <c:v>-2.9775292557339998</c:v>
                </c:pt>
                <c:pt idx="24">
                  <c:v>-1.3827342045416995</c:v>
                </c:pt>
                <c:pt idx="25">
                  <c:v>2.2514763070671724</c:v>
                </c:pt>
                <c:pt idx="26">
                  <c:v>2.1164669904299998</c:v>
                </c:pt>
                <c:pt idx="27">
                  <c:v>1.4326921666442753</c:v>
                </c:pt>
                <c:pt idx="28">
                  <c:v>1.7121091434735483</c:v>
                </c:pt>
                <c:pt idx="29">
                  <c:v>3.1131989760350476</c:v>
                </c:pt>
                <c:pt idx="30">
                  <c:v>2.2147837357919</c:v>
                </c:pt>
                <c:pt idx="31">
                  <c:v>0.75846719128319973</c:v>
                </c:pt>
                <c:pt idx="32">
                  <c:v>0.44415530147160037</c:v>
                </c:pt>
                <c:pt idx="33">
                  <c:v>0.17226054152411027</c:v>
                </c:pt>
                <c:pt idx="34">
                  <c:v>-0.14183696776571372</c:v>
                </c:pt>
                <c:pt idx="35">
                  <c:v>-4.4421597776438851E-2</c:v>
                </c:pt>
                <c:pt idx="36">
                  <c:v>0.33217177581089563</c:v>
                </c:pt>
                <c:pt idx="37">
                  <c:v>0.14258852893206106</c:v>
                </c:pt>
                <c:pt idx="38">
                  <c:v>0.42584558638501663</c:v>
                </c:pt>
                <c:pt idx="39">
                  <c:v>0.17528641369990824</c:v>
                </c:pt>
              </c:numCache>
            </c:numRef>
          </c:val>
          <c:extLst>
            <c:ext xmlns:c16="http://schemas.microsoft.com/office/drawing/2014/chart" uri="{C3380CC4-5D6E-409C-BE32-E72D297353CC}">
              <c16:uniqueId val="{00000005-66A6-42C7-A441-D7EB5BC9DDE5}"/>
            </c:ext>
          </c:extLst>
        </c:ser>
        <c:dLbls>
          <c:showLegendKey val="0"/>
          <c:showVal val="0"/>
          <c:showCatName val="0"/>
          <c:showSerName val="0"/>
          <c:showPercent val="0"/>
          <c:showBubbleSize val="0"/>
        </c:dLbls>
        <c:gapWidth val="20"/>
        <c:overlap val="100"/>
        <c:axId val="156100864"/>
        <c:axId val="156573696"/>
      </c:barChart>
      <c:lineChart>
        <c:grouping val="standard"/>
        <c:varyColors val="0"/>
        <c:ser>
          <c:idx val="3"/>
          <c:order val="0"/>
          <c:tx>
            <c:strRef>
              <c:f>'Služby-příspěvky k růstu-4'!$C$33</c:f>
              <c:strCache>
                <c:ptCount val="1"/>
                <c:pt idx="0">
                  <c:v>Total services sales (y-o-y in %)</c:v>
                </c:pt>
              </c:strCache>
            </c:strRef>
          </c:tx>
          <c:spPr>
            <a:ln>
              <a:noFill/>
            </a:ln>
          </c:spPr>
          <c:marker>
            <c:symbol val="dash"/>
            <c:size val="7"/>
            <c:spPr>
              <a:solidFill>
                <a:schemeClr val="tx1">
                  <a:lumMod val="95000"/>
                  <a:lumOff val="5000"/>
                </a:schemeClr>
              </a:solidFill>
              <a:ln>
                <a:noFill/>
              </a:ln>
            </c:spPr>
          </c:marker>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růstu-4'!$C$46:$C$86</c:f>
              <c:numCache>
                <c:formatCode>0.0</c:formatCode>
                <c:ptCount val="41"/>
                <c:pt idx="0">
                  <c:v>3.4824690008999966</c:v>
                </c:pt>
                <c:pt idx="1">
                  <c:v>2.7934385740000067</c:v>
                </c:pt>
                <c:pt idx="2">
                  <c:v>3.3397363911000042</c:v>
                </c:pt>
                <c:pt idx="3">
                  <c:v>2.4240605071999966</c:v>
                </c:pt>
                <c:pt idx="4">
                  <c:v>1.3060861837000033</c:v>
                </c:pt>
                <c:pt idx="5">
                  <c:v>-1.1913006246000037</c:v>
                </c:pt>
                <c:pt idx="6">
                  <c:v>1.5541405019999956</c:v>
                </c:pt>
                <c:pt idx="7">
                  <c:v>1.2878413721000044</c:v>
                </c:pt>
                <c:pt idx="8">
                  <c:v>5.6991785797000034</c:v>
                </c:pt>
                <c:pt idx="9">
                  <c:v>5.5722364333000058</c:v>
                </c:pt>
                <c:pt idx="10">
                  <c:v>3.3112064832999977</c:v>
                </c:pt>
                <c:pt idx="11">
                  <c:v>2.4385054390999983</c:v>
                </c:pt>
                <c:pt idx="12">
                  <c:v>4.8776432854999996</c:v>
                </c:pt>
                <c:pt idx="13">
                  <c:v>3.1428894752999952</c:v>
                </c:pt>
                <c:pt idx="14">
                  <c:v>3.5062767616000059</c:v>
                </c:pt>
                <c:pt idx="15">
                  <c:v>0.9447540274999966</c:v>
                </c:pt>
                <c:pt idx="16" formatCode="##0.0">
                  <c:v>-2.0638978244000015</c:v>
                </c:pt>
                <c:pt idx="17" formatCode="##0.0">
                  <c:v>2.0119271263999963</c:v>
                </c:pt>
                <c:pt idx="18" formatCode="##0.0">
                  <c:v>0.46201626920000649</c:v>
                </c:pt>
                <c:pt idx="19" formatCode="##0.0">
                  <c:v>3.6792793010999958</c:v>
                </c:pt>
                <c:pt idx="20" formatCode="##0.0">
                  <c:v>-3.7161332750000042</c:v>
                </c:pt>
                <c:pt idx="21" formatCode="##0.0">
                  <c:v>-20.482789201800003</c:v>
                </c:pt>
                <c:pt idx="22" formatCode="##0.0">
                  <c:v>-13.818107271499997</c:v>
                </c:pt>
                <c:pt idx="23" formatCode="##0.0">
                  <c:v>-12.693117899800001</c:v>
                </c:pt>
                <c:pt idx="24" formatCode="##0.0">
                  <c:v>-6.3698525254999936</c:v>
                </c:pt>
                <c:pt idx="25" formatCode="##0.0">
                  <c:v>14.462384940000007</c:v>
                </c:pt>
                <c:pt idx="26" formatCode="##0.0">
                  <c:v>9.8443933221000037</c:v>
                </c:pt>
                <c:pt idx="27" formatCode="##0.0">
                  <c:v>12.457643459600007</c:v>
                </c:pt>
                <c:pt idx="28" formatCode="##0.0">
                  <c:v>13.589852453700004</c:v>
                </c:pt>
                <c:pt idx="29" formatCode="##0.0">
                  <c:v>12.575755002999998</c:v>
                </c:pt>
                <c:pt idx="30" formatCode="##0.0">
                  <c:v>6.8797862188000067</c:v>
                </c:pt>
                <c:pt idx="31" formatCode="##0.0">
                  <c:v>3.1568527814000049</c:v>
                </c:pt>
                <c:pt idx="32" formatCode="##0.0">
                  <c:v>1.5841028919000024</c:v>
                </c:pt>
                <c:pt idx="33" formatCode="##0.0">
                  <c:v>-1.6412497806999937</c:v>
                </c:pt>
                <c:pt idx="34" formatCode="##0.0">
                  <c:v>-3.8314228784000051</c:v>
                </c:pt>
                <c:pt idx="35" formatCode="##0.0">
                  <c:v>-2.196201762900003</c:v>
                </c:pt>
                <c:pt idx="36" formatCode="##0.0">
                  <c:v>1.2016603921999973</c:v>
                </c:pt>
                <c:pt idx="37" formatCode="##0.0">
                  <c:v>2.8808157910000034</c:v>
                </c:pt>
                <c:pt idx="38" formatCode="##0.0">
                  <c:v>2.8318567584999954</c:v>
                </c:pt>
                <c:pt idx="39" formatCode="##0.0">
                  <c:v>2.1145871080999967</c:v>
                </c:pt>
              </c:numCache>
            </c:numRef>
          </c:val>
          <c:smooth val="0"/>
          <c:extLst>
            <c:ext xmlns:c16="http://schemas.microsoft.com/office/drawing/2014/chart" uri="{C3380CC4-5D6E-409C-BE32-E72D297353CC}">
              <c16:uniqueId val="{00000006-66A6-42C7-A441-D7EB5BC9DDE5}"/>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7"/>
          <c:order val="7"/>
          <c:tx>
            <c:strRef>
              <c:f>'Služby-příspěvky k růstu-4'!$J$33</c:f>
              <c:strCache>
                <c:ptCount val="1"/>
                <c:pt idx="0">
                  <c:v>Confidence indicator in services</c:v>
                </c:pt>
              </c:strCache>
            </c:strRef>
          </c:tx>
          <c:spPr>
            <a:ln w="3175">
              <a:solidFill>
                <a:schemeClr val="bg1">
                  <a:lumMod val="50000"/>
                </a:schemeClr>
              </a:solidFill>
              <a:prstDash val="sysDot"/>
            </a:ln>
          </c:spPr>
          <c:marker>
            <c:symbol val="diamond"/>
            <c:size val="5"/>
            <c:spPr>
              <a:solidFill>
                <a:srgbClr val="FFFF00"/>
              </a:solidFill>
              <a:ln w="6350">
                <a:solidFill>
                  <a:schemeClr val="tx1">
                    <a:lumMod val="85000"/>
                    <a:lumOff val="15000"/>
                  </a:schemeClr>
                </a:solidFill>
              </a:ln>
            </c:spPr>
          </c:marker>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růstu-4'!$J$46:$J$86</c:f>
              <c:numCache>
                <c:formatCode>#\ ##0.0</c:formatCode>
                <c:ptCount val="41"/>
                <c:pt idx="0">
                  <c:v>29.7</c:v>
                </c:pt>
                <c:pt idx="1">
                  <c:v>28.7</c:v>
                </c:pt>
                <c:pt idx="2">
                  <c:v>31.3</c:v>
                </c:pt>
                <c:pt idx="3">
                  <c:v>32.700000000000003</c:v>
                </c:pt>
                <c:pt idx="4">
                  <c:v>32.299999999999997</c:v>
                </c:pt>
                <c:pt idx="5">
                  <c:v>33</c:v>
                </c:pt>
                <c:pt idx="6">
                  <c:v>33</c:v>
                </c:pt>
                <c:pt idx="7">
                  <c:v>37.700000000000003</c:v>
                </c:pt>
                <c:pt idx="8">
                  <c:v>35.299999999999997</c:v>
                </c:pt>
                <c:pt idx="9">
                  <c:v>37.700000000000003</c:v>
                </c:pt>
                <c:pt idx="10">
                  <c:v>37.299999999999997</c:v>
                </c:pt>
                <c:pt idx="11">
                  <c:v>35.700000000000003</c:v>
                </c:pt>
                <c:pt idx="12">
                  <c:v>38.299999999999997</c:v>
                </c:pt>
                <c:pt idx="13">
                  <c:v>37</c:v>
                </c:pt>
                <c:pt idx="14">
                  <c:v>38.299999999999997</c:v>
                </c:pt>
                <c:pt idx="15">
                  <c:v>40.700000000000003</c:v>
                </c:pt>
                <c:pt idx="16">
                  <c:v>39.299999999999997</c:v>
                </c:pt>
                <c:pt idx="17">
                  <c:v>33.700000000000003</c:v>
                </c:pt>
                <c:pt idx="18">
                  <c:v>35</c:v>
                </c:pt>
                <c:pt idx="19">
                  <c:v>32.700000000000003</c:v>
                </c:pt>
                <c:pt idx="20">
                  <c:v>29</c:v>
                </c:pt>
                <c:pt idx="21">
                  <c:v>-13.3</c:v>
                </c:pt>
                <c:pt idx="22">
                  <c:v>1</c:v>
                </c:pt>
                <c:pt idx="23">
                  <c:v>-5</c:v>
                </c:pt>
                <c:pt idx="24">
                  <c:v>8</c:v>
                </c:pt>
                <c:pt idx="25">
                  <c:v>22.3</c:v>
                </c:pt>
                <c:pt idx="26">
                  <c:v>24.3</c:v>
                </c:pt>
                <c:pt idx="27">
                  <c:v>27</c:v>
                </c:pt>
                <c:pt idx="28">
                  <c:v>31</c:v>
                </c:pt>
                <c:pt idx="29">
                  <c:v>40</c:v>
                </c:pt>
                <c:pt idx="30">
                  <c:v>27.7</c:v>
                </c:pt>
                <c:pt idx="31">
                  <c:v>21.3</c:v>
                </c:pt>
                <c:pt idx="32">
                  <c:v>24</c:v>
                </c:pt>
                <c:pt idx="33" formatCode="0.0">
                  <c:v>28</c:v>
                </c:pt>
                <c:pt idx="34" formatCode="0.0">
                  <c:v>25.7</c:v>
                </c:pt>
                <c:pt idx="35" formatCode="0.0">
                  <c:v>22.7</c:v>
                </c:pt>
                <c:pt idx="36" formatCode="0.0">
                  <c:v>21.3</c:v>
                </c:pt>
                <c:pt idx="37" formatCode="0.0">
                  <c:v>30.1</c:v>
                </c:pt>
                <c:pt idx="38" formatCode="0.0">
                  <c:v>21.7</c:v>
                </c:pt>
                <c:pt idx="39" formatCode="0.0">
                  <c:v>33.700000000000003</c:v>
                </c:pt>
                <c:pt idx="40" formatCode="0.0">
                  <c:v>31.3</c:v>
                </c:pt>
              </c:numCache>
            </c:numRef>
          </c:val>
          <c:smooth val="0"/>
          <c:extLst>
            <c:ext xmlns:c16="http://schemas.microsoft.com/office/drawing/2014/chart" uri="{C3380CC4-5D6E-409C-BE32-E72D297353CC}">
              <c16:uniqueId val="{00000007-66A6-42C7-A441-D7EB5BC9DDE5}"/>
            </c:ext>
          </c:extLst>
        </c:ser>
        <c:ser>
          <c:idx val="8"/>
          <c:order val="8"/>
          <c:tx>
            <c:strRef>
              <c:f>'Služby-příspěvky k růstu-4'!$K$33</c:f>
              <c:strCache>
                <c:ptCount val="1"/>
                <c:pt idx="0">
                  <c:v>Growth barrier: inadequate demand</c:v>
                </c:pt>
              </c:strCache>
            </c:strRef>
          </c:tx>
          <c:spPr>
            <a:ln w="15875">
              <a:solidFill>
                <a:srgbClr val="CA945E"/>
              </a:solidFill>
              <a:prstDash val="solid"/>
            </a:ln>
          </c:spPr>
          <c:marker>
            <c:symbol val="none"/>
          </c:marker>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růstu-4'!$K$46:$K$86</c:f>
              <c:numCache>
                <c:formatCode>#\ ##0.0</c:formatCode>
                <c:ptCount val="41"/>
                <c:pt idx="0">
                  <c:v>26</c:v>
                </c:pt>
                <c:pt idx="1">
                  <c:v>29.3</c:v>
                </c:pt>
                <c:pt idx="2">
                  <c:v>26.1</c:v>
                </c:pt>
                <c:pt idx="3">
                  <c:v>24.7</c:v>
                </c:pt>
                <c:pt idx="4">
                  <c:v>23.3</c:v>
                </c:pt>
                <c:pt idx="5">
                  <c:v>25.1</c:v>
                </c:pt>
                <c:pt idx="6">
                  <c:v>20.2</c:v>
                </c:pt>
                <c:pt idx="7">
                  <c:v>24.4</c:v>
                </c:pt>
                <c:pt idx="8">
                  <c:v>25.8</c:v>
                </c:pt>
                <c:pt idx="9">
                  <c:v>20.5</c:v>
                </c:pt>
                <c:pt idx="10">
                  <c:v>18.399999999999999</c:v>
                </c:pt>
                <c:pt idx="11">
                  <c:v>21.6</c:v>
                </c:pt>
                <c:pt idx="12">
                  <c:v>16.899999999999999</c:v>
                </c:pt>
                <c:pt idx="13">
                  <c:v>19.399999999999999</c:v>
                </c:pt>
                <c:pt idx="14">
                  <c:v>17.899999999999999</c:v>
                </c:pt>
                <c:pt idx="15">
                  <c:v>20.7</c:v>
                </c:pt>
                <c:pt idx="16">
                  <c:v>20.6</c:v>
                </c:pt>
                <c:pt idx="17">
                  <c:v>16.899999999999999</c:v>
                </c:pt>
                <c:pt idx="18">
                  <c:v>20.5</c:v>
                </c:pt>
                <c:pt idx="19">
                  <c:v>14.4</c:v>
                </c:pt>
                <c:pt idx="20">
                  <c:v>21.3</c:v>
                </c:pt>
                <c:pt idx="21">
                  <c:v>30.2</c:v>
                </c:pt>
                <c:pt idx="22">
                  <c:v>30.4</c:v>
                </c:pt>
                <c:pt idx="23">
                  <c:v>39.200000000000003</c:v>
                </c:pt>
                <c:pt idx="24">
                  <c:v>34.799999999999997</c:v>
                </c:pt>
                <c:pt idx="25">
                  <c:v>36.799999999999997</c:v>
                </c:pt>
                <c:pt idx="26">
                  <c:v>28.9</c:v>
                </c:pt>
                <c:pt idx="27">
                  <c:v>26.3</c:v>
                </c:pt>
                <c:pt idx="28">
                  <c:v>31.6</c:v>
                </c:pt>
                <c:pt idx="29">
                  <c:v>15</c:v>
                </c:pt>
                <c:pt idx="30">
                  <c:v>30.2</c:v>
                </c:pt>
                <c:pt idx="31">
                  <c:v>17.600000000000001</c:v>
                </c:pt>
                <c:pt idx="32">
                  <c:v>25.4</c:v>
                </c:pt>
                <c:pt idx="33">
                  <c:v>19.100000000000001</c:v>
                </c:pt>
                <c:pt idx="34">
                  <c:v>26</c:v>
                </c:pt>
                <c:pt idx="35">
                  <c:v>23</c:v>
                </c:pt>
                <c:pt idx="36">
                  <c:v>18.5</c:v>
                </c:pt>
                <c:pt idx="37">
                  <c:v>19.2</c:v>
                </c:pt>
                <c:pt idx="38">
                  <c:v>17.8</c:v>
                </c:pt>
                <c:pt idx="39">
                  <c:v>29.6</c:v>
                </c:pt>
                <c:pt idx="40">
                  <c:v>24.4</c:v>
                </c:pt>
              </c:numCache>
            </c:numRef>
          </c:val>
          <c:smooth val="0"/>
          <c:extLst>
            <c:ext xmlns:c16="http://schemas.microsoft.com/office/drawing/2014/chart" uri="{C3380CC4-5D6E-409C-BE32-E72D297353CC}">
              <c16:uniqueId val="{00000008-66A6-42C7-A441-D7EB5BC9DDE5}"/>
            </c:ext>
          </c:extLst>
        </c:ser>
        <c:ser>
          <c:idx val="9"/>
          <c:order val="9"/>
          <c:tx>
            <c:strRef>
              <c:f>'Služby-příspěvky k růstu-4'!$L$33</c:f>
              <c:strCache>
                <c:ptCount val="1"/>
                <c:pt idx="0">
                  <c:v>Growth barrier: lack of workers</c:v>
                </c:pt>
              </c:strCache>
            </c:strRef>
          </c:tx>
          <c:spPr>
            <a:ln w="15875">
              <a:solidFill>
                <a:srgbClr val="CA945E"/>
              </a:solidFill>
              <a:prstDash val="sysDash"/>
            </a:ln>
          </c:spPr>
          <c:marker>
            <c:symbol val="none"/>
          </c:marker>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růstu-4'!$L$46:$L$86</c:f>
              <c:numCache>
                <c:formatCode>#\ ##0.0</c:formatCode>
                <c:ptCount val="41"/>
                <c:pt idx="0">
                  <c:v>1.3</c:v>
                </c:pt>
                <c:pt idx="1">
                  <c:v>6</c:v>
                </c:pt>
                <c:pt idx="2">
                  <c:v>7.2</c:v>
                </c:pt>
                <c:pt idx="3">
                  <c:v>5.6</c:v>
                </c:pt>
                <c:pt idx="4">
                  <c:v>7.5</c:v>
                </c:pt>
                <c:pt idx="5">
                  <c:v>4.5</c:v>
                </c:pt>
                <c:pt idx="6">
                  <c:v>7.9</c:v>
                </c:pt>
                <c:pt idx="7">
                  <c:v>9.5</c:v>
                </c:pt>
                <c:pt idx="8">
                  <c:v>9.4</c:v>
                </c:pt>
                <c:pt idx="9">
                  <c:v>9.6999999999999993</c:v>
                </c:pt>
                <c:pt idx="10">
                  <c:v>9.8000000000000007</c:v>
                </c:pt>
                <c:pt idx="11">
                  <c:v>12.8</c:v>
                </c:pt>
                <c:pt idx="12">
                  <c:v>13.9</c:v>
                </c:pt>
                <c:pt idx="13">
                  <c:v>16.3</c:v>
                </c:pt>
                <c:pt idx="14">
                  <c:v>17.5</c:v>
                </c:pt>
                <c:pt idx="15">
                  <c:v>18.899999999999999</c:v>
                </c:pt>
                <c:pt idx="16">
                  <c:v>19.3</c:v>
                </c:pt>
                <c:pt idx="17">
                  <c:v>15</c:v>
                </c:pt>
                <c:pt idx="18">
                  <c:v>21.5</c:v>
                </c:pt>
                <c:pt idx="19">
                  <c:v>19.8</c:v>
                </c:pt>
                <c:pt idx="20">
                  <c:v>19.5</c:v>
                </c:pt>
                <c:pt idx="21">
                  <c:v>10</c:v>
                </c:pt>
                <c:pt idx="22">
                  <c:v>10</c:v>
                </c:pt>
                <c:pt idx="23">
                  <c:v>12.6</c:v>
                </c:pt>
                <c:pt idx="24">
                  <c:v>12.7</c:v>
                </c:pt>
                <c:pt idx="25">
                  <c:v>8.5</c:v>
                </c:pt>
                <c:pt idx="26">
                  <c:v>17.399999999999999</c:v>
                </c:pt>
                <c:pt idx="27">
                  <c:v>20.6</c:v>
                </c:pt>
                <c:pt idx="28">
                  <c:v>20.2</c:v>
                </c:pt>
                <c:pt idx="29">
                  <c:v>10.9</c:v>
                </c:pt>
                <c:pt idx="30">
                  <c:v>17.899999999999999</c:v>
                </c:pt>
                <c:pt idx="31">
                  <c:v>6.6</c:v>
                </c:pt>
                <c:pt idx="32">
                  <c:v>9.3000000000000007</c:v>
                </c:pt>
                <c:pt idx="33">
                  <c:v>9.7000000000000011</c:v>
                </c:pt>
                <c:pt idx="34">
                  <c:v>9.2000000000000011</c:v>
                </c:pt>
                <c:pt idx="35">
                  <c:v>12.3</c:v>
                </c:pt>
                <c:pt idx="36">
                  <c:v>8.3000000000000007</c:v>
                </c:pt>
                <c:pt idx="37">
                  <c:v>8.1</c:v>
                </c:pt>
                <c:pt idx="38">
                  <c:v>8.3000000000000007</c:v>
                </c:pt>
                <c:pt idx="39">
                  <c:v>15.3</c:v>
                </c:pt>
                <c:pt idx="40">
                  <c:v>12.9</c:v>
                </c:pt>
              </c:numCache>
            </c:numRef>
          </c:val>
          <c:smooth val="0"/>
          <c:extLst>
            <c:ext xmlns:c16="http://schemas.microsoft.com/office/drawing/2014/chart" uri="{C3380CC4-5D6E-409C-BE32-E72D297353CC}">
              <c16:uniqueId val="{00000009-66A6-42C7-A441-D7EB5BC9DDE5}"/>
            </c:ext>
          </c:extLst>
        </c:ser>
        <c:ser>
          <c:idx val="10"/>
          <c:order val="10"/>
          <c:tx>
            <c:strRef>
              <c:f>'Služby-příspěvky k růstu-4'!$M$33</c:f>
              <c:strCache>
                <c:ptCount val="1"/>
                <c:pt idx="0">
                  <c:v>Total sales (2021 = 100), constant prices)</c:v>
                </c:pt>
              </c:strCache>
            </c:strRef>
          </c:tx>
          <c:spPr>
            <a:ln w="15875">
              <a:solidFill>
                <a:schemeClr val="tx1"/>
              </a:solidFill>
            </a:ln>
          </c:spPr>
          <c:marker>
            <c:symbol val="none"/>
          </c:marker>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růstu-4'!$M$46:$M$86</c:f>
              <c:numCache>
                <c:formatCode>0.0</c:formatCode>
                <c:ptCount val="41"/>
                <c:pt idx="0">
                  <c:v>96.573148776699995</c:v>
                </c:pt>
                <c:pt idx="1">
                  <c:v>97.567742240000001</c:v>
                </c:pt>
                <c:pt idx="2">
                  <c:v>97.872994153299999</c:v>
                </c:pt>
                <c:pt idx="3">
                  <c:v>98.145121336700001</c:v>
                </c:pt>
                <c:pt idx="4">
                  <c:v>97.141074036700005</c:v>
                </c:pt>
                <c:pt idx="5">
                  <c:v>97.220842383299996</c:v>
                </c:pt>
                <c:pt idx="6">
                  <c:v>99.043083436700002</c:v>
                </c:pt>
                <c:pt idx="7">
                  <c:v>100.26520352</c:v>
                </c:pt>
                <c:pt idx="8">
                  <c:v>101.4620500267</c:v>
                </c:pt>
                <c:pt idx="9">
                  <c:v>102.45930216329999</c:v>
                </c:pt>
                <c:pt idx="10">
                  <c:v>102.1784036567</c:v>
                </c:pt>
                <c:pt idx="11">
                  <c:v>103.2635152233</c:v>
                </c:pt>
                <c:pt idx="12">
                  <c:v>106.70430386</c:v>
                </c:pt>
                <c:pt idx="13">
                  <c:v>105.25291280330001</c:v>
                </c:pt>
                <c:pt idx="14">
                  <c:v>105.36498890670001</c:v>
                </c:pt>
                <c:pt idx="15">
                  <c:v>103.79346463</c:v>
                </c:pt>
                <c:pt idx="16">
                  <c:v>104.82319352330001</c:v>
                </c:pt>
                <c:pt idx="17">
                  <c:v>107.08876361</c:v>
                </c:pt>
                <c:pt idx="18">
                  <c:v>106.1526654733</c:v>
                </c:pt>
                <c:pt idx="19">
                  <c:v>106.10865794670001</c:v>
                </c:pt>
                <c:pt idx="20">
                  <c:v>100.92295789329999</c:v>
                </c:pt>
                <c:pt idx="21">
                  <c:v>86.568180609999999</c:v>
                </c:pt>
                <c:pt idx="22">
                  <c:v>93.956559496699995</c:v>
                </c:pt>
                <c:pt idx="23">
                  <c:v>92.2317662767</c:v>
                </c:pt>
                <c:pt idx="24">
                  <c:v>92.861550433299996</c:v>
                </c:pt>
                <c:pt idx="25">
                  <c:v>98.053015853299996</c:v>
                </c:pt>
                <c:pt idx="26">
                  <c:v>102.3923559</c:v>
                </c:pt>
                <c:pt idx="27">
                  <c:v>104.3636372533</c:v>
                </c:pt>
                <c:pt idx="28">
                  <c:v>106.32485133669999</c:v>
                </c:pt>
                <c:pt idx="29">
                  <c:v>108.97929560670001</c:v>
                </c:pt>
                <c:pt idx="30">
                  <c:v>109.4814719467</c:v>
                </c:pt>
                <c:pt idx="31">
                  <c:v>108.8597698933</c:v>
                </c:pt>
                <c:pt idx="32">
                  <c:v>107.9770567633</c:v>
                </c:pt>
                <c:pt idx="33">
                  <c:v>106.61241936330001</c:v>
                </c:pt>
                <c:pt idx="34">
                  <c:v>105.9703234067</c:v>
                </c:pt>
                <c:pt idx="35">
                  <c:v>106.67647866999999</c:v>
                </c:pt>
                <c:pt idx="36">
                  <c:v>108.76876138670001</c:v>
                </c:pt>
                <c:pt idx="37">
                  <c:v>109.3549500667</c:v>
                </c:pt>
                <c:pt idx="38">
                  <c:v>109.0776774867</c:v>
                </c:pt>
                <c:pt idx="39">
                  <c:v>109.3883682933</c:v>
                </c:pt>
              </c:numCache>
            </c:numRef>
          </c:val>
          <c:smooth val="0"/>
          <c:extLst>
            <c:ext xmlns:c16="http://schemas.microsoft.com/office/drawing/2014/chart" uri="{C3380CC4-5D6E-409C-BE32-E72D297353CC}">
              <c16:uniqueId val="{0000000A-66A6-42C7-A441-D7EB5BC9DDE5}"/>
            </c:ext>
          </c:extLst>
        </c:ser>
        <c:ser>
          <c:idx val="11"/>
          <c:order val="11"/>
          <c:tx>
            <c:strRef>
              <c:f>'Služby-příspěvky k růstu-4'!$N$33</c:f>
              <c:strCache>
                <c:ptCount val="1"/>
                <c:pt idx="0">
                  <c:v>Total sales (basis 2021 = 100, current prices)</c:v>
                </c:pt>
              </c:strCache>
            </c:strRef>
          </c:tx>
          <c:spPr>
            <a:ln w="15875">
              <a:solidFill>
                <a:schemeClr val="bg2">
                  <a:lumMod val="25000"/>
                </a:schemeClr>
              </a:solidFill>
              <a:prstDash val="sysDash"/>
            </a:ln>
          </c:spPr>
          <c:marker>
            <c:symbol val="none"/>
          </c:marker>
          <c:cat>
            <c:multiLvlStrRef>
              <c:f>'Služby-příspěvky k růstu-4'!$A$46:$B$86</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'Služby-příspěvky k růstu-4'!$N$46:$N$86</c:f>
              <c:numCache>
                <c:formatCode>0.0</c:formatCode>
                <c:ptCount val="41"/>
                <c:pt idx="0">
                  <c:v>87.046193000000002</c:v>
                </c:pt>
                <c:pt idx="1">
                  <c:v>87.966015923300006</c:v>
                </c:pt>
                <c:pt idx="2">
                  <c:v>88.361381390000005</c:v>
                </c:pt>
                <c:pt idx="3">
                  <c:v>88.613649859999995</c:v>
                </c:pt>
                <c:pt idx="4">
                  <c:v>87.737272153299998</c:v>
                </c:pt>
                <c:pt idx="5">
                  <c:v>88.010316869999997</c:v>
                </c:pt>
                <c:pt idx="6">
                  <c:v>89.813972136700002</c:v>
                </c:pt>
                <c:pt idx="7">
                  <c:v>91.206303489999996</c:v>
                </c:pt>
                <c:pt idx="8">
                  <c:v>92.831140320000003</c:v>
                </c:pt>
                <c:pt idx="9">
                  <c:v>94.084719190000001</c:v>
                </c:pt>
                <c:pt idx="10">
                  <c:v>94.352925536699999</c:v>
                </c:pt>
                <c:pt idx="11">
                  <c:v>95.836781003300004</c:v>
                </c:pt>
                <c:pt idx="12">
                  <c:v>99.320277939999997</c:v>
                </c:pt>
                <c:pt idx="13">
                  <c:v>98.6848122233</c:v>
                </c:pt>
                <c:pt idx="14">
                  <c:v>99.610745516700007</c:v>
                </c:pt>
                <c:pt idx="15">
                  <c:v>98.775679409999995</c:v>
                </c:pt>
                <c:pt idx="16">
                  <c:v>99.816231270000003</c:v>
                </c:pt>
                <c:pt idx="17">
                  <c:v>103.18033488330001</c:v>
                </c:pt>
                <c:pt idx="18">
                  <c:v>102.9398626967</c:v>
                </c:pt>
                <c:pt idx="19">
                  <c:v>103.5312898067</c:v>
                </c:pt>
                <c:pt idx="20">
                  <c:v>98.588248460000003</c:v>
                </c:pt>
                <c:pt idx="21">
                  <c:v>84.899543543299998</c:v>
                </c:pt>
                <c:pt idx="22">
                  <c:v>92.649802966699994</c:v>
                </c:pt>
                <c:pt idx="23">
                  <c:v>91.452913469999999</c:v>
                </c:pt>
                <c:pt idx="24">
                  <c:v>92.2149716033</c:v>
                </c:pt>
                <c:pt idx="25">
                  <c:v>97.192779639999998</c:v>
                </c:pt>
                <c:pt idx="26">
                  <c:v>102.3840544567</c:v>
                </c:pt>
                <c:pt idx="27">
                  <c:v>105.9870768533</c:v>
                </c:pt>
                <c:pt idx="28">
                  <c:v>109.93905873670001</c:v>
                </c:pt>
                <c:pt idx="29">
                  <c:v>115.00765799</c:v>
                </c:pt>
                <c:pt idx="30">
                  <c:v>118.06088069</c:v>
                </c:pt>
                <c:pt idx="31">
                  <c:v>119.4895265</c:v>
                </c:pt>
                <c:pt idx="32">
                  <c:v>120.76102421669999</c:v>
                </c:pt>
                <c:pt idx="33">
                  <c:v>121.18209966329999</c:v>
                </c:pt>
                <c:pt idx="34">
                  <c:v>121.8204864333</c:v>
                </c:pt>
                <c:pt idx="35">
                  <c:v>124.03672827</c:v>
                </c:pt>
                <c:pt idx="36">
                  <c:v>127.1990938767</c:v>
                </c:pt>
                <c:pt idx="37">
                  <c:v>128.75702011999999</c:v>
                </c:pt>
                <c:pt idx="38">
                  <c:v>129.6820186567</c:v>
                </c:pt>
                <c:pt idx="39">
                  <c:v>131.1853904367</c:v>
                </c:pt>
              </c:numCache>
            </c:numRef>
          </c:val>
          <c:smooth val="0"/>
          <c:extLst>
            <c:ext xmlns:c16="http://schemas.microsoft.com/office/drawing/2014/chart" uri="{C3380CC4-5D6E-409C-BE32-E72D297353CC}">
              <c16:uniqueId val="{0000000B-66A6-42C7-A441-D7EB5BC9DDE5}"/>
            </c:ext>
          </c:extLst>
        </c:ser>
        <c:dLbls>
          <c:showLegendKey val="0"/>
          <c:showVal val="0"/>
          <c:showCatName val="0"/>
          <c:showSerName val="0"/>
          <c:showPercent val="0"/>
          <c:showBubbleSize val="0"/>
        </c:dLbls>
        <c:marker val="1"/>
        <c:smooth val="0"/>
        <c:axId val="156576768"/>
        <c:axId val="156575232"/>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5"/>
          <c:min val="-30"/>
        </c:scaling>
        <c:delete val="0"/>
        <c:axPos val="l"/>
        <c:majorGridlines>
          <c:spPr>
            <a:ln w="6350">
              <a:solidFill>
                <a:schemeClr val="bg1">
                  <a:lumMod val="75000"/>
                </a:schemeClr>
              </a:solidFill>
            </a:ln>
          </c:spPr>
        </c:majorGridlines>
        <c:title>
          <c:tx>
            <c:rich>
              <a:bodyPr/>
              <a:lstStyle/>
              <a:p>
                <a:pPr>
                  <a:defRPr sz="700" b="0" i="1"/>
                </a:pPr>
                <a:r>
                  <a:rPr lang="cs-CZ" sz="700" b="0" i="1"/>
                  <a:t>Contribution to the change of sales in services</a:t>
                </a:r>
              </a:p>
            </c:rich>
          </c:tx>
          <c:layout>
            <c:manualLayout>
              <c:xMode val="edge"/>
              <c:yMode val="edge"/>
              <c:x val="0"/>
              <c:y val="0.12252432096524948"/>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5"/>
      </c:valAx>
      <c:valAx>
        <c:axId val="156575232"/>
        <c:scaling>
          <c:orientation val="minMax"/>
          <c:max val="15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itchFamily="34" charset="0"/>
                    <a:ea typeface="+mn-ea"/>
                    <a:cs typeface="+mn-cs"/>
                  </a:defRPr>
                </a:pPr>
                <a:r>
                  <a:rPr lang="cs-CZ" sz="700" b="0" i="1"/>
                  <a:t>Sales (basis 2021=100), confidence indicator, growth barriers</a:t>
                </a:r>
              </a:p>
            </c:rich>
          </c:tx>
          <c:layout>
            <c:manualLayout>
              <c:xMode val="edge"/>
              <c:yMode val="edge"/>
              <c:x val="0.96988594921543814"/>
              <c:y val="4.8523694037032751E-2"/>
            </c:manualLayout>
          </c:layout>
          <c:overlay val="0"/>
        </c:title>
        <c:numFmt formatCode="0" sourceLinked="0"/>
        <c:majorTickMark val="out"/>
        <c:minorTickMark val="none"/>
        <c:tickLblPos val="nextTo"/>
        <c:txPr>
          <a:bodyPr/>
          <a:lstStyle/>
          <a:p>
            <a:pPr>
              <a:defRPr sz="800"/>
            </a:pPr>
            <a:endParaRPr lang="cs-CZ"/>
          </a:p>
        </c:txPr>
        <c:crossAx val="156576768"/>
        <c:crosses val="max"/>
        <c:crossBetween val="between"/>
        <c:majorUnit val="20"/>
      </c:valAx>
      <c:catAx>
        <c:axId val="156576768"/>
        <c:scaling>
          <c:orientation val="minMax"/>
        </c:scaling>
        <c:delete val="1"/>
        <c:axPos val="b"/>
        <c:numFmt formatCode="General" sourceLinked="1"/>
        <c:majorTickMark val="out"/>
        <c:minorTickMark val="none"/>
        <c:tickLblPos val="none"/>
        <c:crossAx val="156575232"/>
        <c:crosses val="autoZero"/>
        <c:auto val="1"/>
        <c:lblAlgn val="ctr"/>
        <c:lblOffset val="100"/>
        <c:noMultiLvlLbl val="0"/>
      </c:catAx>
      <c:spPr>
        <a:ln>
          <a:solidFill>
            <a:schemeClr val="tx1">
              <a:lumMod val="75000"/>
              <a:lumOff val="25000"/>
            </a:schemeClr>
          </a:solidFill>
        </a:ln>
      </c:spPr>
    </c:plotArea>
    <c:legend>
      <c:legendPos val="r"/>
      <c:layout>
        <c:manualLayout>
          <c:xMode val="edge"/>
          <c:yMode val="edge"/>
          <c:x val="2.7894149438737266E-3"/>
          <c:y val="0.80683901693256121"/>
          <c:w val="0.99229354112783008"/>
          <c:h val="0.18952404020147029"/>
        </c:manualLayout>
      </c:layout>
      <c:overlay val="0"/>
      <c:spPr>
        <a:ln w="6350">
          <a:solidFill>
            <a:schemeClr val="tx1"/>
          </a:solidFill>
        </a:ln>
      </c:spPr>
      <c:txPr>
        <a:bodyPr/>
        <a:lstStyle/>
        <a:p>
          <a:pPr>
            <a:defRPr sz="72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61666861125732E-2"/>
          <c:y val="1.5803328678987455E-2"/>
          <c:w val="0.85878628700879256"/>
          <c:h val="0.73450542783153383"/>
        </c:manualLayout>
      </c:layout>
      <c:barChart>
        <c:barDir val="col"/>
        <c:grouping val="stacked"/>
        <c:varyColors val="0"/>
        <c:ser>
          <c:idx val="0"/>
          <c:order val="1"/>
          <c:tx>
            <c:strRef>
              <c:f>'výkonnost odvětví 5a'!$E$66</c:f>
              <c:strCache>
                <c:ptCount val="1"/>
                <c:pt idx="0">
                  <c:v>Retail with food (contribution)</c:v>
                </c:pt>
              </c:strCache>
            </c:strRef>
          </c:tx>
          <c:spPr>
            <a:solidFill>
              <a:srgbClr val="92D050"/>
            </a:solidFill>
            <a:ln w="15875">
              <a:noFill/>
            </a:ln>
          </c:spPr>
          <c:invertIfNegative val="0"/>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5a'!$E$67:$E$107</c:f>
              <c:numCache>
                <c:formatCode>#\ ##0.0</c:formatCode>
                <c:ptCount val="41"/>
                <c:pt idx="0">
                  <c:v>1.7523817972228575</c:v>
                </c:pt>
                <c:pt idx="1">
                  <c:v>1.1495538604575486</c:v>
                </c:pt>
                <c:pt idx="2">
                  <c:v>1.851654245012579</c:v>
                </c:pt>
                <c:pt idx="3">
                  <c:v>1.4230053336458297</c:v>
                </c:pt>
                <c:pt idx="4">
                  <c:v>1.7335386338403211</c:v>
                </c:pt>
                <c:pt idx="5">
                  <c:v>1.4057978539692639</c:v>
                </c:pt>
                <c:pt idx="6">
                  <c:v>1.0226992305466713</c:v>
                </c:pt>
                <c:pt idx="7">
                  <c:v>-4.5727948098357493E-2</c:v>
                </c:pt>
                <c:pt idx="8">
                  <c:v>0.76530947894932633</c:v>
                </c:pt>
                <c:pt idx="9">
                  <c:v>1.3628557482991555</c:v>
                </c:pt>
                <c:pt idx="10">
                  <c:v>1.1031113273196382</c:v>
                </c:pt>
                <c:pt idx="11">
                  <c:v>0.92620191285996878</c:v>
                </c:pt>
                <c:pt idx="12">
                  <c:v>1.4716867951941146</c:v>
                </c:pt>
                <c:pt idx="13">
                  <c:v>0.53065594307662001</c:v>
                </c:pt>
                <c:pt idx="14">
                  <c:v>0.93178458575098189</c:v>
                </c:pt>
                <c:pt idx="15">
                  <c:v>0.38805043936963324</c:v>
                </c:pt>
                <c:pt idx="16">
                  <c:v>-0.29388750825225862</c:v>
                </c:pt>
                <c:pt idx="17">
                  <c:v>1.4252855332899248</c:v>
                </c:pt>
                <c:pt idx="18">
                  <c:v>0.13007735319413302</c:v>
                </c:pt>
                <c:pt idx="19">
                  <c:v>1.4154025710079869</c:v>
                </c:pt>
                <c:pt idx="20">
                  <c:v>0.68707923703683382</c:v>
                </c:pt>
                <c:pt idx="21">
                  <c:v>-1.8614966729136802</c:v>
                </c:pt>
                <c:pt idx="22">
                  <c:v>-0.64766112448952962</c:v>
                </c:pt>
                <c:pt idx="23">
                  <c:v>-0.28286695735560252</c:v>
                </c:pt>
                <c:pt idx="24">
                  <c:v>-0.60121870783760478</c:v>
                </c:pt>
                <c:pt idx="25">
                  <c:v>0.49300881291411702</c:v>
                </c:pt>
                <c:pt idx="26">
                  <c:v>-0.28564410601975815</c:v>
                </c:pt>
                <c:pt idx="27">
                  <c:v>-1.0317436636125908E-3</c:v>
                </c:pt>
                <c:pt idx="28">
                  <c:v>-5.9197399174827602E-2</c:v>
                </c:pt>
                <c:pt idx="29">
                  <c:v>-1.1087252811442561</c:v>
                </c:pt>
                <c:pt idx="30">
                  <c:v>-2.2895662443160094</c:v>
                </c:pt>
                <c:pt idx="31">
                  <c:v>-3.2398418649393386</c:v>
                </c:pt>
                <c:pt idx="32">
                  <c:v>-3.1058872757345446</c:v>
                </c:pt>
                <c:pt idx="33">
                  <c:v>-2.8459554389635842</c:v>
                </c:pt>
                <c:pt idx="34">
                  <c:v>-1.687503215997407</c:v>
                </c:pt>
                <c:pt idx="35">
                  <c:v>-0.73679006414570936</c:v>
                </c:pt>
                <c:pt idx="36">
                  <c:v>0.88475516381226071</c:v>
                </c:pt>
                <c:pt idx="37">
                  <c:v>1.0867833547584524</c:v>
                </c:pt>
                <c:pt idx="38">
                  <c:v>0.86313827352128258</c:v>
                </c:pt>
                <c:pt idx="39">
                  <c:v>0.64821192863651345</c:v>
                </c:pt>
              </c:numCache>
            </c:numRef>
          </c:val>
          <c:extLst>
            <c:ext xmlns:c16="http://schemas.microsoft.com/office/drawing/2014/chart" uri="{C3380CC4-5D6E-409C-BE32-E72D297353CC}">
              <c16:uniqueId val="{00000000-8521-4A90-BE3A-2E1F819C7F63}"/>
            </c:ext>
          </c:extLst>
        </c:ser>
        <c:ser>
          <c:idx val="1"/>
          <c:order val="2"/>
          <c:tx>
            <c:strRef>
              <c:f>'výkonnost odvětví 5a'!$F$66</c:f>
              <c:strCache>
                <c:ptCount val="1"/>
                <c:pt idx="0">
                  <c:v>Retail with non-food goods (contribution)</c:v>
                </c:pt>
              </c:strCache>
            </c:strRef>
          </c:tx>
          <c:spPr>
            <a:solidFill>
              <a:schemeClr val="accent1">
                <a:lumMod val="40000"/>
                <a:lumOff val="60000"/>
              </a:schemeClr>
            </a:solidFill>
            <a:ln w="15875">
              <a:noFill/>
            </a:ln>
          </c:spPr>
          <c:invertIfNegative val="0"/>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5a'!$F$67:$F$107</c:f>
              <c:numCache>
                <c:formatCode>#\ ##0.0</c:formatCode>
                <c:ptCount val="41"/>
                <c:pt idx="0">
                  <c:v>3.196375922725744</c:v>
                </c:pt>
                <c:pt idx="1">
                  <c:v>3.8741896087490026</c:v>
                </c:pt>
                <c:pt idx="2">
                  <c:v>2.6728850705219784</c:v>
                </c:pt>
                <c:pt idx="3">
                  <c:v>3.6626826182851304</c:v>
                </c:pt>
                <c:pt idx="4">
                  <c:v>2.7862532923580798</c:v>
                </c:pt>
                <c:pt idx="5">
                  <c:v>2.5540667218407971</c:v>
                </c:pt>
                <c:pt idx="6">
                  <c:v>3.2508787600372759</c:v>
                </c:pt>
                <c:pt idx="7">
                  <c:v>3.4435667776451586</c:v>
                </c:pt>
                <c:pt idx="8">
                  <c:v>4.1783561564843161</c:v>
                </c:pt>
                <c:pt idx="9">
                  <c:v>4.4153226755500015</c:v>
                </c:pt>
                <c:pt idx="10">
                  <c:v>4.0607561596078439</c:v>
                </c:pt>
                <c:pt idx="11">
                  <c:v>4.5695527698288956</c:v>
                </c:pt>
                <c:pt idx="12">
                  <c:v>3.963036260303999</c:v>
                </c:pt>
                <c:pt idx="13">
                  <c:v>3.3542121185564358</c:v>
                </c:pt>
                <c:pt idx="14">
                  <c:v>2.577047135089233</c:v>
                </c:pt>
                <c:pt idx="15">
                  <c:v>3.7162196737466258</c:v>
                </c:pt>
                <c:pt idx="16">
                  <c:v>1.303288764236783</c:v>
                </c:pt>
                <c:pt idx="17">
                  <c:v>2.4531469805048736</c:v>
                </c:pt>
                <c:pt idx="18">
                  <c:v>4.2934983663490245</c:v>
                </c:pt>
                <c:pt idx="19">
                  <c:v>5.6709230985066315</c:v>
                </c:pt>
                <c:pt idx="20">
                  <c:v>-5.7511622856734265E-2</c:v>
                </c:pt>
                <c:pt idx="21">
                  <c:v>-0.33300612932107432</c:v>
                </c:pt>
                <c:pt idx="22">
                  <c:v>1.4198268570219985</c:v>
                </c:pt>
                <c:pt idx="23">
                  <c:v>-1.8469460892868841</c:v>
                </c:pt>
                <c:pt idx="24">
                  <c:v>0.21099379405042692</c:v>
                </c:pt>
                <c:pt idx="25">
                  <c:v>5.5767742933608266</c:v>
                </c:pt>
                <c:pt idx="26">
                  <c:v>3.6259767824065627</c:v>
                </c:pt>
                <c:pt idx="27">
                  <c:v>5.6697956328619608</c:v>
                </c:pt>
                <c:pt idx="28">
                  <c:v>5.9916951255438091</c:v>
                </c:pt>
                <c:pt idx="29">
                  <c:v>-0.95184646820475938</c:v>
                </c:pt>
                <c:pt idx="30">
                  <c:v>-3.9413234892071625</c:v>
                </c:pt>
                <c:pt idx="31">
                  <c:v>-5.6393554144880262</c:v>
                </c:pt>
                <c:pt idx="32">
                  <c:v>-4.7819505017048138</c:v>
                </c:pt>
                <c:pt idx="33">
                  <c:v>-4.4919683860435722</c:v>
                </c:pt>
                <c:pt idx="34">
                  <c:v>-2.4587164782992463</c:v>
                </c:pt>
                <c:pt idx="35">
                  <c:v>0.45451552309497045</c:v>
                </c:pt>
                <c:pt idx="36">
                  <c:v>2.4020325514449445</c:v>
                </c:pt>
                <c:pt idx="37">
                  <c:v>2.5871340990230038</c:v>
                </c:pt>
                <c:pt idx="38">
                  <c:v>3.3682940037494875</c:v>
                </c:pt>
                <c:pt idx="39">
                  <c:v>3.5077646184735642</c:v>
                </c:pt>
              </c:numCache>
            </c:numRef>
          </c:val>
          <c:extLst>
            <c:ext xmlns:c16="http://schemas.microsoft.com/office/drawing/2014/chart" uri="{C3380CC4-5D6E-409C-BE32-E72D297353CC}">
              <c16:uniqueId val="{00000001-8521-4A90-BE3A-2E1F819C7F63}"/>
            </c:ext>
          </c:extLst>
        </c:ser>
        <c:ser>
          <c:idx val="4"/>
          <c:order val="3"/>
          <c:tx>
            <c:strRef>
              <c:f>'výkonnost odvětví 5a'!$G$66</c:f>
              <c:strCache>
                <c:ptCount val="1"/>
                <c:pt idx="0">
                  <c:v>Retail sale of fuels (contribution)</c:v>
                </c:pt>
              </c:strCache>
            </c:strRef>
          </c:tx>
          <c:spPr>
            <a:solidFill>
              <a:schemeClr val="accent6">
                <a:lumMod val="40000"/>
                <a:lumOff val="60000"/>
              </a:schemeClr>
            </a:solidFill>
            <a:ln w="15875">
              <a:noFill/>
            </a:ln>
          </c:spPr>
          <c:invertIfNegative val="0"/>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5a'!$G$67:$G$107</c:f>
              <c:numCache>
                <c:formatCode>#\ ##0.0</c:formatCode>
                <c:ptCount val="41"/>
                <c:pt idx="0">
                  <c:v>0.75440023430656378</c:v>
                </c:pt>
                <c:pt idx="1">
                  <c:v>0.588112843666875</c:v>
                </c:pt>
                <c:pt idx="2">
                  <c:v>0.78402402568450724</c:v>
                </c:pt>
                <c:pt idx="3">
                  <c:v>0.94331728244946667</c:v>
                </c:pt>
                <c:pt idx="4">
                  <c:v>0.6744248436917698</c:v>
                </c:pt>
                <c:pt idx="5">
                  <c:v>0.72348584188138532</c:v>
                </c:pt>
                <c:pt idx="6">
                  <c:v>0.62302098548854723</c:v>
                </c:pt>
                <c:pt idx="7">
                  <c:v>0.62533415443375595</c:v>
                </c:pt>
                <c:pt idx="8">
                  <c:v>0.54805568528260806</c:v>
                </c:pt>
                <c:pt idx="9">
                  <c:v>0.75356148860252614</c:v>
                </c:pt>
                <c:pt idx="10">
                  <c:v>0.84316485479481218</c:v>
                </c:pt>
                <c:pt idx="11">
                  <c:v>0.68534345825768528</c:v>
                </c:pt>
                <c:pt idx="12">
                  <c:v>0.66536323714663226</c:v>
                </c:pt>
                <c:pt idx="13">
                  <c:v>0.59516252422904425</c:v>
                </c:pt>
                <c:pt idx="14">
                  <c:v>0.3739332000264744</c:v>
                </c:pt>
                <c:pt idx="15">
                  <c:v>0.43257407692417521</c:v>
                </c:pt>
                <c:pt idx="16">
                  <c:v>0.17809135629917194</c:v>
                </c:pt>
                <c:pt idx="17">
                  <c:v>0.36908315571938399</c:v>
                </c:pt>
                <c:pt idx="18">
                  <c:v>0.27107333589466731</c:v>
                </c:pt>
                <c:pt idx="19">
                  <c:v>0.19660561540526125</c:v>
                </c:pt>
                <c:pt idx="20">
                  <c:v>-0.75718611502805722</c:v>
                </c:pt>
                <c:pt idx="21">
                  <c:v>-1.9736345702533769</c:v>
                </c:pt>
                <c:pt idx="22">
                  <c:v>8.4968496843834063E-2</c:v>
                </c:pt>
                <c:pt idx="23">
                  <c:v>-1.074545645994486</c:v>
                </c:pt>
                <c:pt idx="24">
                  <c:v>-0.67667659437567496</c:v>
                </c:pt>
                <c:pt idx="25">
                  <c:v>1.0679612780323529</c:v>
                </c:pt>
                <c:pt idx="26">
                  <c:v>0.36966869026499932</c:v>
                </c:pt>
                <c:pt idx="27">
                  <c:v>0.92369652323847462</c:v>
                </c:pt>
                <c:pt idx="28">
                  <c:v>1.2444383160060355</c:v>
                </c:pt>
                <c:pt idx="29">
                  <c:v>-0.71068574306119192</c:v>
                </c:pt>
                <c:pt idx="30">
                  <c:v>-1.4489877068463355</c:v>
                </c:pt>
                <c:pt idx="31">
                  <c:v>-0.43102805460389659</c:v>
                </c:pt>
                <c:pt idx="32">
                  <c:v>9.5538508920041287E-2</c:v>
                </c:pt>
                <c:pt idx="33">
                  <c:v>1.0458071040757027</c:v>
                </c:pt>
                <c:pt idx="34">
                  <c:v>1.0241877772285994</c:v>
                </c:pt>
                <c:pt idx="35">
                  <c:v>0.21081099532690847</c:v>
                </c:pt>
                <c:pt idx="36">
                  <c:v>0.4443197064674741</c:v>
                </c:pt>
                <c:pt idx="37">
                  <c:v>0.25010717577860625</c:v>
                </c:pt>
                <c:pt idx="38">
                  <c:v>0.4373133537160287</c:v>
                </c:pt>
                <c:pt idx="39">
                  <c:v>1.0777773729124482</c:v>
                </c:pt>
              </c:numCache>
            </c:numRef>
          </c:val>
          <c:extLst>
            <c:ext xmlns:c16="http://schemas.microsoft.com/office/drawing/2014/chart" uri="{C3380CC4-5D6E-409C-BE32-E72D297353CC}">
              <c16:uniqueId val="{00000002-8521-4A90-BE3A-2E1F819C7F63}"/>
            </c:ext>
          </c:extLst>
        </c:ser>
        <c:dLbls>
          <c:showLegendKey val="0"/>
          <c:showVal val="0"/>
          <c:showCatName val="0"/>
          <c:showSerName val="0"/>
          <c:showPercent val="0"/>
          <c:showBubbleSize val="0"/>
        </c:dLbls>
        <c:gapWidth val="31"/>
        <c:overlap val="100"/>
        <c:axId val="156100864"/>
        <c:axId val="156573696"/>
      </c:barChart>
      <c:lineChart>
        <c:grouping val="standard"/>
        <c:varyColors val="0"/>
        <c:ser>
          <c:idx val="3"/>
          <c:order val="0"/>
          <c:tx>
            <c:strRef>
              <c:f>'výkonnost odvětví 5a'!$D$66</c:f>
              <c:strCache>
                <c:ptCount val="1"/>
                <c:pt idx="0">
                  <c:v>Total retail sales (y-o-y change)</c:v>
                </c:pt>
              </c:strCache>
            </c:strRef>
          </c:tx>
          <c:spPr>
            <a:ln>
              <a:noFill/>
            </a:ln>
          </c:spPr>
          <c:marker>
            <c:symbol val="dash"/>
            <c:size val="7"/>
            <c:spPr>
              <a:solidFill>
                <a:schemeClr val="tx1">
                  <a:lumMod val="85000"/>
                  <a:lumOff val="15000"/>
                </a:schemeClr>
              </a:solidFill>
              <a:ln w="6350">
                <a:noFill/>
              </a:ln>
            </c:spPr>
          </c:marker>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5a'!$D$67:$D$107</c:f>
              <c:numCache>
                <c:formatCode>#\ ##0.0</c:formatCode>
                <c:ptCount val="41"/>
                <c:pt idx="0">
                  <c:v>5.5650157121000063</c:v>
                </c:pt>
                <c:pt idx="1">
                  <c:v>5.3140316102000043</c:v>
                </c:pt>
                <c:pt idx="2">
                  <c:v>5.261668949500006</c:v>
                </c:pt>
                <c:pt idx="3">
                  <c:v>5.8260167462999988</c:v>
                </c:pt>
                <c:pt idx="4">
                  <c:v>5.1163484119999936</c:v>
                </c:pt>
                <c:pt idx="5">
                  <c:v>4.584747701699996</c:v>
                </c:pt>
                <c:pt idx="6">
                  <c:v>4.6478731618999944</c:v>
                </c:pt>
                <c:pt idx="7">
                  <c:v>3.5966109598000031</c:v>
                </c:pt>
                <c:pt idx="8">
                  <c:v>5.068305469799995</c:v>
                </c:pt>
                <c:pt idx="9">
                  <c:v>6.2034114922000043</c:v>
                </c:pt>
                <c:pt idx="10">
                  <c:v>5.6856724027999945</c:v>
                </c:pt>
                <c:pt idx="11">
                  <c:v>5.8244576314999961</c:v>
                </c:pt>
                <c:pt idx="12">
                  <c:v>5.9658330699000004</c:v>
                </c:pt>
                <c:pt idx="13">
                  <c:v>4.3854129643000022</c:v>
                </c:pt>
                <c:pt idx="14">
                  <c:v>3.8380531616000013</c:v>
                </c:pt>
                <c:pt idx="15">
                  <c:v>4.3570454750999943</c:v>
                </c:pt>
                <c:pt idx="16">
                  <c:v>1.1052891966999994</c:v>
                </c:pt>
                <c:pt idx="17">
                  <c:v>4.2167027101999963</c:v>
                </c:pt>
                <c:pt idx="18">
                  <c:v>4.5117376484000005</c:v>
                </c:pt>
                <c:pt idx="19">
                  <c:v>7.2113533302999997</c:v>
                </c:pt>
                <c:pt idx="20">
                  <c:v>-0.15887647600000321</c:v>
                </c:pt>
                <c:pt idx="21">
                  <c:v>-4.2817243594000018</c:v>
                </c:pt>
                <c:pt idx="22">
                  <c:v>0.81643935670000189</c:v>
                </c:pt>
                <c:pt idx="23">
                  <c:v>-3.1393056612999999</c:v>
                </c:pt>
                <c:pt idx="24">
                  <c:v>-1.1390059782000037</c:v>
                </c:pt>
                <c:pt idx="25">
                  <c:v>6.9683389970000036</c:v>
                </c:pt>
                <c:pt idx="26">
                  <c:v>3.5948086528999994</c:v>
                </c:pt>
                <c:pt idx="27">
                  <c:v>6.4926559471000047</c:v>
                </c:pt>
                <c:pt idx="28">
                  <c:v>6.7801738019999931</c:v>
                </c:pt>
                <c:pt idx="29">
                  <c:v>-2.8122346765999993</c:v>
                </c:pt>
                <c:pt idx="30">
                  <c:v>-7.6591434073999949</c:v>
                </c:pt>
                <c:pt idx="31">
                  <c:v>-9.3108768615999935</c:v>
                </c:pt>
                <c:pt idx="32">
                  <c:v>-7.7724312829000013</c:v>
                </c:pt>
                <c:pt idx="33">
                  <c:v>-6.2778325892000026</c:v>
                </c:pt>
                <c:pt idx="34">
                  <c:v>-3.1396454685999942</c:v>
                </c:pt>
                <c:pt idx="35">
                  <c:v>-0.13504823690000478</c:v>
                </c:pt>
                <c:pt idx="36">
                  <c:v>3.7304554369000016</c:v>
                </c:pt>
                <c:pt idx="37">
                  <c:v>3.9244924088000062</c:v>
                </c:pt>
                <c:pt idx="38">
                  <c:v>4.6684929422000039</c:v>
                </c:pt>
                <c:pt idx="39">
                  <c:v>5.232709919100003</c:v>
                </c:pt>
              </c:numCache>
            </c:numRef>
          </c:val>
          <c:smooth val="0"/>
          <c:extLst>
            <c:ext xmlns:c16="http://schemas.microsoft.com/office/drawing/2014/chart" uri="{C3380CC4-5D6E-409C-BE32-E72D297353CC}">
              <c16:uniqueId val="{00000003-8521-4A90-BE3A-2E1F819C7F63}"/>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5"/>
          <c:order val="4"/>
          <c:tx>
            <c:strRef>
              <c:f>'výkonnost odvětví 5a'!$H$66</c:f>
              <c:strCache>
                <c:ptCount val="1"/>
                <c:pt idx="0">
                  <c:v>Retail, without motor. segment (2021=100)</c:v>
                </c:pt>
              </c:strCache>
            </c:strRef>
          </c:tx>
          <c:spPr>
            <a:ln w="15875">
              <a:solidFill>
                <a:schemeClr val="tx1">
                  <a:lumMod val="95000"/>
                  <a:lumOff val="5000"/>
                </a:schemeClr>
              </a:solidFill>
              <a:prstDash val="solid"/>
            </a:ln>
          </c:spPr>
          <c:marker>
            <c:symbol val="none"/>
          </c:marker>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5a'!$H$67:$H$107</c:f>
              <c:numCache>
                <c:formatCode>#\ ##0.0</c:formatCode>
                <c:ptCount val="41"/>
                <c:pt idx="0">
                  <c:v>79.387113156699996</c:v>
                </c:pt>
                <c:pt idx="1">
                  <c:v>80.299595063300004</c:v>
                </c:pt>
                <c:pt idx="2">
                  <c:v>81.210689013299998</c:v>
                </c:pt>
                <c:pt idx="3">
                  <c:v>82.830505383299993</c:v>
                </c:pt>
                <c:pt idx="4">
                  <c:v>83.364694713299997</c:v>
                </c:pt>
                <c:pt idx="5">
                  <c:v>84.093873386699997</c:v>
                </c:pt>
                <c:pt idx="6">
                  <c:v>85.181594756699994</c:v>
                </c:pt>
                <c:pt idx="7">
                  <c:v>85.888972366700003</c:v>
                </c:pt>
                <c:pt idx="8">
                  <c:v>87.495099866700002</c:v>
                </c:pt>
                <c:pt idx="9">
                  <c:v>89.138431163299998</c:v>
                </c:pt>
                <c:pt idx="10">
                  <c:v>90.161633323299995</c:v>
                </c:pt>
                <c:pt idx="11">
                  <c:v>90.497394953300002</c:v>
                </c:pt>
                <c:pt idx="12">
                  <c:v>93.094801029999999</c:v>
                </c:pt>
                <c:pt idx="13">
                  <c:v>93.18768412</c:v>
                </c:pt>
                <c:pt idx="14">
                  <c:v>93.508700056699993</c:v>
                </c:pt>
                <c:pt idx="15">
                  <c:v>93.474682340000001</c:v>
                </c:pt>
                <c:pt idx="16">
                  <c:v>95.051863356699997</c:v>
                </c:pt>
                <c:pt idx="17">
                  <c:v>97.727929486700006</c:v>
                </c:pt>
                <c:pt idx="18">
                  <c:v>97.382384529999996</c:v>
                </c:pt>
                <c:pt idx="19">
                  <c:v>98.750010893300001</c:v>
                </c:pt>
                <c:pt idx="20">
                  <c:v>95.168453310000004</c:v>
                </c:pt>
                <c:pt idx="21">
                  <c:v>94.223485960000005</c:v>
                </c:pt>
                <c:pt idx="22">
                  <c:v>98.290064009999995</c:v>
                </c:pt>
                <c:pt idx="23">
                  <c:v>95.235280143300002</c:v>
                </c:pt>
                <c:pt idx="24">
                  <c:v>93.056198660000007</c:v>
                </c:pt>
                <c:pt idx="25">
                  <c:v>100.71855261330001</c:v>
                </c:pt>
                <c:pt idx="26">
                  <c:v>102.10578841669999</c:v>
                </c:pt>
                <c:pt idx="27">
                  <c:v>101.62434467</c:v>
                </c:pt>
                <c:pt idx="28">
                  <c:v>99.622569900000002</c:v>
                </c:pt>
                <c:pt idx="29">
                  <c:v>97.819975119999995</c:v>
                </c:pt>
                <c:pt idx="30">
                  <c:v>94.936353766699995</c:v>
                </c:pt>
                <c:pt idx="31">
                  <c:v>92.897011860000006</c:v>
                </c:pt>
                <c:pt idx="32">
                  <c:v>91.701573813300001</c:v>
                </c:pt>
                <c:pt idx="33">
                  <c:v>91.402636296699995</c:v>
                </c:pt>
                <c:pt idx="34">
                  <c:v>91.843365140000003</c:v>
                </c:pt>
                <c:pt idx="35">
                  <c:v>92.751257643299994</c:v>
                </c:pt>
                <c:pt idx="36">
                  <c:v>94.767650900000007</c:v>
                </c:pt>
                <c:pt idx="37">
                  <c:v>95.380431169999994</c:v>
                </c:pt>
                <c:pt idx="38">
                  <c:v>96.268009820000003</c:v>
                </c:pt>
                <c:pt idx="39">
                  <c:v>96.989086173299995</c:v>
                </c:pt>
              </c:numCache>
            </c:numRef>
          </c:val>
          <c:smooth val="0"/>
          <c:extLst>
            <c:ext xmlns:c16="http://schemas.microsoft.com/office/drawing/2014/chart" uri="{C3380CC4-5D6E-409C-BE32-E72D297353CC}">
              <c16:uniqueId val="{00000004-8521-4A90-BE3A-2E1F819C7F63}"/>
            </c:ext>
          </c:extLst>
        </c:ser>
        <c:ser>
          <c:idx val="2"/>
          <c:order val="5"/>
          <c:tx>
            <c:strRef>
              <c:f>'výkonnost odvětví 5a'!$I$66</c:f>
              <c:strCache>
                <c:ptCount val="1"/>
                <c:pt idx="0">
                  <c:v>In that: Retail sale of fuels (2021=100)</c:v>
                </c:pt>
              </c:strCache>
            </c:strRef>
          </c:tx>
          <c:spPr>
            <a:ln w="15875">
              <a:solidFill>
                <a:schemeClr val="bg2">
                  <a:lumMod val="50000"/>
                </a:schemeClr>
              </a:solidFill>
              <a:prstDash val="sysDash"/>
            </a:ln>
          </c:spPr>
          <c:marker>
            <c:symbol val="none"/>
          </c:marker>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5a'!$I$67:$I$107</c:f>
              <c:numCache>
                <c:formatCode>#\ ##0.0</c:formatCode>
                <c:ptCount val="41"/>
                <c:pt idx="0">
                  <c:v>86.513334323300001</c:v>
                </c:pt>
                <c:pt idx="1">
                  <c:v>87.409107353300001</c:v>
                </c:pt>
                <c:pt idx="2">
                  <c:v>89.066211690000003</c:v>
                </c:pt>
                <c:pt idx="3">
                  <c:v>90.657614006700001</c:v>
                </c:pt>
                <c:pt idx="4">
                  <c:v>91.403393813299999</c:v>
                </c:pt>
                <c:pt idx="5">
                  <c:v>92.482947960000004</c:v>
                </c:pt>
                <c:pt idx="6">
                  <c:v>93.464554906700002</c:v>
                </c:pt>
                <c:pt idx="7">
                  <c:v>94.7986735633</c:v>
                </c:pt>
                <c:pt idx="8">
                  <c:v>96.055973429999995</c:v>
                </c:pt>
                <c:pt idx="9">
                  <c:v>97.663561083299996</c:v>
                </c:pt>
                <c:pt idx="10">
                  <c:v>99.232546576700003</c:v>
                </c:pt>
                <c:pt idx="11">
                  <c:v>100.27997863669999</c:v>
                </c:pt>
                <c:pt idx="12">
                  <c:v>101.92380869669999</c:v>
                </c:pt>
                <c:pt idx="13">
                  <c:v>102.3573869567</c:v>
                </c:pt>
                <c:pt idx="14">
                  <c:v>101.9803127767</c:v>
                </c:pt>
                <c:pt idx="15">
                  <c:v>101.9116452767</c:v>
                </c:pt>
                <c:pt idx="16">
                  <c:v>105.5158907133</c:v>
                </c:pt>
                <c:pt idx="17">
                  <c:v>106.7628022633</c:v>
                </c:pt>
                <c:pt idx="18">
                  <c:v>102.2787380533</c:v>
                </c:pt>
                <c:pt idx="19">
                  <c:v>102.40340343</c:v>
                </c:pt>
                <c:pt idx="20">
                  <c:v>101.81614777999999</c:v>
                </c:pt>
                <c:pt idx="21">
                  <c:v>89.515623356700004</c:v>
                </c:pt>
                <c:pt idx="22">
                  <c:v>98.569475176699996</c:v>
                </c:pt>
                <c:pt idx="23">
                  <c:v>92.226775443299999</c:v>
                </c:pt>
                <c:pt idx="24">
                  <c:v>96.297841703299994</c:v>
                </c:pt>
                <c:pt idx="25">
                  <c:v>101.05387241</c:v>
                </c:pt>
                <c:pt idx="26">
                  <c:v>102.23884433329999</c:v>
                </c:pt>
                <c:pt idx="27">
                  <c:v>100.1584467733</c:v>
                </c:pt>
                <c:pt idx="28">
                  <c:v>100.6056909033</c:v>
                </c:pt>
                <c:pt idx="29">
                  <c:v>95.997505566699999</c:v>
                </c:pt>
                <c:pt idx="30">
                  <c:v>95.311740683300002</c:v>
                </c:pt>
                <c:pt idx="31">
                  <c:v>98.04038362</c:v>
                </c:pt>
                <c:pt idx="32">
                  <c:v>99.189966953300001</c:v>
                </c:pt>
                <c:pt idx="33">
                  <c:v>101.93542943</c:v>
                </c:pt>
                <c:pt idx="34">
                  <c:v>102.8324174033</c:v>
                </c:pt>
                <c:pt idx="35">
                  <c:v>101.6759088533</c:v>
                </c:pt>
                <c:pt idx="36">
                  <c:v>103.9303077233</c:v>
                </c:pt>
                <c:pt idx="37">
                  <c:v>104.93109456329999</c:v>
                </c:pt>
                <c:pt idx="38">
                  <c:v>106.5936671267</c:v>
                </c:pt>
                <c:pt idx="39">
                  <c:v>109.5549369233</c:v>
                </c:pt>
              </c:numCache>
            </c:numRef>
          </c:val>
          <c:smooth val="0"/>
          <c:extLst>
            <c:ext xmlns:c16="http://schemas.microsoft.com/office/drawing/2014/chart" uri="{C3380CC4-5D6E-409C-BE32-E72D297353CC}">
              <c16:uniqueId val="{00000005-8521-4A90-BE3A-2E1F819C7F63}"/>
            </c:ext>
          </c:extLst>
        </c:ser>
        <c:ser>
          <c:idx val="6"/>
          <c:order val="6"/>
          <c:tx>
            <c:strRef>
              <c:f>'výkonnost odvětví 5a'!$J$66</c:f>
              <c:strCache>
                <c:ptCount val="1"/>
                <c:pt idx="0">
                  <c:v>Sale+repair of motor vehicles (2021=100)</c:v>
                </c:pt>
              </c:strCache>
            </c:strRef>
          </c:tx>
          <c:spPr>
            <a:ln w="15875">
              <a:solidFill>
                <a:srgbClr val="984807"/>
              </a:solidFill>
              <a:prstDash val="solid"/>
            </a:ln>
          </c:spPr>
          <c:marker>
            <c:symbol val="none"/>
          </c:marker>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5a'!$J$67:$J$107</c:f>
              <c:numCache>
                <c:formatCode>#\ ##0.0</c:formatCode>
                <c:ptCount val="41"/>
                <c:pt idx="0">
                  <c:v>94.913481453299994</c:v>
                </c:pt>
                <c:pt idx="1">
                  <c:v>97.717227756699998</c:v>
                </c:pt>
                <c:pt idx="2">
                  <c:v>100.0982957133</c:v>
                </c:pt>
                <c:pt idx="3">
                  <c:v>102.97888301330001</c:v>
                </c:pt>
                <c:pt idx="4">
                  <c:v>104.2565601933</c:v>
                </c:pt>
                <c:pt idx="5">
                  <c:v>105.7851700267</c:v>
                </c:pt>
                <c:pt idx="6">
                  <c:v>107.86503048669999</c:v>
                </c:pt>
                <c:pt idx="7">
                  <c:v>108.42391503</c:v>
                </c:pt>
                <c:pt idx="8">
                  <c:v>109.6931493133</c:v>
                </c:pt>
                <c:pt idx="9">
                  <c:v>110.1404259533</c:v>
                </c:pt>
                <c:pt idx="10">
                  <c:v>109.35124661330001</c:v>
                </c:pt>
                <c:pt idx="11">
                  <c:v>110.30069229670001</c:v>
                </c:pt>
                <c:pt idx="12">
                  <c:v>108.8070253133</c:v>
                </c:pt>
                <c:pt idx="13">
                  <c:v>108.53626257000001</c:v>
                </c:pt>
                <c:pt idx="14">
                  <c:v>108.41447377999999</c:v>
                </c:pt>
                <c:pt idx="15">
                  <c:v>106.84909192000001</c:v>
                </c:pt>
                <c:pt idx="16">
                  <c:v>108.70853031670001</c:v>
                </c:pt>
                <c:pt idx="17">
                  <c:v>109.27449573</c:v>
                </c:pt>
                <c:pt idx="18">
                  <c:v>107.5435867133</c:v>
                </c:pt>
                <c:pt idx="19">
                  <c:v>107.39297555</c:v>
                </c:pt>
                <c:pt idx="20">
                  <c:v>95.102227563300005</c:v>
                </c:pt>
                <c:pt idx="21">
                  <c:v>78.841400570000005</c:v>
                </c:pt>
                <c:pt idx="22">
                  <c:v>99.650671279999997</c:v>
                </c:pt>
                <c:pt idx="23">
                  <c:v>99.510519133299994</c:v>
                </c:pt>
                <c:pt idx="24">
                  <c:v>101.4670520367</c:v>
                </c:pt>
                <c:pt idx="25">
                  <c:v>101.2139933333</c:v>
                </c:pt>
                <c:pt idx="26">
                  <c:v>98.609812059999996</c:v>
                </c:pt>
                <c:pt idx="27">
                  <c:v>97.384993243300002</c:v>
                </c:pt>
                <c:pt idx="28">
                  <c:v>96.620315829999996</c:v>
                </c:pt>
                <c:pt idx="29">
                  <c:v>95.563957500000001</c:v>
                </c:pt>
                <c:pt idx="30">
                  <c:v>95.584840990000004</c:v>
                </c:pt>
                <c:pt idx="31">
                  <c:v>96.063800796699994</c:v>
                </c:pt>
                <c:pt idx="32">
                  <c:v>98.777264826700005</c:v>
                </c:pt>
                <c:pt idx="33">
                  <c:v>99.577286090000001</c:v>
                </c:pt>
                <c:pt idx="34">
                  <c:v>101.02246594330001</c:v>
                </c:pt>
                <c:pt idx="35">
                  <c:v>101.5367980967</c:v>
                </c:pt>
                <c:pt idx="36">
                  <c:v>101.5043079133</c:v>
                </c:pt>
                <c:pt idx="37">
                  <c:v>101.03711375330001</c:v>
                </c:pt>
                <c:pt idx="38">
                  <c:v>100.71004181000001</c:v>
                </c:pt>
                <c:pt idx="39">
                  <c:v>101.13551972</c:v>
                </c:pt>
              </c:numCache>
            </c:numRef>
          </c:val>
          <c:smooth val="0"/>
          <c:extLst>
            <c:ext xmlns:c16="http://schemas.microsoft.com/office/drawing/2014/chart" uri="{C3380CC4-5D6E-409C-BE32-E72D297353CC}">
              <c16:uniqueId val="{00000006-8521-4A90-BE3A-2E1F819C7F63}"/>
            </c:ext>
          </c:extLst>
        </c:ser>
        <c:ser>
          <c:idx val="7"/>
          <c:order val="7"/>
          <c:tx>
            <c:strRef>
              <c:f>'výkonnost odvětví 5a'!$K$66</c:f>
              <c:strCache>
                <c:ptCount val="1"/>
              </c:strCache>
            </c:strRef>
          </c:tx>
          <c:spPr>
            <a:ln w="3175">
              <a:noFill/>
              <a:prstDash val="sysDash"/>
            </a:ln>
          </c:spPr>
          <c:marker>
            <c:symbol val="none"/>
          </c:marker>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5a'!$K$67:$K$107</c:f>
              <c:numCache>
                <c:formatCode>#\ ##0.0</c:formatCode>
                <c:ptCount val="41"/>
                <c:pt idx="0">
                  <c:v>-0.13814224215515869</c:v>
                </c:pt>
                <c:pt idx="1">
                  <c:v>-0.2978247026734222</c:v>
                </c:pt>
                <c:pt idx="2">
                  <c:v>-4.6894391719058737E-2</c:v>
                </c:pt>
                <c:pt idx="3">
                  <c:v>-0.20298848808042824</c:v>
                </c:pt>
                <c:pt idx="4">
                  <c:v>-7.7868357890176987E-2</c:v>
                </c:pt>
                <c:pt idx="5">
                  <c:v>-9.8602715991450318E-2</c:v>
                </c:pt>
                <c:pt idx="6">
                  <c:v>-0.24872581417250006</c:v>
                </c:pt>
                <c:pt idx="7">
                  <c:v>-0.426562024180554</c:v>
                </c:pt>
                <c:pt idx="8">
                  <c:v>-0.42341585091625589</c:v>
                </c:pt>
                <c:pt idx="9">
                  <c:v>-0.32832842025167897</c:v>
                </c:pt>
                <c:pt idx="10">
                  <c:v>-0.32135993892229975</c:v>
                </c:pt>
                <c:pt idx="11">
                  <c:v>-0.35664050944655357</c:v>
                </c:pt>
                <c:pt idx="12">
                  <c:v>-0.13425322274474594</c:v>
                </c:pt>
                <c:pt idx="13">
                  <c:v>-9.4617621562097631E-2</c:v>
                </c:pt>
                <c:pt idx="14">
                  <c:v>-4.4711759266687967E-2</c:v>
                </c:pt>
                <c:pt idx="15">
                  <c:v>-0.17979871494044003</c:v>
                </c:pt>
                <c:pt idx="16">
                  <c:v>-8.2203415583696815E-2</c:v>
                </c:pt>
                <c:pt idx="17">
                  <c:v>-3.0812959314186039E-2</c:v>
                </c:pt>
                <c:pt idx="18">
                  <c:v>-0.18291140703782394</c:v>
                </c:pt>
                <c:pt idx="19">
                  <c:v>-7.1577954619879952E-2</c:v>
                </c:pt>
                <c:pt idx="20">
                  <c:v>-3.1257975152045536E-2</c:v>
                </c:pt>
                <c:pt idx="21">
                  <c:v>-0.11358698691187041</c:v>
                </c:pt>
                <c:pt idx="22">
                  <c:v>-4.0694872676301064E-2</c:v>
                </c:pt>
                <c:pt idx="23">
                  <c:v>6.5053031336972822E-2</c:v>
                </c:pt>
                <c:pt idx="24">
                  <c:v>-7.2104470037150925E-2</c:v>
                </c:pt>
                <c:pt idx="25">
                  <c:v>-0.16940538730729293</c:v>
                </c:pt>
                <c:pt idx="26">
                  <c:v>-0.11519271375180434</c:v>
                </c:pt>
                <c:pt idx="27">
                  <c:v>-9.9804465336817971E-2</c:v>
                </c:pt>
                <c:pt idx="28">
                  <c:v>-0.39676224037502394</c:v>
                </c:pt>
                <c:pt idx="29">
                  <c:v>-4.0977184189791904E-2</c:v>
                </c:pt>
                <c:pt idx="30">
                  <c:v>2.0734032969512928E-2</c:v>
                </c:pt>
                <c:pt idx="31">
                  <c:v>-6.5152756873254614E-4</c:v>
                </c:pt>
                <c:pt idx="32">
                  <c:v>1.9867985619315853E-2</c:v>
                </c:pt>
                <c:pt idx="33">
                  <c:v>1.4284131731451044E-2</c:v>
                </c:pt>
                <c:pt idx="34">
                  <c:v>-1.7613551531940219E-2</c:v>
                </c:pt>
                <c:pt idx="35">
                  <c:v>-6.3584691176174352E-2</c:v>
                </c:pt>
                <c:pt idx="36">
                  <c:v>-6.5198482467787588E-4</c:v>
                </c:pt>
                <c:pt idx="37">
                  <c:v>4.6777923994362203E-4</c:v>
                </c:pt>
                <c:pt idx="38">
                  <c:v>-2.5268878679501894E-4</c:v>
                </c:pt>
                <c:pt idx="39">
                  <c:v>-1.0440009225227698E-3</c:v>
                </c:pt>
              </c:numCache>
            </c:numRef>
          </c:val>
          <c:smooth val="0"/>
          <c:extLst>
            <c:ext xmlns:c16="http://schemas.microsoft.com/office/drawing/2014/chart" uri="{C3380CC4-5D6E-409C-BE32-E72D297353CC}">
              <c16:uniqueId val="{00000007-8521-4A90-BE3A-2E1F819C7F63}"/>
            </c:ext>
          </c:extLst>
        </c:ser>
        <c:ser>
          <c:idx val="8"/>
          <c:order val="8"/>
          <c:tx>
            <c:strRef>
              <c:f>'výkonnost odvětví 5a'!$L$66</c:f>
              <c:strCache>
                <c:ptCount val="1"/>
                <c:pt idx="0">
                  <c:v>Consumer confidence indicator</c:v>
                </c:pt>
              </c:strCache>
            </c:strRef>
          </c:tx>
          <c:spPr>
            <a:ln w="12700">
              <a:solidFill>
                <a:schemeClr val="bg1">
                  <a:lumMod val="50000"/>
                </a:schemeClr>
              </a:solidFill>
              <a:prstDash val="sysDot"/>
            </a:ln>
          </c:spPr>
          <c:marker>
            <c:symbol val="circle"/>
            <c:size val="5"/>
            <c:spPr>
              <a:solidFill>
                <a:srgbClr val="FFFF00"/>
              </a:solidFill>
              <a:ln>
                <a:solidFill>
                  <a:schemeClr val="bg1">
                    <a:lumMod val="50000"/>
                  </a:schemeClr>
                </a:solidFill>
              </a:ln>
            </c:spPr>
          </c:marker>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5a'!$L$67:$L$107</c:f>
              <c:numCache>
                <c:formatCode>0.0</c:formatCode>
                <c:ptCount val="41"/>
                <c:pt idx="0">
                  <c:v>-1.75</c:v>
                </c:pt>
                <c:pt idx="1">
                  <c:v>0.25</c:v>
                </c:pt>
                <c:pt idx="2">
                  <c:v>-3.75</c:v>
                </c:pt>
                <c:pt idx="3">
                  <c:v>-0.25</c:v>
                </c:pt>
                <c:pt idx="4">
                  <c:v>-1.5</c:v>
                </c:pt>
                <c:pt idx="5">
                  <c:v>0</c:v>
                </c:pt>
                <c:pt idx="6">
                  <c:v>-2.25</c:v>
                </c:pt>
                <c:pt idx="7">
                  <c:v>0.75</c:v>
                </c:pt>
                <c:pt idx="8">
                  <c:v>1.25</c:v>
                </c:pt>
                <c:pt idx="9">
                  <c:v>-0.5</c:v>
                </c:pt>
                <c:pt idx="10">
                  <c:v>0.5</c:v>
                </c:pt>
                <c:pt idx="11">
                  <c:v>5</c:v>
                </c:pt>
                <c:pt idx="12">
                  <c:v>3.75</c:v>
                </c:pt>
                <c:pt idx="13">
                  <c:v>6</c:v>
                </c:pt>
                <c:pt idx="14">
                  <c:v>4</c:v>
                </c:pt>
                <c:pt idx="15">
                  <c:v>1</c:v>
                </c:pt>
                <c:pt idx="16">
                  <c:v>3.25</c:v>
                </c:pt>
                <c:pt idx="17">
                  <c:v>0</c:v>
                </c:pt>
                <c:pt idx="18">
                  <c:v>2.25</c:v>
                </c:pt>
                <c:pt idx="19">
                  <c:v>-0.5</c:v>
                </c:pt>
                <c:pt idx="20">
                  <c:v>-1.75</c:v>
                </c:pt>
                <c:pt idx="21">
                  <c:v>-9.25</c:v>
                </c:pt>
                <c:pt idx="22">
                  <c:v>-8.75</c:v>
                </c:pt>
                <c:pt idx="23">
                  <c:v>-18.5</c:v>
                </c:pt>
                <c:pt idx="24">
                  <c:v>-16.25</c:v>
                </c:pt>
                <c:pt idx="25">
                  <c:v>-6.75</c:v>
                </c:pt>
                <c:pt idx="26">
                  <c:v>-4.5</c:v>
                </c:pt>
                <c:pt idx="27">
                  <c:v>-17</c:v>
                </c:pt>
                <c:pt idx="28">
                  <c:v>-16.5</c:v>
                </c:pt>
                <c:pt idx="29">
                  <c:v>-31</c:v>
                </c:pt>
                <c:pt idx="30">
                  <c:v>-29.8</c:v>
                </c:pt>
                <c:pt idx="31">
                  <c:v>-30.8</c:v>
                </c:pt>
                <c:pt idx="32">
                  <c:v>-21</c:v>
                </c:pt>
                <c:pt idx="33">
                  <c:v>-20.3</c:v>
                </c:pt>
                <c:pt idx="34">
                  <c:v>-18</c:v>
                </c:pt>
                <c:pt idx="35">
                  <c:v>-18.3</c:v>
                </c:pt>
                <c:pt idx="36">
                  <c:v>-15.8</c:v>
                </c:pt>
                <c:pt idx="37">
                  <c:v>-9</c:v>
                </c:pt>
                <c:pt idx="38">
                  <c:v>-12.8</c:v>
                </c:pt>
                <c:pt idx="39">
                  <c:v>-9</c:v>
                </c:pt>
                <c:pt idx="40">
                  <c:v>-13.5</c:v>
                </c:pt>
              </c:numCache>
            </c:numRef>
          </c:val>
          <c:smooth val="0"/>
          <c:extLst>
            <c:ext xmlns:c16="http://schemas.microsoft.com/office/drawing/2014/chart" uri="{C3380CC4-5D6E-409C-BE32-E72D297353CC}">
              <c16:uniqueId val="{00000008-8521-4A90-BE3A-2E1F819C7F63}"/>
            </c:ext>
          </c:extLst>
        </c:ser>
        <c:ser>
          <c:idx val="9"/>
          <c:order val="9"/>
          <c:tx>
            <c:strRef>
              <c:f>'výkonnost odvětví 5a'!$M$66</c:f>
              <c:strCache>
                <c:ptCount val="1"/>
                <c:pt idx="0">
                  <c:v>Confidence indicator in retail</c:v>
                </c:pt>
              </c:strCache>
            </c:strRef>
          </c:tx>
          <c:spPr>
            <a:ln w="6350">
              <a:solidFill>
                <a:schemeClr val="bg1">
                  <a:lumMod val="50000"/>
                </a:schemeClr>
              </a:solidFill>
              <a:prstDash val="sysDash"/>
            </a:ln>
          </c:spPr>
          <c:marker>
            <c:symbol val="triangle"/>
            <c:size val="5"/>
            <c:spPr>
              <a:solidFill>
                <a:schemeClr val="accent6">
                  <a:lumMod val="40000"/>
                  <a:lumOff val="60000"/>
                </a:schemeClr>
              </a:solidFill>
              <a:ln>
                <a:solidFill>
                  <a:schemeClr val="bg1">
                    <a:lumMod val="50000"/>
                  </a:schemeClr>
                </a:solidFill>
              </a:ln>
            </c:spPr>
          </c:marker>
          <c:cat>
            <c:multiLvlStrRef>
              <c:f>'výkonnost odvětví 5a'!$B$67:$C$107</c:f>
              <c:multiLvlStrCache>
                <c:ptCount val="4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pt idx="37">
                    <c:v>2</c:v>
                  </c:pt>
                  <c:pt idx="38">
                    <c:v>3</c:v>
                  </c:pt>
                  <c:pt idx="39">
                    <c:v>4</c:v>
                  </c:pt>
                  <c:pt idx="40">
                    <c:v>1</c:v>
                  </c:pt>
                </c:lvl>
                <c:lvl>
                  <c:pt idx="0">
                    <c:v>2015</c:v>
                  </c:pt>
                  <c:pt idx="4">
                    <c:v>2016</c:v>
                  </c:pt>
                  <c:pt idx="8">
                    <c:v>2017</c:v>
                  </c:pt>
                  <c:pt idx="12">
                    <c:v>2018</c:v>
                  </c:pt>
                  <c:pt idx="16">
                    <c:v>2019</c:v>
                  </c:pt>
                  <c:pt idx="20">
                    <c:v>2020</c:v>
                  </c:pt>
                  <c:pt idx="24">
                    <c:v>2021</c:v>
                  </c:pt>
                  <c:pt idx="28">
                    <c:v>2022</c:v>
                  </c:pt>
                  <c:pt idx="32">
                    <c:v>2023</c:v>
                  </c:pt>
                  <c:pt idx="36">
                    <c:v>2024</c:v>
                  </c:pt>
                  <c:pt idx="40">
                    <c:v>2025</c:v>
                  </c:pt>
                </c:lvl>
              </c:multiLvlStrCache>
            </c:multiLvlStrRef>
          </c:cat>
          <c:val>
            <c:numRef>
              <c:f>'výkonnost odvětví 5a'!$M$67:$M$107</c:f>
              <c:numCache>
                <c:formatCode>0.0</c:formatCode>
                <c:ptCount val="41"/>
                <c:pt idx="0">
                  <c:v>20</c:v>
                </c:pt>
                <c:pt idx="1">
                  <c:v>20.7</c:v>
                </c:pt>
                <c:pt idx="2">
                  <c:v>17.600000000000001</c:v>
                </c:pt>
                <c:pt idx="3">
                  <c:v>19.7</c:v>
                </c:pt>
                <c:pt idx="4">
                  <c:v>22.7</c:v>
                </c:pt>
                <c:pt idx="5">
                  <c:v>17.7</c:v>
                </c:pt>
                <c:pt idx="6">
                  <c:v>17.7</c:v>
                </c:pt>
                <c:pt idx="7">
                  <c:v>21</c:v>
                </c:pt>
                <c:pt idx="8">
                  <c:v>24.3</c:v>
                </c:pt>
                <c:pt idx="9">
                  <c:v>17.3</c:v>
                </c:pt>
                <c:pt idx="10">
                  <c:v>22.7</c:v>
                </c:pt>
                <c:pt idx="11">
                  <c:v>21.7</c:v>
                </c:pt>
                <c:pt idx="12">
                  <c:v>23.3</c:v>
                </c:pt>
                <c:pt idx="13">
                  <c:v>17.3</c:v>
                </c:pt>
                <c:pt idx="14">
                  <c:v>15.6</c:v>
                </c:pt>
                <c:pt idx="15">
                  <c:v>15</c:v>
                </c:pt>
                <c:pt idx="16">
                  <c:v>12.7</c:v>
                </c:pt>
                <c:pt idx="17">
                  <c:v>12.3</c:v>
                </c:pt>
                <c:pt idx="18">
                  <c:v>14.7</c:v>
                </c:pt>
                <c:pt idx="19">
                  <c:v>14.7</c:v>
                </c:pt>
                <c:pt idx="20">
                  <c:v>18.7</c:v>
                </c:pt>
                <c:pt idx="21">
                  <c:v>-1</c:v>
                </c:pt>
                <c:pt idx="22">
                  <c:v>12</c:v>
                </c:pt>
                <c:pt idx="23">
                  <c:v>7</c:v>
                </c:pt>
                <c:pt idx="24">
                  <c:v>1.3</c:v>
                </c:pt>
                <c:pt idx="25">
                  <c:v>15</c:v>
                </c:pt>
                <c:pt idx="26">
                  <c:v>18.3</c:v>
                </c:pt>
                <c:pt idx="27">
                  <c:v>21.3</c:v>
                </c:pt>
                <c:pt idx="28">
                  <c:v>19.7</c:v>
                </c:pt>
                <c:pt idx="29">
                  <c:v>19.600000000000001</c:v>
                </c:pt>
                <c:pt idx="30">
                  <c:v>10.3</c:v>
                </c:pt>
                <c:pt idx="31">
                  <c:v>14.7</c:v>
                </c:pt>
                <c:pt idx="32">
                  <c:v>9.3000000000000007</c:v>
                </c:pt>
                <c:pt idx="33">
                  <c:v>13.3</c:v>
                </c:pt>
                <c:pt idx="34">
                  <c:v>5.7</c:v>
                </c:pt>
                <c:pt idx="35">
                  <c:v>3.3</c:v>
                </c:pt>
                <c:pt idx="36">
                  <c:v>1.7</c:v>
                </c:pt>
                <c:pt idx="37">
                  <c:v>11.3</c:v>
                </c:pt>
                <c:pt idx="38">
                  <c:v>9.3000000000000007</c:v>
                </c:pt>
                <c:pt idx="39">
                  <c:v>11.3</c:v>
                </c:pt>
                <c:pt idx="40">
                  <c:v>15</c:v>
                </c:pt>
              </c:numCache>
            </c:numRef>
          </c:val>
          <c:smooth val="0"/>
          <c:extLst>
            <c:ext xmlns:c16="http://schemas.microsoft.com/office/drawing/2014/chart" uri="{C3380CC4-5D6E-409C-BE32-E72D297353CC}">
              <c16:uniqueId val="{00000009-8521-4A90-BE3A-2E1F819C7F63}"/>
            </c:ext>
          </c:extLst>
        </c:ser>
        <c:dLbls>
          <c:showLegendKey val="0"/>
          <c:showVal val="0"/>
          <c:showCatName val="0"/>
          <c:showSerName val="0"/>
          <c:showPercent val="0"/>
          <c:showBubbleSize val="0"/>
        </c:dLbls>
        <c:marker val="1"/>
        <c:smooth val="0"/>
        <c:axId val="1875570767"/>
        <c:axId val="1875563695"/>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2"/>
          <c:min val="-10"/>
        </c:scaling>
        <c:delete val="0"/>
        <c:axPos val="l"/>
        <c:majorGridlines>
          <c:spPr>
            <a:ln w="6350">
              <a:solidFill>
                <a:schemeClr val="bg1">
                  <a:lumMod val="75000"/>
                </a:schemeClr>
              </a:solidFill>
            </a:ln>
          </c:spPr>
        </c:majorGridlines>
        <c:title>
          <c:tx>
            <c:rich>
              <a:bodyPr/>
              <a:lstStyle/>
              <a:p>
                <a:pPr>
                  <a:defRPr sz="750" b="0" i="1"/>
                </a:pPr>
                <a:r>
                  <a:rPr lang="cs-CZ" sz="750" b="0" i="1"/>
                  <a:t>Contribution to the change of sales in retail </a:t>
                </a:r>
              </a:p>
            </c:rich>
          </c:tx>
          <c:layout>
            <c:manualLayout>
              <c:xMode val="edge"/>
              <c:yMode val="edge"/>
              <c:x val="2.6086947381477195E-3"/>
              <c:y val="9.7215521105131791E-2"/>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2"/>
      </c:valAx>
      <c:valAx>
        <c:axId val="1875563695"/>
        <c:scaling>
          <c:orientation val="minMax"/>
          <c:max val="125"/>
          <c:min val="-40"/>
        </c:scaling>
        <c:delete val="0"/>
        <c:axPos val="r"/>
        <c:title>
          <c:tx>
            <c:rich>
              <a:bodyPr/>
              <a:lstStyle/>
              <a:p>
                <a:pPr>
                  <a:defRPr sz="750" b="0" i="1"/>
                </a:pPr>
                <a:r>
                  <a:rPr lang="cs-CZ" sz="750" b="0" i="1">
                    <a:latin typeface="Arial" panose="020B0604020202020204" pitchFamily="34" charset="0"/>
                    <a:cs typeface="Arial" panose="020B0604020202020204" pitchFamily="34" charset="0"/>
                  </a:rPr>
                  <a:t>Sales (year 2021 = 100), confidence indicator</a:t>
                </a:r>
              </a:p>
            </c:rich>
          </c:tx>
          <c:layout>
            <c:manualLayout>
              <c:xMode val="edge"/>
              <c:yMode val="edge"/>
              <c:x val="0.96896265019335537"/>
              <c:y val="0.11113335344359691"/>
            </c:manualLayout>
          </c:layout>
          <c:overlay val="0"/>
        </c:title>
        <c:numFmt formatCode="#,##0" sourceLinked="0"/>
        <c:majorTickMark val="out"/>
        <c:minorTickMark val="none"/>
        <c:tickLblPos val="nextTo"/>
        <c:txPr>
          <a:bodyPr/>
          <a:lstStyle/>
          <a:p>
            <a:pPr>
              <a:defRPr sz="800"/>
            </a:pPr>
            <a:endParaRPr lang="cs-CZ"/>
          </a:p>
        </c:txPr>
        <c:crossAx val="1875570767"/>
        <c:crosses val="max"/>
        <c:crossBetween val="between"/>
        <c:majorUnit val="15"/>
      </c:valAx>
      <c:catAx>
        <c:axId val="1875570767"/>
        <c:scaling>
          <c:orientation val="minMax"/>
        </c:scaling>
        <c:delete val="1"/>
        <c:axPos val="b"/>
        <c:numFmt formatCode="General" sourceLinked="1"/>
        <c:majorTickMark val="out"/>
        <c:minorTickMark val="none"/>
        <c:tickLblPos val="nextTo"/>
        <c:crossAx val="1875563695"/>
        <c:crosses val="autoZero"/>
        <c:auto val="1"/>
        <c:lblAlgn val="ctr"/>
        <c:lblOffset val="100"/>
        <c:noMultiLvlLbl val="0"/>
      </c:catAx>
      <c:spPr>
        <a:ln>
          <a:solidFill>
            <a:schemeClr val="tx1"/>
          </a:solidFill>
        </a:ln>
      </c:spPr>
    </c:plotArea>
    <c:legend>
      <c:legendPos val="r"/>
      <c:layout>
        <c:manualLayout>
          <c:xMode val="edge"/>
          <c:yMode val="edge"/>
          <c:x val="5.1385534144624996E-3"/>
          <c:y val="0.83370461746214186"/>
          <c:w val="0.98691543107779145"/>
          <c:h val="0.15916794383430105"/>
        </c:manualLayout>
      </c:layout>
      <c:overlay val="0"/>
      <c:spPr>
        <a:ln w="6350">
          <a:solidFill>
            <a:schemeClr val="tx1"/>
          </a:solidFill>
        </a:ln>
      </c:spPr>
      <c:txPr>
        <a:bodyPr/>
        <a:lstStyle/>
        <a:p>
          <a:pPr>
            <a:defRPr sz="75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b8c0c86d-151e-4fca-b0d5-747e6692fa1d"/>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BC96B71-401B-4477-8C91-D843EA1D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5997</Words>
  <Characters>35386</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41301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3</cp:revision>
  <cp:lastPrinted>2014-07-17T14:07:00Z</cp:lastPrinted>
  <dcterms:created xsi:type="dcterms:W3CDTF">2025-04-24T09:24:00Z</dcterms:created>
  <dcterms:modified xsi:type="dcterms:W3CDTF">2025-04-24T09:32:00Z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