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Publikace obsahuje údaje přepočtené na</w:t>
      </w:r>
      <w:r w:rsidR="00B143B6">
        <w:rPr>
          <w:rFonts w:cs="Arial"/>
        </w:rPr>
        <w:t xml:space="preserve"> území krajů platné</w:t>
      </w:r>
      <w:r w:rsidR="008436B4">
        <w:rPr>
          <w:rFonts w:cs="Arial"/>
        </w:rPr>
        <w:t xml:space="preserve"> </w:t>
      </w:r>
      <w:r w:rsidR="00B143B6">
        <w:rPr>
          <w:rFonts w:cs="Arial"/>
        </w:rPr>
        <w:t>k 1. 1. 20</w:t>
      </w:r>
      <w:r w:rsidR="00770F12">
        <w:rPr>
          <w:rFonts w:cs="Arial"/>
        </w:rPr>
        <w:t>20</w:t>
      </w:r>
      <w:r w:rsidRPr="007036F2">
        <w:rPr>
          <w:rFonts w:cs="Arial"/>
        </w:rPr>
        <w:t>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Veškeré údaje se týkají všech obyvatel, kteří mají v kraji trvalé bydliště, a to bez ohledu na státní občanství. Od r. 2001 (v návaznosti na sčítání lidu, domů a bytů 2001) údaje zahrnují cizince s vízy nad 90 dnů (podle zákona č. 326/1999 Sb., o pobytu cizinců), a cizince s přiznaným azylem (</w:t>
      </w:r>
      <w:r w:rsidR="00510FCD">
        <w:rPr>
          <w:rFonts w:cs="Arial"/>
        </w:rPr>
        <w:t>podle zákona č. 325/1999 Sb., o </w:t>
      </w:r>
      <w:r w:rsidRPr="007036F2">
        <w:rPr>
          <w:rFonts w:cs="Arial"/>
        </w:rPr>
        <w:t xml:space="preserve">azylu). Od 1. 5. 2004, v návaznosti na tzv. Euronovelu zákona č. 326/1999 Sb., o pobytu cizinců, se údaje týkají občanů </w:t>
      </w:r>
      <w:bookmarkStart w:id="0" w:name="_GoBack"/>
      <w:bookmarkEnd w:id="0"/>
      <w:r w:rsidRPr="007036F2">
        <w:rPr>
          <w:rFonts w:cs="Arial"/>
        </w:rPr>
        <w:t>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U všech údajů s věkem je vždy uveden dokončený věk. Není-li uvedeno jinak, jsou údaje o věku (event. rozdílu věků) v rocích. Délka života ve dnech u zemřelých novorozenců je kalendářním věkem, tj. rozdílem data narození a úmrtí.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Územní členění výsledků zpracování za kraje vychází z ústavního zákona č.347/1997 Sb., o vytvoření VÚSC (a jeho novely č.176/2001) a zákona 387/2004 Sb., o změnách hranic krajů.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Zákonem č.15/2015 Sb., s účinností od 1. 1. 2016, byl zrušen vojenský újezd (VÚ) Brdy ve Středočeském kraji a stanoveny nové hranice ostatních VÚ. V souladu se změnou územní příslušnosti dotčených katastrálních území došlo ke změně hranic a obyvatelstva krajů Středočeského, Plzeňského, Karlovarského, Ústeckého, Jihomoravského a Olomouckého.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Ze Středočeského kraje byla část obyvatelstva zrušeného VÚ Brdy nově začleněna do kraje Plzeňského (obyvatelé v katastrech připadajících k obci Skořice). Část obyvatelstva VÚ Hradiště v Karlovarském kraji byla začleněna do kraje Ústeckého (obyvatelé v katastrech připadající</w:t>
      </w:r>
      <w:r w:rsidR="00510FCD">
        <w:rPr>
          <w:rFonts w:cs="Arial"/>
        </w:rPr>
        <w:t>ch k obci Podbořanský Rohozec a </w:t>
      </w:r>
      <w:r w:rsidRPr="007036F2">
        <w:rPr>
          <w:rFonts w:cs="Arial"/>
        </w:rPr>
        <w:t xml:space="preserve">Radonice). Obyvatelé VÚ Březina v Jihomoravském kraji byli nově začleněni do obyvatelstva kraje Olomouckého (do obcí Krumsín a Otaslavice). 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 xml:space="preserve"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sčítání. V období, za které jsou údaje této publikace, se to týká sčítání v roce 2011 - údaje o počtu obyvatel k 1. 1. 2011 se liší od údajů k 31. 12. 2010. </w:t>
      </w:r>
    </w:p>
    <w:p w:rsidR="007036F2" w:rsidRDefault="007036F2" w:rsidP="006F5E16">
      <w:pPr>
        <w:rPr>
          <w:rFonts w:cs="Arial"/>
        </w:rPr>
      </w:pPr>
      <w:r w:rsidRPr="007036F2">
        <w:rPr>
          <w:rFonts w:cs="Arial"/>
        </w:rPr>
        <w:t>Definice sňatků, rozvodů, narozených, potratů a zemřelých a z nich odvo</w:t>
      </w:r>
      <w:r w:rsidR="00510FCD">
        <w:rPr>
          <w:rFonts w:cs="Arial"/>
        </w:rPr>
        <w:t>zených ukazatelů jsou uvedeny v </w:t>
      </w:r>
      <w:r w:rsidRPr="007036F2">
        <w:rPr>
          <w:rFonts w:cs="Arial"/>
        </w:rPr>
        <w:t>Demografické ročence České republiky (kód 130067-xx).</w:t>
      </w:r>
    </w:p>
    <w:p w:rsidR="00976884" w:rsidRPr="00976884" w:rsidRDefault="00976884" w:rsidP="00976884">
      <w:pPr>
        <w:rPr>
          <w:rFonts w:cs="Arial"/>
        </w:rPr>
      </w:pPr>
      <w:r w:rsidRPr="00976884">
        <w:rPr>
          <w:rFonts w:cs="Arial"/>
        </w:rPr>
        <w:t>V roce 2018, od dat za rok 2017 resp. 2016–2017, přistoupil Český statistický úřad (ČSÚ) k úpravě metodiky konstrukce úmrtnostních tabulek. Změna se primárně týká způsobu zpracování vstupních reálných dat a spočívá v inovaci funkce pro vyhlazování reálných měr úmrtnosti a v inovaci funkce pro modelování úmrtnosti v nejvyšších věcích.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Stěhování je změna trvalého bydliště z obce do obce v ČR nebo přes hranice ČR (zahraniční stěhován</w:t>
      </w:r>
      <w:r w:rsidR="00510FCD">
        <w:rPr>
          <w:rFonts w:cs="Arial"/>
        </w:rPr>
        <w:t>í). V </w:t>
      </w:r>
      <w:r w:rsidRPr="007036F2">
        <w:rPr>
          <w:rFonts w:cs="Arial"/>
        </w:rPr>
        <w:t>publikaci jsou uvedeny údaje za stěhování celkem, to znamená v úhrn</w:t>
      </w:r>
      <w:r w:rsidR="00510FCD">
        <w:rPr>
          <w:rFonts w:cs="Arial"/>
        </w:rPr>
        <w:t>u za stěhování mezi obcemi ČR a </w:t>
      </w:r>
      <w:r w:rsidRPr="007036F2">
        <w:rPr>
          <w:rFonts w:cs="Arial"/>
        </w:rPr>
        <w:t>za zahraniční stěhování. Uveden je počet stěhování, nikoli počet stěhujících se, někteří se mohli stěhovat dvakrát nebo vícekrát.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Pro stěhování do kraje použito termínu přistěhovalí a pro stěhování z kraje</w:t>
      </w:r>
      <w:r w:rsidR="00510FCD">
        <w:rPr>
          <w:rFonts w:cs="Arial"/>
        </w:rPr>
        <w:t xml:space="preserve"> termínu vystěhovalí, přičemž v </w:t>
      </w:r>
      <w:r w:rsidRPr="007036F2">
        <w:rPr>
          <w:rFonts w:cs="Arial"/>
        </w:rPr>
        <w:t>obou případech je myšleno stěhování přes hranice kraje (tedy včetně zahraničního stěhování). Vnitrokrajským stěhováním je myšleno stěhování uvnitř krajů (tzn. ne přes hra</w:t>
      </w:r>
      <w:r w:rsidR="00510FCD">
        <w:rPr>
          <w:rFonts w:cs="Arial"/>
        </w:rPr>
        <w:t xml:space="preserve">nice kraje) a je rozděleno </w:t>
      </w:r>
      <w:r w:rsidR="00510FCD">
        <w:rPr>
          <w:rFonts w:cs="Arial"/>
        </w:rPr>
        <w:lastRenderedPageBreak/>
        <w:t>na </w:t>
      </w:r>
      <w:r w:rsidRPr="007036F2">
        <w:rPr>
          <w:rFonts w:cs="Arial"/>
        </w:rPr>
        <w:t>stěhování mezi okresy kraje a mezi obcemi okresu (tj. uvnitř okresu, tedy ne přes hranice okresu). V kraji Hlavní město Praha vnitrokrajské stěhování není.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 xml:space="preserve"> 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FF" w:rsidRDefault="003B77FF" w:rsidP="00E71A58">
      <w:r>
        <w:separator/>
      </w:r>
    </w:p>
  </w:endnote>
  <w:endnote w:type="continuationSeparator" w:id="0">
    <w:p w:rsidR="003B77FF" w:rsidRDefault="003B77F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4A7FAA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61BEA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C61BEA">
      <w:rPr>
        <w:rStyle w:val="ZpatChar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61BEA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C61BEA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4A7FAA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FF" w:rsidRDefault="003B77FF" w:rsidP="00E71A58">
      <w:r>
        <w:separator/>
      </w:r>
    </w:p>
  </w:footnote>
  <w:footnote w:type="continuationSeparator" w:id="0">
    <w:p w:rsidR="003B77FF" w:rsidRDefault="003B77FF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F" w:rsidRDefault="00DE6C8F" w:rsidP="00DE6C8F">
    <w:pPr>
      <w:pStyle w:val="Zhlav"/>
    </w:pPr>
    <w:r w:rsidRPr="00E97C22">
      <w:t>Demografická ročenka krajů</w:t>
    </w:r>
  </w:p>
  <w:p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8F" w:rsidRDefault="00DE6C8F" w:rsidP="00DE6C8F">
    <w:pPr>
      <w:pStyle w:val="Zhlav"/>
    </w:pPr>
    <w:r w:rsidRPr="00E97C22">
      <w:t>Demografická ročenka krajů</w:t>
    </w:r>
  </w:p>
  <w:p w:rsidR="00DE6C8F" w:rsidRPr="003C31BE" w:rsidRDefault="00DE6C8F" w:rsidP="00DE6C8F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  <w:p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15EB5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B443A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57EBB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B77FF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A7FAA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09E3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0F12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36B4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8AD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76884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2C9D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43B6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1BEA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28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D7440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1D1FFD9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D608-DB79-41DD-B47E-D8116A51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98</TotalTime>
  <Pages>2</Pages>
  <Words>571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18</cp:revision>
  <cp:lastPrinted>2020-07-28T08:03:00Z</cp:lastPrinted>
  <dcterms:created xsi:type="dcterms:W3CDTF">2018-06-04T07:16:00Z</dcterms:created>
  <dcterms:modified xsi:type="dcterms:W3CDTF">2020-07-28T12:05:00Z</dcterms:modified>
</cp:coreProperties>
</file>